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采购需求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一、660L塑料垃圾桶技术参数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1、产品名称： 660升垃圾桶，尺寸为:1370*770*1210（±5mm）2、产品所执行的标准、标准号:《中华人民共和国城镇建设行业标准-塑料垃圾桶通用技术条件》CJ/T 280-2008标准。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3、产品要求说明：（以下参数中带▲的参数为重要参数，如不满足则将在评分中加重扣分） 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(1）▲容积：660L（±5%）(可挂车)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(2）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长*宽*高（mm）：1380*820*1220（±5mm）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(3）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整体重量： 42.0（±1）Kg，桶身≥21.5Kg，盖子≥5.0kg.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(4）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橡胶轮：фmm，内圈聚乙烯，内置钢套，外圈橡胶轮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(5）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轮子：采用橡胶轮，采用全新HDPE内圈，两只万向轮带刹车，两只固定轮。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(6）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桶体壁厚≥6.5mm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(7）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高温65℃、低温-30℃的气温下，不变形，不开裂。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(8）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材料：全新高密度聚乙烯（HDPE）。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(9）垃圾桶投放标志采用丝印制与桶体连接一体，保证垃圾桶使用寿命期间永不脱落。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(10）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垃圾桶：色彩鲜艳，两年不褪色，质保期内有损坏由供应商更换及赔偿；耐腐蚀，并且有足够的机械强度和良好的冲击韧性；能与现有的垃圾车配套使用。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(11）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符合中华人民共和国城镇建设行业标准《中华人民共和国城镇建设行业标准-塑料垃圾桶通用技术条件》CJ/T 280-2008标准。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3743325" cy="3441700"/>
            <wp:effectExtent l="0" t="0" r="952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rPr>
          <w:rFonts w:hint="eastAsia"/>
          <w:b/>
          <w:bCs/>
          <w:sz w:val="32"/>
          <w:szCs w:val="36"/>
          <w:lang w:eastAsia="zh-CN"/>
        </w:rPr>
        <w:t>图片仅供参考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 w:cs="宋体"/>
          <w:color w:val="000000"/>
          <w:sz w:val="28"/>
          <w:szCs w:val="28"/>
          <w:lang w:eastAsia="zh-CN"/>
        </w:rPr>
        <w:t>二、</w:t>
      </w:r>
      <w:r>
        <w:rPr>
          <w:rFonts w:hint="eastAsia" w:ascii="楷体_GB2312" w:hAnsi="宋体" w:eastAsia="楷体_GB2312" w:cs="宋体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240L塑料垃圾桶技术参数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（以下参数中带▲的参数为重要参数，如不满足则将在评分中加重扣分）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1、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容量：240L，单桶总重量：≥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1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.7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kg；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2、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单桶重量：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kg</w:t>
      </w:r>
      <w:bookmarkStart w:id="0" w:name="OLE_LINK3"/>
      <w:bookmarkStart w:id="1" w:name="OLE_LINK2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（±5%）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（不含盖子、轮子、轴等配件重量）；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3、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长：720mm（±5%），宽：560mm（±5%），高：1070mm（含盖高）（±5%），桶体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四面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凹凸加强设计。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4、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原材料：采用100%高密度聚乙烯全新料一次注模成型，外表光滑，容易清洗。原料中注入进口高质量防紫外线原料、抗老化母料、阻燃材料、颜色色素等，确保塑料桶颜色保持鲜艳耐久不褪色。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5、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桶体一次性注塑成型，无接缝，具有耐腐蚀，耐酸碱，并有足够的机械强度和良好的冲击韧性。桶身壁厚：≥4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.5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mm；桶盖厚度：≥3.5mm；桶底安装有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枚钢制耐磨钉。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6、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外观：桶体表面光滑平整均匀，无瑕疵、无波纹、划痕、黑点、杂质、气泡和裂纹；同一批次的塑料垃圾桶的桶盖和桶身色泽均匀，且闭合部位无明显变形。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7、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轮轴采用45#中碳钢，防锈时间达到2年以上。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8、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轮毂及辋圈采用100%全新高密度聚乙烯，轮胎外圈采用橡胶材质。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9、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橡胶轮与底轴连接：采用直插止退防盗链接。桶盖插销必须与桶身紧密连接防盗。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10、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正常使用温度为-25℃--65℃；产品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年内不褪色。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11、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在桶身背面下方，设计更人性化的防滑脚踩装置。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12、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技术要求和物理性能均能达到国家CJ/T280-2008行业标准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三、3m³垃圾箱技术参数（微型钩臂车配套箱）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（以下参数中带▲的参数为重要参数，如不满足则将在评分中加重扣分） 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垃圾箱造型美观大方，整体与环境协调；内部容积大于或等于3立方；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尺寸2200*1450*1200mm±50（长宽高），大梁120*50槽钢。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箱体板材采用唐钢、武钢、鞍钢的Q345锰板，厚度为底3mm边2mm，型材选用国标优质钢材。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下料工艺：采用激光、塔冲、火焰、等离子、卷板成型及数控折弯技术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箱体表面除锈采用酸洗磷化，表面防腐采用两遍环氧富锌底漆、一遍环氧中层漆、两遍丙烯酸聚氨酯面漆，内壁涂防腐漆。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焊接采用氩弧焊及气保焊点焊或断焊，各运动件应活动自如，无干涉卡滞现象，无异常响声，紧固件无松动现象。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所有骨架采用厚度为2mm矩管，整体质量300Kg；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8、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▲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能与勾臂式垃圾车配套使用。</w:t>
      </w:r>
    </w:p>
    <w:p>
      <w:pPr>
        <w:widowControl w:val="0"/>
        <w:numPr>
          <w:ilvl w:val="0"/>
          <w:numId w:val="0"/>
        </w:numPr>
        <w:tabs>
          <w:tab w:val="left" w:pos="90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tabs>
          <w:tab w:val="left" w:pos="903"/>
        </w:tabs>
        <w:jc w:val="center"/>
        <w:rPr>
          <w:rFonts w:hint="eastAsia" w:ascii="Times New Roman" w:hAnsi="Times New Roman" w:cs="Times New Roman"/>
          <w:b/>
          <w:i w:val="0"/>
          <w:sz w:val="20"/>
          <w:szCs w:val="22"/>
          <w:u w:val="none"/>
          <w:lang w:eastAsia="zh-CN"/>
        </w:rPr>
      </w:pPr>
      <w:r>
        <w:rPr>
          <w:rFonts w:hint="eastAsia" w:ascii="Times New Roman" w:hAnsi="Times New Roman" w:cs="Times New Roman"/>
          <w:b/>
          <w:i w:val="0"/>
          <w:sz w:val="20"/>
          <w:szCs w:val="22"/>
          <w:u w:val="none"/>
          <w:lang w:eastAsia="zh-CN"/>
        </w:rPr>
        <w:drawing>
          <wp:inline distT="0" distB="0" distL="114300" distR="114300">
            <wp:extent cx="4218940" cy="4218940"/>
            <wp:effectExtent l="0" t="0" r="10160" b="10160"/>
            <wp:docPr id="2" name="图片 2" descr="IMG_20180420_15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80420_1520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903"/>
        </w:tabs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i w:val="0"/>
          <w:sz w:val="30"/>
          <w:szCs w:val="30"/>
          <w:u w:val="none"/>
          <w:lang w:val="en-US" w:eastAsia="zh-CN"/>
        </w:rPr>
        <w:t>图片仅供参考</w:t>
      </w:r>
    </w:p>
    <w:tbl>
      <w:tblPr>
        <w:tblStyle w:val="4"/>
        <w:tblpPr w:leftFromText="180" w:rightFromText="180" w:vertAnchor="text" w:horzAnchor="page" w:tblpX="2061" w:tblpY="250"/>
        <w:tblOverlap w:val="never"/>
        <w:tblW w:w="7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103"/>
        <w:gridCol w:w="2650"/>
        <w:gridCol w:w="1108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7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65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型号（规格）</w:t>
            </w:r>
          </w:p>
        </w:tc>
        <w:tc>
          <w:tcPr>
            <w:tcW w:w="110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垃圾桶</w:t>
            </w:r>
          </w:p>
        </w:tc>
        <w:tc>
          <w:tcPr>
            <w:tcW w:w="2650" w:type="dxa"/>
            <w:vAlign w:val="center"/>
          </w:tcPr>
          <w:p>
            <w:pPr>
              <w:tabs>
                <w:tab w:val="left" w:pos="6935"/>
              </w:tabs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240L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3500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塑料垃圾箱</w:t>
            </w:r>
          </w:p>
        </w:tc>
        <w:tc>
          <w:tcPr>
            <w:tcW w:w="2650" w:type="dxa"/>
            <w:vAlign w:val="center"/>
          </w:tcPr>
          <w:p>
            <w:pPr>
              <w:tabs>
                <w:tab w:val="left" w:pos="6935"/>
              </w:tabs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660L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360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垃圾箱</w:t>
            </w:r>
          </w:p>
        </w:tc>
        <w:tc>
          <w:tcPr>
            <w:tcW w:w="2650" w:type="dxa"/>
            <w:vAlign w:val="center"/>
          </w:tcPr>
          <w:p>
            <w:pPr>
              <w:tabs>
                <w:tab w:val="left" w:pos="6935"/>
              </w:tabs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3m³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292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620" w:type="dxa"/>
            <w:gridSpan w:val="3"/>
            <w:vAlign w:val="center"/>
          </w:tcPr>
          <w:p>
            <w:pPr>
              <w:tabs>
                <w:tab w:val="left" w:pos="6935"/>
              </w:tabs>
              <w:spacing w:line="360" w:lineRule="auto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总费用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4300000.00元</w:t>
            </w:r>
          </w:p>
        </w:tc>
      </w:tr>
    </w:tbl>
    <w:p>
      <w:pPr>
        <w:pStyle w:val="2"/>
        <w:spacing w:line="500" w:lineRule="exact"/>
        <w:ind w:left="0" w:leftChars="0" w:firstLine="0" w:firstLineChars="0"/>
        <w:jc w:val="left"/>
        <w:rPr>
          <w:rFonts w:cs="仿宋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cs="仿宋" w:asciiTheme="minorEastAsia" w:hAnsiTheme="minorEastAsia"/>
          <w:b/>
          <w:sz w:val="28"/>
          <w:szCs w:val="28"/>
          <w:lang w:eastAsia="zh-CN"/>
        </w:rPr>
        <w:t>四</w:t>
      </w:r>
      <w:r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  <w:t>、商务需求</w:t>
      </w:r>
    </w:p>
    <w:p>
      <w:pPr>
        <w:spacing w:line="500" w:lineRule="exact"/>
        <w:ind w:firstLine="480" w:firstLineChars="200"/>
        <w:rPr>
          <w:rFonts w:cs="仿宋" w:asciiTheme="minorEastAsia" w:hAnsiTheme="minorEastAsia" w:eastAsiaTheme="minorEastAsia"/>
          <w:bCs/>
          <w:sz w:val="24"/>
        </w:rPr>
      </w:pPr>
      <w:r>
        <w:rPr>
          <w:rFonts w:hint="eastAsia" w:cs="仿宋" w:asciiTheme="minorEastAsia" w:hAnsiTheme="minorEastAsia" w:eastAsiaTheme="minorEastAsia"/>
          <w:bCs/>
          <w:sz w:val="24"/>
        </w:rPr>
        <w:t>（一）</w:t>
      </w:r>
      <w:r>
        <w:rPr>
          <w:rFonts w:hint="eastAsia" w:cs="仿宋" w:asciiTheme="minorEastAsia" w:hAnsiTheme="minorEastAsia"/>
          <w:bCs/>
          <w:sz w:val="24"/>
          <w:lang w:eastAsia="zh-CN"/>
        </w:rPr>
        <w:t>交货</w:t>
      </w:r>
      <w:r>
        <w:rPr>
          <w:rFonts w:hint="eastAsia" w:cs="仿宋" w:asciiTheme="minorEastAsia" w:hAnsiTheme="minorEastAsia" w:eastAsiaTheme="minorEastAsia"/>
          <w:bCs/>
          <w:sz w:val="24"/>
        </w:rPr>
        <w:t>时间与地点：</w:t>
      </w:r>
    </w:p>
    <w:p>
      <w:pPr>
        <w:spacing w:line="500" w:lineRule="exact"/>
        <w:ind w:firstLine="480" w:firstLineChars="200"/>
        <w:rPr>
          <w:rFonts w:hint="eastAsia" w:cs="仿宋" w:asciiTheme="minorEastAsia" w:hAnsiTheme="minorEastAsia" w:eastAsiaTheme="minorEastAsia"/>
          <w:sz w:val="24"/>
          <w:lang w:val="en-US" w:eastAsia="zh-CN"/>
        </w:rPr>
      </w:pPr>
      <w:r>
        <w:rPr>
          <w:rFonts w:hint="eastAsia" w:cs="仿宋" w:asciiTheme="minorEastAsia" w:hAnsiTheme="minorEastAsia" w:eastAsiaTheme="minorEastAsia"/>
          <w:sz w:val="24"/>
        </w:rPr>
        <w:t>1.时间：</w:t>
      </w:r>
      <w:r>
        <w:rPr>
          <w:rFonts w:hint="eastAsia" w:cs="仿宋" w:asciiTheme="minorEastAsia" w:hAnsiTheme="minorEastAsia"/>
          <w:sz w:val="24"/>
          <w:lang w:eastAsia="zh-CN"/>
        </w:rPr>
        <w:t>自合同签订之日起</w:t>
      </w:r>
      <w:r>
        <w:rPr>
          <w:rFonts w:hint="eastAsia" w:cs="仿宋" w:asciiTheme="minorEastAsia" w:hAnsiTheme="minorEastAsia"/>
          <w:sz w:val="24"/>
          <w:lang w:val="en-US" w:eastAsia="zh-CN"/>
        </w:rPr>
        <w:t>30天内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cs="仿宋" w:asciiTheme="minorEastAsia" w:hAnsiTheme="minorEastAsia" w:eastAsiaTheme="minorEastAsia"/>
          <w:sz w:val="24"/>
        </w:rPr>
        <w:t>2.地点：采购人指定地点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32D20"/>
    <w:rsid w:val="008C355C"/>
    <w:rsid w:val="0B742B3E"/>
    <w:rsid w:val="1BBD38A4"/>
    <w:rsid w:val="243E4427"/>
    <w:rsid w:val="29D52511"/>
    <w:rsid w:val="36D000CF"/>
    <w:rsid w:val="395D61BA"/>
    <w:rsid w:val="3C32364D"/>
    <w:rsid w:val="3F207B1C"/>
    <w:rsid w:val="44865D21"/>
    <w:rsid w:val="46D0344D"/>
    <w:rsid w:val="4C43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200" w:leftChars="200"/>
    </w:pPr>
    <w:rPr>
      <w:rFonts w:ascii="Verdana" w:hAnsi="Verdana"/>
      <w:lang w:eastAsia="en-US"/>
    </w:rPr>
  </w:style>
  <w:style w:type="paragraph" w:styleId="3">
    <w:name w:val="Body Text First Indent 2"/>
    <w:basedOn w:val="2"/>
    <w:qFormat/>
    <w:uiPriority w:val="99"/>
    <w:pPr>
      <w:ind w:firstLine="20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2020-12-30T03:59:00Z</dcterms:created>
  <dc:creator>别闹了</dc:creator>
  <cp:lastModifiedBy>加露林</cp:lastModifiedBy>
  <dcterms:modified xsi:type="dcterms:W3CDTF">2021-02-24T10:24:45Z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