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sz w:val="30"/>
          <w:szCs w:val="30"/>
          <w:lang w:eastAsia="zh-CN"/>
        </w:rPr>
      </w:pPr>
      <w:bookmarkStart w:id="0" w:name="_Toc24136"/>
      <w:r>
        <w:rPr>
          <w:rFonts w:hint="eastAsia" w:ascii="宋体" w:hAnsi="宋体" w:eastAsia="宋体" w:cs="宋体"/>
          <w:sz w:val="30"/>
          <w:szCs w:val="30"/>
        </w:rPr>
        <w:t>用户需求</w:t>
      </w:r>
      <w:bookmarkEnd w:id="0"/>
    </w:p>
    <w:p>
      <w:pPr>
        <w:widowControl w:val="0"/>
        <w:autoSpaceDE w:val="0"/>
        <w:autoSpaceDN w:val="0"/>
        <w:spacing w:before="235" w:after="0" w:line="240" w:lineRule="auto"/>
        <w:ind w:right="0" w:firstLine="422" w:firstLineChars="200"/>
        <w:jc w:val="left"/>
        <w:outlineLvl w:val="4"/>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zh-CN" w:eastAsia="zh-CN" w:bidi="zh-CN"/>
        </w:rPr>
        <w:t>一、采购对象需实现的功能或者目标</w:t>
      </w:r>
    </w:p>
    <w:p>
      <w:pPr>
        <w:keepNext w:val="0"/>
        <w:keepLines w:val="0"/>
        <w:pageBreakBefore w:val="0"/>
        <w:numPr>
          <w:ilvl w:val="0"/>
          <w:numId w:val="0"/>
        </w:numPr>
        <w:kinsoku/>
        <w:wordWrap/>
        <w:overflowPunct/>
        <w:topLinePunct w:val="0"/>
        <w:autoSpaceDE/>
        <w:autoSpaceDN/>
        <w:bidi w:val="0"/>
        <w:adjustRightInd/>
        <w:snapToGrid/>
        <w:spacing w:before="7" w:after="0" w:line="360" w:lineRule="auto"/>
        <w:ind w:left="0" w:leftChars="0" w:right="568" w:rightChars="0" w:firstLine="420" w:firstLineChars="200"/>
        <w:jc w:val="both"/>
        <w:textAlignment w:val="auto"/>
        <w:rPr>
          <w:rFonts w:hint="eastAsia" w:ascii="宋体" w:hAnsi="宋体" w:eastAsia="宋体" w:cs="宋体"/>
          <w:b w:val="0"/>
          <w:bCs/>
          <w:color w:val="auto"/>
          <w:kern w:val="0"/>
          <w:sz w:val="21"/>
          <w:szCs w:val="21"/>
          <w:highlight w:val="none"/>
          <w:lang w:val="zh-CN" w:bidi="zh-CN"/>
        </w:rPr>
      </w:pPr>
      <w:bookmarkStart w:id="1" w:name="二、满足项目需要的技术、服务、安全等要求"/>
      <w:bookmarkEnd w:id="1"/>
      <w:r>
        <w:rPr>
          <w:rFonts w:hint="eastAsia" w:ascii="宋体" w:hAnsi="宋体" w:eastAsia="宋体" w:cs="宋体"/>
          <w:b w:val="0"/>
          <w:bCs/>
          <w:color w:val="auto"/>
          <w:kern w:val="0"/>
          <w:sz w:val="21"/>
          <w:szCs w:val="21"/>
          <w:highlight w:val="none"/>
          <w:lang w:val="zh-CN" w:bidi="zh-CN"/>
        </w:rPr>
        <w:t>政府采购应当有助于实现国家的经济和社会发展政策目标，支持本国产品采购， 促进中小企业发展，优先采购节能环保产品，扶持监狱企业和残疾人福利性单位等。采购需求符合国家法律法规规定，执行国家相关标准、行业标准、地方标准等规范。</w:t>
      </w:r>
    </w:p>
    <w:p>
      <w:pPr>
        <w:pStyle w:val="2"/>
        <w:ind w:firstLine="420" w:firstLineChars="200"/>
        <w:rPr>
          <w:rFonts w:hint="eastAsia" w:ascii="宋体" w:hAnsi="宋体" w:eastAsia="宋体" w:cs="宋体"/>
          <w:sz w:val="21"/>
          <w:szCs w:val="21"/>
          <w:lang w:val="zh-CN" w:eastAsia="zh-CN"/>
        </w:rPr>
      </w:pPr>
      <w:r>
        <w:rPr>
          <w:rFonts w:hint="eastAsia" w:ascii="宋体" w:hAnsi="宋体" w:eastAsia="宋体" w:cs="宋体"/>
          <w:b w:val="0"/>
          <w:bCs/>
          <w:color w:val="auto"/>
          <w:kern w:val="0"/>
          <w:sz w:val="21"/>
          <w:szCs w:val="21"/>
          <w:highlight w:val="none"/>
          <w:lang w:val="zh-CN" w:eastAsia="zh-CN" w:bidi="zh-CN"/>
        </w:rPr>
        <w:t>以促进现代农业高质量发展为导向，以满足农业理念知识技能需求为核心，以提升培育质量效能为关键，深入推进农民教育培训提质增效三年行动，培育农民经营主体、专业生产型和从事生产经营性服务的技能服务型高素质农民。</w:t>
      </w:r>
    </w:p>
    <w:p>
      <w:pPr>
        <w:widowControl w:val="0"/>
        <w:numPr>
          <w:ilvl w:val="0"/>
          <w:numId w:val="1"/>
        </w:numPr>
        <w:autoSpaceDE w:val="0"/>
        <w:autoSpaceDN w:val="0"/>
        <w:spacing w:before="235" w:after="0" w:line="240" w:lineRule="auto"/>
        <w:ind w:right="0" w:firstLine="422" w:firstLineChars="200"/>
        <w:jc w:val="left"/>
        <w:outlineLvl w:val="4"/>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bidi="zh-CN"/>
        </w:rPr>
        <w:t>满足项目需要的范围、内容、服务和要求等</w:t>
      </w:r>
    </w:p>
    <w:p>
      <w:pPr>
        <w:spacing w:line="560" w:lineRule="exact"/>
        <w:ind w:firstLine="560"/>
        <w:rPr>
          <w:rFonts w:hint="eastAsia" w:ascii="宋体" w:hAnsi="宋体" w:eastAsia="宋体" w:cs="宋体"/>
          <w:b/>
          <w:i w:val="0"/>
          <w:iCs w:val="0"/>
          <w:sz w:val="21"/>
          <w:szCs w:val="21"/>
          <w:u w:val="none"/>
          <w:lang w:val="en-US" w:eastAsia="zh-CN"/>
        </w:rPr>
      </w:pPr>
      <w:r>
        <w:rPr>
          <w:rFonts w:hint="eastAsia" w:ascii="宋体" w:hAnsi="宋体" w:eastAsia="宋体" w:cs="宋体"/>
          <w:b/>
          <w:sz w:val="21"/>
          <w:szCs w:val="21"/>
          <w:lang w:val="en-US" w:eastAsia="zh-CN"/>
        </w:rPr>
        <w:t>(一)</w:t>
      </w:r>
      <w:r>
        <w:rPr>
          <w:rFonts w:hint="eastAsia" w:ascii="宋体" w:hAnsi="宋体" w:eastAsia="宋体" w:cs="宋体"/>
          <w:b/>
          <w:sz w:val="21"/>
          <w:szCs w:val="21"/>
          <w:lang w:eastAsia="zh-CN"/>
        </w:rPr>
        <w:t>遴选培训对象。</w:t>
      </w:r>
      <w:r>
        <w:rPr>
          <w:rFonts w:hint="eastAsia" w:ascii="宋体" w:hAnsi="宋体" w:eastAsia="宋体" w:cs="宋体"/>
          <w:b w:val="0"/>
          <w:bCs/>
          <w:sz w:val="21"/>
          <w:szCs w:val="21"/>
        </w:rPr>
        <w:t>高素质农民培训对象为屯昌县年满 16 周岁，正在从事或有意愿从事农业生产、经营、服务的务农农民和返乡入乡创新创业者。</w:t>
      </w:r>
    </w:p>
    <w:p>
      <w:pPr>
        <w:spacing w:line="560" w:lineRule="exact"/>
        <w:ind w:firstLine="560"/>
        <w:rPr>
          <w:rFonts w:hint="eastAsia" w:ascii="宋体" w:hAnsi="宋体" w:eastAsia="宋体" w:cs="宋体"/>
          <w:sz w:val="21"/>
          <w:szCs w:val="21"/>
          <w:lang w:val="en-US" w:eastAsia="zh-CN"/>
        </w:rPr>
      </w:pPr>
      <w:r>
        <w:rPr>
          <w:rFonts w:hint="eastAsia" w:ascii="宋体" w:hAnsi="宋体" w:eastAsia="宋体" w:cs="宋体"/>
          <w:b/>
          <w:sz w:val="21"/>
          <w:szCs w:val="21"/>
          <w:lang w:val="en-US" w:eastAsia="zh-CN"/>
        </w:rPr>
        <w:t>(二)制定培训计划</w:t>
      </w:r>
      <w:r>
        <w:rPr>
          <w:rFonts w:hint="eastAsia" w:ascii="宋体" w:hAnsi="宋体" w:eastAsia="宋体" w:cs="宋体"/>
          <w:sz w:val="21"/>
          <w:szCs w:val="21"/>
          <w:lang w:eastAsia="zh-CN"/>
        </w:rPr>
        <w:t>。培训机构要根据承担任务情况制定培训实施方案，培训实施方案要反映组织领导、教学计划、培训形式、课程设置、授课教师、教材选择、班级日常管理、考试考核等方面的内容，报县农业农村局批准后实施。培训机构每个教学班开班之前要制定开班计划，报县农业农村局批准后公开发布。培训机构应遵循高素质农民培训模块要求规定，设计培训班课程，课程体系分为综合素养课、专业能力课、能力拓展课三类，高职扩招政策宣讲纳入必修课。培训机构结合实际情况，合理选择集中或分时段开展培训。遴选师资库内的优秀授课老师。认真选择教材，注重教材的实用性、科学性、权威性，保证参训学员人手</w:t>
      </w:r>
      <w:r>
        <w:rPr>
          <w:rFonts w:hint="eastAsia" w:ascii="宋体" w:hAnsi="宋体" w:eastAsia="宋体" w:cs="宋体"/>
          <w:sz w:val="21"/>
          <w:szCs w:val="21"/>
          <w:lang w:val="en-US" w:eastAsia="zh-CN"/>
        </w:rPr>
        <w:t>2-3本培训教材。培训课程设置、开班计划、培训形式、培训师资、培训教材等方面要求按培训规范执行。</w:t>
      </w:r>
    </w:p>
    <w:p>
      <w:pPr>
        <w:pStyle w:val="5"/>
        <w:keepNext w:val="0"/>
        <w:keepLines w:val="0"/>
        <w:widowControl/>
        <w:suppressLineNumbers w:val="0"/>
        <w:spacing w:before="0" w:beforeAutospacing="0" w:after="0" w:afterAutospacing="0"/>
        <w:ind w:left="0" w:right="0" w:firstLine="422" w:firstLineChars="200"/>
        <w:rPr>
          <w:rFonts w:hint="eastAsia" w:ascii="宋体" w:hAnsi="宋体" w:eastAsia="宋体" w:cs="宋体"/>
          <w:sz w:val="21"/>
          <w:szCs w:val="21"/>
          <w:lang w:eastAsia="zh-CN"/>
        </w:rPr>
      </w:pPr>
      <w:r>
        <w:rPr>
          <w:rFonts w:hint="eastAsia" w:ascii="宋体" w:hAnsi="宋体" w:eastAsia="宋体" w:cs="宋体"/>
          <w:b/>
          <w:bCs w:val="0"/>
          <w:sz w:val="21"/>
          <w:szCs w:val="21"/>
          <w:lang w:val="en-US" w:eastAsia="zh-CN"/>
        </w:rPr>
        <w:t>(三)</w:t>
      </w:r>
      <w:r>
        <w:rPr>
          <w:rFonts w:hint="eastAsia" w:ascii="宋体" w:hAnsi="宋体" w:eastAsia="宋体" w:cs="宋体"/>
          <w:b/>
          <w:bCs w:val="0"/>
          <w:sz w:val="21"/>
          <w:szCs w:val="21"/>
        </w:rPr>
        <w:t>服务培训对象</w:t>
      </w:r>
      <w:r>
        <w:rPr>
          <w:rFonts w:hint="eastAsia" w:ascii="宋体" w:hAnsi="宋体" w:eastAsia="宋体" w:cs="宋体"/>
          <w:b/>
          <w:bCs w:val="0"/>
          <w:sz w:val="21"/>
          <w:szCs w:val="21"/>
          <w:lang w:eastAsia="zh-CN"/>
        </w:rPr>
        <w:t>及人数。</w:t>
      </w:r>
      <w:r>
        <w:rPr>
          <w:rFonts w:hint="eastAsia" w:ascii="宋体" w:hAnsi="宋体" w:eastAsia="宋体" w:cs="宋体"/>
          <w:sz w:val="21"/>
          <w:szCs w:val="21"/>
        </w:rPr>
        <w:t xml:space="preserve"> 新型农业经营主体带头人 100 人、专业技能和专业服务型农民 250人</w:t>
      </w:r>
      <w:r>
        <w:rPr>
          <w:rFonts w:hint="eastAsia" w:ascii="宋体" w:hAnsi="宋体" w:eastAsia="宋体" w:cs="宋体"/>
          <w:sz w:val="21"/>
          <w:szCs w:val="21"/>
          <w:lang w:eastAsia="zh-CN"/>
        </w:rPr>
        <w:t>（专业生产型</w:t>
      </w:r>
      <w:r>
        <w:rPr>
          <w:rFonts w:hint="eastAsia" w:ascii="宋体" w:hAnsi="宋体" w:eastAsia="宋体" w:cs="宋体"/>
          <w:sz w:val="21"/>
          <w:szCs w:val="21"/>
          <w:lang w:val="en-US" w:eastAsia="zh-CN"/>
        </w:rPr>
        <w:t>200人，技能服务型50人</w:t>
      </w:r>
      <w:r>
        <w:rPr>
          <w:rFonts w:hint="eastAsia" w:ascii="宋体" w:hAnsi="宋体" w:eastAsia="宋体" w:cs="宋体"/>
          <w:sz w:val="21"/>
          <w:szCs w:val="21"/>
          <w:lang w:eastAsia="zh-CN"/>
        </w:rPr>
        <w:t>）。</w:t>
      </w:r>
    </w:p>
    <w:p>
      <w:pPr>
        <w:widowControl/>
        <w:spacing w:line="560" w:lineRule="exact"/>
        <w:ind w:firstLine="422" w:firstLineChars="200"/>
        <w:rPr>
          <w:rFonts w:hint="eastAsia" w:ascii="宋体" w:hAnsi="宋体" w:eastAsia="宋体" w:cs="宋体"/>
          <w:sz w:val="21"/>
          <w:szCs w:val="21"/>
        </w:rPr>
      </w:pPr>
      <w:r>
        <w:rPr>
          <w:rFonts w:hint="eastAsia" w:ascii="宋体" w:hAnsi="宋体" w:eastAsia="宋体" w:cs="宋体"/>
          <w:b/>
          <w:bCs/>
          <w:sz w:val="21"/>
          <w:szCs w:val="21"/>
          <w:lang w:eastAsia="zh-CN"/>
        </w:rPr>
        <w:t>（四）</w:t>
      </w:r>
      <w:r>
        <w:rPr>
          <w:rFonts w:hint="eastAsia" w:ascii="宋体" w:hAnsi="宋体" w:eastAsia="宋体" w:cs="宋体"/>
          <w:b/>
          <w:bCs/>
          <w:sz w:val="21"/>
          <w:szCs w:val="21"/>
        </w:rPr>
        <w:t>组织培训考核。</w:t>
      </w:r>
      <w:r>
        <w:rPr>
          <w:rFonts w:hint="eastAsia" w:ascii="宋体" w:hAnsi="宋体" w:eastAsia="宋体" w:cs="宋体"/>
          <w:sz w:val="21"/>
          <w:szCs w:val="21"/>
        </w:rPr>
        <w:t>每期培训班结束时，根据培训对象、培训目标、培训内容和培训要求，对参训学员进行必要的考试考核。由培训机构负责实施，对考试合格的学员，颁发培训证书，每期培训班选出1-2名优秀学员，记录培训班次、培训时间、培训内容、学时数、考核结果等，以备检查验收和认定高素质农民培育的一项重要依据。</w:t>
      </w:r>
    </w:p>
    <w:p>
      <w:pPr>
        <w:widowControl/>
        <w:spacing w:line="560" w:lineRule="exact"/>
        <w:ind w:firstLine="422" w:firstLineChars="200"/>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eastAsia="zh-CN"/>
        </w:rPr>
        <w:t>五</w:t>
      </w:r>
      <w:r>
        <w:rPr>
          <w:rFonts w:hint="eastAsia" w:ascii="宋体" w:hAnsi="宋体" w:eastAsia="宋体" w:cs="宋体"/>
          <w:b/>
          <w:bCs/>
          <w:sz w:val="21"/>
          <w:szCs w:val="21"/>
        </w:rPr>
        <w:t>）技术指导与后续服务。</w:t>
      </w:r>
      <w:r>
        <w:rPr>
          <w:rFonts w:hint="eastAsia" w:ascii="宋体" w:hAnsi="宋体" w:eastAsia="宋体" w:cs="宋体"/>
          <w:sz w:val="21"/>
          <w:szCs w:val="21"/>
        </w:rPr>
        <w:t>对参加培训考核合格的学员建立后续跟踪服务机制，培训机构要制定后续跟踪指导服务方案，指定本单位或聘任的技术专家作为技术指导员，及时解决参训学员在实际生产中遇到的技术难题，助力参训学员扩大生产规模，提高经济效益。县高素质农民培育项目工作领导小组要积极协调有关政策对参训农民产业发展予以倾斜。</w:t>
      </w:r>
    </w:p>
    <w:p>
      <w:pPr>
        <w:widowControl/>
        <w:spacing w:line="560" w:lineRule="exact"/>
        <w:ind w:firstLine="422" w:firstLineChars="200"/>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eastAsia="zh-CN"/>
        </w:rPr>
        <w:t>六</w:t>
      </w:r>
      <w:r>
        <w:rPr>
          <w:rFonts w:hint="eastAsia" w:ascii="宋体" w:hAnsi="宋体" w:eastAsia="宋体" w:cs="宋体"/>
          <w:b/>
          <w:bCs/>
          <w:sz w:val="21"/>
          <w:szCs w:val="21"/>
        </w:rPr>
        <w:t>）建立培训档案。</w:t>
      </w:r>
      <w:r>
        <w:rPr>
          <w:rFonts w:hint="eastAsia" w:ascii="宋体" w:hAnsi="宋体" w:eastAsia="宋体" w:cs="宋体"/>
          <w:sz w:val="21"/>
          <w:szCs w:val="21"/>
        </w:rPr>
        <w:t>培训机构应逐班次建立真实、完整和规范的培训档案。培训档案目录如下：</w:t>
      </w:r>
    </w:p>
    <w:p>
      <w:pPr>
        <w:widowControl/>
        <w:spacing w:line="5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1、班级档案</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（1）培训课程安排表。</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（2）培训台账（花名册）。</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（3）学员考勤表。</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（4）教师授课教案。</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（5）学员登记卡（含身份证复印件）。</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（6）学员满意度测评表。</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（7）学习用品、教材、交通补贴等领取表。</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（8）现场照片（含课堂教学、实训指导和后续跟踪服务的照片等）。</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（9）考试考核试卷。</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（10）培训方案和计划。</w:t>
      </w:r>
    </w:p>
    <w:p>
      <w:pPr>
        <w:pStyle w:val="5"/>
        <w:keepNext w:val="0"/>
        <w:keepLines w:val="0"/>
        <w:widowControl/>
        <w:suppressLineNumbers w:val="0"/>
        <w:spacing w:before="0" w:beforeAutospacing="0" w:after="0" w:afterAutospacing="0"/>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（11）后续指导服务和其它相关培训信息。</w:t>
      </w:r>
    </w:p>
    <w:p>
      <w:pPr>
        <w:widowControl/>
        <w:spacing w:line="5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2、验收档案</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（1）关于屯昌县2020年高素质农民教育培训项目</w:t>
      </w:r>
      <w:bookmarkStart w:id="2" w:name="_GoBack"/>
      <w:bookmarkEnd w:id="2"/>
      <w:r>
        <w:rPr>
          <w:rFonts w:hint="eastAsia" w:ascii="宋体" w:hAnsi="宋体" w:eastAsia="宋体" w:cs="宋体"/>
          <w:sz w:val="21"/>
          <w:szCs w:val="21"/>
        </w:rPr>
        <w:t>实施方案，培训机构实施方案(含每期教学管理方案）。</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（2）开班仪式、学员信息、教师授课、实训指导、考试考核、结业证书颁发、等现场的影像资料，照片等。</w:t>
      </w:r>
    </w:p>
    <w:p>
      <w:pPr>
        <w:widowControl/>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（3）农民教育验收抽查记录表。</w:t>
      </w:r>
    </w:p>
    <w:p>
      <w:pPr>
        <w:pStyle w:val="5"/>
        <w:keepNext w:val="0"/>
        <w:keepLines w:val="0"/>
        <w:widowControl/>
        <w:suppressLineNumbers w:val="0"/>
        <w:spacing w:before="0" w:beforeAutospacing="0" w:after="0" w:afterAutospacing="0"/>
        <w:ind w:left="0" w:right="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（4）培训经费预算表（包括经费使用情况表等）。</w:t>
      </w:r>
    </w:p>
    <w:p>
      <w:pPr>
        <w:widowControl w:val="0"/>
        <w:autoSpaceDE w:val="0"/>
        <w:autoSpaceDN w:val="0"/>
        <w:spacing w:before="235" w:after="0" w:line="240" w:lineRule="auto"/>
        <w:ind w:right="0" w:firstLine="422" w:firstLineChars="200"/>
        <w:jc w:val="left"/>
        <w:outlineLvl w:val="4"/>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zh-CN" w:eastAsia="zh-CN" w:bidi="zh-CN"/>
        </w:rPr>
        <w:t>三、采购对象实施的时间和地点</w:t>
      </w:r>
    </w:p>
    <w:p>
      <w:pPr>
        <w:spacing w:line="560" w:lineRule="exact"/>
        <w:ind w:firstLine="560"/>
        <w:rPr>
          <w:rFonts w:hint="eastAsia" w:ascii="宋体" w:hAnsi="宋体" w:eastAsia="宋体" w:cs="宋体"/>
          <w:color w:val="auto"/>
          <w:sz w:val="21"/>
          <w:szCs w:val="21"/>
          <w:lang w:val="zh-CN"/>
        </w:rPr>
      </w:pPr>
      <w:r>
        <w:rPr>
          <w:rFonts w:hint="eastAsia" w:ascii="宋体" w:hAnsi="宋体" w:eastAsia="宋体" w:cs="宋体"/>
          <w:color w:val="auto"/>
          <w:sz w:val="21"/>
          <w:szCs w:val="21"/>
        </w:rPr>
        <w:t>（一）</w:t>
      </w:r>
      <w:r>
        <w:rPr>
          <w:rFonts w:hint="eastAsia" w:ascii="宋体" w:hAnsi="宋体" w:eastAsia="宋体" w:cs="宋体"/>
          <w:color w:val="auto"/>
          <w:sz w:val="21"/>
          <w:szCs w:val="21"/>
          <w:lang w:eastAsia="zh-CN"/>
        </w:rPr>
        <w:t>服务</w:t>
      </w:r>
      <w:r>
        <w:rPr>
          <w:rFonts w:hint="eastAsia" w:ascii="宋体" w:hAnsi="宋体" w:eastAsia="宋体" w:cs="宋体"/>
          <w:color w:val="auto"/>
          <w:sz w:val="21"/>
          <w:szCs w:val="21"/>
        </w:rPr>
        <w:t>时间：合同签订</w:t>
      </w:r>
      <w:r>
        <w:rPr>
          <w:rFonts w:hint="eastAsia" w:ascii="宋体" w:hAnsi="宋体" w:eastAsia="宋体" w:cs="宋体"/>
          <w:color w:val="auto"/>
          <w:sz w:val="21"/>
          <w:szCs w:val="21"/>
          <w:lang w:eastAsia="zh-CN"/>
        </w:rPr>
        <w:t>生效之日</w:t>
      </w:r>
      <w:r>
        <w:rPr>
          <w:rFonts w:hint="eastAsia" w:ascii="宋体" w:hAnsi="宋体" w:eastAsia="宋体" w:cs="宋体"/>
          <w:color w:val="auto"/>
          <w:sz w:val="21"/>
          <w:szCs w:val="21"/>
        </w:rPr>
        <w:t>起至2021年5月20日</w:t>
      </w:r>
    </w:p>
    <w:p>
      <w:pPr>
        <w:spacing w:line="560" w:lineRule="exact"/>
        <w:ind w:firstLine="560"/>
        <w:rPr>
          <w:rFonts w:hint="eastAsia" w:ascii="宋体" w:hAnsi="宋体" w:eastAsia="宋体" w:cs="宋体"/>
          <w:sz w:val="21"/>
          <w:szCs w:val="21"/>
          <w:lang w:eastAsia="zh-CN"/>
        </w:rPr>
      </w:pPr>
      <w:r>
        <w:rPr>
          <w:rFonts w:hint="eastAsia" w:ascii="宋体" w:hAnsi="宋体" w:eastAsia="宋体" w:cs="宋体"/>
          <w:sz w:val="21"/>
          <w:szCs w:val="21"/>
          <w:lang w:val="zh-CN"/>
        </w:rPr>
        <w:t>（二）服务地点：采购人指定地点。</w:t>
      </w:r>
    </w:p>
    <w:p>
      <w:pPr>
        <w:widowControl w:val="0"/>
        <w:autoSpaceDE w:val="0"/>
        <w:autoSpaceDN w:val="0"/>
        <w:spacing w:before="235" w:after="0" w:line="240" w:lineRule="auto"/>
        <w:ind w:right="0" w:firstLine="422" w:firstLineChars="200"/>
        <w:jc w:val="left"/>
        <w:outlineLvl w:val="4"/>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zh-CN" w:eastAsia="zh-CN" w:bidi="zh-CN"/>
        </w:rPr>
        <w:t>四、采购对象的验收标准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本项目由采购人自行组织验收。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（一）完整细化编制验收方案。采购人根据项目特点编制验收方案，明确履约验收的时间、方式、程序等内容。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（二）本项目可以邀请参加本项目的其他供应商或第三方专业机构及专家参与验收，相关验收意见作为验收书的参考材料。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color w:val="auto"/>
          <w:sz w:val="21"/>
          <w:szCs w:val="21"/>
          <w:highlight w:val="none"/>
          <w:lang w:val="en-US" w:eastAsia="zh-CN"/>
        </w:rPr>
        <w:t>（四）严格落实履约验收责任。验收合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 采购人及时报告本级政府财政部门。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EF1F59"/>
    <w:multiLevelType w:val="singleLevel"/>
    <w:tmpl w:val="E5EF1F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83745"/>
    <w:rsid w:val="046D223F"/>
    <w:rsid w:val="053F5565"/>
    <w:rsid w:val="071C3F9A"/>
    <w:rsid w:val="076E1227"/>
    <w:rsid w:val="07C31E8C"/>
    <w:rsid w:val="088F4F2B"/>
    <w:rsid w:val="0AED21D4"/>
    <w:rsid w:val="0B7D161A"/>
    <w:rsid w:val="0C3C0065"/>
    <w:rsid w:val="0FFF6B13"/>
    <w:rsid w:val="127E1CA2"/>
    <w:rsid w:val="13266957"/>
    <w:rsid w:val="13531CE1"/>
    <w:rsid w:val="13686EA7"/>
    <w:rsid w:val="16234C9E"/>
    <w:rsid w:val="16C92ECB"/>
    <w:rsid w:val="18F9386D"/>
    <w:rsid w:val="19291D7E"/>
    <w:rsid w:val="192A637F"/>
    <w:rsid w:val="19896F2F"/>
    <w:rsid w:val="1A464A13"/>
    <w:rsid w:val="1C606295"/>
    <w:rsid w:val="1CA11AD0"/>
    <w:rsid w:val="1D3E6A93"/>
    <w:rsid w:val="1D6D51D0"/>
    <w:rsid w:val="1E6455E2"/>
    <w:rsid w:val="20FC7FF6"/>
    <w:rsid w:val="21D23056"/>
    <w:rsid w:val="23BD4A1E"/>
    <w:rsid w:val="24FD1E5F"/>
    <w:rsid w:val="26F357C9"/>
    <w:rsid w:val="27442679"/>
    <w:rsid w:val="28D7634D"/>
    <w:rsid w:val="29392552"/>
    <w:rsid w:val="2A8330CA"/>
    <w:rsid w:val="2B274992"/>
    <w:rsid w:val="2C2D474F"/>
    <w:rsid w:val="2CB472A7"/>
    <w:rsid w:val="2CF41836"/>
    <w:rsid w:val="2CF76A30"/>
    <w:rsid w:val="2D5B3C7F"/>
    <w:rsid w:val="2EE04F1E"/>
    <w:rsid w:val="2EE56990"/>
    <w:rsid w:val="2FD26904"/>
    <w:rsid w:val="30743233"/>
    <w:rsid w:val="331A5EBD"/>
    <w:rsid w:val="349028DE"/>
    <w:rsid w:val="34B31711"/>
    <w:rsid w:val="35F34D2B"/>
    <w:rsid w:val="396F0F47"/>
    <w:rsid w:val="3BD8520B"/>
    <w:rsid w:val="3C3367FC"/>
    <w:rsid w:val="3CCE1F3A"/>
    <w:rsid w:val="3E040D2B"/>
    <w:rsid w:val="3E6D5909"/>
    <w:rsid w:val="413E2421"/>
    <w:rsid w:val="421A3457"/>
    <w:rsid w:val="422F2A98"/>
    <w:rsid w:val="42FC04D7"/>
    <w:rsid w:val="43135946"/>
    <w:rsid w:val="43AF0C64"/>
    <w:rsid w:val="43F910D3"/>
    <w:rsid w:val="450B69F3"/>
    <w:rsid w:val="458515B8"/>
    <w:rsid w:val="45854DB8"/>
    <w:rsid w:val="45EE250A"/>
    <w:rsid w:val="46F871E3"/>
    <w:rsid w:val="475129EB"/>
    <w:rsid w:val="49FE351F"/>
    <w:rsid w:val="4B955E28"/>
    <w:rsid w:val="4D8D0A01"/>
    <w:rsid w:val="519C73EC"/>
    <w:rsid w:val="52BF01E3"/>
    <w:rsid w:val="531E482F"/>
    <w:rsid w:val="538B5475"/>
    <w:rsid w:val="53A76E3E"/>
    <w:rsid w:val="53EF2C8B"/>
    <w:rsid w:val="540354F7"/>
    <w:rsid w:val="54307CF0"/>
    <w:rsid w:val="54AF061C"/>
    <w:rsid w:val="55043B37"/>
    <w:rsid w:val="55734FE3"/>
    <w:rsid w:val="572C5A36"/>
    <w:rsid w:val="57C42AD7"/>
    <w:rsid w:val="587F098E"/>
    <w:rsid w:val="5A02264E"/>
    <w:rsid w:val="5A280540"/>
    <w:rsid w:val="5A676FF7"/>
    <w:rsid w:val="5B336E8A"/>
    <w:rsid w:val="5B652FA4"/>
    <w:rsid w:val="5BF90F63"/>
    <w:rsid w:val="5DAE5D67"/>
    <w:rsid w:val="5F1E78D6"/>
    <w:rsid w:val="64BF6F41"/>
    <w:rsid w:val="66523236"/>
    <w:rsid w:val="666D2C64"/>
    <w:rsid w:val="66BC2C69"/>
    <w:rsid w:val="696F1DD7"/>
    <w:rsid w:val="6A7374FD"/>
    <w:rsid w:val="6A99285C"/>
    <w:rsid w:val="6B9422FA"/>
    <w:rsid w:val="6DC41872"/>
    <w:rsid w:val="6E2C3E86"/>
    <w:rsid w:val="70213CF2"/>
    <w:rsid w:val="70A36AB6"/>
    <w:rsid w:val="77CB322D"/>
    <w:rsid w:val="7A245A35"/>
    <w:rsid w:val="7ECD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Calibri" w:cs="Times New Roman"/>
      <w:kern w:val="2"/>
      <w:sz w:val="24"/>
      <w:szCs w:val="24"/>
      <w:lang w:val="en-US" w:eastAsia="zh-CN" w:bidi="ar-SA"/>
    </w:rPr>
  </w:style>
  <w:style w:type="paragraph" w:styleId="3">
    <w:name w:val="heading 1"/>
    <w:basedOn w:val="1"/>
    <w:next w:val="1"/>
    <w:qFormat/>
    <w:uiPriority w:val="0"/>
    <w:pPr>
      <w:keepNext/>
      <w:jc w:val="left"/>
      <w:outlineLvl w:val="0"/>
    </w:pPr>
    <w:rPr>
      <w:b/>
      <w:bCs/>
      <w:szCs w:val="20"/>
    </w:rPr>
  </w:style>
  <w:style w:type="paragraph" w:styleId="2">
    <w:name w:val="heading 2"/>
    <w:basedOn w:val="1"/>
    <w:next w:val="1"/>
    <w:qFormat/>
    <w:uiPriority w:val="0"/>
    <w:pPr>
      <w:keepNext/>
      <w:keepLines/>
      <w:spacing w:line="360" w:lineRule="auto"/>
      <w:outlineLvl w:val="1"/>
    </w:pPr>
    <w:rPr>
      <w:rFonts w:ascii="Arial" w:hAnsi="Arial"/>
      <w:b/>
      <w:bCs/>
      <w:szCs w:val="32"/>
    </w:rPr>
  </w:style>
  <w:style w:type="paragraph" w:styleId="4">
    <w:name w:val="heading 4"/>
    <w:basedOn w:val="1"/>
    <w:next w:val="1"/>
    <w:qFormat/>
    <w:uiPriority w:val="0"/>
    <w:pPr>
      <w:keepNext/>
      <w:keepLines/>
      <w:spacing w:before="280" w:beforeLines="0" w:after="290" w:afterLines="0" w:line="372" w:lineRule="auto"/>
      <w:outlineLvl w:val="3"/>
    </w:pPr>
    <w:rPr>
      <w:rFonts w:ascii="Cambria" w:hAnsi="Cambria" w:eastAsia="宋体" w:cs="Times New Roman"/>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TML Definition"/>
    <w:basedOn w:val="7"/>
    <w:qFormat/>
    <w:uiPriority w:val="0"/>
    <w:rPr>
      <w:i/>
    </w:rPr>
  </w:style>
  <w:style w:type="character" w:styleId="11">
    <w:name w:val="Hyperlink"/>
    <w:basedOn w:val="7"/>
    <w:uiPriority w:val="0"/>
    <w:rPr>
      <w:color w:val="333333"/>
      <w:u w:val="none"/>
    </w:rPr>
  </w:style>
  <w:style w:type="character" w:styleId="12">
    <w:name w:val="HTML Code"/>
    <w:basedOn w:val="7"/>
    <w:qFormat/>
    <w:uiPriority w:val="0"/>
    <w:rPr>
      <w:rFonts w:hint="default" w:ascii="Consolas" w:hAnsi="Consolas" w:eastAsia="Consolas" w:cs="Consolas"/>
      <w:color w:val="C7254E"/>
      <w:sz w:val="21"/>
      <w:szCs w:val="21"/>
      <w:shd w:val="clear" w:fill="F9F2F4"/>
    </w:rPr>
  </w:style>
  <w:style w:type="character" w:styleId="13">
    <w:name w:val="HTML Keyboard"/>
    <w:basedOn w:val="7"/>
    <w:qFormat/>
    <w:uiPriority w:val="0"/>
    <w:rPr>
      <w:rFonts w:hint="default" w:ascii="Consolas" w:hAnsi="Consolas" w:eastAsia="Consolas" w:cs="Consolas"/>
      <w:color w:val="FFFFFF"/>
      <w:sz w:val="21"/>
      <w:szCs w:val="21"/>
      <w:shd w:val="clear"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old"/>
    <w:basedOn w:val="7"/>
    <w:uiPriority w:val="0"/>
    <w:rPr>
      <w:color w:val="999999"/>
    </w:rPr>
  </w:style>
  <w:style w:type="character" w:customStyle="1" w:styleId="16">
    <w:name w:val="old1"/>
    <w:basedOn w:val="7"/>
    <w:qFormat/>
    <w:uiPriority w:val="0"/>
    <w:rPr>
      <w:color w:val="777777"/>
    </w:rPr>
  </w:style>
  <w:style w:type="character" w:customStyle="1" w:styleId="17">
    <w:name w:val="no_ioc"/>
    <w:basedOn w:val="7"/>
    <w:uiPriority w:val="0"/>
  </w:style>
  <w:style w:type="character" w:customStyle="1" w:styleId="18">
    <w:name w:val="hour_pm"/>
    <w:basedOn w:val="7"/>
    <w:uiPriority w:val="0"/>
  </w:style>
  <w:style w:type="character" w:customStyle="1" w:styleId="19">
    <w:name w:val="hover14"/>
    <w:basedOn w:val="7"/>
    <w:qFormat/>
    <w:uiPriority w:val="0"/>
    <w:rPr>
      <w:shd w:val="clear" w:fill="EEEEEE"/>
    </w:rPr>
  </w:style>
  <w:style w:type="character" w:customStyle="1" w:styleId="20">
    <w:name w:val="hover15"/>
    <w:basedOn w:val="7"/>
    <w:qFormat/>
    <w:uiPriority w:val="0"/>
    <w:rPr>
      <w:shd w:val="clear" w:fill="F6F8F8"/>
    </w:rPr>
  </w:style>
  <w:style w:type="character" w:customStyle="1" w:styleId="21">
    <w:name w:val="hover16"/>
    <w:basedOn w:val="7"/>
    <w:qFormat/>
    <w:uiPriority w:val="0"/>
    <w:rPr>
      <w:color w:val="5FB878"/>
    </w:rPr>
  </w:style>
  <w:style w:type="character" w:customStyle="1" w:styleId="22">
    <w:name w:val="hover17"/>
    <w:basedOn w:val="7"/>
    <w:uiPriority w:val="0"/>
    <w:rPr>
      <w:color w:val="5FB878"/>
    </w:rPr>
  </w:style>
  <w:style w:type="character" w:customStyle="1" w:styleId="23">
    <w:name w:val="hover18"/>
    <w:basedOn w:val="7"/>
    <w:qFormat/>
    <w:uiPriority w:val="0"/>
    <w:rPr>
      <w:color w:val="FFFFFF"/>
    </w:rPr>
  </w:style>
  <w:style w:type="character" w:customStyle="1" w:styleId="24">
    <w:name w:val="hour_am"/>
    <w:basedOn w:val="7"/>
    <w:uiPriority w:val="0"/>
  </w:style>
  <w:style w:type="character" w:customStyle="1" w:styleId="25">
    <w:name w:val="new"/>
    <w:basedOn w:val="7"/>
    <w:uiPriority w:val="0"/>
    <w:rPr>
      <w:color w:val="777777"/>
    </w:rPr>
  </w:style>
  <w:style w:type="character" w:customStyle="1" w:styleId="26">
    <w:name w:val="button"/>
    <w:basedOn w:val="7"/>
    <w:uiPriority w:val="0"/>
  </w:style>
  <w:style w:type="character" w:customStyle="1" w:styleId="27">
    <w:name w:val="tmpztreemove_arrow"/>
    <w:basedOn w:val="7"/>
    <w:uiPriority w:val="0"/>
  </w:style>
  <w:style w:type="character" w:customStyle="1" w:styleId="28">
    <w:name w:val="glyphicon4"/>
    <w:basedOn w:val="7"/>
    <w:uiPriority w:val="0"/>
    <w:rPr>
      <w:color w:val="579EDB"/>
      <w:sz w:val="37"/>
      <w:szCs w:val="37"/>
    </w:rPr>
  </w:style>
  <w:style w:type="character" w:customStyle="1" w:styleId="29">
    <w:name w:val="layui-this"/>
    <w:basedOn w:val="7"/>
    <w:uiPriority w:val="0"/>
    <w:rPr>
      <w:bdr w:val="single" w:color="EEEEEE" w:sz="6" w:space="0"/>
      <w:shd w:val="clear" w:fill="FFFFFF"/>
    </w:rPr>
  </w:style>
  <w:style w:type="character" w:customStyle="1" w:styleId="30">
    <w:name w:val="layui-laypage-curr"/>
    <w:basedOn w:val="7"/>
    <w:uiPriority w:val="0"/>
  </w:style>
  <w:style w:type="character" w:customStyle="1" w:styleId="31">
    <w:name w:val="first-child"/>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林觉斌</cp:lastModifiedBy>
  <cp:lastPrinted>2020-12-11T07:47:00Z</cp:lastPrinted>
  <dcterms:modified xsi:type="dcterms:W3CDTF">2020-12-11T11:04:07Z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