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56"/>
          <w:szCs w:val="56"/>
        </w:rPr>
      </w:pPr>
      <w:r>
        <w:rPr>
          <w:rFonts w:hint="eastAsia" w:ascii="宋体" w:hAnsi="宋体" w:eastAsia="宋体" w:cs="宋体"/>
          <w:b/>
          <w:color w:val="auto"/>
          <w:sz w:val="56"/>
          <w:szCs w:val="56"/>
        </w:rPr>
        <w:drawing>
          <wp:inline distT="0" distB="0" distL="0" distR="0">
            <wp:extent cx="5334000" cy="843280"/>
            <wp:effectExtent l="0" t="0" r="0" b="1397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r>
        <w:rPr>
          <w:rFonts w:hint="eastAsia" w:ascii="宋体" w:hAnsi="宋体" w:eastAsia="宋体" w:cs="宋体"/>
          <w:b/>
          <w:color w:val="auto"/>
          <w:sz w:val="56"/>
          <w:szCs w:val="56"/>
        </w:rPr>
        <w:t xml:space="preserve"> </w:t>
      </w:r>
    </w:p>
    <w:p>
      <w:pPr>
        <w:jc w:val="cente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pPr>
      <w: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t>竞争性谈判文件</w:t>
      </w:r>
    </w:p>
    <w:p>
      <w:pPr>
        <w:rPr>
          <w:rFonts w:hint="eastAsia" w:ascii="宋体" w:hAnsi="宋体" w:eastAsia="宋体" w:cs="宋体"/>
          <w:b/>
          <w:color w:val="auto"/>
          <w:sz w:val="36"/>
          <w:szCs w:val="36"/>
          <w:u w:val="single"/>
        </w:rPr>
      </w:pPr>
    </w:p>
    <w:p>
      <w:pPr>
        <w:rPr>
          <w:rFonts w:hint="eastAsia" w:ascii="宋体" w:hAnsi="宋体" w:eastAsia="宋体" w:cs="宋体"/>
          <w:b/>
          <w:color w:val="auto"/>
          <w:sz w:val="36"/>
          <w:szCs w:val="36"/>
          <w:u w:val="single"/>
        </w:rPr>
      </w:pPr>
    </w:p>
    <w:p>
      <w:pPr>
        <w:rPr>
          <w:rFonts w:hint="eastAsia" w:ascii="宋体" w:hAnsi="宋体" w:eastAsia="宋体" w:cs="宋体"/>
          <w:b/>
          <w:color w:val="auto"/>
          <w:sz w:val="36"/>
          <w:szCs w:val="36"/>
          <w:u w:val="single"/>
        </w:rPr>
      </w:pPr>
    </w:p>
    <w:p>
      <w:pPr>
        <w:rPr>
          <w:rFonts w:hint="eastAsia" w:ascii="宋体" w:hAnsi="宋体" w:eastAsia="宋体" w:cs="宋体"/>
          <w:b/>
          <w:color w:val="auto"/>
          <w:sz w:val="36"/>
          <w:szCs w:val="36"/>
          <w:u w:val="single"/>
        </w:rPr>
      </w:pPr>
    </w:p>
    <w:p>
      <w:pPr>
        <w:rPr>
          <w:rFonts w:hint="eastAsia" w:ascii="宋体" w:hAnsi="宋体" w:eastAsia="宋体" w:cs="宋体"/>
          <w:b/>
          <w:color w:val="auto"/>
          <w:sz w:val="36"/>
          <w:szCs w:val="36"/>
          <w:u w:val="single"/>
        </w:rPr>
      </w:pPr>
    </w:p>
    <w:p>
      <w:pPr>
        <w:rPr>
          <w:rFonts w:hint="eastAsia" w:ascii="宋体" w:hAnsi="宋体" w:eastAsia="宋体" w:cs="宋体"/>
          <w:b/>
          <w:color w:val="auto"/>
          <w:sz w:val="36"/>
          <w:szCs w:val="36"/>
          <w:u w:val="single"/>
        </w:rPr>
      </w:pPr>
    </w:p>
    <w:p>
      <w:pPr>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   </w:t>
      </w:r>
    </w:p>
    <w:p>
      <w:pPr>
        <w:tabs>
          <w:tab w:val="left" w:pos="630"/>
        </w:tabs>
        <w:autoSpaceDE w:val="0"/>
        <w:autoSpaceDN w:val="0"/>
        <w:spacing w:line="360" w:lineRule="auto"/>
        <w:ind w:firstLine="803" w:firstLineChars="250"/>
        <w:textAlignment w:val="bottom"/>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采 购 人：</w:t>
      </w:r>
      <w:r>
        <w:rPr>
          <w:rFonts w:hint="eastAsia" w:ascii="宋体" w:hAnsi="宋体" w:eastAsia="宋体" w:cs="宋体"/>
          <w:b/>
          <w:color w:val="auto"/>
          <w:sz w:val="32"/>
          <w:szCs w:val="32"/>
          <w:lang w:eastAsia="zh-CN"/>
        </w:rPr>
        <w:t>陵水黎族自治县卫生健康委员会</w:t>
      </w:r>
    </w:p>
    <w:p>
      <w:pPr>
        <w:spacing w:line="360" w:lineRule="auto"/>
        <w:ind w:left="2428" w:leftChars="399" w:hanging="1590" w:hangingChars="495"/>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项目名称：</w:t>
      </w:r>
      <w:r>
        <w:rPr>
          <w:rFonts w:hint="eastAsia" w:ascii="宋体" w:hAnsi="宋体" w:cs="宋体"/>
          <w:b/>
          <w:color w:val="auto"/>
          <w:sz w:val="32"/>
          <w:szCs w:val="32"/>
          <w:lang w:eastAsia="zh-CN"/>
        </w:rPr>
        <w:t>2020年秋冬季疫情医疗防控物资储备采购</w:t>
      </w:r>
    </w:p>
    <w:p>
      <w:pPr>
        <w:spacing w:line="360" w:lineRule="auto"/>
        <w:ind w:left="210" w:leftChars="100" w:firstLine="630" w:firstLineChars="196"/>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项目编号：</w:t>
      </w:r>
      <w:r>
        <w:rPr>
          <w:rFonts w:hint="eastAsia" w:ascii="宋体" w:hAnsi="宋体" w:cs="宋体"/>
          <w:b/>
          <w:color w:val="auto"/>
          <w:sz w:val="32"/>
          <w:szCs w:val="32"/>
          <w:lang w:eastAsia="zh-CN"/>
        </w:rPr>
        <w:t>HNZH-2020-334</w:t>
      </w:r>
    </w:p>
    <w:p>
      <w:pPr>
        <w:spacing w:line="360" w:lineRule="auto"/>
        <w:ind w:left="210" w:leftChars="100" w:firstLine="630" w:firstLineChars="196"/>
        <w:rPr>
          <w:rFonts w:hint="eastAsia" w:ascii="宋体" w:hAnsi="宋体" w:eastAsia="宋体" w:cs="宋体"/>
          <w:b/>
          <w:color w:val="auto"/>
          <w:sz w:val="32"/>
          <w:szCs w:val="32"/>
        </w:rPr>
      </w:pPr>
      <w:r>
        <w:rPr>
          <w:rFonts w:hint="eastAsia" w:ascii="宋体" w:hAnsi="宋体" w:eastAsia="宋体" w:cs="宋体"/>
          <w:b/>
          <w:color w:val="auto"/>
          <w:sz w:val="32"/>
          <w:szCs w:val="32"/>
        </w:rPr>
        <w:t>代理机构：海南政辉招投标代理有限公司</w:t>
      </w:r>
    </w:p>
    <w:p>
      <w:pPr>
        <w:rPr>
          <w:rFonts w:hint="eastAsia" w:ascii="宋体" w:hAnsi="宋体" w:eastAsia="宋体" w:cs="宋体"/>
          <w:b/>
          <w:color w:val="auto"/>
          <w:sz w:val="44"/>
        </w:rPr>
      </w:pPr>
      <w:r>
        <w:rPr>
          <w:rFonts w:hint="eastAsia" w:ascii="宋体" w:hAnsi="宋体" w:eastAsia="宋体" w:cs="宋体"/>
          <w:b/>
          <w:color w:val="auto"/>
          <w:sz w:val="36"/>
          <w:szCs w:val="36"/>
        </w:rPr>
        <w:t xml:space="preserve">                 </w:t>
      </w:r>
      <w:r>
        <w:rPr>
          <w:rFonts w:hint="eastAsia" w:ascii="宋体" w:hAnsi="宋体" w:eastAsia="宋体" w:cs="宋体"/>
          <w:b/>
          <w:color w:val="auto"/>
          <w:sz w:val="32"/>
          <w:szCs w:val="32"/>
        </w:rPr>
        <w:t>20</w:t>
      </w:r>
      <w:r>
        <w:rPr>
          <w:rFonts w:hint="eastAsia" w:ascii="宋体" w:hAnsi="宋体" w:eastAsia="宋体" w:cs="宋体"/>
          <w:b/>
          <w:color w:val="auto"/>
          <w:sz w:val="32"/>
          <w:szCs w:val="32"/>
          <w:lang w:val="en-US" w:eastAsia="zh-CN"/>
        </w:rPr>
        <w:t>20</w:t>
      </w:r>
      <w:r>
        <w:rPr>
          <w:rFonts w:hint="eastAsia" w:ascii="宋体" w:hAnsi="宋体" w:eastAsia="宋体" w:cs="宋体"/>
          <w:b/>
          <w:color w:val="auto"/>
          <w:sz w:val="32"/>
          <w:szCs w:val="32"/>
        </w:rPr>
        <w:t>年</w:t>
      </w:r>
      <w:bookmarkStart w:id="231" w:name="_GoBack"/>
      <w:bookmarkEnd w:id="231"/>
      <w:r>
        <w:rPr>
          <w:rFonts w:hint="eastAsia" w:ascii="宋体" w:hAnsi="宋体" w:eastAsia="宋体" w:cs="宋体"/>
          <w:b/>
          <w:color w:val="auto"/>
          <w:sz w:val="32"/>
          <w:szCs w:val="32"/>
          <w:lang w:val="en-US" w:eastAsia="zh-CN"/>
        </w:rPr>
        <w:t>1</w:t>
      </w:r>
      <w:r>
        <w:rPr>
          <w:rFonts w:hint="eastAsia" w:ascii="宋体" w:hAnsi="宋体" w:cs="宋体"/>
          <w:b/>
          <w:color w:val="auto"/>
          <w:sz w:val="32"/>
          <w:szCs w:val="32"/>
          <w:lang w:val="en-US" w:eastAsia="zh-CN"/>
        </w:rPr>
        <w:t>1</w:t>
      </w:r>
      <w:r>
        <w:rPr>
          <w:rFonts w:hint="eastAsia" w:ascii="宋体" w:hAnsi="宋体" w:eastAsia="宋体" w:cs="宋体"/>
          <w:b/>
          <w:color w:val="auto"/>
          <w:sz w:val="32"/>
          <w:szCs w:val="32"/>
        </w:rPr>
        <w:t>月</w:t>
      </w: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目    录</w:t>
      </w:r>
    </w:p>
    <w:sdt>
      <w:sdtPr>
        <w:rPr>
          <w:rFonts w:hint="eastAsia" w:ascii="宋体" w:hAnsi="宋体" w:eastAsia="宋体" w:cs="宋体"/>
          <w:color w:val="auto"/>
          <w:kern w:val="2"/>
          <w:sz w:val="21"/>
          <w:szCs w:val="20"/>
          <w:lang w:val="zh-CN"/>
        </w:rPr>
        <w:id w:val="618332155"/>
      </w:sdtPr>
      <w:sdtEndPr>
        <w:rPr>
          <w:rFonts w:hint="eastAsia" w:ascii="宋体" w:hAnsi="宋体" w:eastAsia="宋体" w:cs="宋体"/>
          <w:b/>
          <w:bCs/>
          <w:color w:val="auto"/>
          <w:kern w:val="2"/>
          <w:sz w:val="21"/>
          <w:szCs w:val="20"/>
          <w:lang w:val="zh-CN"/>
        </w:rPr>
      </w:sdtEndPr>
      <w:sdtContent>
        <w:p>
          <w:pPr>
            <w:pStyle w:val="108"/>
            <w:rPr>
              <w:rFonts w:hint="eastAsia" w:ascii="宋体" w:hAnsi="宋体" w:eastAsia="宋体" w:cs="宋体"/>
              <w:color w:val="auto"/>
            </w:rPr>
          </w:pPr>
        </w:p>
        <w:p>
          <w:pPr>
            <w:pStyle w:val="18"/>
            <w:keepNext w:val="0"/>
            <w:keepLines w:val="0"/>
            <w:pageBreakBefore w:val="0"/>
            <w:widowControl w:val="0"/>
            <w:tabs>
              <w:tab w:val="right" w:leader="dot" w:pos="8300"/>
              <w:tab w:val="clear" w:pos="8393"/>
            </w:tabs>
            <w:kinsoku/>
            <w:wordWrap/>
            <w:overflowPunct/>
            <w:topLinePunct w:val="0"/>
            <w:autoSpaceDE/>
            <w:autoSpaceDN/>
            <w:bidi w:val="0"/>
            <w:adjustRightInd/>
            <w:snapToGrid/>
            <w:spacing w:line="480" w:lineRule="auto"/>
            <w:textAlignment w:val="auto"/>
            <w:rPr>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TOC \o "1-3" \h \z \u </w:instrText>
          </w:r>
          <w:r>
            <w:rPr>
              <w:rFonts w:hint="eastAsia" w:ascii="宋体" w:hAnsi="宋体" w:eastAsia="宋体" w:cs="宋体"/>
              <w:color w:val="auto"/>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_Toc5093 </w:instrText>
          </w:r>
          <w:r>
            <w:rPr>
              <w:rFonts w:hint="eastAsia" w:ascii="宋体" w:hAnsi="宋体" w:eastAsia="宋体" w:cs="宋体"/>
              <w:color w:val="auto"/>
            </w:rPr>
            <w:fldChar w:fldCharType="separate"/>
          </w:r>
          <w:r>
            <w:rPr>
              <w:rFonts w:hint="eastAsia"/>
              <w:color w:val="auto"/>
            </w:rPr>
            <w:t>第一章、谈判</w:t>
          </w:r>
          <w:r>
            <w:rPr>
              <w:rFonts w:hint="eastAsia"/>
              <w:color w:val="auto"/>
              <w:lang w:val="en-US" w:eastAsia="zh-CN"/>
            </w:rPr>
            <w:t>性谈判公告</w:t>
          </w:r>
          <w:r>
            <w:rPr>
              <w:color w:val="auto"/>
            </w:rPr>
            <w:tab/>
          </w:r>
          <w:r>
            <w:rPr>
              <w:color w:val="auto"/>
            </w:rPr>
            <w:fldChar w:fldCharType="begin"/>
          </w:r>
          <w:r>
            <w:rPr>
              <w:color w:val="auto"/>
            </w:rPr>
            <w:instrText xml:space="preserve"> PAGEREF _Toc5093 </w:instrText>
          </w:r>
          <w:r>
            <w:rPr>
              <w:color w:val="auto"/>
            </w:rPr>
            <w:fldChar w:fldCharType="separate"/>
          </w:r>
          <w:r>
            <w:rPr>
              <w:color w:val="auto"/>
            </w:rPr>
            <w:t>1</w:t>
          </w:r>
          <w:r>
            <w:rPr>
              <w:color w:val="auto"/>
            </w:rPr>
            <w:fldChar w:fldCharType="end"/>
          </w:r>
          <w:r>
            <w:rPr>
              <w:rFonts w:hint="eastAsia" w:ascii="宋体" w:hAnsi="宋体" w:eastAsia="宋体" w:cs="宋体"/>
              <w:color w:val="auto"/>
            </w:rPr>
            <w:fldChar w:fldCharType="end"/>
          </w:r>
        </w:p>
        <w:p>
          <w:pPr>
            <w:pStyle w:val="18"/>
            <w:keepNext w:val="0"/>
            <w:keepLines w:val="0"/>
            <w:pageBreakBefore w:val="0"/>
            <w:widowControl w:val="0"/>
            <w:tabs>
              <w:tab w:val="right" w:leader="dot" w:pos="8300"/>
              <w:tab w:val="clear" w:pos="8393"/>
            </w:tabs>
            <w:kinsoku/>
            <w:wordWrap/>
            <w:overflowPunct/>
            <w:topLinePunct w:val="0"/>
            <w:autoSpaceDE/>
            <w:autoSpaceDN/>
            <w:bidi w:val="0"/>
            <w:adjustRightInd/>
            <w:snapToGrid/>
            <w:spacing w:line="480" w:lineRule="auto"/>
            <w:textAlignment w:val="auto"/>
            <w:rPr>
              <w:color w:val="auto"/>
            </w:rPr>
          </w:pPr>
          <w:r>
            <w:rPr>
              <w:rFonts w:hint="eastAsia" w:ascii="宋体" w:hAnsi="宋体" w:eastAsia="宋体" w:cs="宋体"/>
              <w:bCs/>
              <w:color w:val="auto"/>
              <w:lang w:val="zh-CN"/>
            </w:rPr>
            <w:fldChar w:fldCharType="begin"/>
          </w:r>
          <w:r>
            <w:rPr>
              <w:rFonts w:hint="eastAsia" w:ascii="宋体" w:hAnsi="宋体" w:eastAsia="宋体" w:cs="宋体"/>
              <w:bCs/>
              <w:color w:val="auto"/>
              <w:lang w:val="zh-CN"/>
            </w:rPr>
            <w:instrText xml:space="preserve"> HYPERLINK \l _Toc23247 </w:instrText>
          </w:r>
          <w:r>
            <w:rPr>
              <w:rFonts w:hint="eastAsia" w:ascii="宋体" w:hAnsi="宋体" w:eastAsia="宋体" w:cs="宋体"/>
              <w:bCs/>
              <w:color w:val="auto"/>
              <w:lang w:val="zh-CN"/>
            </w:rPr>
            <w:fldChar w:fldCharType="separate"/>
          </w:r>
          <w:r>
            <w:rPr>
              <w:rFonts w:hint="eastAsia"/>
              <w:color w:val="auto"/>
            </w:rPr>
            <w:t>第二章、谈判须知</w:t>
          </w:r>
          <w:r>
            <w:rPr>
              <w:color w:val="auto"/>
            </w:rPr>
            <w:tab/>
          </w:r>
          <w:r>
            <w:rPr>
              <w:color w:val="auto"/>
            </w:rPr>
            <w:fldChar w:fldCharType="begin"/>
          </w:r>
          <w:r>
            <w:rPr>
              <w:color w:val="auto"/>
            </w:rPr>
            <w:instrText xml:space="preserve"> PAGEREF _Toc23247 </w:instrText>
          </w:r>
          <w:r>
            <w:rPr>
              <w:color w:val="auto"/>
            </w:rPr>
            <w:fldChar w:fldCharType="separate"/>
          </w:r>
          <w:r>
            <w:rPr>
              <w:color w:val="auto"/>
            </w:rPr>
            <w:t>4</w:t>
          </w:r>
          <w:r>
            <w:rPr>
              <w:color w:val="auto"/>
            </w:rPr>
            <w:fldChar w:fldCharType="end"/>
          </w:r>
          <w:r>
            <w:rPr>
              <w:rFonts w:hint="eastAsia" w:ascii="宋体" w:hAnsi="宋体" w:eastAsia="宋体" w:cs="宋体"/>
              <w:bCs/>
              <w:color w:val="auto"/>
              <w:lang w:val="zh-CN"/>
            </w:rPr>
            <w:fldChar w:fldCharType="end"/>
          </w:r>
        </w:p>
        <w:p>
          <w:pPr>
            <w:pStyle w:val="18"/>
            <w:keepNext w:val="0"/>
            <w:keepLines w:val="0"/>
            <w:pageBreakBefore w:val="0"/>
            <w:widowControl w:val="0"/>
            <w:tabs>
              <w:tab w:val="right" w:leader="dot" w:pos="8300"/>
              <w:tab w:val="clear" w:pos="8393"/>
            </w:tabs>
            <w:kinsoku/>
            <w:wordWrap/>
            <w:overflowPunct/>
            <w:topLinePunct w:val="0"/>
            <w:autoSpaceDE/>
            <w:autoSpaceDN/>
            <w:bidi w:val="0"/>
            <w:adjustRightInd/>
            <w:snapToGrid/>
            <w:spacing w:line="480" w:lineRule="auto"/>
            <w:textAlignment w:val="auto"/>
            <w:rPr>
              <w:color w:val="auto"/>
            </w:rPr>
          </w:pPr>
          <w:r>
            <w:rPr>
              <w:rFonts w:hint="eastAsia" w:ascii="宋体" w:hAnsi="宋体" w:eastAsia="宋体" w:cs="宋体"/>
              <w:bCs/>
              <w:color w:val="auto"/>
              <w:lang w:val="zh-CN"/>
            </w:rPr>
            <w:fldChar w:fldCharType="begin"/>
          </w:r>
          <w:r>
            <w:rPr>
              <w:rFonts w:hint="eastAsia" w:ascii="宋体" w:hAnsi="宋体" w:eastAsia="宋体" w:cs="宋体"/>
              <w:bCs/>
              <w:color w:val="auto"/>
              <w:lang w:val="zh-CN"/>
            </w:rPr>
            <w:instrText xml:space="preserve"> HYPERLINK \l _Toc16277 </w:instrText>
          </w:r>
          <w:r>
            <w:rPr>
              <w:rFonts w:hint="eastAsia" w:ascii="宋体" w:hAnsi="宋体" w:eastAsia="宋体" w:cs="宋体"/>
              <w:bCs/>
              <w:color w:val="auto"/>
              <w:lang w:val="zh-CN"/>
            </w:rPr>
            <w:fldChar w:fldCharType="separate"/>
          </w:r>
          <w:r>
            <w:rPr>
              <w:rFonts w:hint="eastAsia"/>
              <w:color w:val="auto"/>
            </w:rPr>
            <w:t>第三章、</w:t>
          </w:r>
          <w:r>
            <w:rPr>
              <w:rFonts w:hint="eastAsia"/>
              <w:color w:val="auto"/>
              <w:lang w:val="en-US" w:eastAsia="zh-CN"/>
            </w:rPr>
            <w:t>采购</w:t>
          </w:r>
          <w:r>
            <w:rPr>
              <w:rFonts w:hint="eastAsia"/>
              <w:color w:val="auto"/>
            </w:rPr>
            <w:t>需求</w:t>
          </w:r>
          <w:r>
            <w:rPr>
              <w:color w:val="auto"/>
            </w:rPr>
            <w:tab/>
          </w:r>
          <w:r>
            <w:rPr>
              <w:color w:val="auto"/>
            </w:rPr>
            <w:fldChar w:fldCharType="begin"/>
          </w:r>
          <w:r>
            <w:rPr>
              <w:color w:val="auto"/>
            </w:rPr>
            <w:instrText xml:space="preserve"> PAGEREF _Toc16277 </w:instrText>
          </w:r>
          <w:r>
            <w:rPr>
              <w:color w:val="auto"/>
            </w:rPr>
            <w:fldChar w:fldCharType="separate"/>
          </w:r>
          <w:r>
            <w:rPr>
              <w:color w:val="auto"/>
            </w:rPr>
            <w:t>27</w:t>
          </w:r>
          <w:r>
            <w:rPr>
              <w:color w:val="auto"/>
            </w:rPr>
            <w:fldChar w:fldCharType="end"/>
          </w:r>
          <w:r>
            <w:rPr>
              <w:rFonts w:hint="eastAsia" w:ascii="宋体" w:hAnsi="宋体" w:eastAsia="宋体" w:cs="宋体"/>
              <w:bCs/>
              <w:color w:val="auto"/>
              <w:lang w:val="zh-CN"/>
            </w:rPr>
            <w:fldChar w:fldCharType="end"/>
          </w:r>
        </w:p>
        <w:p>
          <w:pPr>
            <w:pStyle w:val="18"/>
            <w:keepNext w:val="0"/>
            <w:keepLines w:val="0"/>
            <w:pageBreakBefore w:val="0"/>
            <w:widowControl w:val="0"/>
            <w:tabs>
              <w:tab w:val="right" w:leader="dot" w:pos="8300"/>
              <w:tab w:val="clear" w:pos="8393"/>
            </w:tabs>
            <w:kinsoku/>
            <w:wordWrap/>
            <w:overflowPunct/>
            <w:topLinePunct w:val="0"/>
            <w:autoSpaceDE/>
            <w:autoSpaceDN/>
            <w:bidi w:val="0"/>
            <w:adjustRightInd/>
            <w:snapToGrid/>
            <w:spacing w:line="480" w:lineRule="auto"/>
            <w:textAlignment w:val="auto"/>
            <w:rPr>
              <w:color w:val="auto"/>
            </w:rPr>
          </w:pPr>
          <w:r>
            <w:rPr>
              <w:rFonts w:hint="eastAsia" w:ascii="宋体" w:hAnsi="宋体" w:eastAsia="宋体" w:cs="宋体"/>
              <w:bCs/>
              <w:color w:val="auto"/>
              <w:lang w:val="zh-CN"/>
            </w:rPr>
            <w:fldChar w:fldCharType="begin"/>
          </w:r>
          <w:r>
            <w:rPr>
              <w:rFonts w:hint="eastAsia" w:ascii="宋体" w:hAnsi="宋体" w:eastAsia="宋体" w:cs="宋体"/>
              <w:bCs/>
              <w:color w:val="auto"/>
              <w:lang w:val="zh-CN"/>
            </w:rPr>
            <w:instrText xml:space="preserve"> HYPERLINK \l _Toc2669 </w:instrText>
          </w:r>
          <w:r>
            <w:rPr>
              <w:rFonts w:hint="eastAsia" w:ascii="宋体" w:hAnsi="宋体" w:eastAsia="宋体" w:cs="宋体"/>
              <w:bCs/>
              <w:color w:val="auto"/>
              <w:lang w:val="zh-CN"/>
            </w:rPr>
            <w:fldChar w:fldCharType="separate"/>
          </w:r>
          <w:r>
            <w:rPr>
              <w:rFonts w:hint="eastAsia"/>
              <w:color w:val="auto"/>
            </w:rPr>
            <w:t>第四章、合同文本（参考文本）</w:t>
          </w:r>
          <w:r>
            <w:rPr>
              <w:color w:val="auto"/>
            </w:rPr>
            <w:tab/>
          </w:r>
          <w:r>
            <w:rPr>
              <w:color w:val="auto"/>
            </w:rPr>
            <w:fldChar w:fldCharType="begin"/>
          </w:r>
          <w:r>
            <w:rPr>
              <w:color w:val="auto"/>
            </w:rPr>
            <w:instrText xml:space="preserve"> PAGEREF _Toc2669 </w:instrText>
          </w:r>
          <w:r>
            <w:rPr>
              <w:color w:val="auto"/>
            </w:rPr>
            <w:fldChar w:fldCharType="separate"/>
          </w:r>
          <w:r>
            <w:rPr>
              <w:color w:val="auto"/>
            </w:rPr>
            <w:t>29</w:t>
          </w:r>
          <w:r>
            <w:rPr>
              <w:color w:val="auto"/>
            </w:rPr>
            <w:fldChar w:fldCharType="end"/>
          </w:r>
          <w:r>
            <w:rPr>
              <w:rFonts w:hint="eastAsia" w:ascii="宋体" w:hAnsi="宋体" w:eastAsia="宋体" w:cs="宋体"/>
              <w:bCs/>
              <w:color w:val="auto"/>
              <w:lang w:val="zh-CN"/>
            </w:rPr>
            <w:fldChar w:fldCharType="end"/>
          </w:r>
        </w:p>
        <w:p>
          <w:pPr>
            <w:pStyle w:val="18"/>
            <w:keepNext w:val="0"/>
            <w:keepLines w:val="0"/>
            <w:pageBreakBefore w:val="0"/>
            <w:widowControl w:val="0"/>
            <w:tabs>
              <w:tab w:val="right" w:leader="dot" w:pos="8300"/>
              <w:tab w:val="clear" w:pos="8393"/>
            </w:tabs>
            <w:kinsoku/>
            <w:wordWrap/>
            <w:overflowPunct/>
            <w:topLinePunct w:val="0"/>
            <w:autoSpaceDE/>
            <w:autoSpaceDN/>
            <w:bidi w:val="0"/>
            <w:adjustRightInd/>
            <w:snapToGrid/>
            <w:spacing w:line="480" w:lineRule="auto"/>
            <w:textAlignment w:val="auto"/>
            <w:rPr>
              <w:color w:val="auto"/>
            </w:rPr>
          </w:pPr>
          <w:r>
            <w:rPr>
              <w:rFonts w:hint="eastAsia" w:ascii="宋体" w:hAnsi="宋体" w:eastAsia="宋体" w:cs="宋体"/>
              <w:bCs/>
              <w:color w:val="auto"/>
              <w:lang w:val="zh-CN"/>
            </w:rPr>
            <w:fldChar w:fldCharType="begin"/>
          </w:r>
          <w:r>
            <w:rPr>
              <w:rFonts w:hint="eastAsia" w:ascii="宋体" w:hAnsi="宋体" w:eastAsia="宋体" w:cs="宋体"/>
              <w:bCs/>
              <w:color w:val="auto"/>
              <w:lang w:val="zh-CN"/>
            </w:rPr>
            <w:instrText xml:space="preserve"> HYPERLINK \l _Toc5141 </w:instrText>
          </w:r>
          <w:r>
            <w:rPr>
              <w:rFonts w:hint="eastAsia" w:ascii="宋体" w:hAnsi="宋体" w:eastAsia="宋体" w:cs="宋体"/>
              <w:bCs/>
              <w:color w:val="auto"/>
              <w:lang w:val="zh-CN"/>
            </w:rPr>
            <w:fldChar w:fldCharType="separate"/>
          </w:r>
          <w:r>
            <w:rPr>
              <w:rFonts w:hint="eastAsia"/>
              <w:color w:val="auto"/>
            </w:rPr>
            <w:t>第五章、报价内容和格式（参考）</w:t>
          </w:r>
          <w:r>
            <w:rPr>
              <w:color w:val="auto"/>
            </w:rPr>
            <w:tab/>
          </w:r>
          <w:r>
            <w:rPr>
              <w:color w:val="auto"/>
            </w:rPr>
            <w:fldChar w:fldCharType="begin"/>
          </w:r>
          <w:r>
            <w:rPr>
              <w:color w:val="auto"/>
            </w:rPr>
            <w:instrText xml:space="preserve"> PAGEREF _Toc5141 </w:instrText>
          </w:r>
          <w:r>
            <w:rPr>
              <w:color w:val="auto"/>
            </w:rPr>
            <w:fldChar w:fldCharType="separate"/>
          </w:r>
          <w:r>
            <w:rPr>
              <w:color w:val="auto"/>
            </w:rPr>
            <w:t>32</w:t>
          </w:r>
          <w:r>
            <w:rPr>
              <w:color w:val="auto"/>
            </w:rPr>
            <w:fldChar w:fldCharType="end"/>
          </w:r>
          <w:r>
            <w:rPr>
              <w:rFonts w:hint="eastAsia" w:ascii="宋体" w:hAnsi="宋体" w:eastAsia="宋体" w:cs="宋体"/>
              <w:bCs/>
              <w:color w:val="auto"/>
              <w:lang w:val="zh-CN"/>
            </w:rPr>
            <w:fldChar w:fldCharType="end"/>
          </w:r>
        </w:p>
        <w:p>
          <w:pPr>
            <w:pStyle w:val="19"/>
            <w:keepNext w:val="0"/>
            <w:keepLines w:val="0"/>
            <w:pageBreakBefore w:val="0"/>
            <w:widowControl w:val="0"/>
            <w:tabs>
              <w:tab w:val="right" w:leader="dot" w:pos="8300"/>
              <w:tab w:val="clear" w:pos="8393"/>
            </w:tabs>
            <w:kinsoku/>
            <w:wordWrap/>
            <w:overflowPunct/>
            <w:topLinePunct w:val="0"/>
            <w:autoSpaceDE/>
            <w:autoSpaceDN/>
            <w:bidi w:val="0"/>
            <w:adjustRightInd/>
            <w:snapToGrid/>
            <w:spacing w:line="480" w:lineRule="auto"/>
            <w:ind w:left="0" w:leftChars="0" w:firstLine="0" w:firstLineChars="0"/>
            <w:jc w:val="both"/>
            <w:textAlignment w:val="auto"/>
            <w:rPr>
              <w:color w:val="auto"/>
            </w:rPr>
          </w:pPr>
          <w:r>
            <w:rPr>
              <w:rFonts w:hint="eastAsia" w:ascii="宋体" w:hAnsi="宋体" w:eastAsia="宋体" w:cs="宋体"/>
              <w:b/>
              <w:bCs/>
              <w:color w:val="auto"/>
              <w:sz w:val="28"/>
              <w:szCs w:val="28"/>
              <w:lang w:val="zh-CN"/>
            </w:rPr>
            <w:fldChar w:fldCharType="begin"/>
          </w:r>
          <w:r>
            <w:rPr>
              <w:rFonts w:hint="eastAsia" w:ascii="宋体" w:hAnsi="宋体" w:eastAsia="宋体" w:cs="宋体"/>
              <w:b/>
              <w:bCs/>
              <w:color w:val="auto"/>
              <w:sz w:val="28"/>
              <w:szCs w:val="28"/>
              <w:lang w:val="zh-CN"/>
            </w:rPr>
            <w:instrText xml:space="preserve"> HYPERLINK \l _Toc13681 </w:instrText>
          </w:r>
          <w:r>
            <w:rPr>
              <w:rFonts w:hint="eastAsia" w:ascii="宋体" w:hAnsi="宋体" w:eastAsia="宋体" w:cs="宋体"/>
              <w:b/>
              <w:bCs/>
              <w:color w:val="auto"/>
              <w:sz w:val="28"/>
              <w:szCs w:val="28"/>
              <w:lang w:val="zh-CN"/>
            </w:rPr>
            <w:fldChar w:fldCharType="separate"/>
          </w:r>
          <w:r>
            <w:rPr>
              <w:rFonts w:hint="eastAsia" w:ascii="宋体" w:hAnsi="宋体" w:eastAsia="宋体" w:cs="宋体"/>
              <w:b/>
              <w:bCs/>
              <w:color w:val="auto"/>
              <w:sz w:val="28"/>
              <w:szCs w:val="28"/>
            </w:rPr>
            <w:t>第六章、评审办法</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_Toc13681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44</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lang w:val="zh-CN"/>
            </w:rPr>
            <w:fldChar w:fldCharType="end"/>
          </w:r>
        </w:p>
        <w:p>
          <w:pPr>
            <w:pStyle w:val="19"/>
            <w:keepNext w:val="0"/>
            <w:keepLines w:val="0"/>
            <w:pageBreakBefore w:val="0"/>
            <w:widowControl w:val="0"/>
            <w:tabs>
              <w:tab w:val="right" w:leader="dot" w:pos="8300"/>
              <w:tab w:val="clear" w:pos="8393"/>
            </w:tabs>
            <w:kinsoku/>
            <w:wordWrap/>
            <w:overflowPunct/>
            <w:topLinePunct w:val="0"/>
            <w:autoSpaceDE/>
            <w:autoSpaceDN/>
            <w:bidi w:val="0"/>
            <w:adjustRightInd/>
            <w:snapToGrid/>
            <w:spacing w:line="480" w:lineRule="auto"/>
            <w:textAlignment w:val="auto"/>
            <w:rPr>
              <w:color w:val="auto"/>
            </w:rPr>
          </w:pPr>
          <w:r>
            <w:rPr>
              <w:rFonts w:hint="eastAsia" w:ascii="宋体" w:hAnsi="宋体" w:eastAsia="宋体" w:cs="宋体"/>
              <w:bCs/>
              <w:color w:val="auto"/>
              <w:lang w:val="zh-CN"/>
            </w:rPr>
            <w:fldChar w:fldCharType="begin"/>
          </w:r>
          <w:r>
            <w:rPr>
              <w:rFonts w:hint="eastAsia" w:ascii="宋体" w:hAnsi="宋体" w:eastAsia="宋体" w:cs="宋体"/>
              <w:bCs/>
              <w:color w:val="auto"/>
              <w:lang w:val="zh-CN"/>
            </w:rPr>
            <w:instrText xml:space="preserve"> HYPERLINK \l _Toc7063 </w:instrText>
          </w:r>
          <w:r>
            <w:rPr>
              <w:rFonts w:hint="eastAsia" w:ascii="宋体" w:hAnsi="宋体" w:eastAsia="宋体" w:cs="宋体"/>
              <w:bCs/>
              <w:color w:val="auto"/>
              <w:lang w:val="zh-CN"/>
            </w:rPr>
            <w:fldChar w:fldCharType="separate"/>
          </w:r>
          <w:r>
            <w:rPr>
              <w:rFonts w:hint="eastAsia" w:ascii="宋体" w:hAnsi="宋体" w:eastAsia="宋体" w:cs="宋体"/>
              <w:color w:val="auto"/>
            </w:rPr>
            <w:t>附表1、初步审查表</w:t>
          </w:r>
          <w:r>
            <w:rPr>
              <w:color w:val="auto"/>
            </w:rPr>
            <w:tab/>
          </w:r>
          <w:r>
            <w:rPr>
              <w:color w:val="auto"/>
            </w:rPr>
            <w:fldChar w:fldCharType="begin"/>
          </w:r>
          <w:r>
            <w:rPr>
              <w:color w:val="auto"/>
            </w:rPr>
            <w:instrText xml:space="preserve"> PAGEREF _Toc7063 </w:instrText>
          </w:r>
          <w:r>
            <w:rPr>
              <w:color w:val="auto"/>
            </w:rPr>
            <w:fldChar w:fldCharType="separate"/>
          </w:r>
          <w:r>
            <w:rPr>
              <w:color w:val="auto"/>
            </w:rPr>
            <w:t>47</w:t>
          </w:r>
          <w:r>
            <w:rPr>
              <w:color w:val="auto"/>
            </w:rPr>
            <w:fldChar w:fldCharType="end"/>
          </w:r>
          <w:r>
            <w:rPr>
              <w:rFonts w:hint="eastAsia" w:ascii="宋体" w:hAnsi="宋体" w:eastAsia="宋体" w:cs="宋体"/>
              <w:bCs/>
              <w:color w:val="auto"/>
              <w:lang w:val="zh-CN"/>
            </w:rPr>
            <w:fldChar w:fldCharType="end"/>
          </w:r>
        </w:p>
        <w:p>
          <w:pPr>
            <w:rPr>
              <w:rFonts w:hint="eastAsia" w:ascii="宋体" w:hAnsi="宋体" w:eastAsia="宋体" w:cs="宋体"/>
              <w:color w:val="auto"/>
            </w:rPr>
          </w:pPr>
          <w:r>
            <w:rPr>
              <w:rFonts w:hint="eastAsia" w:ascii="宋体" w:hAnsi="宋体" w:eastAsia="宋体" w:cs="宋体"/>
              <w:bCs/>
              <w:color w:val="auto"/>
              <w:lang w:val="zh-CN"/>
            </w:rPr>
            <w:fldChar w:fldCharType="end"/>
          </w:r>
        </w:p>
      </w:sdtContent>
    </w:sdt>
    <w:p>
      <w:pPr>
        <w:pStyle w:val="2"/>
        <w:jc w:val="center"/>
        <w:rPr>
          <w:rFonts w:hint="eastAsia" w:ascii="宋体" w:hAnsi="宋体" w:eastAsia="宋体" w:cs="宋体"/>
          <w:color w:val="auto"/>
        </w:rPr>
        <w:sectPr>
          <w:headerReference r:id="rId3" w:type="default"/>
          <w:footerReference r:id="rId4" w:type="default"/>
          <w:pgSz w:w="11900" w:h="16838"/>
          <w:pgMar w:top="1389" w:right="1800" w:bottom="1440" w:left="1800" w:header="0" w:footer="0" w:gutter="0"/>
          <w:pgNumType w:fmt="decimal"/>
          <w:cols w:space="720" w:num="1"/>
          <w:docGrid w:linePitch="312" w:charSpace="0"/>
        </w:sectPr>
      </w:pPr>
      <w:bookmarkStart w:id="0" w:name="_Toc481157511"/>
    </w:p>
    <w:p>
      <w:pPr>
        <w:pStyle w:val="3"/>
        <w:bidi w:val="0"/>
        <w:rPr>
          <w:rFonts w:hint="eastAsia"/>
          <w:color w:val="auto"/>
          <w:lang w:val="en-US" w:eastAsia="zh-CN"/>
        </w:rPr>
      </w:pPr>
      <w:bookmarkStart w:id="1" w:name="_Toc5093"/>
      <w:r>
        <w:rPr>
          <w:rFonts w:hint="eastAsia"/>
          <w:color w:val="auto"/>
        </w:rPr>
        <w:t>第一章、谈判</w:t>
      </w:r>
      <w:bookmarkEnd w:id="0"/>
      <w:r>
        <w:rPr>
          <w:rFonts w:hint="eastAsia"/>
          <w:color w:val="auto"/>
          <w:lang w:val="en-US" w:eastAsia="zh-CN"/>
        </w:rPr>
        <w:t>性谈判公告</w:t>
      </w:r>
      <w:bookmarkEnd w:id="1"/>
    </w:p>
    <w:p>
      <w:pPr>
        <w:pBdr>
          <w:top w:val="single" w:color="auto" w:sz="4" w:space="1"/>
          <w:left w:val="single" w:color="auto" w:sz="4" w:space="4"/>
          <w:bottom w:val="single" w:color="auto" w:sz="4" w:space="1"/>
          <w:right w:val="single" w:color="auto" w:sz="4" w:space="4"/>
        </w:pBd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b/>
          <w:bCs/>
          <w:color w:val="121212"/>
          <w:sz w:val="28"/>
          <w:szCs w:val="28"/>
        </w:rPr>
      </w:pPr>
      <w:r>
        <w:rPr>
          <w:rFonts w:hint="eastAsia" w:ascii="宋体" w:hAnsi="宋体" w:cs="宋体"/>
          <w:color w:val="auto"/>
          <w:sz w:val="24"/>
          <w:szCs w:val="24"/>
          <w:u w:val="single"/>
          <w:lang w:eastAsia="zh-CN"/>
        </w:rPr>
        <w:t>2020年秋冬季疫情医疗防控物资储备采购</w:t>
      </w:r>
      <w:r>
        <w:rPr>
          <w:rFonts w:hint="eastAsia" w:ascii="宋体" w:hAnsi="宋体" w:eastAsia="宋体" w:cs="宋体"/>
          <w:color w:val="auto"/>
          <w:sz w:val="24"/>
          <w:szCs w:val="24"/>
        </w:rPr>
        <w:t>项目的潜在供应商应在</w:t>
      </w:r>
      <w:r>
        <w:rPr>
          <w:rFonts w:hint="eastAsia" w:ascii="宋体" w:hAnsi="宋体" w:eastAsia="宋体" w:cs="宋体"/>
          <w:color w:val="auto"/>
          <w:sz w:val="24"/>
          <w:szCs w:val="24"/>
          <w:u w:val="single"/>
        </w:rPr>
        <w:t>海口市美兰区五</w:t>
      </w:r>
      <w:r>
        <w:rPr>
          <w:rFonts w:hint="eastAsia" w:ascii="宋体" w:hAnsi="宋体" w:eastAsia="宋体" w:cs="宋体"/>
          <w:color w:val="121212"/>
          <w:sz w:val="24"/>
          <w:szCs w:val="24"/>
          <w:u w:val="single"/>
        </w:rPr>
        <w:t>指山路16-3号康业花园西湖苑G栋2A</w:t>
      </w:r>
      <w:r>
        <w:rPr>
          <w:rFonts w:hint="eastAsia" w:ascii="宋体" w:hAnsi="宋体" w:eastAsia="宋体" w:cs="宋体"/>
          <w:color w:val="121212"/>
          <w:sz w:val="24"/>
          <w:szCs w:val="24"/>
        </w:rPr>
        <w:t>获取采购文件，并于</w:t>
      </w:r>
      <w:r>
        <w:rPr>
          <w:rFonts w:hint="eastAsia" w:ascii="宋体" w:hAnsi="宋体" w:eastAsia="宋体" w:cs="宋体"/>
          <w:color w:val="121212"/>
          <w:sz w:val="24"/>
          <w:szCs w:val="24"/>
          <w:u w:val="single"/>
        </w:rPr>
        <w:t>2020</w:t>
      </w:r>
      <w:r>
        <w:rPr>
          <w:rFonts w:hint="eastAsia" w:ascii="宋体" w:hAnsi="宋体" w:eastAsia="宋体" w:cs="宋体"/>
          <w:bCs/>
          <w:color w:val="121212"/>
          <w:sz w:val="24"/>
          <w:szCs w:val="24"/>
          <w:u w:val="single"/>
        </w:rPr>
        <w:t>年</w:t>
      </w:r>
      <w:r>
        <w:rPr>
          <w:rFonts w:hint="eastAsia" w:ascii="宋体" w:hAnsi="宋体" w:cs="宋体"/>
          <w:bCs/>
          <w:color w:val="121212"/>
          <w:sz w:val="24"/>
          <w:szCs w:val="24"/>
          <w:u w:val="single"/>
          <w:lang w:val="en-US" w:eastAsia="zh-CN"/>
        </w:rPr>
        <w:t>11月 25 日</w:t>
      </w:r>
      <w:r>
        <w:rPr>
          <w:rFonts w:hint="eastAsia" w:ascii="宋体" w:hAnsi="宋体" w:eastAsia="宋体" w:cs="宋体"/>
          <w:bCs/>
          <w:color w:val="121212"/>
          <w:sz w:val="24"/>
          <w:szCs w:val="24"/>
          <w:u w:val="single"/>
          <w:lang w:val="en-US" w:eastAsia="zh-CN"/>
        </w:rPr>
        <w:t>15</w:t>
      </w:r>
      <w:r>
        <w:rPr>
          <w:rFonts w:hint="eastAsia" w:ascii="宋体" w:hAnsi="宋体" w:eastAsia="宋体" w:cs="宋体"/>
          <w:bCs/>
          <w:color w:val="121212"/>
          <w:sz w:val="24"/>
          <w:szCs w:val="24"/>
          <w:u w:val="single"/>
        </w:rPr>
        <w:t>点</w:t>
      </w:r>
      <w:r>
        <w:rPr>
          <w:rFonts w:hint="eastAsia" w:ascii="宋体" w:hAnsi="宋体" w:cs="宋体"/>
          <w:bCs/>
          <w:color w:val="121212"/>
          <w:sz w:val="24"/>
          <w:szCs w:val="24"/>
          <w:u w:val="single"/>
          <w:lang w:eastAsia="zh-CN"/>
        </w:rPr>
        <w:t>0</w:t>
      </w:r>
      <w:r>
        <w:rPr>
          <w:rFonts w:hint="eastAsia" w:ascii="宋体" w:hAnsi="宋体" w:eastAsia="宋体" w:cs="宋体"/>
          <w:bCs/>
          <w:color w:val="121212"/>
          <w:sz w:val="24"/>
          <w:szCs w:val="24"/>
          <w:u w:val="single"/>
          <w:lang w:val="en-US" w:eastAsia="zh-CN"/>
        </w:rPr>
        <w:t>0</w:t>
      </w:r>
      <w:r>
        <w:rPr>
          <w:rFonts w:hint="eastAsia" w:ascii="宋体" w:hAnsi="宋体" w:eastAsia="宋体" w:cs="宋体"/>
          <w:bCs/>
          <w:color w:val="121212"/>
          <w:sz w:val="24"/>
          <w:szCs w:val="24"/>
          <w:u w:val="single"/>
        </w:rPr>
        <w:t>分</w:t>
      </w:r>
      <w:r>
        <w:rPr>
          <w:rFonts w:hint="eastAsia" w:ascii="宋体" w:hAnsi="宋体" w:eastAsia="宋体" w:cs="宋体"/>
          <w:bCs/>
          <w:color w:val="121212"/>
          <w:sz w:val="24"/>
          <w:szCs w:val="24"/>
        </w:rPr>
        <w:t>（北京时间）前提交响应文件</w:t>
      </w:r>
      <w:r>
        <w:rPr>
          <w:rFonts w:hint="eastAsia" w:ascii="宋体" w:hAnsi="宋体" w:eastAsia="宋体" w:cs="宋体"/>
          <w:color w:val="121212"/>
          <w:sz w:val="24"/>
          <w:szCs w:val="24"/>
        </w:rPr>
        <w:t>。</w:t>
      </w:r>
    </w:p>
    <w:p>
      <w:pPr>
        <w:spacing w:line="360" w:lineRule="auto"/>
        <w:rPr>
          <w:rFonts w:hint="eastAsia" w:ascii="宋体" w:hAnsi="宋体" w:eastAsia="宋体" w:cs="宋体"/>
          <w:b/>
          <w:color w:val="121212"/>
          <w:sz w:val="24"/>
          <w:szCs w:val="24"/>
        </w:rPr>
      </w:pPr>
    </w:p>
    <w:p>
      <w:pPr>
        <w:spacing w:line="360" w:lineRule="auto"/>
        <w:rPr>
          <w:rFonts w:hint="eastAsia" w:ascii="宋体" w:hAnsi="宋体" w:eastAsia="宋体" w:cs="宋体"/>
          <w:b/>
          <w:color w:val="121212"/>
          <w:sz w:val="24"/>
          <w:szCs w:val="24"/>
          <w:lang w:val="en-US" w:eastAsia="zh-CN"/>
        </w:rPr>
      </w:pPr>
      <w:r>
        <w:rPr>
          <w:rFonts w:hint="eastAsia" w:ascii="宋体" w:hAnsi="宋体" w:eastAsia="宋体" w:cs="宋体"/>
          <w:b/>
          <w:color w:val="121212"/>
          <w:sz w:val="24"/>
          <w:szCs w:val="24"/>
        </w:rPr>
        <w:t>一、项目</w:t>
      </w:r>
      <w:r>
        <w:rPr>
          <w:rFonts w:hint="eastAsia" w:ascii="宋体" w:hAnsi="宋体" w:eastAsia="宋体" w:cs="宋体"/>
          <w:b/>
          <w:color w:val="121212"/>
          <w:sz w:val="24"/>
          <w:szCs w:val="24"/>
          <w:lang w:val="en-US" w:eastAsia="zh-CN"/>
        </w:rPr>
        <w:t>基本概况</w:t>
      </w:r>
    </w:p>
    <w:p>
      <w:pPr>
        <w:spacing w:line="360" w:lineRule="auto"/>
        <w:ind w:firstLine="480" w:firstLineChars="200"/>
        <w:rPr>
          <w:rFonts w:hint="eastAsia" w:ascii="宋体" w:hAnsi="宋体" w:eastAsia="宋体" w:cs="宋体"/>
          <w:color w:val="121212"/>
          <w:kern w:val="28"/>
          <w:sz w:val="24"/>
          <w:lang w:eastAsia="zh-CN"/>
        </w:rPr>
      </w:pPr>
      <w:r>
        <w:rPr>
          <w:rFonts w:hint="eastAsia" w:ascii="宋体" w:hAnsi="宋体" w:eastAsia="宋体" w:cs="宋体"/>
          <w:color w:val="121212"/>
          <w:kern w:val="28"/>
          <w:sz w:val="24"/>
        </w:rPr>
        <w:t>1、项目编号：</w:t>
      </w:r>
      <w:r>
        <w:rPr>
          <w:rFonts w:hint="eastAsia" w:ascii="宋体" w:hAnsi="宋体" w:cs="宋体"/>
          <w:color w:val="121212"/>
          <w:kern w:val="28"/>
          <w:sz w:val="24"/>
          <w:lang w:eastAsia="zh-CN"/>
        </w:rPr>
        <w:t>HNZH-2020-334</w:t>
      </w:r>
    </w:p>
    <w:p>
      <w:pPr>
        <w:spacing w:line="360" w:lineRule="auto"/>
        <w:ind w:firstLine="480" w:firstLineChars="200"/>
        <w:rPr>
          <w:rFonts w:hint="eastAsia" w:ascii="宋体" w:hAnsi="宋体" w:eastAsia="宋体" w:cs="宋体"/>
          <w:color w:val="121212"/>
          <w:kern w:val="28"/>
          <w:sz w:val="24"/>
          <w:lang w:eastAsia="zh-CN"/>
        </w:rPr>
      </w:pPr>
      <w:r>
        <w:rPr>
          <w:rFonts w:hint="eastAsia" w:ascii="宋体" w:hAnsi="宋体" w:eastAsia="宋体" w:cs="宋体"/>
          <w:color w:val="121212"/>
          <w:kern w:val="28"/>
          <w:sz w:val="24"/>
        </w:rPr>
        <w:t>2、项目</w:t>
      </w:r>
      <w:r>
        <w:rPr>
          <w:rFonts w:hint="eastAsia" w:ascii="宋体" w:hAnsi="宋体" w:eastAsia="宋体" w:cs="宋体"/>
          <w:color w:val="121212"/>
          <w:sz w:val="24"/>
        </w:rPr>
        <w:t>名称</w:t>
      </w:r>
      <w:r>
        <w:rPr>
          <w:rFonts w:hint="eastAsia" w:ascii="宋体" w:hAnsi="宋体" w:eastAsia="宋体" w:cs="宋体"/>
          <w:color w:val="121212"/>
          <w:kern w:val="28"/>
          <w:sz w:val="24"/>
        </w:rPr>
        <w:t>：</w:t>
      </w:r>
      <w:r>
        <w:rPr>
          <w:rFonts w:hint="eastAsia" w:ascii="宋体" w:hAnsi="宋体" w:cs="宋体"/>
          <w:color w:val="121212"/>
          <w:kern w:val="28"/>
          <w:sz w:val="24"/>
          <w:lang w:eastAsia="zh-CN"/>
        </w:rPr>
        <w:t>2020年秋冬季疫情医疗防控物资储备采购</w:t>
      </w:r>
    </w:p>
    <w:p>
      <w:pPr>
        <w:spacing w:line="360" w:lineRule="auto"/>
        <w:ind w:firstLine="480" w:firstLineChars="200"/>
        <w:rPr>
          <w:rFonts w:hint="eastAsia" w:ascii="宋体" w:hAnsi="宋体" w:eastAsia="宋体" w:cs="宋体"/>
          <w:color w:val="121212"/>
          <w:kern w:val="28"/>
          <w:sz w:val="24"/>
          <w:lang w:val="en-US" w:eastAsia="zh-CN"/>
        </w:rPr>
      </w:pPr>
      <w:r>
        <w:rPr>
          <w:rFonts w:hint="eastAsia" w:ascii="宋体" w:hAnsi="宋体" w:eastAsia="宋体" w:cs="宋体"/>
          <w:color w:val="121212"/>
          <w:kern w:val="28"/>
          <w:sz w:val="24"/>
        </w:rPr>
        <w:t>3、</w:t>
      </w:r>
      <w:r>
        <w:rPr>
          <w:rFonts w:hint="eastAsia" w:ascii="宋体" w:hAnsi="宋体" w:eastAsia="宋体" w:cs="宋体"/>
          <w:color w:val="121212"/>
          <w:kern w:val="28"/>
          <w:sz w:val="24"/>
          <w:lang w:val="en-US" w:eastAsia="zh-CN"/>
        </w:rPr>
        <w:t>采</w:t>
      </w:r>
      <w:r>
        <w:rPr>
          <w:rFonts w:hint="eastAsia" w:ascii="宋体" w:hAnsi="宋体" w:eastAsia="宋体" w:cs="宋体"/>
          <w:bCs/>
          <w:color w:val="121212"/>
          <w:sz w:val="24"/>
          <w:szCs w:val="24"/>
        </w:rPr>
        <w:t>购方式：竞争性谈判</w:t>
      </w:r>
    </w:p>
    <w:p>
      <w:pPr>
        <w:spacing w:line="360" w:lineRule="auto"/>
        <w:ind w:firstLine="480" w:firstLineChars="200"/>
        <w:rPr>
          <w:rFonts w:hint="eastAsia" w:ascii="宋体" w:hAnsi="宋体" w:eastAsia="宋体" w:cs="宋体"/>
          <w:color w:val="121212"/>
          <w:kern w:val="28"/>
          <w:sz w:val="24"/>
          <w:lang w:val="en-US" w:eastAsia="zh-CN"/>
        </w:rPr>
      </w:pPr>
      <w:r>
        <w:rPr>
          <w:rFonts w:hint="eastAsia" w:ascii="宋体" w:hAnsi="宋体" w:eastAsia="宋体" w:cs="宋体"/>
          <w:color w:val="121212"/>
          <w:kern w:val="28"/>
          <w:sz w:val="24"/>
          <w:lang w:val="en-US" w:eastAsia="zh-CN"/>
        </w:rPr>
        <w:t>4、</w:t>
      </w:r>
      <w:r>
        <w:rPr>
          <w:rFonts w:hint="eastAsia" w:ascii="宋体" w:hAnsi="宋体" w:eastAsia="宋体" w:cs="宋体"/>
          <w:color w:val="121212"/>
          <w:kern w:val="28"/>
          <w:sz w:val="24"/>
        </w:rPr>
        <w:t>预算金额：</w:t>
      </w:r>
      <w:r>
        <w:rPr>
          <w:rFonts w:hint="eastAsia" w:ascii="宋体" w:hAnsi="宋体" w:eastAsia="宋体" w:cs="宋体"/>
          <w:color w:val="121212"/>
          <w:sz w:val="24"/>
        </w:rPr>
        <w:t>¥</w:t>
      </w:r>
      <w:r>
        <w:rPr>
          <w:rFonts w:hint="eastAsia" w:ascii="宋体" w:hAnsi="宋体" w:eastAsia="宋体" w:cs="宋体"/>
          <w:color w:val="121212"/>
          <w:sz w:val="24"/>
          <w:lang w:val="en-US" w:eastAsia="zh-CN"/>
        </w:rPr>
        <w:t xml:space="preserve"> </w:t>
      </w:r>
      <w:r>
        <w:rPr>
          <w:rFonts w:hint="eastAsia" w:ascii="宋体" w:hAnsi="宋体" w:cs="宋体"/>
          <w:color w:val="121212"/>
          <w:sz w:val="24"/>
          <w:lang w:val="en-US" w:eastAsia="zh-CN"/>
        </w:rPr>
        <w:t>4302900.00</w:t>
      </w:r>
      <w:r>
        <w:rPr>
          <w:rFonts w:hint="eastAsia" w:ascii="宋体" w:hAnsi="宋体" w:eastAsia="宋体" w:cs="宋体"/>
          <w:color w:val="121212"/>
          <w:kern w:val="28"/>
          <w:sz w:val="24"/>
        </w:rPr>
        <w:t>元（投标报价超过采购预算按无效投标处理）</w:t>
      </w:r>
    </w:p>
    <w:p>
      <w:pPr>
        <w:spacing w:line="360" w:lineRule="auto"/>
        <w:ind w:firstLine="480" w:firstLineChars="200"/>
        <w:rPr>
          <w:rFonts w:hint="eastAsia" w:ascii="宋体" w:hAnsi="宋体" w:eastAsia="宋体" w:cs="宋体"/>
          <w:color w:val="121212"/>
          <w:kern w:val="28"/>
          <w:sz w:val="24"/>
        </w:rPr>
      </w:pPr>
      <w:r>
        <w:rPr>
          <w:rFonts w:hint="eastAsia" w:ascii="宋体" w:hAnsi="宋体" w:eastAsia="宋体" w:cs="宋体"/>
          <w:bCs/>
          <w:color w:val="121212"/>
          <w:sz w:val="24"/>
          <w:szCs w:val="24"/>
          <w:lang w:val="en-US" w:eastAsia="zh-CN"/>
        </w:rPr>
        <w:t>5、</w:t>
      </w:r>
      <w:r>
        <w:rPr>
          <w:rFonts w:hint="eastAsia" w:ascii="宋体" w:hAnsi="宋体" w:eastAsia="宋体" w:cs="宋体"/>
          <w:bCs/>
          <w:color w:val="121212"/>
          <w:sz w:val="24"/>
          <w:szCs w:val="24"/>
        </w:rPr>
        <w:t>最高限价</w:t>
      </w:r>
      <w:r>
        <w:rPr>
          <w:rFonts w:hint="eastAsia" w:ascii="宋体" w:hAnsi="宋体" w:eastAsia="宋体" w:cs="宋体"/>
          <w:color w:val="121212"/>
          <w:kern w:val="28"/>
          <w:sz w:val="24"/>
        </w:rPr>
        <w:t>（如有）：</w:t>
      </w:r>
      <w:r>
        <w:rPr>
          <w:rFonts w:hint="eastAsia" w:ascii="宋体" w:hAnsi="宋体" w:cs="宋体"/>
          <w:color w:val="121212"/>
          <w:kern w:val="28"/>
          <w:sz w:val="24"/>
          <w:lang w:eastAsia="zh-CN"/>
        </w:rPr>
        <w:t>/</w:t>
      </w:r>
    </w:p>
    <w:p>
      <w:pPr>
        <w:spacing w:line="360" w:lineRule="auto"/>
        <w:ind w:firstLine="480" w:firstLineChars="200"/>
        <w:rPr>
          <w:rFonts w:hint="eastAsia" w:ascii="宋体" w:hAnsi="宋体" w:eastAsia="宋体" w:cs="宋体"/>
          <w:color w:val="auto"/>
          <w:kern w:val="28"/>
          <w:sz w:val="24"/>
          <w:lang w:val="en-US" w:eastAsia="zh-CN"/>
        </w:rPr>
      </w:pPr>
      <w:r>
        <w:rPr>
          <w:rFonts w:hint="eastAsia" w:ascii="宋体" w:hAnsi="宋体" w:eastAsia="宋体" w:cs="宋体"/>
          <w:color w:val="121212"/>
          <w:kern w:val="28"/>
          <w:sz w:val="24"/>
          <w:lang w:val="en-US" w:eastAsia="zh-CN"/>
        </w:rPr>
        <w:t>6、采购需求：</w:t>
      </w:r>
    </w:p>
    <w:p>
      <w:pPr>
        <w:pStyle w:val="9"/>
        <w:ind w:firstLine="720" w:firstLineChars="300"/>
        <w:rPr>
          <w:rFonts w:hint="eastAsia" w:ascii="宋体" w:hAnsi="宋体" w:eastAsia="宋体" w:cs="宋体"/>
          <w:color w:val="auto"/>
          <w:kern w:val="28"/>
          <w:sz w:val="24"/>
          <w:lang w:val="en-US" w:eastAsia="zh-CN"/>
        </w:rPr>
      </w:pPr>
      <w:r>
        <w:rPr>
          <w:rFonts w:hint="eastAsia" w:ascii="宋体" w:hAnsi="宋体" w:eastAsia="宋体" w:cs="宋体"/>
          <w:color w:val="auto"/>
          <w:kern w:val="28"/>
          <w:sz w:val="24"/>
          <w:lang w:val="en-US" w:eastAsia="zh-CN"/>
        </w:rPr>
        <w:t>（1）采购内容：2020年秋冬季疫情医疗防控物资</w:t>
      </w:r>
      <w:r>
        <w:rPr>
          <w:rFonts w:hint="eastAsia" w:ascii="宋体" w:hAnsi="宋体" w:cs="宋体"/>
          <w:color w:val="auto"/>
          <w:kern w:val="28"/>
          <w:sz w:val="24"/>
          <w:lang w:val="en-US" w:eastAsia="zh-CN"/>
        </w:rPr>
        <w:t>一批，</w:t>
      </w:r>
    </w:p>
    <w:p>
      <w:pPr>
        <w:pStyle w:val="9"/>
        <w:ind w:firstLine="1440" w:firstLineChars="600"/>
        <w:rPr>
          <w:rFonts w:hint="eastAsia" w:ascii="宋体" w:hAnsi="宋体" w:eastAsia="宋体" w:cs="宋体"/>
          <w:color w:val="auto"/>
          <w:kern w:val="28"/>
          <w:sz w:val="24"/>
          <w:lang w:val="en-US" w:eastAsia="zh-CN"/>
        </w:rPr>
      </w:pPr>
      <w:r>
        <w:rPr>
          <w:rFonts w:hint="eastAsia" w:ascii="宋体" w:hAnsi="宋体" w:eastAsia="宋体" w:cs="宋体"/>
          <w:color w:val="auto"/>
          <w:kern w:val="28"/>
          <w:sz w:val="24"/>
          <w:lang w:val="en-US" w:eastAsia="zh-CN"/>
        </w:rPr>
        <w:t>详</w:t>
      </w:r>
      <w:r>
        <w:rPr>
          <w:rFonts w:hint="eastAsia" w:ascii="宋体" w:hAnsi="宋体" w:eastAsia="宋体" w:cs="宋体"/>
          <w:color w:val="auto"/>
          <w:kern w:val="28"/>
          <w:sz w:val="24"/>
        </w:rPr>
        <w:t>见</w:t>
      </w:r>
      <w:r>
        <w:rPr>
          <w:rFonts w:hint="eastAsia" w:ascii="宋体" w:hAnsi="宋体" w:eastAsia="宋体" w:cs="宋体"/>
          <w:color w:val="auto"/>
          <w:kern w:val="28"/>
          <w:sz w:val="24"/>
          <w:lang w:val="en-US" w:eastAsia="zh-CN"/>
        </w:rPr>
        <w:t>采购文件第三章</w:t>
      </w:r>
      <w:r>
        <w:rPr>
          <w:rFonts w:hint="eastAsia" w:ascii="宋体" w:hAnsi="宋体" w:eastAsia="宋体" w:cs="宋体"/>
          <w:color w:val="auto"/>
          <w:kern w:val="28"/>
          <w:sz w:val="24"/>
        </w:rPr>
        <w:t>“</w:t>
      </w:r>
      <w:r>
        <w:rPr>
          <w:rFonts w:hint="eastAsia" w:ascii="宋体" w:hAnsi="宋体" w:eastAsia="宋体" w:cs="宋体"/>
          <w:color w:val="auto"/>
          <w:kern w:val="28"/>
          <w:sz w:val="24"/>
          <w:lang w:val="en-US" w:eastAsia="zh-CN"/>
        </w:rPr>
        <w:t>采购</w:t>
      </w:r>
      <w:r>
        <w:rPr>
          <w:rFonts w:hint="eastAsia" w:ascii="宋体" w:hAnsi="宋体" w:eastAsia="宋体" w:cs="宋体"/>
          <w:color w:val="auto"/>
          <w:kern w:val="28"/>
          <w:sz w:val="24"/>
        </w:rPr>
        <w:t>需求 ”</w:t>
      </w:r>
    </w:p>
    <w:p>
      <w:pPr>
        <w:pStyle w:val="9"/>
        <w:numPr>
          <w:ilvl w:val="0"/>
          <w:numId w:val="2"/>
        </w:numPr>
        <w:ind w:firstLine="720" w:firstLineChars="300"/>
        <w:rPr>
          <w:rFonts w:hint="eastAsia" w:ascii="宋体" w:hAnsi="宋体" w:eastAsia="宋体" w:cs="宋体"/>
          <w:color w:val="auto"/>
          <w:kern w:val="28"/>
          <w:sz w:val="24"/>
          <w:szCs w:val="24"/>
          <w:lang w:val="en-US" w:eastAsia="zh-CN"/>
        </w:rPr>
      </w:pPr>
      <w:r>
        <w:rPr>
          <w:rFonts w:hint="eastAsia" w:ascii="宋体" w:hAnsi="宋体" w:eastAsia="宋体" w:cs="宋体"/>
          <w:color w:val="auto"/>
          <w:kern w:val="28"/>
          <w:sz w:val="24"/>
          <w:szCs w:val="24"/>
          <w:lang w:val="en-US" w:eastAsia="zh-CN"/>
        </w:rPr>
        <w:t>数量及分包：项目本身，一批不分包；</w:t>
      </w:r>
    </w:p>
    <w:p>
      <w:pPr>
        <w:pStyle w:val="9"/>
        <w:numPr>
          <w:ilvl w:val="0"/>
          <w:numId w:val="2"/>
        </w:numPr>
        <w:ind w:firstLine="720" w:firstLineChars="300"/>
        <w:rPr>
          <w:rFonts w:hint="eastAsia" w:ascii="宋体" w:hAnsi="宋体" w:eastAsia="宋体" w:cs="宋体"/>
          <w:color w:val="auto"/>
          <w:kern w:val="28"/>
          <w:sz w:val="24"/>
          <w:szCs w:val="24"/>
          <w:lang w:val="en-US" w:eastAsia="zh-CN"/>
        </w:rPr>
      </w:pPr>
      <w:r>
        <w:rPr>
          <w:rFonts w:hint="eastAsia" w:ascii="宋体" w:hAnsi="宋体" w:eastAsia="宋体" w:cs="宋体"/>
          <w:color w:val="auto"/>
          <w:kern w:val="28"/>
          <w:sz w:val="24"/>
          <w:szCs w:val="24"/>
          <w:lang w:val="en-US" w:eastAsia="zh-CN"/>
        </w:rPr>
        <w:t>简要技术需求或服务要求：详见“采购需求 ”</w:t>
      </w:r>
    </w:p>
    <w:p>
      <w:pPr>
        <w:spacing w:line="360" w:lineRule="auto"/>
        <w:ind w:firstLine="720" w:firstLineChars="300"/>
        <w:rPr>
          <w:rFonts w:hint="eastAsia" w:ascii="宋体" w:hAnsi="宋体" w:eastAsia="宋体" w:cs="宋体"/>
          <w:color w:val="auto"/>
          <w:kern w:val="28"/>
          <w:sz w:val="24"/>
          <w:szCs w:val="24"/>
        </w:rPr>
      </w:pPr>
      <w:r>
        <w:rPr>
          <w:rFonts w:hint="eastAsia" w:ascii="宋体" w:hAnsi="宋体" w:eastAsia="宋体" w:cs="宋体"/>
          <w:color w:val="auto"/>
          <w:kern w:val="28"/>
          <w:sz w:val="24"/>
          <w:szCs w:val="24"/>
          <w:lang w:eastAsia="zh-CN"/>
        </w:rPr>
        <w:t>（</w:t>
      </w:r>
      <w:r>
        <w:rPr>
          <w:rFonts w:hint="eastAsia" w:ascii="宋体" w:hAnsi="宋体" w:eastAsia="宋体" w:cs="宋体"/>
          <w:color w:val="auto"/>
          <w:kern w:val="28"/>
          <w:sz w:val="24"/>
          <w:szCs w:val="24"/>
          <w:lang w:val="en-US" w:eastAsia="zh-CN"/>
        </w:rPr>
        <w:t>4</w:t>
      </w:r>
      <w:r>
        <w:rPr>
          <w:rFonts w:hint="eastAsia" w:ascii="宋体" w:hAnsi="宋体" w:eastAsia="宋体" w:cs="宋体"/>
          <w:color w:val="auto"/>
          <w:kern w:val="28"/>
          <w:sz w:val="24"/>
          <w:szCs w:val="24"/>
          <w:lang w:eastAsia="zh-CN"/>
        </w:rPr>
        <w:t>）</w:t>
      </w:r>
      <w:r>
        <w:rPr>
          <w:rFonts w:hint="eastAsia" w:ascii="宋体" w:hAnsi="宋体" w:eastAsia="宋体" w:cs="宋体"/>
          <w:color w:val="auto"/>
          <w:kern w:val="28"/>
          <w:sz w:val="24"/>
          <w:szCs w:val="24"/>
        </w:rPr>
        <w:t>付款方式：签订合同后按照合同约定要求付款</w:t>
      </w:r>
    </w:p>
    <w:p>
      <w:pPr>
        <w:numPr>
          <w:ilvl w:val="0"/>
          <w:numId w:val="3"/>
        </w:numPr>
        <w:spacing w:line="360" w:lineRule="auto"/>
        <w:ind w:firstLine="480" w:firstLineChars="200"/>
        <w:rPr>
          <w:rFonts w:hint="eastAsia" w:ascii="宋体" w:hAnsi="宋体" w:eastAsia="宋体" w:cs="宋体"/>
          <w:color w:val="auto"/>
          <w:kern w:val="28"/>
          <w:sz w:val="24"/>
          <w:szCs w:val="24"/>
          <w:lang w:val="en-US" w:eastAsia="zh-CN"/>
        </w:rPr>
      </w:pPr>
      <w:r>
        <w:rPr>
          <w:rFonts w:hint="eastAsia" w:ascii="宋体" w:hAnsi="宋体" w:eastAsia="宋体" w:cs="宋体"/>
          <w:color w:val="auto"/>
          <w:kern w:val="28"/>
          <w:sz w:val="24"/>
          <w:szCs w:val="24"/>
          <w:lang w:val="en-US" w:eastAsia="zh-CN"/>
        </w:rPr>
        <w:t>合同履行期限（交货期）：自合同签订之日起</w:t>
      </w:r>
      <w:r>
        <w:rPr>
          <w:rFonts w:hint="eastAsia" w:ascii="宋体" w:hAnsi="宋体" w:cs="宋体"/>
          <w:color w:val="auto"/>
          <w:kern w:val="28"/>
          <w:sz w:val="24"/>
          <w:szCs w:val="24"/>
          <w:lang w:val="en-US" w:eastAsia="zh-CN"/>
        </w:rPr>
        <w:t>1</w:t>
      </w:r>
      <w:r>
        <w:rPr>
          <w:rFonts w:hint="eastAsia" w:ascii="宋体" w:hAnsi="宋体" w:eastAsia="宋体" w:cs="宋体"/>
          <w:color w:val="auto"/>
          <w:kern w:val="28"/>
          <w:sz w:val="24"/>
          <w:szCs w:val="24"/>
          <w:lang w:val="en-US" w:eastAsia="zh-CN"/>
        </w:rPr>
        <w:t>5天内</w:t>
      </w:r>
    </w:p>
    <w:p>
      <w:pPr>
        <w:pStyle w:val="9"/>
        <w:numPr>
          <w:ilvl w:val="0"/>
          <w:numId w:val="3"/>
        </w:numPr>
        <w:ind w:left="0" w:leftChars="0"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质保期：自交货验收合格之日起1年</w:t>
      </w:r>
    </w:p>
    <w:p>
      <w:pPr>
        <w:pStyle w:val="9"/>
        <w:numPr>
          <w:ilvl w:val="0"/>
          <w:numId w:val="3"/>
        </w:numPr>
        <w:ind w:left="0" w:leftChars="0"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w:t>
      </w:r>
    </w:p>
    <w:p>
      <w:pPr>
        <w:snapToGrid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二、</w:t>
      </w:r>
      <w:r>
        <w:rPr>
          <w:rFonts w:hint="eastAsia" w:ascii="宋体" w:hAnsi="宋体" w:eastAsia="宋体" w:cs="宋体"/>
          <w:b/>
          <w:color w:val="auto"/>
          <w:sz w:val="24"/>
          <w:szCs w:val="24"/>
          <w:lang w:val="en-US" w:eastAsia="zh-CN"/>
        </w:rPr>
        <w:t>申请人</w:t>
      </w:r>
      <w:r>
        <w:rPr>
          <w:rFonts w:hint="eastAsia" w:ascii="宋体" w:hAnsi="宋体" w:eastAsia="宋体" w:cs="宋体"/>
          <w:b/>
          <w:color w:val="auto"/>
          <w:sz w:val="24"/>
          <w:szCs w:val="24"/>
        </w:rPr>
        <w:t>资格要求：</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在中华人民共和国注册的、具有独立承担民事责任能力的法人（提供营业执照副本、税务登记证副本和组织机构代码证。“一照三号”或“一照一码”的营业执照副本也视为同等有效证明证件复印件加盖公章）；</w:t>
      </w:r>
    </w:p>
    <w:p>
      <w:pPr>
        <w:widowControl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1.2.具有履行合同所必需的设备和专业</w:t>
      </w:r>
      <w:r>
        <w:rPr>
          <w:rFonts w:hint="eastAsia" w:ascii="宋体" w:hAnsi="宋体" w:cs="宋体"/>
          <w:color w:val="auto"/>
          <w:sz w:val="24"/>
          <w:szCs w:val="24"/>
          <w:lang w:val="en-US" w:eastAsia="zh-CN"/>
        </w:rPr>
        <w:t>售后</w:t>
      </w:r>
      <w:r>
        <w:rPr>
          <w:rFonts w:hint="eastAsia" w:ascii="宋体" w:hAnsi="宋体" w:eastAsia="宋体" w:cs="宋体"/>
          <w:color w:val="auto"/>
          <w:sz w:val="24"/>
          <w:szCs w:val="24"/>
        </w:rPr>
        <w:t>技术能力</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提供承诺函</w:t>
      </w:r>
      <w:r>
        <w:rPr>
          <w:rFonts w:hint="eastAsia" w:ascii="宋体" w:hAnsi="宋体" w:cs="宋体"/>
          <w:color w:val="auto"/>
          <w:sz w:val="24"/>
          <w:szCs w:val="24"/>
          <w:lang w:eastAsia="zh-CN"/>
        </w:rPr>
        <w:t>）</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具有良好的商业信誉和健全的财务会计制度[提供2020年至今任意1个月或季度的企业出具的财务报表</w:t>
      </w:r>
      <w:r>
        <w:rPr>
          <w:rFonts w:hint="eastAsia" w:ascii="宋体" w:hAnsi="宋体" w:eastAsia="宋体" w:cs="宋体"/>
          <w:color w:val="auto"/>
          <w:sz w:val="24"/>
          <w:szCs w:val="24"/>
          <w:lang w:val="en-GB"/>
        </w:rPr>
        <w:t>复印件加盖公章</w:t>
      </w:r>
      <w:r>
        <w:rPr>
          <w:rFonts w:hint="eastAsia" w:ascii="宋体" w:hAnsi="宋体" w:eastAsia="宋体" w:cs="宋体"/>
          <w:color w:val="auto"/>
          <w:sz w:val="24"/>
          <w:szCs w:val="24"/>
        </w:rPr>
        <w:t>]；</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.有依法缴纳税收和社会保障资金的良好记录（提供2020年至今任意1个月的纳税、社保缴纳记录凭证</w:t>
      </w:r>
      <w:r>
        <w:rPr>
          <w:rFonts w:hint="eastAsia" w:ascii="宋体" w:hAnsi="宋体" w:eastAsia="宋体" w:cs="宋体"/>
          <w:color w:val="auto"/>
          <w:sz w:val="24"/>
          <w:szCs w:val="24"/>
          <w:lang w:val="en-GB"/>
        </w:rPr>
        <w:t>复印件加盖公章</w:t>
      </w:r>
      <w:r>
        <w:rPr>
          <w:rFonts w:hint="eastAsia" w:ascii="宋体" w:hAnsi="宋体" w:eastAsia="宋体" w:cs="宋体"/>
          <w:color w:val="auto"/>
          <w:sz w:val="24"/>
          <w:szCs w:val="24"/>
        </w:rPr>
        <w:t>）；</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.参加政府采购活动前三年内，在经营活动中没有重大违法记录（提供声明函加盖公章）；</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.供应商必须为未被列入“信用中国”网站(www.creditchina.gov.cn)失信被执行人、政府采购严重违法失信名单、重大税收违法案件当事人名单和中国政府采购网( www.ccgp.gov.cn ) 的“政府采购严重违法失信行为记录名单”的供应商；（提供查询结果的网页打印件加盖公章。查询截止时间：自公告发布之日起至响应文件递交截止时间前）；</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.供应商必须对本项目内所有的内容进行响应，不允许只对其中部分内容进行响应，否则响应文件将被拒绝；</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.必须符合法律、行政法规规定的其他条件；</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.购买本项目</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文件并缴纳响应保证金；</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.本项目不接受联合体响应且不允许转包、分包。</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2.落实政府采购政策需满足的资格要求：本项目支持小微企业，监狱企业、残疾人福利性单位发展等相关扶持政策，详见</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文件。</w:t>
      </w:r>
    </w:p>
    <w:p>
      <w:pPr>
        <w:widowControl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3.本项目的特定资格要求：供应商具有医疗器械生产（或经营）许可证（提供许可证复印件加盖公章）。</w:t>
      </w:r>
    </w:p>
    <w:p>
      <w:pPr>
        <w:widowControl/>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val="en-US" w:eastAsia="zh-CN"/>
        </w:rPr>
        <w:t>三</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获取采购文件</w:t>
      </w:r>
    </w:p>
    <w:p>
      <w:pPr>
        <w:numPr>
          <w:ilvl w:val="0"/>
          <w:numId w:val="1"/>
        </w:numPr>
        <w:tabs>
          <w:tab w:val="left" w:pos="4680"/>
        </w:tabs>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时间：20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1</w:t>
      </w:r>
      <w:r>
        <w:rPr>
          <w:rFonts w:hint="eastAsia" w:ascii="宋体" w:hAnsi="宋体" w:eastAsia="宋体" w:cs="宋体"/>
          <w:color w:val="auto"/>
          <w:sz w:val="24"/>
        </w:rPr>
        <w:t>月</w:t>
      </w:r>
      <w:r>
        <w:rPr>
          <w:rFonts w:hint="eastAsia" w:ascii="宋体" w:hAnsi="宋体" w:cs="宋体"/>
          <w:color w:val="auto"/>
          <w:sz w:val="24"/>
          <w:lang w:eastAsia="zh-CN"/>
        </w:rPr>
        <w:t>20</w:t>
      </w:r>
      <w:r>
        <w:rPr>
          <w:rFonts w:hint="eastAsia" w:ascii="宋体" w:hAnsi="宋体" w:eastAsia="宋体" w:cs="宋体"/>
          <w:color w:val="auto"/>
          <w:sz w:val="24"/>
        </w:rPr>
        <w:t>日至20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cs="宋体"/>
          <w:color w:val="auto"/>
          <w:sz w:val="24"/>
          <w:lang w:val="en-US" w:eastAsia="zh-CN"/>
        </w:rPr>
        <w:t>11月24日</w:t>
      </w:r>
      <w:r>
        <w:rPr>
          <w:rFonts w:hint="eastAsia" w:ascii="宋体" w:hAnsi="宋体" w:eastAsia="宋体" w:cs="宋体"/>
          <w:color w:val="auto"/>
          <w:sz w:val="24"/>
          <w:lang w:eastAsia="zh-CN"/>
        </w:rPr>
        <w:t>，</w:t>
      </w:r>
      <w:r>
        <w:rPr>
          <w:rFonts w:hint="eastAsia" w:ascii="宋体" w:hAnsi="宋体" w:eastAsia="宋体" w:cs="宋体"/>
          <w:color w:val="auto"/>
          <w:sz w:val="24"/>
          <w:szCs w:val="24"/>
        </w:rPr>
        <w:t>每天上午</w:t>
      </w:r>
      <w:r>
        <w:rPr>
          <w:rFonts w:hint="eastAsia" w:ascii="宋体" w:hAnsi="宋体" w:eastAsia="宋体" w:cs="宋体"/>
          <w:color w:val="auto"/>
          <w:sz w:val="24"/>
          <w:szCs w:val="24"/>
          <w:u w:val="single"/>
        </w:rPr>
        <w:t>08:30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12:00</w:t>
      </w:r>
      <w:r>
        <w:rPr>
          <w:rFonts w:hint="eastAsia" w:ascii="宋体" w:hAnsi="宋体" w:eastAsia="宋体" w:cs="宋体"/>
          <w:color w:val="auto"/>
          <w:sz w:val="24"/>
          <w:szCs w:val="24"/>
        </w:rPr>
        <w:t>，下午</w:t>
      </w:r>
      <w:r>
        <w:rPr>
          <w:rFonts w:hint="eastAsia" w:ascii="宋体" w:hAnsi="宋体" w:eastAsia="宋体" w:cs="宋体"/>
          <w:color w:val="auto"/>
          <w:sz w:val="24"/>
          <w:szCs w:val="24"/>
          <w:u w:val="single"/>
        </w:rPr>
        <w:t>14:30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17</w:t>
      </w:r>
      <w:r>
        <w:rPr>
          <w:rFonts w:hint="eastAsia" w:ascii="宋体" w:hAnsi="宋体" w:cs="宋体"/>
          <w:color w:val="auto"/>
          <w:sz w:val="24"/>
          <w:szCs w:val="24"/>
          <w:u w:val="single"/>
          <w:lang w:val="en-US" w:eastAsia="zh-CN"/>
        </w:rPr>
        <w:t>:</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（北京时间，法定节假日除外 ）</w:t>
      </w:r>
    </w:p>
    <w:p>
      <w:pPr>
        <w:numPr>
          <w:ilvl w:val="0"/>
          <w:numId w:val="1"/>
        </w:numPr>
        <w:tabs>
          <w:tab w:val="left" w:pos="4680"/>
        </w:tabs>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地点：</w:t>
      </w:r>
      <w:r>
        <w:rPr>
          <w:rFonts w:hint="eastAsia" w:ascii="宋体" w:hAnsi="宋体" w:eastAsia="宋体" w:cs="宋体"/>
          <w:bCs/>
          <w:color w:val="auto"/>
          <w:sz w:val="24"/>
        </w:rPr>
        <w:t>海口市美兰区五指山路16-3号康业花园西湖苑G栋2A</w:t>
      </w:r>
      <w:r>
        <w:rPr>
          <w:rFonts w:hint="eastAsia" w:ascii="宋体" w:hAnsi="宋体" w:eastAsia="宋体" w:cs="宋体"/>
          <w:color w:val="auto"/>
          <w:sz w:val="24"/>
          <w:szCs w:val="24"/>
        </w:rPr>
        <w:t>；</w:t>
      </w:r>
    </w:p>
    <w:p>
      <w:pPr>
        <w:widowControl w:val="0"/>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rPr>
        <w:t>3、方式：</w:t>
      </w:r>
      <w:r>
        <w:rPr>
          <w:rFonts w:hint="eastAsia" w:ascii="宋体" w:hAnsi="宋体" w:eastAsia="宋体" w:cs="宋体"/>
          <w:color w:val="auto"/>
          <w:sz w:val="24"/>
          <w:szCs w:val="24"/>
        </w:rPr>
        <w:t>现场报名购买，购买文件时必须出示介绍信原件（含法人及被委托人身份证复印件</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及申请人资格要求的资料</w:t>
      </w:r>
      <w:r>
        <w:rPr>
          <w:rFonts w:hint="eastAsia" w:ascii="宋体" w:hAnsi="宋体" w:eastAsia="宋体" w:cs="宋体"/>
          <w:color w:val="auto"/>
          <w:sz w:val="24"/>
          <w:szCs w:val="24"/>
        </w:rPr>
        <w:t>复印件加盖公章</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原件核</w:t>
      </w:r>
      <w:r>
        <w:rPr>
          <w:rFonts w:hint="eastAsia" w:ascii="宋体" w:hAnsi="宋体" w:cs="宋体"/>
          <w:color w:val="auto"/>
          <w:sz w:val="24"/>
          <w:szCs w:val="24"/>
          <w:lang w:val="en-US" w:eastAsia="zh-CN"/>
        </w:rPr>
        <w:t>验</w:t>
      </w:r>
      <w:r>
        <w:rPr>
          <w:rFonts w:hint="eastAsia" w:ascii="宋体" w:hAnsi="宋体" w:cs="宋体"/>
          <w:color w:val="auto"/>
          <w:sz w:val="24"/>
          <w:szCs w:val="24"/>
          <w:lang w:val="en-US" w:eastAsia="zh-CN"/>
        </w:rPr>
        <w:t>。</w:t>
      </w:r>
    </w:p>
    <w:p>
      <w:pPr>
        <w:tabs>
          <w:tab w:val="left" w:pos="4680"/>
        </w:tabs>
        <w:snapToGrid w:val="0"/>
        <w:spacing w:line="360" w:lineRule="auto"/>
        <w:ind w:left="426"/>
        <w:rPr>
          <w:rFonts w:hint="eastAsia" w:ascii="宋体" w:hAnsi="宋体" w:eastAsia="宋体" w:cs="宋体"/>
          <w:color w:val="auto"/>
          <w:kern w:val="0"/>
          <w:sz w:val="24"/>
        </w:rPr>
      </w:pPr>
      <w:r>
        <w:rPr>
          <w:rFonts w:hint="eastAsia" w:ascii="宋体" w:hAnsi="宋体" w:eastAsia="宋体" w:cs="宋体"/>
          <w:color w:val="auto"/>
          <w:sz w:val="24"/>
        </w:rPr>
        <w:t>4、售  价：</w:t>
      </w:r>
      <w:r>
        <w:rPr>
          <w:rFonts w:hint="eastAsia" w:ascii="宋体" w:hAnsi="宋体" w:eastAsia="宋体" w:cs="宋体"/>
          <w:color w:val="auto"/>
          <w:kern w:val="0"/>
          <w:sz w:val="24"/>
        </w:rPr>
        <w:t>人民币300元/套（售后不退）</w:t>
      </w:r>
    </w:p>
    <w:p>
      <w:pPr>
        <w:tabs>
          <w:tab w:val="left" w:pos="4680"/>
        </w:tabs>
        <w:snapToGrid w:val="0"/>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四</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响应文件提交</w:t>
      </w:r>
    </w:p>
    <w:p>
      <w:pPr>
        <w:pageBreakBefore w:val="0"/>
        <w:widowControl w:val="0"/>
        <w:tabs>
          <w:tab w:val="left" w:pos="468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截止</w:t>
      </w:r>
      <w:r>
        <w:rPr>
          <w:rFonts w:hint="eastAsia" w:ascii="宋体" w:hAnsi="宋体" w:eastAsia="宋体" w:cs="宋体"/>
          <w:color w:val="auto"/>
          <w:sz w:val="24"/>
        </w:rPr>
        <w:t>时间：20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cs="宋体"/>
          <w:color w:val="auto"/>
          <w:sz w:val="24"/>
          <w:lang w:val="en-US" w:eastAsia="zh-CN"/>
        </w:rPr>
        <w:t>11月25日</w:t>
      </w:r>
      <w:r>
        <w:rPr>
          <w:rFonts w:hint="eastAsia" w:ascii="宋体" w:hAnsi="宋体" w:eastAsia="宋体" w:cs="宋体"/>
          <w:color w:val="auto"/>
          <w:sz w:val="24"/>
          <w:lang w:val="en-US" w:eastAsia="zh-CN"/>
        </w:rPr>
        <w:t>15</w:t>
      </w:r>
      <w:r>
        <w:rPr>
          <w:rFonts w:hint="eastAsia" w:ascii="宋体" w:hAnsi="宋体" w:eastAsia="宋体" w:cs="宋体"/>
          <w:color w:val="auto"/>
          <w:sz w:val="24"/>
        </w:rPr>
        <w:t>:</w:t>
      </w:r>
      <w:r>
        <w:rPr>
          <w:rFonts w:hint="eastAsia" w:ascii="宋体" w:hAnsi="宋体" w:cs="宋体"/>
          <w:color w:val="auto"/>
          <w:sz w:val="24"/>
          <w:lang w:eastAsia="zh-CN"/>
        </w:rPr>
        <w:t>00</w:t>
      </w:r>
      <w:r>
        <w:rPr>
          <w:rFonts w:hint="eastAsia" w:ascii="宋体" w:hAnsi="宋体" w:eastAsia="宋体" w:cs="宋体"/>
          <w:bCs/>
          <w:color w:val="auto"/>
          <w:sz w:val="24"/>
          <w:szCs w:val="24"/>
        </w:rPr>
        <w:t>（北京时间）</w:t>
      </w:r>
      <w:r>
        <w:rPr>
          <w:rFonts w:hint="eastAsia" w:ascii="宋体" w:hAnsi="宋体" w:eastAsia="宋体" w:cs="宋体"/>
          <w:color w:val="auto"/>
          <w:sz w:val="24"/>
        </w:rPr>
        <w:t>；</w:t>
      </w:r>
    </w:p>
    <w:p>
      <w:pPr>
        <w:pageBreakBefore w:val="0"/>
        <w:widowControl w:val="0"/>
        <w:tabs>
          <w:tab w:val="left" w:pos="468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2、地点：</w:t>
      </w:r>
      <w:r>
        <w:rPr>
          <w:rFonts w:hint="eastAsia" w:ascii="宋体" w:hAnsi="宋体" w:eastAsia="宋体" w:cs="宋体"/>
          <w:bCs/>
          <w:color w:val="auto"/>
          <w:sz w:val="24"/>
        </w:rPr>
        <w:t>海口市美兰区五指山路16-3号康业花园西湖苑G栋2A</w:t>
      </w:r>
      <w:r>
        <w:rPr>
          <w:rFonts w:hint="eastAsia" w:ascii="宋体" w:hAnsi="宋体" w:eastAsia="宋体" w:cs="宋体"/>
          <w:bCs/>
          <w:color w:val="auto"/>
          <w:sz w:val="24"/>
          <w:lang w:val="en-US" w:eastAsia="zh-CN"/>
        </w:rPr>
        <w:t>会议室</w:t>
      </w:r>
      <w:r>
        <w:rPr>
          <w:rFonts w:hint="eastAsia" w:ascii="宋体" w:hAnsi="宋体" w:eastAsia="宋体" w:cs="宋体"/>
          <w:color w:val="auto"/>
          <w:sz w:val="24"/>
        </w:rPr>
        <w:t>；</w:t>
      </w:r>
    </w:p>
    <w:p>
      <w:pPr>
        <w:pStyle w:val="2"/>
        <w:pageBreakBefore w:val="0"/>
        <w:widowControl w:val="0"/>
        <w:kinsoku/>
        <w:wordWrap/>
        <w:overflowPunct/>
        <w:topLinePunct w:val="0"/>
        <w:autoSpaceDE/>
        <w:autoSpaceDN/>
        <w:bidi w:val="0"/>
        <w:adjustRightInd/>
        <w:spacing w:before="0" w:after="0" w:line="360" w:lineRule="auto"/>
        <w:jc w:val="both"/>
        <w:textAlignment w:val="auto"/>
        <w:rPr>
          <w:rFonts w:hint="eastAsia" w:ascii="宋体" w:hAnsi="宋体" w:eastAsia="宋体" w:cs="宋体"/>
          <w:bCs w:val="0"/>
          <w:color w:val="auto"/>
          <w:sz w:val="24"/>
          <w:szCs w:val="24"/>
        </w:rPr>
      </w:pPr>
      <w:bookmarkStart w:id="2" w:name="_Toc27450"/>
      <w:bookmarkStart w:id="3" w:name="_Toc35393802"/>
      <w:bookmarkStart w:id="4" w:name="_Toc35393633"/>
      <w:bookmarkStart w:id="5" w:name="_Toc28359093"/>
      <w:bookmarkStart w:id="6" w:name="_Toc30953"/>
      <w:bookmarkStart w:id="7" w:name="_Toc28359016"/>
      <w:r>
        <w:rPr>
          <w:rFonts w:hint="eastAsia" w:ascii="宋体" w:hAnsi="宋体" w:eastAsia="宋体" w:cs="宋体"/>
          <w:bCs w:val="0"/>
          <w:color w:val="auto"/>
          <w:sz w:val="24"/>
          <w:szCs w:val="24"/>
        </w:rPr>
        <w:t>五、开启</w:t>
      </w:r>
      <w:bookmarkEnd w:id="2"/>
      <w:bookmarkEnd w:id="3"/>
      <w:bookmarkEnd w:id="4"/>
      <w:bookmarkEnd w:id="5"/>
      <w:bookmarkEnd w:id="6"/>
      <w:bookmarkEnd w:id="7"/>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时间：</w:t>
      </w:r>
      <w:r>
        <w:rPr>
          <w:rFonts w:hint="eastAsia" w:ascii="宋体" w:hAnsi="宋体" w:cs="宋体"/>
          <w:color w:val="auto"/>
          <w:sz w:val="24"/>
          <w:lang w:eastAsia="zh-CN"/>
        </w:rPr>
        <w:t>2020年11月25日15:00</w:t>
      </w:r>
      <w:r>
        <w:rPr>
          <w:rFonts w:hint="eastAsia" w:ascii="宋体" w:hAnsi="宋体" w:eastAsia="宋体" w:cs="宋体"/>
          <w:bCs/>
          <w:color w:val="auto"/>
          <w:sz w:val="24"/>
          <w:szCs w:val="24"/>
        </w:rPr>
        <w:t>（北京时间）；</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2、地点：海口市美兰区五指山路16-3号康业花园西湖苑G栋2A</w:t>
      </w:r>
      <w:r>
        <w:rPr>
          <w:rFonts w:hint="eastAsia" w:ascii="宋体" w:hAnsi="宋体" w:eastAsia="宋体" w:cs="宋体"/>
          <w:color w:val="auto"/>
          <w:sz w:val="24"/>
          <w:szCs w:val="24"/>
          <w:lang w:val="en-US" w:eastAsia="zh-CN"/>
        </w:rPr>
        <w:t>会议室</w:t>
      </w:r>
    </w:p>
    <w:p>
      <w:pPr>
        <w:pStyle w:val="2"/>
        <w:pageBreakBefore w:val="0"/>
        <w:widowControl w:val="0"/>
        <w:kinsoku/>
        <w:wordWrap/>
        <w:overflowPunct/>
        <w:topLinePunct w:val="0"/>
        <w:autoSpaceDE/>
        <w:autoSpaceDN/>
        <w:bidi w:val="0"/>
        <w:adjustRightInd/>
        <w:spacing w:before="0" w:after="0" w:line="360" w:lineRule="auto"/>
        <w:jc w:val="both"/>
        <w:textAlignment w:val="auto"/>
        <w:rPr>
          <w:rFonts w:hint="eastAsia" w:ascii="宋体" w:hAnsi="宋体" w:eastAsia="宋体" w:cs="宋体"/>
          <w:bCs w:val="0"/>
          <w:color w:val="auto"/>
          <w:sz w:val="24"/>
          <w:szCs w:val="24"/>
        </w:rPr>
      </w:pPr>
      <w:bookmarkStart w:id="8" w:name="_Toc12163"/>
      <w:bookmarkStart w:id="9" w:name="_Toc35393634"/>
      <w:bookmarkStart w:id="10" w:name="_Toc28359017"/>
      <w:bookmarkStart w:id="11" w:name="_Toc28359094"/>
      <w:bookmarkStart w:id="12" w:name="_Toc3470"/>
      <w:bookmarkStart w:id="13" w:name="_Toc35393803"/>
      <w:r>
        <w:rPr>
          <w:rFonts w:hint="eastAsia" w:ascii="宋体" w:hAnsi="宋体" w:eastAsia="宋体" w:cs="宋体"/>
          <w:bCs w:val="0"/>
          <w:color w:val="auto"/>
          <w:sz w:val="24"/>
          <w:szCs w:val="24"/>
        </w:rPr>
        <w:t>六、公告期限</w:t>
      </w:r>
      <w:bookmarkEnd w:id="8"/>
      <w:bookmarkEnd w:id="9"/>
      <w:bookmarkEnd w:id="10"/>
      <w:bookmarkEnd w:id="11"/>
      <w:bookmarkEnd w:id="12"/>
      <w:bookmarkEnd w:id="13"/>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自本公告发布之日起3个工作日。</w:t>
      </w:r>
      <w:bookmarkStart w:id="14" w:name="_Toc35393635"/>
      <w:bookmarkStart w:id="15" w:name="_Toc35393804"/>
    </w:p>
    <w:p>
      <w:pPr>
        <w:widowControl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七、其他补充事宜</w:t>
      </w:r>
      <w:bookmarkEnd w:id="14"/>
      <w:bookmarkEnd w:id="15"/>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1、响应保证金金额：</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000.00元；</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2、保证金到账截止日期：</w:t>
      </w:r>
      <w:r>
        <w:rPr>
          <w:rFonts w:hint="eastAsia" w:ascii="宋体" w:hAnsi="宋体" w:cs="宋体"/>
          <w:color w:val="auto"/>
          <w:sz w:val="24"/>
          <w:szCs w:val="24"/>
          <w:lang w:eastAsia="zh-CN"/>
        </w:rPr>
        <w:t>2020年11月25日15:00</w:t>
      </w:r>
      <w:r>
        <w:rPr>
          <w:rFonts w:hint="eastAsia" w:ascii="宋体" w:hAnsi="宋体" w:eastAsia="宋体" w:cs="宋体"/>
          <w:color w:val="auto"/>
          <w:sz w:val="24"/>
          <w:szCs w:val="24"/>
        </w:rPr>
        <w:t>，保证金的支付形式：银行转账；</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3、逾期送达的或者未送达指定地点的</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人不予受理。</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4、公告发布媒介:</w:t>
      </w:r>
      <w:r>
        <w:rPr>
          <w:rFonts w:hint="eastAsia" w:ascii="宋体" w:hAnsi="宋体" w:eastAsia="宋体" w:cs="宋体"/>
          <w:color w:val="auto"/>
          <w:sz w:val="24"/>
          <w:szCs w:val="24"/>
          <w:lang w:val="en-US" w:eastAsia="zh-CN"/>
        </w:rPr>
        <w:t>中国</w:t>
      </w:r>
      <w:r>
        <w:rPr>
          <w:rFonts w:hint="eastAsia" w:ascii="宋体" w:hAnsi="宋体" w:cs="宋体"/>
          <w:color w:val="auto"/>
          <w:sz w:val="24"/>
          <w:szCs w:val="24"/>
          <w:lang w:val="en-US" w:eastAsia="zh-CN"/>
        </w:rPr>
        <w:t>海南</w:t>
      </w:r>
      <w:r>
        <w:rPr>
          <w:rFonts w:hint="eastAsia" w:ascii="宋体" w:hAnsi="宋体" w:eastAsia="宋体" w:cs="宋体"/>
          <w:color w:val="auto"/>
          <w:sz w:val="24"/>
          <w:szCs w:val="24"/>
          <w:lang w:val="en-US" w:eastAsia="zh-CN"/>
        </w:rPr>
        <w:t>政府采购网</w:t>
      </w:r>
      <w:r>
        <w:rPr>
          <w:rFonts w:hint="eastAsia" w:ascii="宋体" w:hAnsi="宋体" w:cs="宋体"/>
          <w:color w:val="auto"/>
          <w:sz w:val="24"/>
          <w:szCs w:val="24"/>
          <w:lang w:val="en-US" w:eastAsia="zh-CN"/>
        </w:rPr>
        <w:t>，全国公共资源交易平台（海南省）</w:t>
      </w:r>
      <w:r>
        <w:rPr>
          <w:rFonts w:hint="eastAsia" w:ascii="宋体" w:hAnsi="宋体" w:eastAsia="宋体" w:cs="宋体"/>
          <w:color w:val="auto"/>
          <w:sz w:val="24"/>
          <w:szCs w:val="24"/>
        </w:rPr>
        <w:t>。</w:t>
      </w:r>
    </w:p>
    <w:p>
      <w:pPr>
        <w:widowControl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5、供应商提问截止时间：2020年1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月</w:t>
      </w:r>
      <w:r>
        <w:rPr>
          <w:rFonts w:hint="eastAsia" w:ascii="宋体" w:hAnsi="宋体" w:cs="宋体"/>
          <w:color w:val="auto"/>
          <w:sz w:val="24"/>
          <w:szCs w:val="24"/>
          <w:lang w:eastAsia="zh-CN"/>
        </w:rPr>
        <w:t>24</w:t>
      </w:r>
      <w:r>
        <w:rPr>
          <w:rFonts w:hint="eastAsia" w:ascii="宋体" w:hAnsi="宋体" w:eastAsia="宋体" w:cs="宋体"/>
          <w:color w:val="auto"/>
          <w:sz w:val="24"/>
          <w:szCs w:val="24"/>
        </w:rPr>
        <w:t>日 17:30:00（北京时间）。</w:t>
      </w:r>
    </w:p>
    <w:p>
      <w:pPr>
        <w:pStyle w:val="2"/>
        <w:spacing w:before="0" w:after="0" w:line="360" w:lineRule="auto"/>
        <w:jc w:val="both"/>
        <w:rPr>
          <w:rFonts w:hint="eastAsia" w:ascii="宋体" w:hAnsi="宋体" w:eastAsia="宋体" w:cs="宋体"/>
          <w:bCs w:val="0"/>
          <w:color w:val="auto"/>
          <w:sz w:val="24"/>
          <w:szCs w:val="24"/>
        </w:rPr>
      </w:pPr>
      <w:bookmarkStart w:id="16" w:name="_Toc17417"/>
      <w:bookmarkStart w:id="17" w:name="_Toc23395"/>
      <w:bookmarkStart w:id="18" w:name="_Toc28359095"/>
      <w:bookmarkStart w:id="19" w:name="_Toc28359018"/>
      <w:bookmarkStart w:id="20" w:name="_Toc35393636"/>
      <w:bookmarkStart w:id="21" w:name="_Toc35393805"/>
      <w:r>
        <w:rPr>
          <w:rFonts w:hint="eastAsia" w:ascii="宋体" w:hAnsi="宋体" w:eastAsia="宋体" w:cs="宋体"/>
          <w:bCs w:val="0"/>
          <w:color w:val="auto"/>
          <w:sz w:val="24"/>
          <w:szCs w:val="24"/>
        </w:rPr>
        <w:t>八、凡对本次采购提出询问，请按以下方式联系</w:t>
      </w:r>
      <w:bookmarkEnd w:id="16"/>
      <w:bookmarkEnd w:id="17"/>
      <w:bookmarkEnd w:id="18"/>
      <w:bookmarkEnd w:id="19"/>
      <w:bookmarkEnd w:id="20"/>
      <w:bookmarkEnd w:id="21"/>
    </w:p>
    <w:p>
      <w:pPr>
        <w:pStyle w:val="2"/>
        <w:spacing w:before="0" w:after="0" w:line="360" w:lineRule="auto"/>
        <w:ind w:firstLine="482" w:firstLineChars="200"/>
        <w:jc w:val="both"/>
        <w:rPr>
          <w:rFonts w:hint="eastAsia" w:ascii="宋体" w:hAnsi="宋体" w:eastAsia="宋体" w:cs="宋体"/>
          <w:b/>
          <w:bCs w:val="0"/>
          <w:color w:val="auto"/>
          <w:sz w:val="24"/>
          <w:szCs w:val="24"/>
        </w:rPr>
      </w:pPr>
      <w:bookmarkStart w:id="22" w:name="_Toc35393806"/>
      <w:bookmarkStart w:id="23" w:name="_Toc27756"/>
      <w:bookmarkStart w:id="24" w:name="_Toc17635"/>
      <w:bookmarkStart w:id="25" w:name="_Toc35393637"/>
      <w:bookmarkStart w:id="26" w:name="_Toc28359096"/>
      <w:bookmarkStart w:id="27" w:name="_Toc28359019"/>
      <w:r>
        <w:rPr>
          <w:rFonts w:hint="eastAsia" w:ascii="宋体" w:hAnsi="宋体" w:eastAsia="宋体" w:cs="宋体"/>
          <w:b/>
          <w:bCs w:val="0"/>
          <w:color w:val="auto"/>
          <w:sz w:val="24"/>
          <w:szCs w:val="24"/>
        </w:rPr>
        <w:t>1.采购人信息</w:t>
      </w:r>
      <w:bookmarkEnd w:id="22"/>
      <w:bookmarkEnd w:id="23"/>
      <w:bookmarkEnd w:id="24"/>
      <w:bookmarkEnd w:id="25"/>
      <w:bookmarkEnd w:id="26"/>
      <w:bookmarkEnd w:id="27"/>
    </w:p>
    <w:p>
      <w:pPr>
        <w:widowControl w:val="0"/>
        <w:spacing w:line="360" w:lineRule="auto"/>
        <w:ind w:left="1079" w:leftChars="371" w:hanging="300" w:hangingChars="125"/>
        <w:rPr>
          <w:rFonts w:hint="eastAsia" w:ascii="宋体" w:hAnsi="宋体" w:eastAsia="宋体" w:cs="宋体"/>
          <w:color w:val="auto"/>
          <w:sz w:val="24"/>
          <w:szCs w:val="24"/>
        </w:rPr>
      </w:pPr>
      <w:r>
        <w:rPr>
          <w:rFonts w:hint="eastAsia" w:ascii="宋体" w:hAnsi="宋体" w:eastAsia="宋体" w:cs="宋体"/>
          <w:color w:val="auto"/>
          <w:sz w:val="24"/>
          <w:szCs w:val="24"/>
        </w:rPr>
        <w:t>名    称：陵水黎族自治县卫生健康委员会</w:t>
      </w:r>
    </w:p>
    <w:p>
      <w:pPr>
        <w:widowControl w:val="0"/>
        <w:spacing w:line="360" w:lineRule="auto"/>
        <w:ind w:left="1079" w:leftChars="371" w:hanging="300" w:hangingChars="125"/>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地    址：</w:t>
      </w:r>
      <w:r>
        <w:rPr>
          <w:rFonts w:hint="eastAsia" w:ascii="宋体" w:hAnsi="宋体" w:cs="宋体"/>
          <w:color w:val="auto"/>
          <w:sz w:val="24"/>
          <w:szCs w:val="24"/>
          <w:lang w:val="en-US" w:eastAsia="zh-CN"/>
        </w:rPr>
        <w:t>陵水黎族自治县椰林镇南干道第二办公区</w:t>
      </w:r>
    </w:p>
    <w:p>
      <w:pPr>
        <w:widowControl w:val="0"/>
        <w:spacing w:line="360" w:lineRule="auto"/>
        <w:ind w:left="1079" w:leftChars="371" w:hanging="300" w:hangingChars="125"/>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 系 人：</w:t>
      </w:r>
      <w:r>
        <w:rPr>
          <w:rFonts w:hint="eastAsia" w:ascii="宋体" w:hAnsi="宋体" w:cs="宋体"/>
          <w:color w:val="auto"/>
          <w:sz w:val="24"/>
          <w:szCs w:val="24"/>
          <w:lang w:val="en-US" w:eastAsia="zh-CN"/>
        </w:rPr>
        <w:t>周小姐、吴小姐</w:t>
      </w:r>
    </w:p>
    <w:p>
      <w:pPr>
        <w:widowControl w:val="0"/>
        <w:spacing w:line="360" w:lineRule="auto"/>
        <w:ind w:left="1079" w:leftChars="371" w:hanging="300" w:hangingChars="125"/>
        <w:rPr>
          <w:rFonts w:hint="eastAsia" w:ascii="宋体" w:hAnsi="宋体" w:eastAsia="宋体" w:cs="宋体"/>
          <w:b/>
          <w:bCs w:val="0"/>
          <w:color w:val="auto"/>
          <w:sz w:val="24"/>
          <w:szCs w:val="24"/>
        </w:rPr>
      </w:pPr>
      <w:r>
        <w:rPr>
          <w:rFonts w:hint="eastAsia" w:ascii="宋体" w:hAnsi="宋体" w:eastAsia="宋体" w:cs="宋体"/>
          <w:color w:val="auto"/>
          <w:sz w:val="24"/>
          <w:szCs w:val="24"/>
        </w:rPr>
        <w:t>联系方式：</w:t>
      </w:r>
      <w:r>
        <w:rPr>
          <w:rFonts w:hint="eastAsia" w:ascii="宋体" w:hAnsi="宋体" w:cs="宋体"/>
          <w:color w:val="auto"/>
          <w:sz w:val="24"/>
          <w:szCs w:val="24"/>
          <w:lang w:val="en-US" w:eastAsia="zh-CN"/>
        </w:rPr>
        <w:t>0898-83332848</w:t>
      </w:r>
    </w:p>
    <w:p>
      <w:pPr>
        <w:spacing w:line="360" w:lineRule="auto"/>
        <w:ind w:firstLine="482" w:firstLineChars="20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2.采购代理机构信息</w:t>
      </w:r>
    </w:p>
    <w:p>
      <w:pPr>
        <w:spacing w:line="360" w:lineRule="auto"/>
        <w:ind w:firstLine="787" w:firstLineChars="328"/>
        <w:rPr>
          <w:rFonts w:hint="eastAsia" w:ascii="宋体" w:hAnsi="宋体" w:eastAsia="宋体" w:cs="宋体"/>
          <w:bCs/>
          <w:color w:val="auto"/>
          <w:sz w:val="24"/>
        </w:rPr>
      </w:pPr>
      <w:r>
        <w:rPr>
          <w:rFonts w:hint="eastAsia" w:ascii="宋体" w:hAnsi="宋体" w:eastAsia="宋体" w:cs="宋体"/>
          <w:bCs/>
          <w:color w:val="auto"/>
          <w:sz w:val="24"/>
        </w:rPr>
        <w:t>名称：海南政辉招投标代理有限公司</w:t>
      </w:r>
    </w:p>
    <w:p>
      <w:pPr>
        <w:spacing w:line="360" w:lineRule="auto"/>
        <w:ind w:firstLine="787" w:firstLineChars="328"/>
        <w:rPr>
          <w:rFonts w:hint="eastAsia" w:ascii="宋体" w:hAnsi="宋体" w:eastAsia="宋体" w:cs="宋体"/>
          <w:bCs/>
          <w:color w:val="auto"/>
          <w:sz w:val="24"/>
        </w:rPr>
      </w:pPr>
      <w:r>
        <w:rPr>
          <w:rFonts w:hint="eastAsia" w:ascii="宋体" w:hAnsi="宋体" w:eastAsia="宋体" w:cs="宋体"/>
          <w:bCs/>
          <w:color w:val="auto"/>
          <w:sz w:val="24"/>
        </w:rPr>
        <w:t>地址：海口市美兰区五指山路16-3号康业花园西湖苑G栋2A</w:t>
      </w:r>
    </w:p>
    <w:p>
      <w:pPr>
        <w:spacing w:line="360" w:lineRule="auto"/>
        <w:ind w:firstLine="787" w:firstLineChars="328"/>
        <w:rPr>
          <w:rFonts w:hint="eastAsia" w:ascii="宋体" w:hAnsi="宋体" w:eastAsia="宋体" w:cs="宋体"/>
          <w:bCs/>
          <w:color w:val="auto"/>
          <w:sz w:val="24"/>
          <w:lang w:val="en-US" w:eastAsia="zh-CN"/>
        </w:rPr>
      </w:pPr>
      <w:r>
        <w:rPr>
          <w:rFonts w:hint="eastAsia" w:ascii="宋体" w:hAnsi="宋体" w:eastAsia="宋体" w:cs="宋体"/>
          <w:bCs/>
          <w:color w:val="auto"/>
          <w:sz w:val="24"/>
        </w:rPr>
        <w:t>联系人:</w:t>
      </w:r>
      <w:r>
        <w:rPr>
          <w:rFonts w:hint="eastAsia" w:ascii="宋体" w:hAnsi="宋体" w:eastAsia="宋体" w:cs="宋体"/>
          <w:bCs/>
          <w:color w:val="auto"/>
          <w:sz w:val="24"/>
          <w:lang w:val="en-US" w:eastAsia="zh-CN"/>
        </w:rPr>
        <w:t>毛工</w:t>
      </w:r>
    </w:p>
    <w:p>
      <w:pPr>
        <w:spacing w:line="360" w:lineRule="auto"/>
        <w:ind w:firstLine="787" w:firstLineChars="328"/>
        <w:rPr>
          <w:rFonts w:hint="eastAsia" w:ascii="宋体" w:hAnsi="宋体" w:eastAsia="宋体" w:cs="宋体"/>
          <w:color w:val="auto"/>
        </w:rPr>
      </w:pPr>
      <w:r>
        <w:rPr>
          <w:rFonts w:hint="eastAsia" w:ascii="宋体" w:hAnsi="宋体" w:eastAsia="宋体" w:cs="宋体"/>
          <w:bCs/>
          <w:color w:val="auto"/>
          <w:sz w:val="24"/>
          <w:lang w:val="en-US" w:eastAsia="zh-CN"/>
        </w:rPr>
        <w:t>联系方式</w:t>
      </w:r>
      <w:r>
        <w:rPr>
          <w:rFonts w:hint="eastAsia" w:ascii="宋体" w:hAnsi="宋体" w:eastAsia="宋体" w:cs="宋体"/>
          <w:bCs/>
          <w:color w:val="auto"/>
          <w:sz w:val="24"/>
        </w:rPr>
        <w:t xml:space="preserve">：0898-66557609  </w:t>
      </w:r>
    </w:p>
    <w:p>
      <w:pPr>
        <w:pStyle w:val="2"/>
        <w:spacing w:before="0" w:after="0" w:line="360" w:lineRule="auto"/>
        <w:ind w:firstLine="482" w:firstLineChars="200"/>
        <w:jc w:val="both"/>
        <w:rPr>
          <w:rFonts w:hint="eastAsia" w:ascii="宋体" w:hAnsi="宋体" w:eastAsia="宋体" w:cs="宋体"/>
          <w:bCs w:val="0"/>
          <w:color w:val="auto"/>
          <w:sz w:val="24"/>
          <w:szCs w:val="24"/>
        </w:rPr>
      </w:pPr>
      <w:bookmarkStart w:id="28" w:name="_Toc12359"/>
      <w:bookmarkStart w:id="29" w:name="_Toc28359098"/>
      <w:bookmarkStart w:id="30" w:name="_Toc35393639"/>
      <w:bookmarkStart w:id="31" w:name="_Toc35393808"/>
      <w:bookmarkStart w:id="32" w:name="_Toc8040"/>
      <w:bookmarkStart w:id="33" w:name="_Toc28359021"/>
      <w:r>
        <w:rPr>
          <w:rFonts w:hint="eastAsia" w:ascii="宋体" w:hAnsi="宋体" w:eastAsia="宋体" w:cs="宋体"/>
          <w:bCs w:val="0"/>
          <w:color w:val="auto"/>
          <w:sz w:val="24"/>
          <w:szCs w:val="24"/>
        </w:rPr>
        <w:t>3.项目联系方式</w:t>
      </w:r>
      <w:bookmarkEnd w:id="28"/>
      <w:bookmarkEnd w:id="29"/>
      <w:bookmarkEnd w:id="30"/>
      <w:bookmarkEnd w:id="31"/>
      <w:bookmarkEnd w:id="32"/>
      <w:bookmarkEnd w:id="33"/>
    </w:p>
    <w:p>
      <w:pPr>
        <w:pStyle w:val="11"/>
        <w:widowControl w:val="0"/>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项目联系人：</w:t>
      </w:r>
      <w:r>
        <w:rPr>
          <w:rFonts w:hint="eastAsia" w:ascii="宋体" w:hAnsi="宋体" w:eastAsia="宋体" w:cs="宋体"/>
          <w:bCs/>
          <w:color w:val="auto"/>
          <w:sz w:val="24"/>
          <w:lang w:val="en-US" w:eastAsia="zh-CN"/>
        </w:rPr>
        <w:t>毛工</w:t>
      </w:r>
    </w:p>
    <w:p>
      <w:pPr>
        <w:spacing w:line="360" w:lineRule="auto"/>
        <w:ind w:firstLine="720" w:firstLineChars="300"/>
        <w:rPr>
          <w:rFonts w:hint="eastAsia" w:ascii="宋体" w:hAnsi="宋体" w:eastAsia="宋体" w:cs="宋体"/>
          <w:bCs/>
          <w:color w:val="auto"/>
          <w:sz w:val="24"/>
        </w:rPr>
      </w:pPr>
      <w:r>
        <w:rPr>
          <w:rFonts w:hint="eastAsia" w:ascii="宋体" w:hAnsi="宋体" w:eastAsia="宋体" w:cs="宋体"/>
          <w:color w:val="auto"/>
          <w:sz w:val="24"/>
          <w:szCs w:val="24"/>
        </w:rPr>
        <w:t>电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话：</w:t>
      </w:r>
      <w:r>
        <w:rPr>
          <w:rFonts w:hint="eastAsia" w:ascii="宋体" w:hAnsi="宋体" w:eastAsia="宋体" w:cs="宋体"/>
          <w:bCs/>
          <w:color w:val="auto"/>
          <w:sz w:val="24"/>
        </w:rPr>
        <w:t xml:space="preserve">0898-66557609  </w:t>
      </w:r>
    </w:p>
    <w:p>
      <w:pPr>
        <w:spacing w:line="360" w:lineRule="auto"/>
        <w:ind w:firstLine="4382" w:firstLineChars="1826"/>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 xml:space="preserve"> </w:t>
      </w:r>
    </w:p>
    <w:p>
      <w:pPr>
        <w:spacing w:line="360" w:lineRule="auto"/>
        <w:ind w:firstLine="4382" w:firstLineChars="1826"/>
        <w:rPr>
          <w:rFonts w:hint="eastAsia" w:ascii="宋体" w:hAnsi="宋体" w:eastAsia="宋体" w:cs="宋体"/>
          <w:bCs/>
          <w:color w:val="auto"/>
          <w:sz w:val="24"/>
          <w:lang w:val="en-US" w:eastAsia="zh-CN"/>
        </w:rPr>
      </w:pPr>
    </w:p>
    <w:p>
      <w:pPr>
        <w:spacing w:line="360" w:lineRule="auto"/>
        <w:ind w:firstLine="4382" w:firstLineChars="1826"/>
        <w:rPr>
          <w:rFonts w:hint="eastAsia" w:ascii="宋体" w:hAnsi="宋体" w:eastAsia="宋体" w:cs="宋体"/>
          <w:bCs/>
          <w:color w:val="auto"/>
          <w:sz w:val="24"/>
          <w:lang w:val="en-US" w:eastAsia="zh-CN"/>
        </w:rPr>
      </w:pPr>
      <w:r>
        <w:rPr>
          <w:rFonts w:hint="eastAsia" w:ascii="宋体" w:hAnsi="宋体" w:eastAsia="宋体" w:cs="宋体"/>
          <w:bCs/>
          <w:color w:val="auto"/>
          <w:sz w:val="24"/>
        </w:rPr>
        <w:t>海南政辉招投标代理有限公司</w:t>
      </w:r>
      <w:r>
        <w:rPr>
          <w:rFonts w:hint="eastAsia" w:ascii="宋体" w:hAnsi="宋体" w:cs="宋体"/>
          <w:bCs/>
          <w:color w:val="auto"/>
          <w:sz w:val="24"/>
          <w:lang w:val="en-US" w:eastAsia="zh-CN"/>
        </w:rPr>
        <w:t xml:space="preserve"> </w:t>
      </w:r>
    </w:p>
    <w:p>
      <w:pPr>
        <w:spacing w:line="360" w:lineRule="auto"/>
        <w:ind w:right="480"/>
        <w:jc w:val="center"/>
        <w:rPr>
          <w:rFonts w:hint="eastAsia" w:ascii="宋体" w:hAnsi="宋体" w:eastAsia="宋体" w:cs="宋体"/>
          <w:color w:val="auto"/>
        </w:rPr>
      </w:pPr>
      <w:r>
        <w:rPr>
          <w:rFonts w:hint="eastAsia" w:ascii="宋体" w:hAnsi="宋体" w:eastAsia="宋体" w:cs="宋体"/>
          <w:bCs/>
          <w:color w:val="auto"/>
          <w:sz w:val="24"/>
        </w:rPr>
        <w:t xml:space="preserve">                                          20</w:t>
      </w:r>
      <w:r>
        <w:rPr>
          <w:rFonts w:hint="eastAsia" w:ascii="宋体" w:hAnsi="宋体" w:eastAsia="宋体" w:cs="宋体"/>
          <w:bCs/>
          <w:color w:val="auto"/>
          <w:sz w:val="24"/>
          <w:lang w:val="en-US" w:eastAsia="zh-CN"/>
        </w:rPr>
        <w:t>20</w:t>
      </w:r>
      <w:r>
        <w:rPr>
          <w:rFonts w:hint="eastAsia" w:ascii="宋体" w:hAnsi="宋体" w:eastAsia="宋体" w:cs="宋体"/>
          <w:bCs/>
          <w:color w:val="auto"/>
          <w:sz w:val="24"/>
        </w:rPr>
        <w:t>年</w:t>
      </w:r>
      <w:r>
        <w:rPr>
          <w:rFonts w:hint="eastAsia" w:ascii="宋体" w:hAnsi="宋体" w:eastAsia="宋体" w:cs="宋体"/>
          <w:bCs/>
          <w:color w:val="auto"/>
          <w:sz w:val="24"/>
          <w:lang w:val="en-US" w:eastAsia="zh-CN"/>
        </w:rPr>
        <w:t>1</w:t>
      </w:r>
      <w:r>
        <w:rPr>
          <w:rFonts w:hint="eastAsia" w:ascii="宋体" w:hAnsi="宋体" w:cs="宋体"/>
          <w:bCs/>
          <w:color w:val="auto"/>
          <w:sz w:val="24"/>
          <w:lang w:val="en-US" w:eastAsia="zh-CN"/>
        </w:rPr>
        <w:t>1</w:t>
      </w:r>
      <w:r>
        <w:rPr>
          <w:rFonts w:hint="eastAsia" w:ascii="宋体" w:hAnsi="宋体" w:eastAsia="宋体" w:cs="宋体"/>
          <w:bCs/>
          <w:color w:val="auto"/>
          <w:sz w:val="24"/>
        </w:rPr>
        <w:t>月</w:t>
      </w:r>
      <w:r>
        <w:rPr>
          <w:rFonts w:hint="eastAsia" w:ascii="宋体" w:hAnsi="宋体" w:cs="宋体"/>
          <w:bCs/>
          <w:color w:val="auto"/>
          <w:sz w:val="24"/>
          <w:lang w:eastAsia="zh-CN"/>
        </w:rPr>
        <w:t>19</w:t>
      </w:r>
      <w:r>
        <w:rPr>
          <w:rFonts w:hint="eastAsia" w:ascii="宋体" w:hAnsi="宋体" w:eastAsia="宋体" w:cs="宋体"/>
          <w:bCs/>
          <w:color w:val="auto"/>
          <w:sz w:val="24"/>
        </w:rPr>
        <w:t>日</w:t>
      </w:r>
    </w:p>
    <w:p>
      <w:pPr>
        <w:rPr>
          <w:rFonts w:hint="eastAsia"/>
          <w:color w:val="auto"/>
        </w:rPr>
      </w:pPr>
      <w:bookmarkStart w:id="34" w:name="_Toc23247"/>
      <w:r>
        <w:rPr>
          <w:rFonts w:hint="eastAsia"/>
          <w:color w:val="auto"/>
        </w:rPr>
        <w:br w:type="page"/>
      </w:r>
    </w:p>
    <w:p>
      <w:pPr>
        <w:pStyle w:val="3"/>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rPr>
        <w:t>第二章、谈判须知</w:t>
      </w:r>
      <w:bookmarkEnd w:id="34"/>
    </w:p>
    <w:p>
      <w:pPr>
        <w:pageBreakBefore w:val="0"/>
        <w:widowControl w:val="0"/>
        <w:kinsoku/>
        <w:wordWrap/>
        <w:overflowPunct/>
        <w:topLinePunct w:val="0"/>
        <w:autoSpaceDE/>
        <w:autoSpaceDN/>
        <w:bidi w:val="0"/>
        <w:adjustRightInd/>
        <w:snapToGrid/>
        <w:spacing w:before="120" w:after="240" w:line="240" w:lineRule="auto"/>
        <w:jc w:val="center"/>
        <w:textAlignment w:val="auto"/>
        <w:rPr>
          <w:rFonts w:hint="eastAsia" w:ascii="宋体" w:hAnsi="宋体" w:eastAsia="宋体" w:cs="宋体"/>
          <w:b/>
          <w:color w:val="auto"/>
          <w:sz w:val="24"/>
        </w:rPr>
      </w:pPr>
      <w:r>
        <w:rPr>
          <w:rFonts w:hint="eastAsia" w:ascii="宋体" w:hAnsi="宋体" w:eastAsia="宋体" w:cs="宋体"/>
          <w:b/>
          <w:color w:val="auto"/>
          <w:sz w:val="24"/>
        </w:rPr>
        <w:t>谈判须知前附表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“谈判须知前附表”用于进一步明确正文中的未尽事宜，由采购人根据项目的具体特点和实际需要编制和填写，如有与本章正文内容不一致的，以本表的内容为准。</w:t>
      </w:r>
    </w:p>
    <w:tbl>
      <w:tblPr>
        <w:tblStyle w:val="33"/>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blHeader/>
        </w:trPr>
        <w:tc>
          <w:tcPr>
            <w:tcW w:w="663" w:type="dxa"/>
            <w:vAlign w:val="center"/>
          </w:tcPr>
          <w:p>
            <w:pPr>
              <w:pStyle w:val="85"/>
              <w:spacing w:line="360" w:lineRule="auto"/>
              <w:ind w:left="9"/>
              <w:jc w:val="center"/>
              <w:rPr>
                <w:rFonts w:hint="eastAsia" w:ascii="宋体" w:hAnsi="宋体" w:eastAsia="宋体" w:cs="宋体"/>
                <w:b/>
                <w:color w:val="auto"/>
                <w:lang w:val="zh-CN"/>
              </w:rPr>
            </w:pPr>
            <w:r>
              <w:rPr>
                <w:rFonts w:hint="eastAsia" w:ascii="宋体" w:hAnsi="宋体" w:eastAsia="宋体" w:cs="宋体"/>
                <w:b/>
                <w:color w:val="auto"/>
                <w:lang w:val="zh-CN"/>
              </w:rPr>
              <w:t xml:space="preserve">序号 </w:t>
            </w:r>
          </w:p>
        </w:tc>
        <w:tc>
          <w:tcPr>
            <w:tcW w:w="2360" w:type="dxa"/>
            <w:vAlign w:val="center"/>
          </w:tcPr>
          <w:p>
            <w:pPr>
              <w:pStyle w:val="85"/>
              <w:spacing w:line="360" w:lineRule="auto"/>
              <w:jc w:val="center"/>
              <w:rPr>
                <w:rFonts w:hint="eastAsia" w:ascii="宋体" w:hAnsi="宋体" w:eastAsia="宋体" w:cs="宋体"/>
                <w:b/>
                <w:color w:val="auto"/>
                <w:lang w:val="zh-CN"/>
              </w:rPr>
            </w:pPr>
            <w:r>
              <w:rPr>
                <w:rFonts w:hint="eastAsia" w:ascii="宋体" w:hAnsi="宋体" w:eastAsia="宋体" w:cs="宋体"/>
                <w:b/>
                <w:color w:val="auto"/>
                <w:lang w:val="zh-CN"/>
              </w:rPr>
              <w:t>内容</w:t>
            </w:r>
          </w:p>
        </w:tc>
        <w:tc>
          <w:tcPr>
            <w:tcW w:w="5954" w:type="dxa"/>
            <w:vAlign w:val="center"/>
          </w:tcPr>
          <w:p>
            <w:pPr>
              <w:pStyle w:val="85"/>
              <w:spacing w:line="360" w:lineRule="auto"/>
              <w:jc w:val="center"/>
              <w:rPr>
                <w:rFonts w:hint="eastAsia" w:ascii="宋体" w:hAnsi="宋体" w:eastAsia="宋体" w:cs="宋体"/>
                <w:b/>
                <w:color w:val="auto"/>
                <w:lang w:val="zh-CN"/>
              </w:rPr>
            </w:pPr>
            <w:r>
              <w:rPr>
                <w:rFonts w:hint="eastAsia" w:ascii="宋体" w:hAnsi="宋体" w:eastAsia="宋体" w:cs="宋体"/>
                <w:b/>
                <w:color w:val="auto"/>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trPr>
        <w:tc>
          <w:tcPr>
            <w:tcW w:w="663" w:type="dxa"/>
            <w:vAlign w:val="center"/>
          </w:tcPr>
          <w:p>
            <w:pPr>
              <w:pStyle w:val="85"/>
              <w:spacing w:line="360" w:lineRule="auto"/>
              <w:ind w:left="9" w:firstLine="240" w:firstLineChars="100"/>
              <w:jc w:val="both"/>
              <w:rPr>
                <w:rFonts w:hint="eastAsia" w:ascii="宋体" w:hAnsi="宋体" w:eastAsia="宋体" w:cs="宋体"/>
                <w:color w:val="auto"/>
              </w:rPr>
            </w:pPr>
            <w:r>
              <w:rPr>
                <w:rFonts w:hint="eastAsia" w:ascii="宋体" w:hAnsi="宋体" w:eastAsia="宋体" w:cs="宋体"/>
                <w:color w:val="auto"/>
              </w:rPr>
              <w:t>1</w:t>
            </w:r>
          </w:p>
        </w:tc>
        <w:tc>
          <w:tcPr>
            <w:tcW w:w="2360" w:type="dxa"/>
            <w:vAlign w:val="center"/>
          </w:tcPr>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采购人名称</w:t>
            </w:r>
          </w:p>
        </w:tc>
        <w:tc>
          <w:tcPr>
            <w:tcW w:w="595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陵水黎族自治县卫生健康委员会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5" w:hRule="atLeast"/>
        </w:trPr>
        <w:tc>
          <w:tcPr>
            <w:tcW w:w="663" w:type="dxa"/>
            <w:vAlign w:val="center"/>
          </w:tcPr>
          <w:p>
            <w:pPr>
              <w:pStyle w:val="85"/>
              <w:spacing w:line="360" w:lineRule="auto"/>
              <w:ind w:left="9"/>
              <w:jc w:val="center"/>
              <w:rPr>
                <w:rFonts w:hint="eastAsia" w:ascii="宋体" w:hAnsi="宋体" w:eastAsia="宋体" w:cs="宋体"/>
                <w:color w:val="auto"/>
              </w:rPr>
            </w:pPr>
            <w:r>
              <w:rPr>
                <w:rFonts w:hint="eastAsia" w:ascii="宋体" w:hAnsi="宋体" w:eastAsia="宋体" w:cs="宋体"/>
                <w:color w:val="auto"/>
              </w:rPr>
              <w:t>2</w:t>
            </w:r>
          </w:p>
        </w:tc>
        <w:tc>
          <w:tcPr>
            <w:tcW w:w="2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项目预算</w:t>
            </w:r>
          </w:p>
        </w:tc>
        <w:tc>
          <w:tcPr>
            <w:tcW w:w="5954" w:type="dxa"/>
            <w:vAlign w:val="center"/>
          </w:tcPr>
          <w:p>
            <w:pPr>
              <w:pStyle w:val="89"/>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right="142"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1、本项目预算为人民币</w:t>
            </w:r>
            <w:r>
              <w:rPr>
                <w:rFonts w:hint="eastAsia" w:ascii="宋体" w:hAnsi="宋体" w:cs="宋体"/>
                <w:color w:val="auto"/>
                <w:sz w:val="24"/>
                <w:lang w:val="en-US" w:eastAsia="zh-CN"/>
              </w:rPr>
              <w:t>4302900.00</w:t>
            </w:r>
            <w:r>
              <w:rPr>
                <w:rFonts w:hint="eastAsia" w:ascii="宋体" w:hAnsi="宋体" w:eastAsia="宋体" w:cs="宋体"/>
                <w:color w:val="auto"/>
                <w:sz w:val="24"/>
              </w:rPr>
              <w:t>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kern w:val="28"/>
                <w:sz w:val="24"/>
              </w:rPr>
              <w:t>分包情况：</w:t>
            </w:r>
            <w:r>
              <w:rPr>
                <w:rFonts w:hint="eastAsia" w:ascii="宋体" w:hAnsi="宋体" w:eastAsia="宋体" w:cs="宋体"/>
                <w:color w:val="auto"/>
                <w:sz w:val="24"/>
                <w:szCs w:val="24"/>
              </w:rPr>
              <w:t>项目本身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rPr>
            </w:pPr>
            <w:r>
              <w:rPr>
                <w:rFonts w:hint="eastAsia" w:ascii="宋体" w:hAnsi="宋体" w:eastAsia="宋体" w:cs="宋体"/>
                <w:color w:val="auto"/>
              </w:rPr>
              <w:t>3</w:t>
            </w:r>
          </w:p>
        </w:tc>
        <w:tc>
          <w:tcPr>
            <w:tcW w:w="2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递交响应文件时应出示和单独递交的身份证明材料</w:t>
            </w:r>
          </w:p>
        </w:tc>
        <w:tc>
          <w:tcPr>
            <w:tcW w:w="5954" w:type="dxa"/>
            <w:vAlign w:val="center"/>
          </w:tcPr>
          <w:p>
            <w:pPr>
              <w:pStyle w:val="89"/>
              <w:keepNext w:val="0"/>
              <w:keepLines w:val="0"/>
              <w:pageBreakBefore w:val="0"/>
              <w:widowControl w:val="0"/>
              <w:kinsoku/>
              <w:wordWrap/>
              <w:overflowPunct/>
              <w:topLinePunct w:val="0"/>
              <w:autoSpaceDE/>
              <w:autoSpaceDN/>
              <w:bidi w:val="0"/>
              <w:adjustRightInd/>
              <w:snapToGrid/>
              <w:spacing w:line="400" w:lineRule="exact"/>
              <w:ind w:right="142"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1、出示供应商代表身份证原件；</w:t>
            </w:r>
          </w:p>
          <w:p>
            <w:pPr>
              <w:pStyle w:val="89"/>
              <w:keepNext w:val="0"/>
              <w:keepLines w:val="0"/>
              <w:pageBreakBefore w:val="0"/>
              <w:widowControl w:val="0"/>
              <w:kinsoku/>
              <w:wordWrap/>
              <w:overflowPunct/>
              <w:topLinePunct w:val="0"/>
              <w:autoSpaceDE/>
              <w:autoSpaceDN/>
              <w:bidi w:val="0"/>
              <w:adjustRightInd/>
              <w:snapToGrid/>
              <w:spacing w:line="400" w:lineRule="exact"/>
              <w:ind w:right="142"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2、单独递交供应商代表身份证复印件；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3、如供应商代表不是法定代表人/主要负责人本人，还需单独递交法定代表人/主要负责人授权委托书原件或复印件。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4</w:t>
            </w:r>
          </w:p>
        </w:tc>
        <w:tc>
          <w:tcPr>
            <w:tcW w:w="236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是否接受联合体响应</w:t>
            </w:r>
          </w:p>
        </w:tc>
        <w:tc>
          <w:tcPr>
            <w:tcW w:w="5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5</w:t>
            </w:r>
          </w:p>
        </w:tc>
        <w:tc>
          <w:tcPr>
            <w:tcW w:w="2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标前踏勘现场或/和标前答疑会</w:t>
            </w:r>
          </w:p>
        </w:tc>
        <w:tc>
          <w:tcPr>
            <w:tcW w:w="5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6</w:t>
            </w:r>
          </w:p>
        </w:tc>
        <w:tc>
          <w:tcPr>
            <w:tcW w:w="2360" w:type="dxa"/>
            <w:vAlign w:val="center"/>
          </w:tcPr>
          <w:p>
            <w:pPr>
              <w:pStyle w:val="85"/>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rPr>
            </w:pPr>
            <w:r>
              <w:rPr>
                <w:rFonts w:hint="eastAsia" w:ascii="宋体" w:hAnsi="宋体" w:eastAsia="宋体" w:cs="宋体"/>
                <w:color w:val="auto"/>
                <w:lang w:val="zh-CN"/>
              </w:rPr>
              <w:t>述标和/或产（样）品演（展）示</w:t>
            </w:r>
          </w:p>
        </w:tc>
        <w:tc>
          <w:tcPr>
            <w:tcW w:w="5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7</w:t>
            </w:r>
          </w:p>
        </w:tc>
        <w:tc>
          <w:tcPr>
            <w:tcW w:w="2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是否接受备选响应方案和报价</w:t>
            </w:r>
          </w:p>
        </w:tc>
        <w:tc>
          <w:tcPr>
            <w:tcW w:w="5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rPr>
            </w:pPr>
            <w:r>
              <w:rPr>
                <w:rFonts w:hint="eastAsia" w:ascii="宋体" w:hAnsi="宋体" w:eastAsia="宋体" w:cs="宋体"/>
                <w:color w:val="auto"/>
              </w:rPr>
              <w:t>8</w:t>
            </w:r>
          </w:p>
        </w:tc>
        <w:tc>
          <w:tcPr>
            <w:tcW w:w="2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14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是否允许供应商将项目非主体、非关键性工作交由他人完成</w:t>
            </w:r>
          </w:p>
        </w:tc>
        <w:tc>
          <w:tcPr>
            <w:tcW w:w="5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rPr>
            </w:pPr>
            <w:r>
              <w:rPr>
                <w:rFonts w:hint="eastAsia" w:ascii="宋体" w:hAnsi="宋体" w:eastAsia="宋体" w:cs="宋体"/>
                <w:color w:val="auto"/>
              </w:rPr>
              <w:t>9</w:t>
            </w:r>
          </w:p>
        </w:tc>
        <w:tc>
          <w:tcPr>
            <w:tcW w:w="2360" w:type="dxa"/>
            <w:vAlign w:val="center"/>
          </w:tcPr>
          <w:p>
            <w:pPr>
              <w:spacing w:line="360" w:lineRule="auto"/>
              <w:ind w:right="144"/>
              <w:rPr>
                <w:rFonts w:hint="eastAsia" w:ascii="宋体" w:hAnsi="宋体" w:eastAsia="宋体" w:cs="宋体"/>
                <w:color w:val="auto"/>
                <w:sz w:val="24"/>
                <w:szCs w:val="24"/>
              </w:rPr>
            </w:pPr>
            <w:r>
              <w:rPr>
                <w:rFonts w:hint="eastAsia" w:ascii="宋体" w:hAnsi="宋体" w:eastAsia="宋体" w:cs="宋体"/>
                <w:color w:val="auto"/>
                <w:sz w:val="24"/>
                <w:szCs w:val="24"/>
              </w:rPr>
              <w:t>是否收取履约保证金</w:t>
            </w:r>
          </w:p>
        </w:tc>
        <w:tc>
          <w:tcPr>
            <w:tcW w:w="595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rPr>
            </w:pPr>
            <w:r>
              <w:rPr>
                <w:rFonts w:hint="eastAsia" w:ascii="宋体" w:hAnsi="宋体" w:eastAsia="宋体" w:cs="宋体"/>
                <w:color w:val="auto"/>
              </w:rPr>
              <w:t>10</w:t>
            </w:r>
          </w:p>
        </w:tc>
        <w:tc>
          <w:tcPr>
            <w:tcW w:w="2360" w:type="dxa"/>
            <w:vAlign w:val="center"/>
          </w:tcPr>
          <w:p>
            <w:pPr>
              <w:spacing w:line="360" w:lineRule="auto"/>
              <w:ind w:right="144"/>
              <w:rPr>
                <w:rFonts w:hint="eastAsia" w:ascii="宋体" w:hAnsi="宋体" w:eastAsia="宋体" w:cs="宋体"/>
                <w:color w:val="auto"/>
                <w:sz w:val="24"/>
                <w:szCs w:val="24"/>
              </w:rPr>
            </w:pPr>
            <w:r>
              <w:rPr>
                <w:rFonts w:hint="eastAsia" w:ascii="宋体" w:hAnsi="宋体" w:eastAsia="宋体" w:cs="宋体"/>
                <w:color w:val="auto"/>
                <w:sz w:val="24"/>
              </w:rPr>
              <w:t>供应商家数计算</w:t>
            </w:r>
          </w:p>
        </w:tc>
        <w:tc>
          <w:tcPr>
            <w:tcW w:w="5954" w:type="dxa"/>
            <w:vAlign w:val="center"/>
          </w:tcPr>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提供核心产品为相同品牌的不同供应商参加本项目报价的，以其中通过资格审查、符合性审查且报价最低的参加评审，其他报价无效。</w:t>
            </w:r>
          </w:p>
        </w:tc>
      </w:tr>
      <w:tr>
        <w:tblPrEx>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11</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本项目要求供应商</w:t>
            </w:r>
            <w:r>
              <w:rPr>
                <w:rFonts w:hint="eastAsia" w:ascii="宋体" w:hAnsi="宋体" w:eastAsia="宋体" w:cs="宋体"/>
                <w:color w:val="auto"/>
                <w:kern w:val="0"/>
                <w:sz w:val="24"/>
                <w:szCs w:val="24"/>
                <w:lang w:val="zh-CN"/>
              </w:rPr>
              <w:t>提供的技术说明</w:t>
            </w:r>
            <w:r>
              <w:rPr>
                <w:rFonts w:hint="eastAsia" w:ascii="宋体" w:hAnsi="宋体" w:eastAsia="宋体" w:cs="宋体"/>
                <w:color w:val="auto"/>
                <w:sz w:val="24"/>
                <w:szCs w:val="24"/>
                <w:lang w:val="zh-CN"/>
              </w:rPr>
              <w:t>文件</w:t>
            </w:r>
          </w:p>
        </w:tc>
        <w:tc>
          <w:tcPr>
            <w:tcW w:w="5954" w:type="dxa"/>
            <w:vAlign w:val="center"/>
          </w:tcPr>
          <w:p>
            <w:pPr>
              <w:spacing w:line="360" w:lineRule="auto"/>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开标一览表；</w:t>
            </w:r>
          </w:p>
          <w:p>
            <w:pPr>
              <w:spacing w:line="360" w:lineRule="auto"/>
              <w:jc w:val="left"/>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2、分项</w:t>
            </w:r>
            <w:r>
              <w:rPr>
                <w:rFonts w:hint="eastAsia" w:ascii="宋体" w:hAnsi="宋体" w:eastAsia="宋体" w:cs="宋体"/>
                <w:color w:val="auto"/>
                <w:sz w:val="24"/>
                <w:szCs w:val="24"/>
                <w:lang w:val="zh-CN"/>
              </w:rPr>
              <w:t>报价明细表；</w:t>
            </w:r>
          </w:p>
          <w:p>
            <w:pPr>
              <w:spacing w:line="360" w:lineRule="auto"/>
              <w:jc w:val="left"/>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3、技术需求响应表；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5"/>
              <w:spacing w:line="360" w:lineRule="auto"/>
              <w:ind w:left="9"/>
              <w:jc w:val="center"/>
              <w:rPr>
                <w:rFonts w:hint="eastAsia" w:ascii="宋体" w:hAnsi="宋体" w:eastAsia="宋体" w:cs="宋体"/>
                <w:color w:val="auto"/>
              </w:rPr>
            </w:pPr>
            <w:r>
              <w:rPr>
                <w:rFonts w:hint="eastAsia" w:ascii="宋体" w:hAnsi="宋体" w:eastAsia="宋体" w:cs="宋体"/>
                <w:color w:val="auto"/>
              </w:rPr>
              <w:t>12</w:t>
            </w:r>
          </w:p>
        </w:tc>
        <w:tc>
          <w:tcPr>
            <w:tcW w:w="2360" w:type="dxa"/>
            <w:vAlign w:val="center"/>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开标一览表</w:t>
            </w:r>
          </w:p>
        </w:tc>
        <w:tc>
          <w:tcPr>
            <w:tcW w:w="5954" w:type="dxa"/>
            <w:vAlign w:val="center"/>
          </w:tcPr>
          <w:p>
            <w:pPr>
              <w:pStyle w:val="85"/>
              <w:spacing w:line="360" w:lineRule="auto"/>
              <w:rPr>
                <w:rFonts w:hint="eastAsia" w:ascii="宋体" w:hAnsi="宋体" w:eastAsia="宋体" w:cs="宋体"/>
                <w:color w:val="auto"/>
                <w:kern w:val="2"/>
                <w:lang w:val="zh-CN"/>
              </w:rPr>
            </w:pPr>
            <w:r>
              <w:rPr>
                <w:rFonts w:hint="eastAsia" w:ascii="宋体" w:hAnsi="宋体" w:eastAsia="宋体" w:cs="宋体"/>
                <w:color w:val="auto"/>
                <w:kern w:val="2"/>
                <w:lang w:val="zh-CN"/>
              </w:rPr>
              <w:t>要求：</w:t>
            </w:r>
          </w:p>
          <w:p>
            <w:pPr>
              <w:pStyle w:val="85"/>
              <w:spacing w:line="360" w:lineRule="auto"/>
              <w:rPr>
                <w:rFonts w:hint="eastAsia" w:ascii="宋体" w:hAnsi="宋体" w:eastAsia="宋体" w:cs="宋体"/>
                <w:color w:val="auto"/>
                <w:kern w:val="2"/>
                <w:lang w:val="zh-CN"/>
              </w:rPr>
            </w:pPr>
            <w:r>
              <w:rPr>
                <w:rFonts w:hint="eastAsia" w:ascii="宋体" w:hAnsi="宋体" w:eastAsia="宋体" w:cs="宋体"/>
                <w:color w:val="auto"/>
                <w:kern w:val="2"/>
                <w:lang w:val="zh-CN"/>
              </w:rPr>
              <w:t>① “开标一览表”当中的响应总价必须与“响应报价明细表”当中的“总价”保持一致；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7"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13</w:t>
            </w:r>
          </w:p>
        </w:tc>
        <w:tc>
          <w:tcPr>
            <w:tcW w:w="2360" w:type="dxa"/>
            <w:vAlign w:val="center"/>
          </w:tcPr>
          <w:p>
            <w:pPr>
              <w:pStyle w:val="85"/>
              <w:spacing w:line="360" w:lineRule="auto"/>
              <w:rPr>
                <w:rFonts w:hint="eastAsia" w:ascii="宋体" w:hAnsi="宋体" w:eastAsia="宋体" w:cs="宋体"/>
                <w:color w:val="auto"/>
                <w:lang w:val="zh-CN"/>
              </w:rPr>
            </w:pPr>
            <w:r>
              <w:rPr>
                <w:rFonts w:hint="eastAsia" w:ascii="宋体" w:hAnsi="宋体" w:eastAsia="宋体" w:cs="宋体"/>
                <w:color w:val="auto"/>
                <w:lang w:val="zh-CN"/>
              </w:rPr>
              <w:t>响应有效期</w:t>
            </w:r>
          </w:p>
        </w:tc>
        <w:tc>
          <w:tcPr>
            <w:tcW w:w="5954" w:type="dxa"/>
            <w:vAlign w:val="center"/>
          </w:tcPr>
          <w:p>
            <w:pPr>
              <w:pStyle w:val="85"/>
              <w:spacing w:line="360" w:lineRule="auto"/>
              <w:ind w:firstLine="240" w:firstLineChars="100"/>
              <w:rPr>
                <w:rFonts w:hint="eastAsia" w:ascii="宋体" w:hAnsi="宋体" w:eastAsia="宋体" w:cs="宋体"/>
                <w:color w:val="auto"/>
                <w:lang w:val="zh-CN"/>
              </w:rPr>
            </w:pPr>
            <w:r>
              <w:rPr>
                <w:rFonts w:hint="eastAsia" w:cs="宋体"/>
                <w:color w:val="auto"/>
                <w:u w:val="single"/>
                <w:lang w:val="en-US" w:eastAsia="zh-CN"/>
              </w:rPr>
              <w:t>9</w:t>
            </w:r>
            <w:r>
              <w:rPr>
                <w:rFonts w:hint="eastAsia" w:ascii="宋体" w:hAnsi="宋体" w:eastAsia="宋体" w:cs="宋体"/>
                <w:color w:val="auto"/>
                <w:u w:val="single"/>
              </w:rPr>
              <w:t xml:space="preserve">0 </w:t>
            </w:r>
            <w:r>
              <w:rPr>
                <w:rFonts w:hint="eastAsia" w:ascii="宋体" w:hAnsi="宋体" w:eastAsia="宋体" w:cs="宋体"/>
                <w:color w:val="auto"/>
              </w:rPr>
              <w:t>天（响应有效期从提交响应文件的截止之日起算。有效期短于该规定期限的响应无效）</w:t>
            </w:r>
          </w:p>
        </w:tc>
      </w:tr>
      <w:tr>
        <w:tblPrEx>
          <w:tblLayout w:type="fixed"/>
          <w:tblCellMar>
            <w:top w:w="0" w:type="dxa"/>
            <w:left w:w="0" w:type="dxa"/>
            <w:bottom w:w="0" w:type="dxa"/>
            <w:right w:w="0" w:type="dxa"/>
          </w:tblCellMar>
        </w:tblPrEx>
        <w:trPr>
          <w:trHeight w:val="1548"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14</w:t>
            </w:r>
          </w:p>
        </w:tc>
        <w:tc>
          <w:tcPr>
            <w:tcW w:w="2360" w:type="dxa"/>
            <w:vAlign w:val="center"/>
          </w:tcPr>
          <w:p>
            <w:pPr>
              <w:pStyle w:val="85"/>
              <w:spacing w:line="360" w:lineRule="auto"/>
              <w:rPr>
                <w:rFonts w:hint="eastAsia" w:ascii="宋体" w:hAnsi="宋体" w:eastAsia="宋体" w:cs="宋体"/>
                <w:color w:val="auto"/>
              </w:rPr>
            </w:pPr>
            <w:r>
              <w:rPr>
                <w:rFonts w:hint="eastAsia" w:ascii="宋体" w:hAnsi="宋体" w:eastAsia="宋体" w:cs="宋体"/>
                <w:color w:val="auto"/>
              </w:rPr>
              <w:t>谈判保证金金额</w:t>
            </w:r>
          </w:p>
        </w:tc>
        <w:tc>
          <w:tcPr>
            <w:tcW w:w="5954" w:type="dxa"/>
            <w:vAlign w:val="center"/>
          </w:tcPr>
          <w:p>
            <w:pPr>
              <w:pStyle w:val="7"/>
              <w:spacing w:line="360" w:lineRule="auto"/>
              <w:rPr>
                <w:rFonts w:hint="eastAsia" w:ascii="宋体" w:hAnsi="宋体" w:eastAsia="宋体" w:cs="宋体"/>
                <w:color w:val="auto"/>
                <w:sz w:val="24"/>
                <w:lang w:val="zh-CN"/>
              </w:rPr>
            </w:pPr>
            <w:r>
              <w:rPr>
                <w:rFonts w:hint="eastAsia" w:ascii="宋体" w:hAnsi="宋体" w:eastAsia="宋体" w:cs="宋体"/>
                <w:color w:val="auto"/>
                <w:sz w:val="24"/>
                <w:lang w:val="zh-CN"/>
              </w:rPr>
              <w:t>金额（大小写）：</w:t>
            </w:r>
            <w:r>
              <w:rPr>
                <w:rFonts w:hint="eastAsia" w:ascii="宋体" w:hAnsi="宋体" w:cs="宋体"/>
                <w:color w:val="auto"/>
                <w:sz w:val="24"/>
                <w:lang w:val="en-US" w:eastAsia="zh-CN"/>
              </w:rPr>
              <w:t>壹万元整</w:t>
            </w:r>
            <w:r>
              <w:rPr>
                <w:rFonts w:hint="eastAsia" w:ascii="宋体" w:hAnsi="宋体" w:eastAsia="宋体" w:cs="宋体"/>
                <w:color w:val="auto"/>
                <w:sz w:val="24"/>
                <w:lang w:val="zh-CN"/>
              </w:rPr>
              <w:t>（</w:t>
            </w:r>
            <w:r>
              <w:rPr>
                <w:rFonts w:hint="eastAsia" w:ascii="宋体" w:hAnsi="宋体" w:cs="宋体"/>
                <w:color w:val="auto"/>
                <w:sz w:val="24"/>
                <w:lang w:val="en-US" w:eastAsia="zh-CN"/>
              </w:rPr>
              <w:t>¥10</w:t>
            </w:r>
            <w:r>
              <w:rPr>
                <w:rFonts w:hint="eastAsia" w:ascii="宋体" w:hAnsi="宋体" w:eastAsia="宋体" w:cs="宋体"/>
                <w:color w:val="auto"/>
                <w:sz w:val="24"/>
              </w:rPr>
              <w:t>000</w:t>
            </w:r>
            <w:r>
              <w:rPr>
                <w:rFonts w:hint="eastAsia" w:ascii="宋体" w:hAnsi="宋体" w:eastAsia="宋体" w:cs="宋体"/>
                <w:color w:val="auto"/>
                <w:sz w:val="24"/>
                <w:lang w:val="zh-CN"/>
              </w:rPr>
              <w:t>.00元）</w:t>
            </w:r>
          </w:p>
          <w:p>
            <w:pPr>
              <w:pStyle w:val="85"/>
              <w:spacing w:line="360" w:lineRule="auto"/>
              <w:rPr>
                <w:rFonts w:hint="eastAsia" w:ascii="宋体" w:hAnsi="宋体" w:eastAsia="宋体" w:cs="宋体"/>
                <w:color w:val="auto"/>
                <w:kern w:val="2"/>
                <w:lang w:val="zh-CN"/>
              </w:rPr>
            </w:pPr>
            <w:r>
              <w:rPr>
                <w:rFonts w:hint="eastAsia" w:ascii="宋体" w:hAnsi="宋体" w:eastAsia="宋体" w:cs="宋体"/>
                <w:color w:val="auto"/>
                <w:kern w:val="2"/>
                <w:lang w:val="zh-CN"/>
              </w:rPr>
              <w:t>交纳谈判保证金截止时间：</w:t>
            </w:r>
            <w:r>
              <w:rPr>
                <w:rFonts w:hint="eastAsia" w:cs="宋体"/>
                <w:color w:val="auto"/>
                <w:kern w:val="2"/>
                <w:lang w:val="zh-CN"/>
              </w:rPr>
              <w:t>2020年11月25日15:00</w:t>
            </w:r>
            <w:r>
              <w:rPr>
                <w:rFonts w:hint="eastAsia" w:ascii="宋体" w:hAnsi="宋体" w:eastAsia="宋体" w:cs="宋体"/>
                <w:color w:val="auto"/>
                <w:kern w:val="2"/>
                <w:lang w:val="zh-CN"/>
              </w:rPr>
              <w:t>（北京时间）</w:t>
            </w:r>
          </w:p>
          <w:p>
            <w:pPr>
              <w:spacing w:line="360" w:lineRule="auto"/>
              <w:rPr>
                <w:rFonts w:hint="eastAsia" w:ascii="宋体" w:hAnsi="宋体" w:eastAsia="宋体" w:cs="宋体"/>
                <w:color w:val="auto"/>
                <w:sz w:val="24"/>
                <w:lang w:val="zh-CN"/>
              </w:rPr>
            </w:pPr>
            <w:r>
              <w:rPr>
                <w:rFonts w:hint="eastAsia" w:ascii="宋体" w:hAnsi="宋体" w:eastAsia="宋体" w:cs="宋体"/>
                <w:color w:val="auto"/>
                <w:sz w:val="24"/>
                <w:lang w:val="zh-CN"/>
              </w:rPr>
              <w:t>账户名称：海南政辉招投标代理有限公司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开户行：中国工商银行股份有限公司海口新华支行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账  户：2201023809200980178</w:t>
            </w:r>
          </w:p>
          <w:p>
            <w:pPr>
              <w:pStyle w:val="85"/>
              <w:spacing w:line="360" w:lineRule="auto"/>
              <w:rPr>
                <w:rFonts w:hint="eastAsia" w:ascii="宋体" w:hAnsi="宋体" w:eastAsia="宋体" w:cs="宋体"/>
                <w:color w:val="auto"/>
              </w:rPr>
            </w:pPr>
            <w:r>
              <w:rPr>
                <w:rFonts w:hint="eastAsia" w:ascii="宋体" w:hAnsi="宋体" w:eastAsia="宋体" w:cs="宋体"/>
                <w:color w:val="auto"/>
              </w:rPr>
              <w:t>要求：谈判保证金以一次性转帐形式提交的，谈判保证金交纳截止时间以保证金到帐时间为准。</w:t>
            </w:r>
          </w:p>
          <w:p>
            <w:pPr>
              <w:pStyle w:val="20"/>
              <w:tabs>
                <w:tab w:val="left" w:pos="8360"/>
              </w:tabs>
              <w:spacing w:before="0" w:beforeAutospacing="0" w:after="0" w:afterAutospacing="0" w:line="360" w:lineRule="auto"/>
              <w:rPr>
                <w:rFonts w:hint="eastAsia" w:ascii="宋体" w:hAnsi="宋体" w:eastAsia="宋体" w:cs="宋体"/>
                <w:color w:val="auto"/>
                <w:szCs w:val="24"/>
              </w:rPr>
            </w:pPr>
            <w:r>
              <w:rPr>
                <w:rFonts w:hint="eastAsia" w:ascii="宋体" w:hAnsi="宋体" w:eastAsia="宋体" w:cs="宋体"/>
                <w:color w:val="auto"/>
                <w:szCs w:val="24"/>
              </w:rPr>
              <w:t>提交保证金的付款人名称、供应商的公司名称须一致，否则响应无效。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trPr>
        <w:tc>
          <w:tcPr>
            <w:tcW w:w="663" w:type="dxa"/>
            <w:vAlign w:val="center"/>
          </w:tcPr>
          <w:p>
            <w:pPr>
              <w:pStyle w:val="85"/>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15</w:t>
            </w:r>
          </w:p>
        </w:tc>
        <w:tc>
          <w:tcPr>
            <w:tcW w:w="2360" w:type="dxa"/>
            <w:vAlign w:val="center"/>
          </w:tcPr>
          <w:p>
            <w:pPr>
              <w:pStyle w:val="85"/>
              <w:spacing w:line="360" w:lineRule="auto"/>
              <w:ind w:left="33"/>
              <w:jc w:val="both"/>
              <w:rPr>
                <w:rFonts w:hint="eastAsia" w:ascii="宋体" w:hAnsi="宋体" w:eastAsia="宋体" w:cs="宋体"/>
                <w:color w:val="auto"/>
                <w:lang w:val="zh-CN"/>
              </w:rPr>
            </w:pPr>
            <w:r>
              <w:rPr>
                <w:rFonts w:hint="eastAsia" w:ascii="宋体" w:hAnsi="宋体" w:eastAsia="宋体" w:cs="宋体"/>
                <w:color w:val="auto"/>
                <w:lang w:val="zh-CN"/>
              </w:rPr>
              <w:t>响应文件份数</w:t>
            </w:r>
          </w:p>
        </w:tc>
        <w:tc>
          <w:tcPr>
            <w:tcW w:w="5954" w:type="dxa"/>
            <w:vAlign w:val="center"/>
          </w:tcPr>
          <w:p>
            <w:pPr>
              <w:pStyle w:val="85"/>
              <w:spacing w:line="360" w:lineRule="auto"/>
              <w:rPr>
                <w:rFonts w:hint="eastAsia" w:ascii="宋体" w:hAnsi="宋体" w:eastAsia="宋体" w:cs="宋体"/>
                <w:color w:val="auto"/>
                <w:lang w:val="zh-CN"/>
              </w:rPr>
            </w:pPr>
            <w:r>
              <w:rPr>
                <w:rFonts w:hint="eastAsia" w:ascii="宋体" w:hAnsi="宋体" w:eastAsia="宋体" w:cs="宋体"/>
                <w:color w:val="auto"/>
                <w:lang w:val="zh-CN"/>
              </w:rPr>
              <w:t>正本一份；副本二份；</w:t>
            </w:r>
            <w:r>
              <w:rPr>
                <w:rFonts w:hint="eastAsia" w:ascii="宋体" w:hAnsi="宋体" w:eastAsia="宋体" w:cs="宋体"/>
                <w:color w:val="auto"/>
              </w:rPr>
              <w:t>U盘（含PDF版投标文件及单独提供的word版的分项报价明细表）</w:t>
            </w:r>
            <w:r>
              <w:rPr>
                <w:rFonts w:hint="eastAsia" w:ascii="宋体" w:hAnsi="宋体" w:eastAsia="宋体" w:cs="宋体"/>
                <w:color w:val="auto"/>
                <w:lang w:val="zh-CN"/>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63" w:type="dxa"/>
            <w:vAlign w:val="center"/>
          </w:tcPr>
          <w:p>
            <w:pPr>
              <w:pStyle w:val="5"/>
              <w:spacing w:line="360" w:lineRule="auto"/>
              <w:ind w:left="9" w:firstLine="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16</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响应文件封套上标示</w:t>
            </w:r>
          </w:p>
        </w:tc>
        <w:tc>
          <w:tcPr>
            <w:tcW w:w="5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响应文件：正本/副本/唱标信封/电子版响应文件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w:t>
            </w:r>
            <w:r>
              <w:rPr>
                <w:rFonts w:hint="eastAsia" w:ascii="宋体" w:hAnsi="宋体" w:eastAsia="宋体" w:cs="宋体"/>
                <w:color w:val="auto"/>
                <w:sz w:val="24"/>
                <w:szCs w:val="24"/>
              </w:rPr>
              <w:t>2020年秋冬季疫情医疗防控物资储备采购</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cs="宋体"/>
                <w:color w:val="auto"/>
                <w:kern w:val="28"/>
                <w:sz w:val="24"/>
                <w:lang w:eastAsia="zh-CN"/>
              </w:rPr>
              <w:t>HNZH-2020-334</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包号：（A或B或项目本身）</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供应商的名称（加盖公章）：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供应商联系人姓名、联系电话：</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w:t>
            </w:r>
            <w:r>
              <w:rPr>
                <w:rFonts w:hint="eastAsia" w:ascii="宋体" w:hAnsi="宋体" w:cs="宋体"/>
                <w:color w:val="auto"/>
                <w:sz w:val="24"/>
                <w:szCs w:val="24"/>
                <w:lang w:val="en-US" w:eastAsia="zh-CN"/>
              </w:rPr>
              <w:t>2020</w:t>
            </w:r>
            <w:r>
              <w:rPr>
                <w:rFonts w:hint="eastAsia" w:ascii="宋体" w:hAnsi="宋体" w:eastAsia="宋体" w:cs="宋体"/>
                <w:color w:val="auto"/>
                <w:kern w:val="0"/>
                <w:sz w:val="24"/>
                <w:szCs w:val="24"/>
                <w:lang w:val="zh-CN"/>
              </w:rPr>
              <w:t>年</w:t>
            </w:r>
            <w:r>
              <w:rPr>
                <w:rFonts w:hint="eastAsia" w:ascii="宋体" w:hAnsi="宋体" w:cs="宋体"/>
                <w:color w:val="auto"/>
                <w:kern w:val="0"/>
                <w:sz w:val="24"/>
                <w:szCs w:val="24"/>
                <w:lang w:val="en-US" w:eastAsia="zh-CN"/>
              </w:rPr>
              <w:t>11月25日15</w:t>
            </w:r>
            <w:r>
              <w:rPr>
                <w:rFonts w:hint="eastAsia" w:ascii="宋体" w:hAnsi="宋体" w:eastAsia="宋体" w:cs="宋体"/>
                <w:color w:val="auto"/>
                <w:kern w:val="0"/>
                <w:sz w:val="24"/>
                <w:szCs w:val="24"/>
                <w:lang w:val="zh-CN"/>
              </w:rPr>
              <w:t>时</w:t>
            </w:r>
            <w:r>
              <w:rPr>
                <w:rFonts w:hint="eastAsia" w:ascii="宋体" w:hAnsi="宋体" w:cs="宋体"/>
                <w:color w:val="auto"/>
                <w:kern w:val="0"/>
                <w:sz w:val="24"/>
                <w:szCs w:val="24"/>
                <w:lang w:val="zh-CN"/>
              </w:rPr>
              <w:t>0</w:t>
            </w:r>
            <w:r>
              <w:rPr>
                <w:rFonts w:hint="eastAsia" w:ascii="宋体" w:hAnsi="宋体" w:cs="宋体"/>
                <w:color w:val="auto"/>
                <w:kern w:val="0"/>
                <w:sz w:val="24"/>
                <w:szCs w:val="24"/>
                <w:lang w:val="en-US" w:eastAsia="zh-CN"/>
              </w:rPr>
              <w:t>0</w:t>
            </w:r>
            <w:r>
              <w:rPr>
                <w:rFonts w:hint="eastAsia" w:ascii="宋体" w:hAnsi="宋体" w:eastAsia="宋体" w:cs="宋体"/>
                <w:color w:val="auto"/>
                <w:kern w:val="0"/>
                <w:sz w:val="24"/>
                <w:szCs w:val="24"/>
                <w:lang w:val="zh-CN"/>
              </w:rPr>
              <w:t>分前</w:t>
            </w:r>
            <w:r>
              <w:rPr>
                <w:rFonts w:hint="eastAsia" w:ascii="宋体" w:hAnsi="宋体" w:eastAsia="宋体" w:cs="宋体"/>
                <w:color w:val="auto"/>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663" w:type="dxa"/>
            <w:vAlign w:val="center"/>
          </w:tcPr>
          <w:p>
            <w:pPr>
              <w:pStyle w:val="5"/>
              <w:spacing w:line="360" w:lineRule="auto"/>
              <w:ind w:left="9"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代理服务费</w:t>
            </w:r>
          </w:p>
        </w:tc>
        <w:tc>
          <w:tcPr>
            <w:tcW w:w="5954" w:type="dxa"/>
            <w:vAlign w:val="center"/>
          </w:tcPr>
          <w:p>
            <w:pPr>
              <w:spacing w:line="360" w:lineRule="auto"/>
              <w:ind w:firstLine="480" w:firstLineChars="200"/>
              <w:outlineLvl w:val="1"/>
              <w:rPr>
                <w:rFonts w:hint="eastAsia" w:ascii="宋体" w:hAnsi="宋体" w:eastAsia="宋体" w:cs="宋体"/>
                <w:color w:val="auto"/>
                <w:sz w:val="24"/>
                <w:szCs w:val="24"/>
              </w:rPr>
            </w:pPr>
            <w:bookmarkStart w:id="35" w:name="_Toc24869"/>
            <w:bookmarkStart w:id="36" w:name="_Toc8451"/>
            <w:bookmarkStart w:id="37" w:name="_Toc1660485"/>
            <w:r>
              <w:rPr>
                <w:rFonts w:hint="eastAsia" w:ascii="宋体" w:hAnsi="宋体" w:eastAsia="宋体" w:cs="宋体"/>
                <w:color w:val="auto"/>
                <w:sz w:val="24"/>
                <w:szCs w:val="24"/>
              </w:rPr>
              <w:t>以成交金额作为计算基数,参照国家计委计价格[2002]1980号及发改办价格[2003]857号通知规定,由成交供应商在领取成交通知书前，向采购代理机构交纳代理服务费。</w:t>
            </w:r>
            <w:bookmarkEnd w:id="35"/>
            <w:bookmarkEnd w:id="36"/>
            <w:bookmarkEnd w:id="37"/>
          </w:p>
        </w:tc>
      </w:tr>
      <w:tr>
        <w:tblPrEx>
          <w:tblLayout w:type="fixed"/>
          <w:tblCellMar>
            <w:top w:w="0" w:type="dxa"/>
            <w:left w:w="0" w:type="dxa"/>
            <w:bottom w:w="0" w:type="dxa"/>
            <w:right w:w="0" w:type="dxa"/>
          </w:tblCellMar>
        </w:tblPrEx>
        <w:trPr>
          <w:trHeight w:val="1899" w:hRule="atLeast"/>
        </w:trPr>
        <w:tc>
          <w:tcPr>
            <w:tcW w:w="663" w:type="dxa"/>
            <w:vAlign w:val="center"/>
          </w:tcPr>
          <w:p>
            <w:pPr>
              <w:pStyle w:val="5"/>
              <w:spacing w:line="360" w:lineRule="auto"/>
              <w:ind w:left="9"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采购合同</w:t>
            </w:r>
          </w:p>
        </w:tc>
        <w:tc>
          <w:tcPr>
            <w:tcW w:w="5954" w:type="dxa"/>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Pr>
                <w:rFonts w:hint="eastAsia" w:ascii="宋体" w:hAnsi="宋体" w:eastAsia="宋体" w:cs="宋体"/>
                <w:b/>
                <w:bCs/>
                <w:color w:val="auto"/>
                <w:kern w:val="2"/>
                <w:szCs w:val="24"/>
              </w:rPr>
              <w:t>第五十</w:t>
            </w:r>
            <w:r>
              <w:rPr>
                <w:rFonts w:hint="eastAsia" w:ascii="宋体" w:hAnsi="宋体" w:eastAsia="宋体" w:cs="宋体"/>
                <w:color w:val="auto"/>
                <w:kern w:val="2"/>
                <w:szCs w:val="24"/>
              </w:rPr>
              <w:t>条款“采购人应当自政府采购合同签订之日起2个工作日内，将政府采购合同在省级以上人民政府财政部门指定的媒体上公告，但政府采购合同中涉及国家秘密、商业秘密的内容除外。”</w:t>
            </w:r>
          </w:p>
        </w:tc>
      </w:tr>
    </w:tbl>
    <w:p>
      <w:pPr>
        <w:rPr>
          <w:rFonts w:hint="eastAsia" w:ascii="宋体" w:hAnsi="宋体" w:eastAsia="宋体" w:cs="宋体"/>
          <w:b/>
          <w:color w:val="auto"/>
          <w:kern w:val="0"/>
          <w:sz w:val="24"/>
        </w:rPr>
      </w:pPr>
      <w:bookmarkStart w:id="38" w:name="_Toc1660486"/>
      <w:r>
        <w:rPr>
          <w:rFonts w:hint="eastAsia" w:ascii="宋体" w:hAnsi="宋体" w:eastAsia="宋体" w:cs="宋体"/>
          <w:b/>
          <w:color w:val="auto"/>
          <w:kern w:val="0"/>
          <w:sz w:val="24"/>
        </w:rPr>
        <w:br w:type="page"/>
      </w:r>
    </w:p>
    <w:p>
      <w:pPr>
        <w:spacing w:line="460" w:lineRule="exact"/>
        <w:ind w:firstLine="560"/>
        <w:jc w:val="center"/>
        <w:outlineLvl w:val="1"/>
        <w:rPr>
          <w:rFonts w:hint="eastAsia" w:ascii="宋体" w:hAnsi="宋体" w:eastAsia="宋体" w:cs="宋体"/>
          <w:b/>
          <w:color w:val="auto"/>
          <w:kern w:val="0"/>
          <w:sz w:val="24"/>
        </w:rPr>
      </w:pPr>
      <w:bookmarkStart w:id="39" w:name="_Toc6199"/>
      <w:bookmarkStart w:id="40" w:name="_Toc30296"/>
      <w:r>
        <w:rPr>
          <w:rFonts w:hint="eastAsia" w:ascii="宋体" w:hAnsi="宋体" w:eastAsia="宋体" w:cs="宋体"/>
          <w:b/>
          <w:color w:val="auto"/>
          <w:kern w:val="0"/>
          <w:sz w:val="24"/>
        </w:rPr>
        <w:t>一、总则</w:t>
      </w:r>
      <w:bookmarkEnd w:id="38"/>
      <w:bookmarkEnd w:id="39"/>
      <w:bookmarkEnd w:id="40"/>
    </w:p>
    <w:p>
      <w:pPr>
        <w:spacing w:line="460" w:lineRule="exact"/>
        <w:ind w:firstLine="561"/>
        <w:rPr>
          <w:rFonts w:hint="eastAsia" w:ascii="宋体" w:hAnsi="宋体" w:eastAsia="宋体" w:cs="宋体"/>
          <w:b/>
          <w:bCs/>
          <w:color w:val="auto"/>
          <w:kern w:val="0"/>
          <w:sz w:val="24"/>
        </w:rPr>
      </w:pPr>
    </w:p>
    <w:p>
      <w:pP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1.基本要求</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kern w:val="0"/>
          <w:sz w:val="24"/>
          <w:szCs w:val="24"/>
        </w:rPr>
        <w:t xml:space="preserve">1.1 </w:t>
      </w:r>
      <w:r>
        <w:rPr>
          <w:rFonts w:hint="eastAsia" w:ascii="宋体" w:hAnsi="宋体" w:eastAsia="宋体" w:cs="宋体"/>
          <w:color w:val="auto"/>
          <w:sz w:val="24"/>
          <w:szCs w:val="24"/>
        </w:rPr>
        <w:t>本竞争性谈判文件适用于本文件</w:t>
      </w:r>
      <w:r>
        <w:rPr>
          <w:rFonts w:hint="eastAsia" w:ascii="宋体" w:hAnsi="宋体" w:eastAsia="宋体" w:cs="宋体"/>
          <w:b/>
          <w:bCs/>
          <w:color w:val="auto"/>
          <w:sz w:val="24"/>
          <w:szCs w:val="24"/>
        </w:rPr>
        <w:t>第二章</w:t>
      </w:r>
      <w:r>
        <w:rPr>
          <w:rFonts w:hint="eastAsia" w:ascii="宋体" w:hAnsi="宋体" w:eastAsia="宋体" w:cs="宋体"/>
          <w:color w:val="auto"/>
          <w:sz w:val="24"/>
          <w:szCs w:val="24"/>
        </w:rPr>
        <w:t>中所述货物及相关服务的谈判响应。</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2.定义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2.2“采购代理机构”系指组织本次采购活动的海南政辉招投标代理有限公司。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2.3“供应商”系指</w:t>
      </w:r>
      <w:r>
        <w:rPr>
          <w:rFonts w:hint="eastAsia" w:ascii="宋体" w:hAnsi="宋体" w:eastAsia="宋体" w:cs="宋体"/>
          <w:color w:val="auto"/>
          <w:sz w:val="24"/>
          <w:szCs w:val="24"/>
          <w:lang w:val="zh-CN"/>
        </w:rPr>
        <w:t>响应并且符合竞争性谈判文件规定资格条件和参加谈判的法人、其他组织或者自然人。</w:t>
      </w:r>
      <w:r>
        <w:rPr>
          <w:rFonts w:hint="eastAsia" w:ascii="宋体" w:hAnsi="宋体" w:eastAsia="宋体" w:cs="宋体"/>
          <w:color w:val="auto"/>
          <w:sz w:val="24"/>
          <w:szCs w:val="24"/>
        </w:rPr>
        <w:t>在谈判阶段称为供应商、供应商在签订和履行合同阶段称为乙方、卖方或成交供应商。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2.4“潜在供应商”指符合本竞争性谈判文件各项规定的合格供应商。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2.5 “服务”指本竞争性谈判文件</w:t>
      </w:r>
      <w:r>
        <w:rPr>
          <w:rFonts w:hint="eastAsia" w:ascii="宋体" w:hAnsi="宋体" w:eastAsia="宋体" w:cs="宋体"/>
          <w:b/>
          <w:bCs/>
          <w:color w:val="auto"/>
          <w:sz w:val="24"/>
          <w:szCs w:val="24"/>
        </w:rPr>
        <w:t>第二章</w:t>
      </w:r>
      <w:r>
        <w:rPr>
          <w:rFonts w:hint="eastAsia" w:ascii="宋体" w:hAnsi="宋体" w:eastAsia="宋体" w:cs="宋体"/>
          <w:color w:val="auto"/>
          <w:sz w:val="24"/>
          <w:szCs w:val="24"/>
        </w:rPr>
        <w:t>所述供应商应该履行的承诺和义务。</w:t>
      </w:r>
      <w:bookmarkStart w:id="41" w:name="_Toc267320062"/>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3.合格的</w:t>
      </w:r>
      <w:bookmarkEnd w:id="41"/>
      <w:r>
        <w:rPr>
          <w:rFonts w:hint="eastAsia" w:ascii="宋体" w:hAnsi="宋体" w:eastAsia="宋体" w:cs="宋体"/>
          <w:b/>
          <w:bCs/>
          <w:color w:val="auto"/>
          <w:sz w:val="24"/>
          <w:szCs w:val="24"/>
        </w:rPr>
        <w:t>供应商</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3.1合格供应商条件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3.1.1具有本项目实施能力，符合、承认并承诺履行本竞争性谈判文件各项规定的国内供应商均可参加谈判。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3.1.2 供应商应符合《中华人民共和国政府采购法》规定的条件：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（5）参加此项采购活动前三年内，在经营活动中没有重大违法记录；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3.1.3在“信用中国”网站（www.creditchina.gov.cn）、中国政府采购网（www.ccgp.gov.cn）没有列入失信被执行人、重大税收违法案件当事人名单、政府采购严重违法失信行为记录名单</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中国政府采购网( www.ccgp.gov.cn ) 的“政府采购严重违法失信行为记录名单”的供应商</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3.2 关系供应商限制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3.3 联合体响应</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本项目不接受联合体响应。</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3.4供应商的风险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Pr>
          <w:rFonts w:hint="eastAsia" w:ascii="宋体" w:hAnsi="宋体" w:eastAsia="宋体" w:cs="宋体"/>
          <w:b/>
          <w:bCs/>
          <w:color w:val="auto"/>
          <w:sz w:val="24"/>
          <w:szCs w:val="24"/>
        </w:rPr>
        <w:t>拒绝</w:t>
      </w:r>
      <w:r>
        <w:rPr>
          <w:rFonts w:hint="eastAsia" w:ascii="宋体" w:hAnsi="宋体" w:eastAsia="宋体" w:cs="宋体"/>
          <w:color w:val="auto"/>
          <w:sz w:val="24"/>
          <w:szCs w:val="24"/>
        </w:rPr>
        <w:t>；如供应商代表是法定代表人/主要负责人，在递交响应文件时须出示身份证原件，并递交身份证复印件，否则响应文件将被</w:t>
      </w:r>
      <w:r>
        <w:rPr>
          <w:rFonts w:hint="eastAsia" w:ascii="宋体" w:hAnsi="宋体" w:eastAsia="宋体" w:cs="宋体"/>
          <w:b/>
          <w:bCs/>
          <w:color w:val="auto"/>
          <w:sz w:val="24"/>
          <w:szCs w:val="24"/>
        </w:rPr>
        <w:t>拒绝</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3.4.2供应商没有按照竞争性谈判文件的要求编制、签署、密封、标记、递交及修正响应文件的，自行承担响应无效的风险。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3.4.3响应文件没有对竞争性谈判文件在各方面都做出实质性响应的，视为不合格供应商。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（1）提供虚假的资料。</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（2）在实质性方面失实。</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3.5供应商家数的计算</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谈判文件规定的方式确定一个参加评标的供应商，竞争性谈判文件未规定的采取随机抽取方式确定，其他报价无效。</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4.响应费用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4.2本次采购活动，代理服务费的交纳详见供应商须知前附表要求。</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5.中小企业政策及节能环保、信息安全要求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85"/>
        <w:spacing w:line="360" w:lineRule="auto"/>
        <w:ind w:firstLine="480" w:firstLineChars="200"/>
        <w:rPr>
          <w:rFonts w:hint="eastAsia" w:ascii="宋体" w:hAnsi="宋体" w:eastAsia="宋体" w:cs="宋体"/>
          <w:color w:val="auto"/>
          <w:kern w:val="2"/>
        </w:rPr>
      </w:pPr>
      <w:r>
        <w:rPr>
          <w:rFonts w:hint="eastAsia" w:ascii="宋体" w:hAnsi="宋体" w:eastAsia="宋体" w:cs="宋体"/>
          <w:color w:val="auto"/>
          <w:kern w:val="2"/>
        </w:rPr>
        <w:t xml:space="preserve">享受政策优惠的小型、微型投标人须提供合法有效的“中小企业声明函”原件及中华人民共和国工商行政管理总局官网上“小微企业名录”查询截图（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"http://xwqy.gsxt.gov.cn/））或残疾人福利性单位声明函。如不满足以上三项要求，采购代理机构一律不给予价格评审优惠政策。" </w:instrText>
      </w:r>
      <w:r>
        <w:rPr>
          <w:rFonts w:hint="eastAsia" w:ascii="宋体" w:hAnsi="宋体" w:eastAsia="宋体" w:cs="宋体"/>
          <w:color w:val="auto"/>
        </w:rPr>
        <w:fldChar w:fldCharType="separate"/>
      </w:r>
      <w:r>
        <w:rPr>
          <w:rStyle w:val="29"/>
          <w:rFonts w:hint="eastAsia" w:ascii="宋体" w:hAnsi="宋体" w:eastAsia="宋体" w:cs="宋体"/>
          <w:color w:val="auto"/>
          <w:kern w:val="2"/>
        </w:rPr>
        <w:t>http://xwqy.gsxt.gov.cn/）</w:t>
      </w:r>
      <w:r>
        <w:rPr>
          <w:rStyle w:val="29"/>
          <w:rFonts w:hint="eastAsia" w:ascii="宋体" w:hAnsi="宋体" w:eastAsia="宋体" w:cs="宋体"/>
          <w:color w:val="auto"/>
          <w:kern w:val="2"/>
          <w:lang w:val="zh-CN"/>
        </w:rPr>
        <w:t>）；</w:t>
      </w:r>
      <w:r>
        <w:rPr>
          <w:rStyle w:val="29"/>
          <w:rFonts w:hint="eastAsia" w:ascii="宋体" w:hAnsi="宋体" w:eastAsia="宋体" w:cs="宋体"/>
          <w:color w:val="auto"/>
          <w:kern w:val="2"/>
          <w:lang w:val="zh-CN"/>
        </w:rPr>
        <w:fldChar w:fldCharType="end"/>
      </w:r>
      <w:r>
        <w:rPr>
          <w:rFonts w:hint="eastAsia" w:ascii="宋体" w:hAnsi="宋体" w:eastAsia="宋体" w:cs="宋体"/>
          <w:color w:val="auto"/>
          <w:kern w:val="2"/>
        </w:rPr>
        <w:t>未按要求提供的，视为放弃享受小微企业价格扣除优惠政策。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5.4本次招标优先选购中华人民共和国财政部公布的《节能环保产品目录》的标的物。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5.5 关于强制采购节能产品和优先采购环境标志产品的要求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宋体" w:hAnsi="宋体" w:eastAsia="宋体" w:cs="宋体"/>
          <w:color w:val="auto"/>
          <w:sz w:val="24"/>
        </w:rPr>
        <w:br w:type="textWrapping"/>
      </w:r>
      <w:r>
        <w:rPr>
          <w:rFonts w:hint="eastAsia" w:ascii="宋体" w:hAnsi="宋体" w:eastAsia="宋体" w:cs="宋体"/>
          <w:color w:val="auto"/>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6、注意事项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hint="eastAsia" w:ascii="宋体" w:hAnsi="宋体" w:eastAsia="宋体" w:cs="宋体"/>
          <w:b/>
          <w:color w:val="auto"/>
          <w:sz w:val="24"/>
        </w:rPr>
      </w:pPr>
      <w:bookmarkStart w:id="42" w:name="_Toc246826107"/>
    </w:p>
    <w:p>
      <w:pPr>
        <w:spacing w:line="360" w:lineRule="auto"/>
        <w:ind w:firstLine="590" w:firstLineChars="245"/>
        <w:jc w:val="center"/>
        <w:rPr>
          <w:rFonts w:hint="eastAsia" w:ascii="宋体" w:hAnsi="宋体" w:eastAsia="宋体" w:cs="宋体"/>
          <w:b/>
          <w:color w:val="auto"/>
          <w:sz w:val="24"/>
        </w:rPr>
      </w:pPr>
      <w:r>
        <w:rPr>
          <w:rFonts w:hint="eastAsia" w:ascii="宋体" w:hAnsi="宋体" w:eastAsia="宋体" w:cs="宋体"/>
          <w:b/>
          <w:color w:val="auto"/>
          <w:sz w:val="24"/>
        </w:rPr>
        <w:t>二、</w:t>
      </w:r>
      <w:bookmarkEnd w:id="42"/>
      <w:r>
        <w:rPr>
          <w:rFonts w:hint="eastAsia" w:ascii="宋体" w:hAnsi="宋体" w:eastAsia="宋体" w:cs="宋体"/>
          <w:b/>
          <w:color w:val="auto"/>
          <w:sz w:val="24"/>
        </w:rPr>
        <w:t>竞争性谈判文件</w:t>
      </w:r>
    </w:p>
    <w:p>
      <w:pPr>
        <w:spacing w:line="360" w:lineRule="auto"/>
        <w:ind w:firstLine="561"/>
        <w:outlineLvl w:val="1"/>
        <w:rPr>
          <w:rFonts w:hint="eastAsia" w:ascii="宋体" w:hAnsi="宋体" w:eastAsia="宋体" w:cs="宋体"/>
          <w:color w:val="auto"/>
          <w:sz w:val="24"/>
        </w:rPr>
      </w:pP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7.竞争性谈判文件的组成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（1）谈判邀请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（2）谈判须知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（3）采购需求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（4）合同文本</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（5）报价内容和格式</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（6）评审办法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hint="eastAsia" w:ascii="宋体" w:hAnsi="宋体" w:eastAsia="宋体" w:cs="宋体"/>
          <w:b/>
          <w:bCs/>
          <w:color w:val="auto"/>
          <w:sz w:val="24"/>
          <w:szCs w:val="24"/>
        </w:rPr>
      </w:pPr>
      <w:bookmarkStart w:id="43" w:name="_Toc183582211"/>
      <w:bookmarkStart w:id="44" w:name="_Toc183682348"/>
      <w:bookmarkStart w:id="45" w:name="_Toc217446040"/>
      <w:r>
        <w:rPr>
          <w:rFonts w:hint="eastAsia" w:ascii="宋体" w:hAnsi="宋体" w:eastAsia="宋体" w:cs="宋体"/>
          <w:b/>
          <w:bCs/>
          <w:color w:val="auto"/>
          <w:sz w:val="24"/>
          <w:szCs w:val="24"/>
        </w:rPr>
        <w:t>8.竞争性谈判文件的澄清</w:t>
      </w:r>
      <w:bookmarkEnd w:id="43"/>
      <w:bookmarkEnd w:id="44"/>
      <w:r>
        <w:rPr>
          <w:rFonts w:hint="eastAsia" w:ascii="宋体" w:hAnsi="宋体" w:eastAsia="宋体" w:cs="宋体"/>
          <w:b/>
          <w:bCs/>
          <w:color w:val="auto"/>
          <w:sz w:val="24"/>
          <w:szCs w:val="24"/>
        </w:rPr>
        <w:t>和修改</w:t>
      </w:r>
      <w:bookmarkEnd w:id="45"/>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8.1 在谈判截止时间前，采购代理机构无论出于何种原因，可以对竞争性谈判文件进行必要的补遗、澄清或修改。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8.2</w:t>
      </w:r>
      <w:bookmarkStart w:id="46" w:name="_Toc430422414"/>
      <w:bookmarkStart w:id="47" w:name="_Toc430488852"/>
      <w:bookmarkStart w:id="48" w:name="_Toc430489120"/>
      <w:bookmarkStart w:id="49" w:name="_Toc430492127"/>
      <w:bookmarkStart w:id="50" w:name="_Toc430490613"/>
      <w:bookmarkStart w:id="51" w:name="_Toc415567498"/>
      <w:bookmarkStart w:id="52" w:name="_Toc430488645"/>
      <w:r>
        <w:rPr>
          <w:rFonts w:hint="eastAsia" w:ascii="宋体" w:hAnsi="宋体" w:eastAsia="宋体" w:cs="宋体"/>
          <w:color w:val="auto"/>
          <w:sz w:val="24"/>
          <w:szCs w:val="24"/>
        </w:rPr>
        <w:t xml:space="preserve"> 竞争性谈判文件的</w:t>
      </w:r>
      <w:bookmarkEnd w:id="46"/>
      <w:bookmarkEnd w:id="47"/>
      <w:bookmarkEnd w:id="48"/>
      <w:bookmarkEnd w:id="49"/>
      <w:bookmarkEnd w:id="50"/>
      <w:bookmarkEnd w:id="51"/>
      <w:bookmarkEnd w:id="52"/>
      <w:r>
        <w:rPr>
          <w:rFonts w:hint="eastAsia" w:ascii="宋体" w:hAnsi="宋体" w:eastAsia="宋体" w:cs="宋体"/>
          <w:color w:val="auto"/>
          <w:sz w:val="24"/>
          <w:szCs w:val="24"/>
        </w:rPr>
        <w:t>补遗、澄清或修改</w:t>
      </w:r>
    </w:p>
    <w:p>
      <w:pPr>
        <w:spacing w:line="360" w:lineRule="auto"/>
        <w:ind w:firstLine="480" w:firstLineChars="200"/>
        <w:rPr>
          <w:rFonts w:hint="eastAsia" w:ascii="宋体" w:hAnsi="宋体" w:eastAsia="宋体" w:cs="宋体"/>
          <w:color w:val="auto"/>
          <w:sz w:val="24"/>
          <w:szCs w:val="24"/>
        </w:rPr>
      </w:pPr>
      <w:bookmarkStart w:id="53" w:name="OLE_LINK5"/>
      <w:bookmarkStart w:id="54" w:name="_Toc217446041"/>
      <w:bookmarkStart w:id="55" w:name="_Toc208848971"/>
      <w:r>
        <w:rPr>
          <w:rFonts w:hint="eastAsia" w:ascii="宋体" w:hAnsi="宋体" w:eastAsia="宋体" w:cs="宋体"/>
          <w:color w:val="auto"/>
          <w:sz w:val="24"/>
          <w:szCs w:val="24"/>
        </w:rPr>
        <w:t>（</w:t>
      </w:r>
      <w:bookmarkStart w:id="56" w:name="OLE_LINK4"/>
      <w:r>
        <w:rPr>
          <w:rFonts w:hint="eastAsia" w:ascii="宋体" w:hAnsi="宋体" w:eastAsia="宋体" w:cs="宋体"/>
          <w:color w:val="auto"/>
          <w:sz w:val="24"/>
          <w:szCs w:val="24"/>
        </w:rPr>
        <w:t>1）在提交首次响应文件截止之日前，采购人、采购代理机构无论出于何种原因，可以对竞争性谈判文件进行必要的补遗、澄清或修改；补遗、澄清或修改内容可能影响响应文件编制的，</w:t>
      </w:r>
      <w:bookmarkStart w:id="57" w:name="OLE_LINK3"/>
      <w:r>
        <w:rPr>
          <w:rFonts w:hint="eastAsia" w:ascii="宋体" w:hAnsi="宋体" w:eastAsia="宋体" w:cs="宋体"/>
          <w:color w:val="auto"/>
          <w:sz w:val="24"/>
          <w:szCs w:val="24"/>
        </w:rPr>
        <w:t>采购代理机构</w:t>
      </w:r>
      <w:bookmarkEnd w:id="57"/>
      <w:r>
        <w:rPr>
          <w:rFonts w:hint="eastAsia" w:ascii="宋体" w:hAnsi="宋体" w:eastAsia="宋体" w:cs="宋体"/>
          <w:color w:val="auto"/>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53"/>
      <w:bookmarkEnd w:id="56"/>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9.其他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9.1标前答疑会和现场</w:t>
      </w:r>
      <w:bookmarkEnd w:id="54"/>
      <w:bookmarkEnd w:id="55"/>
      <w:r>
        <w:rPr>
          <w:rFonts w:hint="eastAsia" w:ascii="宋体" w:hAnsi="宋体" w:eastAsia="宋体" w:cs="宋体"/>
          <w:color w:val="auto"/>
          <w:sz w:val="24"/>
          <w:szCs w:val="24"/>
        </w:rPr>
        <w:t>踏勘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9.1.2答疑会上，采购代理机构或/和采购人将解答供应商的疑问。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9.1.4采购代理机构不单独或者分别组织只有1个供应商参加的现场考察。</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9.1.5供应商自行承担参加答疑或现场考察所发生的一切费用。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9.2述标和/或产（样）品演（展）示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具体要求详见第三章“采购需求”和/或“供应商须知前附表”有关规定。</w:t>
      </w:r>
    </w:p>
    <w:p>
      <w:pPr>
        <w:spacing w:line="360" w:lineRule="auto"/>
        <w:ind w:firstLine="480" w:firstLineChars="200"/>
        <w:rPr>
          <w:rFonts w:hint="eastAsia" w:ascii="宋体" w:hAnsi="宋体" w:eastAsia="宋体" w:cs="宋体"/>
          <w:color w:val="auto"/>
          <w:sz w:val="24"/>
          <w:szCs w:val="24"/>
        </w:rPr>
      </w:pPr>
    </w:p>
    <w:p>
      <w:pPr>
        <w:numPr>
          <w:ilvl w:val="0"/>
          <w:numId w:val="4"/>
        </w:numPr>
        <w:spacing w:line="360" w:lineRule="auto"/>
        <w:ind w:firstLine="561"/>
        <w:jc w:val="center"/>
        <w:outlineLvl w:val="1"/>
        <w:rPr>
          <w:rFonts w:hint="eastAsia" w:ascii="宋体" w:hAnsi="宋体" w:eastAsia="宋体" w:cs="宋体"/>
          <w:b/>
          <w:color w:val="auto"/>
          <w:sz w:val="24"/>
        </w:rPr>
      </w:pPr>
      <w:bookmarkStart w:id="58" w:name="_Toc246826110"/>
      <w:bookmarkStart w:id="59" w:name="_Toc31155"/>
      <w:bookmarkStart w:id="60" w:name="_Toc10857"/>
      <w:bookmarkStart w:id="61" w:name="_Toc1660487"/>
      <w:r>
        <w:rPr>
          <w:rFonts w:hint="eastAsia" w:ascii="宋体" w:hAnsi="宋体" w:eastAsia="宋体" w:cs="宋体"/>
          <w:b/>
          <w:color w:val="auto"/>
          <w:sz w:val="24"/>
        </w:rPr>
        <w:t>响应文件</w:t>
      </w:r>
      <w:bookmarkEnd w:id="58"/>
      <w:bookmarkEnd w:id="59"/>
      <w:bookmarkEnd w:id="60"/>
      <w:bookmarkEnd w:id="61"/>
    </w:p>
    <w:p>
      <w:pPr>
        <w:spacing w:line="360" w:lineRule="auto"/>
        <w:outlineLvl w:val="1"/>
        <w:rPr>
          <w:rFonts w:hint="eastAsia" w:ascii="宋体" w:hAnsi="宋体" w:eastAsia="宋体" w:cs="宋体"/>
          <w:b/>
          <w:color w:val="auto"/>
          <w:sz w:val="24"/>
          <w:szCs w:val="24"/>
        </w:rPr>
      </w:pPr>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10.响应文件的语言和计量单位</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10.2计量单位：除技术规格及要求中另有规定外，本采购项下的响应均采用国家法定的计量单位。</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10.3货币单位：本次采购项目的响应均以人民币报价。</w:t>
      </w:r>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11.知识产权</w:t>
      </w:r>
    </w:p>
    <w:p>
      <w:pPr>
        <w:pStyle w:val="10"/>
        <w:ind w:left="0" w:firstLine="480" w:firstLineChars="200"/>
        <w:rPr>
          <w:rFonts w:hint="eastAsia" w:ascii="宋体" w:hAnsi="宋体" w:eastAsia="宋体" w:cs="宋体"/>
          <w:color w:val="auto"/>
          <w:szCs w:val="24"/>
        </w:rPr>
      </w:pPr>
      <w:r>
        <w:rPr>
          <w:rFonts w:hint="eastAsia" w:ascii="宋体" w:hAnsi="宋体" w:eastAsia="宋体" w:cs="宋体"/>
          <w:color w:val="auto"/>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0"/>
        <w:ind w:left="0" w:firstLine="480" w:firstLineChars="200"/>
        <w:rPr>
          <w:rFonts w:hint="eastAsia" w:ascii="宋体" w:hAnsi="宋体" w:eastAsia="宋体" w:cs="宋体"/>
          <w:color w:val="auto"/>
          <w:szCs w:val="24"/>
        </w:rPr>
      </w:pPr>
      <w:r>
        <w:rPr>
          <w:rFonts w:hint="eastAsia" w:ascii="宋体" w:hAnsi="宋体" w:eastAsia="宋体" w:cs="宋体"/>
          <w:color w:val="auto"/>
          <w:szCs w:val="24"/>
        </w:rPr>
        <w:t>11.2 采购人享有本项目实施过程中产生的知识成果及知识产权。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11.4 如采用供应商所不拥有的知识产权，则在报价中必须包括合法获取该知识产权的相关费用。 </w:t>
      </w:r>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12.响应文件要求</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13.响应文件编写</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13.1按照竞争性谈判文件中</w:t>
      </w:r>
      <w:r>
        <w:rPr>
          <w:rFonts w:hint="eastAsia" w:ascii="宋体" w:hAnsi="宋体" w:eastAsia="宋体" w:cs="宋体"/>
          <w:bCs/>
          <w:color w:val="auto"/>
          <w:sz w:val="24"/>
          <w:szCs w:val="24"/>
        </w:rPr>
        <w:t>第五章</w:t>
      </w:r>
      <w:r>
        <w:rPr>
          <w:rFonts w:hint="eastAsia" w:ascii="宋体" w:hAnsi="宋体" w:eastAsia="宋体" w:cs="宋体"/>
          <w:color w:val="auto"/>
          <w:sz w:val="24"/>
          <w:szCs w:val="24"/>
        </w:rPr>
        <w:t>对响应材料格式部分规定的顺序，统一编目编码并编制目录，响应文件应装订牢固不可拆卸（如：胶订）。由于编排混乱导致响应文件被误读或查找不到，责任应当由供应商承担。</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hint="eastAsia" w:ascii="宋体" w:hAnsi="宋体" w:eastAsia="宋体" w:cs="宋体"/>
          <w:color w:val="auto"/>
          <w:sz w:val="24"/>
          <w:szCs w:val="24"/>
        </w:rPr>
      </w:pPr>
      <w:bookmarkStart w:id="62" w:name="_Toc12793"/>
      <w:bookmarkStart w:id="63" w:name="_Toc1660488"/>
      <w:bookmarkStart w:id="64" w:name="_Toc21079"/>
      <w:r>
        <w:rPr>
          <w:rFonts w:hint="eastAsia" w:ascii="宋体" w:hAnsi="宋体" w:eastAsia="宋体" w:cs="宋体"/>
          <w:color w:val="auto"/>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62"/>
      <w:bookmarkEnd w:id="63"/>
      <w:bookmarkEnd w:id="64"/>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14.响应报价</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 响应报价要求</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14.1.2供应商投报多包的，应对每包分别报价并分别填报开标一览表。</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14.1.3供应商应按第五章分项报价明细表的内容填写服务内容、总价及其他事项。开标一览表中价格填报处不应有空白，如无费用可填报“/”。</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14.1.4供应商对响应报价若有说明应在开标一览表显著处注明，只有开标时唱出的报价和优惠才会在评标时予以考虑。</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14.2最低报价不能作为成交的保证。</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 响应文件报价出现前后不一致的，按照下列规定修正：</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（1）响应文件中开标一览表内容与竞争性谈判文件中相应内容不一致的，以开标一览表为准； </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（2）大写金额和小写金额不一致的，以大写金额为准；</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（3）单价金额小数点或者百分比有明显错位的，以开标一览表的总价为准，并修改单价；</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（4）总价金额与按单价汇总金额不一致的，以单价金额计算结果为准。</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同时出现两种以上不一致的，按照前款规定的顺序修正。修正后的报价按照24.8条的规定经供应商确认后产生约束力，供应商不确认的，其响应无效。</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15.谈判保证金</w:t>
      </w:r>
    </w:p>
    <w:p>
      <w:pPr>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15.1 谈判保证金为响应文件的组成部分之一，谈判保证金用于保护本次采购活动免受供应商的行为而引起的风险。</w:t>
      </w:r>
    </w:p>
    <w:p>
      <w:pPr>
        <w:pStyle w:val="7"/>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15.3谈判保证金的有效期与响应有效期一致，否则视为无效响应。</w:t>
      </w:r>
    </w:p>
    <w:p>
      <w:pPr>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15.4供应商办理谈判保证金手续时，请务必注明采购项目编号，在“付款人”一栏中填写响应单位名称（须与购买竞争性谈判文件的单位名称一致，否则自行承担由此产生的风险）。</w:t>
      </w:r>
    </w:p>
    <w:p>
      <w:pPr>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15.6发生以下情况之一的，谈判保证金可以不予退还：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（1）在提交响应文件截止时间后撤回响应文件的；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（2）在响应文件中提供虚假材料的；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（3）除因不可抗力或竞争性谈判文件认可的情形以外，成交供应商不与采购人签订合同的；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（5）成交后不领取或者不接收成交通知书的；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（6）由于成交供应商的原因未能按照竞争性谈判文件的规定交纳履约保证金的；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（7）响应有效期内，供应商在政府采购活动中有违法、违规、违纪行为。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（8）响应有效期内，供应商撤销响应文件的。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上述不予退还谈判保证金的情况给采购代理机构造成损失的，还要承担赔偿责任。</w:t>
      </w:r>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16.响应文件的有效期</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16.1本项目响应文件的有效期详见供应商须知前附表第14条。有效期不足将导致其响应无效。响应截止时间后，供应商在响应有效期内不得撤销响应文件。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17.响应文件的签署及其他规定</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17.1组成响应文件的各项文件均应遵守本条规定。</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17.2响应文件签署要求如下：</w:t>
      </w:r>
    </w:p>
    <w:p>
      <w:pPr>
        <w:pStyle w:val="89"/>
        <w:numPr>
          <w:ilvl w:val="0"/>
          <w:numId w:val="5"/>
        </w:num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响应文件的正本须经法人代表/负责人或</w:t>
      </w:r>
      <w:r>
        <w:rPr>
          <w:rFonts w:hint="eastAsia" w:ascii="宋体" w:hAnsi="宋体" w:cs="宋体"/>
          <w:color w:val="auto"/>
          <w:sz w:val="24"/>
          <w:szCs w:val="24"/>
          <w:lang w:val="en-US" w:eastAsia="zh-CN"/>
        </w:rPr>
        <w:t>响应</w:t>
      </w:r>
      <w:r>
        <w:rPr>
          <w:rFonts w:hint="eastAsia" w:ascii="宋体" w:hAnsi="宋体" w:eastAsia="宋体" w:cs="宋体"/>
          <w:color w:val="auto"/>
          <w:sz w:val="24"/>
          <w:szCs w:val="24"/>
        </w:rPr>
        <w:t>代表逐页签字及加盖公章和骑缝章签章（单位公章及其响应代表签字）</w:t>
      </w:r>
    </w:p>
    <w:p>
      <w:pPr>
        <w:pStyle w:val="89"/>
        <w:numPr>
          <w:ilvl w:val="0"/>
          <w:numId w:val="5"/>
        </w:num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响应文件所使用的印章必须为单位公章，且与供应商单位名称完全一致，不能以其它业务章或附属机构印章代替，否则视为无效响应文件；</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）响应文件如有改动，必须在改动之处加盖单位公章或响应代表签字（或盖名章）摁手印；</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17.4正本、副本必须打印装订，</w:t>
      </w:r>
      <w:r>
        <w:rPr>
          <w:rFonts w:hint="eastAsia"/>
          <w:sz w:val="24"/>
          <w:szCs w:val="24"/>
          <w:lang w:eastAsia="zh-CN"/>
        </w:rPr>
        <w:t>响应文件正本应用不褪色的墨水书写或打印，</w:t>
      </w:r>
      <w:r>
        <w:rPr>
          <w:rFonts w:hint="eastAsia" w:ascii="宋体" w:hAnsi="宋体" w:eastAsia="宋体" w:cs="宋体"/>
          <w:color w:val="auto"/>
          <w:sz w:val="24"/>
          <w:szCs w:val="24"/>
        </w:rPr>
        <w:t>副本可以用正本的完整复印件，并在封面标明“正本”、“副本”字样。</w:t>
      </w:r>
      <w:r>
        <w:rPr>
          <w:rFonts w:hint="eastAsia" w:ascii="宋体" w:hAnsi="宋体" w:cs="宋体"/>
          <w:color w:val="auto"/>
          <w:sz w:val="24"/>
          <w:szCs w:val="24"/>
          <w:lang w:val="en-US" w:eastAsia="zh-CN"/>
        </w:rPr>
        <w:t>响应</w:t>
      </w:r>
      <w:r>
        <w:rPr>
          <w:rFonts w:hint="eastAsia" w:ascii="宋体" w:hAnsi="宋体" w:eastAsia="宋体" w:cs="宋体"/>
          <w:color w:val="auto"/>
          <w:sz w:val="24"/>
          <w:szCs w:val="24"/>
        </w:rPr>
        <w:t>文件书脊处应标明</w:t>
      </w:r>
      <w:r>
        <w:rPr>
          <w:rFonts w:hint="eastAsia" w:ascii="宋体" w:hAnsi="宋体" w:cs="宋体"/>
          <w:color w:val="auto"/>
          <w:sz w:val="24"/>
          <w:szCs w:val="24"/>
          <w:lang w:val="en-US" w:eastAsia="zh-CN"/>
        </w:rPr>
        <w:t>项目名称及项目编号，封面由法人亲笔签名。正</w:t>
      </w:r>
      <w:r>
        <w:rPr>
          <w:rFonts w:hint="eastAsia" w:ascii="宋体" w:hAnsi="宋体" w:eastAsia="宋体" w:cs="宋体"/>
          <w:color w:val="auto"/>
          <w:sz w:val="24"/>
          <w:szCs w:val="24"/>
        </w:rPr>
        <w:t>副本如有不一致，则以正本为准。响应文件正本所加盖的供应商公章必须为鲜章，否则投标无效。</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17.5因响应文件字迹潦草或表达不清所引起的不利后果由供应商承担。</w:t>
      </w:r>
    </w:p>
    <w:p>
      <w:pPr>
        <w:pStyle w:val="89"/>
        <w:spacing w:line="360" w:lineRule="auto"/>
        <w:ind w:firstLine="48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17.6 响应文件应根据谈判文件的要求制作，签署、盖章和内容应完整，如有遗漏，将被视为无效投标。</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18.响应文件的密封和递交</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bCs/>
          <w:color w:val="auto"/>
          <w:sz w:val="24"/>
          <w:szCs w:val="24"/>
        </w:rPr>
        <w:t>18.1响应文件的密封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供应商须提供密封的响应文件正本及全部副本、单独密封的电子版响应文件、单独密封的唱标信封。</w:t>
      </w:r>
      <w:r>
        <w:rPr>
          <w:rFonts w:hint="eastAsia" w:ascii="宋体" w:hAnsi="宋体" w:eastAsia="宋体" w:cs="宋体"/>
          <w:color w:val="auto"/>
          <w:sz w:val="24"/>
        </w:rPr>
        <w:t>响应文件须密封并在封套的封口处加盖供应商单位公章。</w:t>
      </w:r>
      <w:r>
        <w:rPr>
          <w:rFonts w:hint="eastAsia" w:ascii="宋体" w:hAnsi="宋体" w:eastAsia="宋体" w:cs="宋体"/>
          <w:color w:val="auto"/>
          <w:sz w:val="24"/>
          <w:szCs w:val="24"/>
        </w:rPr>
        <w:t>响应文件封套上标示“供应商须知前附表”所规定的内容，</w:t>
      </w:r>
      <w:r>
        <w:rPr>
          <w:rFonts w:hint="eastAsia" w:ascii="宋体" w:hAnsi="宋体" w:eastAsia="宋体" w:cs="宋体"/>
          <w:color w:val="auto"/>
          <w:sz w:val="24"/>
        </w:rPr>
        <w:t>封套上应清楚地标记“正本”、“副本”、“</w:t>
      </w:r>
      <w:r>
        <w:rPr>
          <w:rFonts w:hint="eastAsia" w:ascii="宋体" w:hAnsi="宋体" w:eastAsia="宋体" w:cs="宋体"/>
          <w:color w:val="auto"/>
          <w:sz w:val="24"/>
          <w:szCs w:val="24"/>
        </w:rPr>
        <w:t>电子版响应文件</w:t>
      </w:r>
      <w:r>
        <w:rPr>
          <w:rFonts w:hint="eastAsia" w:ascii="宋体" w:hAnsi="宋体" w:eastAsia="宋体" w:cs="宋体"/>
          <w:color w:val="auto"/>
          <w:sz w:val="24"/>
        </w:rPr>
        <w:t>”或“</w:t>
      </w:r>
      <w:r>
        <w:rPr>
          <w:rFonts w:hint="eastAsia" w:ascii="宋体" w:hAnsi="宋体" w:eastAsia="宋体" w:cs="宋体"/>
          <w:color w:val="auto"/>
          <w:sz w:val="24"/>
          <w:szCs w:val="24"/>
        </w:rPr>
        <w:t>唱标信封</w:t>
      </w:r>
      <w:r>
        <w:rPr>
          <w:rFonts w:hint="eastAsia" w:ascii="宋体" w:hAnsi="宋体" w:eastAsia="宋体" w:cs="宋体"/>
          <w:color w:val="auto"/>
          <w:sz w:val="24"/>
        </w:rPr>
        <w:t>”字样。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18.2响应文件的递交方式</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pPr>
        <w:spacing w:line="360" w:lineRule="auto"/>
        <w:ind w:firstLine="480" w:firstLineChars="200"/>
        <w:outlineLvl w:val="1"/>
        <w:rPr>
          <w:rFonts w:hint="eastAsia" w:ascii="宋体" w:hAnsi="宋体" w:eastAsia="宋体" w:cs="宋体"/>
          <w:color w:val="auto"/>
          <w:sz w:val="24"/>
          <w:szCs w:val="24"/>
        </w:rPr>
      </w:pPr>
      <w:bookmarkStart w:id="65" w:name="_Toc1660489"/>
      <w:bookmarkStart w:id="66" w:name="_Toc23955"/>
      <w:bookmarkStart w:id="67" w:name="_Toc12337"/>
      <w:r>
        <w:rPr>
          <w:rFonts w:hint="eastAsia" w:ascii="宋体" w:hAnsi="宋体" w:eastAsia="宋体" w:cs="宋体"/>
          <w:color w:val="auto"/>
          <w:sz w:val="24"/>
          <w:szCs w:val="24"/>
        </w:rPr>
        <w:t>18.2.2 截至谈判截止时间，参加谈判的供应商（以递交响应文件家数为准）不足法定家数的，予以采购失败，响应文件原封退还给供应商；</w:t>
      </w:r>
      <w:bookmarkEnd w:id="65"/>
      <w:bookmarkEnd w:id="66"/>
      <w:bookmarkEnd w:id="67"/>
    </w:p>
    <w:p>
      <w:pPr>
        <w:spacing w:line="360" w:lineRule="auto"/>
        <w:ind w:firstLine="480" w:firstLineChars="200"/>
        <w:outlineLvl w:val="1"/>
        <w:rPr>
          <w:rFonts w:hint="eastAsia" w:ascii="宋体" w:hAnsi="宋体" w:eastAsia="宋体" w:cs="宋体"/>
          <w:color w:val="auto"/>
          <w:sz w:val="24"/>
          <w:szCs w:val="24"/>
        </w:rPr>
      </w:pPr>
      <w:bookmarkStart w:id="68" w:name="_Toc5912"/>
      <w:bookmarkStart w:id="69" w:name="_Toc1660490"/>
      <w:bookmarkStart w:id="70" w:name="_Toc13887"/>
      <w:r>
        <w:rPr>
          <w:rFonts w:hint="eastAsia" w:ascii="宋体" w:hAnsi="宋体" w:eastAsia="宋体" w:cs="宋体"/>
          <w:color w:val="auto"/>
          <w:sz w:val="24"/>
          <w:szCs w:val="24"/>
        </w:rPr>
        <w:t>18.2.3参加响应供应商数量满足法定家数的，同一时间予以开标，开标后，响应文件一律不予退还。</w:t>
      </w:r>
      <w:bookmarkEnd w:id="68"/>
      <w:bookmarkEnd w:id="69"/>
      <w:bookmarkEnd w:id="70"/>
    </w:p>
    <w:p>
      <w:pPr>
        <w:pStyle w:val="89"/>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19.响应文件补充、修改和撤回</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19.3 供应商不得在响应截止时间以后修改或/和撤回响应文件。</w:t>
      </w:r>
    </w:p>
    <w:p>
      <w:pPr>
        <w:spacing w:line="360" w:lineRule="auto"/>
        <w:rPr>
          <w:rFonts w:hint="eastAsia" w:ascii="宋体" w:hAnsi="宋体" w:eastAsia="宋体" w:cs="宋体"/>
          <w:bCs/>
          <w:color w:val="auto"/>
          <w:sz w:val="24"/>
          <w:szCs w:val="24"/>
        </w:rPr>
      </w:pPr>
      <w:r>
        <w:rPr>
          <w:rFonts w:hint="eastAsia" w:ascii="宋体" w:hAnsi="宋体" w:eastAsia="宋体" w:cs="宋体"/>
          <w:b/>
          <w:bCs/>
          <w:color w:val="auto"/>
          <w:sz w:val="24"/>
          <w:szCs w:val="24"/>
        </w:rPr>
        <w:t>20.供应商注意事项</w:t>
      </w:r>
    </w:p>
    <w:p>
      <w:pPr>
        <w:pStyle w:val="89"/>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20.1供应商有下列情形之一的,评标委员会认定为供应商串通响应，其响应无效，书面报告财政部门：</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（1）不同供应商的响应文件由同一单位或者个人编制；</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（2）不同供应商委托同一单位或者个人办理响应事宜；</w:t>
      </w:r>
    </w:p>
    <w:p>
      <w:pPr>
        <w:pStyle w:val="89"/>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（3）不同供应商的响应文件载明的项目管理成员或者联系人员为同一人；</w:t>
      </w:r>
    </w:p>
    <w:p>
      <w:pPr>
        <w:pStyle w:val="89"/>
        <w:spacing w:line="360" w:lineRule="auto"/>
        <w:ind w:left="-708" w:leftChars="-337" w:firstLine="1200" w:firstLineChars="500"/>
        <w:rPr>
          <w:rFonts w:hint="eastAsia" w:ascii="宋体" w:hAnsi="宋体" w:eastAsia="宋体" w:cs="宋体"/>
          <w:color w:val="auto"/>
          <w:sz w:val="24"/>
          <w:szCs w:val="24"/>
        </w:rPr>
      </w:pPr>
      <w:r>
        <w:rPr>
          <w:rFonts w:hint="eastAsia" w:ascii="宋体" w:hAnsi="宋体" w:eastAsia="宋体" w:cs="宋体"/>
          <w:color w:val="auto"/>
          <w:sz w:val="24"/>
          <w:szCs w:val="24"/>
        </w:rPr>
        <w:t>（4）不同供应商的响应文件异常一致或者响应报价呈规律性差异；</w:t>
      </w:r>
    </w:p>
    <w:p>
      <w:pPr>
        <w:pStyle w:val="89"/>
        <w:spacing w:line="360" w:lineRule="auto"/>
        <w:ind w:left="-708" w:leftChars="-337" w:firstLine="1200" w:firstLineChars="500"/>
        <w:rPr>
          <w:rFonts w:hint="eastAsia" w:ascii="宋体" w:hAnsi="宋体" w:eastAsia="宋体" w:cs="宋体"/>
          <w:color w:val="auto"/>
          <w:sz w:val="24"/>
          <w:szCs w:val="24"/>
        </w:rPr>
      </w:pPr>
      <w:r>
        <w:rPr>
          <w:rFonts w:hint="eastAsia" w:ascii="宋体" w:hAnsi="宋体" w:eastAsia="宋体" w:cs="宋体"/>
          <w:color w:val="auto"/>
          <w:sz w:val="24"/>
          <w:szCs w:val="24"/>
        </w:rPr>
        <w:t>（5）不同供应商的响应文件相互混装；</w:t>
      </w:r>
    </w:p>
    <w:p>
      <w:pPr>
        <w:pStyle w:val="89"/>
        <w:spacing w:line="360" w:lineRule="auto"/>
        <w:ind w:left="-708" w:leftChars="-337" w:firstLine="1200" w:firstLineChars="500"/>
        <w:rPr>
          <w:rFonts w:hint="eastAsia" w:ascii="宋体" w:hAnsi="宋体" w:eastAsia="宋体" w:cs="宋体"/>
          <w:color w:val="auto"/>
          <w:sz w:val="24"/>
          <w:szCs w:val="24"/>
        </w:rPr>
      </w:pPr>
      <w:r>
        <w:rPr>
          <w:rFonts w:hint="eastAsia" w:ascii="宋体" w:hAnsi="宋体" w:eastAsia="宋体" w:cs="宋体"/>
          <w:color w:val="auto"/>
          <w:sz w:val="24"/>
          <w:szCs w:val="24"/>
        </w:rPr>
        <w:t>（6）不同供应商的响应保证金从同一个单位或者个人账户转出。</w:t>
      </w:r>
    </w:p>
    <w:p>
      <w:pPr>
        <w:pStyle w:val="89"/>
        <w:spacing w:line="360" w:lineRule="auto"/>
        <w:ind w:left="-708" w:leftChars="-337" w:firstLine="1205" w:firstLineChars="500"/>
        <w:rPr>
          <w:rFonts w:hint="eastAsia" w:ascii="宋体" w:hAnsi="宋体" w:eastAsia="宋体" w:cs="宋体"/>
          <w:b/>
          <w:bCs/>
          <w:color w:val="auto"/>
          <w:sz w:val="24"/>
        </w:rPr>
      </w:pPr>
      <w:r>
        <w:rPr>
          <w:rFonts w:hint="eastAsia" w:ascii="宋体" w:hAnsi="宋体" w:eastAsia="宋体" w:cs="宋体"/>
          <w:b/>
          <w:bCs/>
          <w:color w:val="auto"/>
          <w:sz w:val="24"/>
        </w:rPr>
        <w:t>20.2 供应商存在下列情形之一的，响应无效：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（1）未按照竞争性谈判文件的规定提交谈判保证金的；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（2）响应文件未按照竞争性谈判文件要求签署、盖章的；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（3）不具备竞争性谈判文件规定的资格要求的；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（4）报价超过竞争性谈判文件规定的预算金额或者最高限价的；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（5）响应文件含有采购人不能接受的附加条件的；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（6）法律、法规和竞争性谈判文件规定的其他无效情形。</w:t>
      </w:r>
    </w:p>
    <w:p>
      <w:pPr>
        <w:pStyle w:val="89"/>
        <w:spacing w:line="360" w:lineRule="auto"/>
        <w:ind w:firstLine="480"/>
        <w:rPr>
          <w:rFonts w:hint="eastAsia" w:ascii="宋体" w:hAnsi="宋体" w:eastAsia="宋体" w:cs="宋体"/>
          <w:b/>
          <w:bCs/>
          <w:color w:val="auto"/>
          <w:sz w:val="24"/>
          <w:szCs w:val="24"/>
        </w:rPr>
      </w:pPr>
      <w:r>
        <w:rPr>
          <w:rFonts w:hint="eastAsia" w:ascii="宋体" w:hAnsi="宋体" w:eastAsia="宋体" w:cs="宋体"/>
          <w:color w:val="auto"/>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hint="eastAsia" w:ascii="宋体" w:hAnsi="宋体" w:eastAsia="宋体" w:cs="宋体"/>
          <w:b/>
          <w:color w:val="auto"/>
          <w:sz w:val="24"/>
        </w:rPr>
      </w:pPr>
      <w:r>
        <w:rPr>
          <w:rFonts w:hint="eastAsia" w:ascii="宋体" w:hAnsi="宋体" w:eastAsia="宋体" w:cs="宋体"/>
          <w:b/>
          <w:bCs/>
          <w:color w:val="auto"/>
          <w:sz w:val="24"/>
          <w:szCs w:val="24"/>
        </w:rPr>
        <w:t xml:space="preserve"> </w:t>
      </w:r>
      <w:bookmarkStart w:id="71" w:name="_Toc246826112"/>
    </w:p>
    <w:p>
      <w:pPr>
        <w:numPr>
          <w:ilvl w:val="0"/>
          <w:numId w:val="4"/>
        </w:numPr>
        <w:spacing w:line="360" w:lineRule="auto"/>
        <w:ind w:firstLine="561"/>
        <w:jc w:val="center"/>
        <w:rPr>
          <w:rFonts w:hint="eastAsia" w:ascii="宋体" w:hAnsi="宋体" w:eastAsia="宋体" w:cs="宋体"/>
          <w:b/>
          <w:color w:val="auto"/>
          <w:sz w:val="24"/>
        </w:rPr>
      </w:pPr>
      <w:r>
        <w:rPr>
          <w:rFonts w:hint="eastAsia" w:ascii="宋体" w:hAnsi="宋体" w:eastAsia="宋体" w:cs="宋体"/>
          <w:b/>
          <w:color w:val="auto"/>
          <w:sz w:val="24"/>
        </w:rPr>
        <w:t>开标与评</w:t>
      </w:r>
      <w:bookmarkEnd w:id="71"/>
      <w:r>
        <w:rPr>
          <w:rFonts w:hint="eastAsia" w:ascii="宋体" w:hAnsi="宋体" w:eastAsia="宋体" w:cs="宋体"/>
          <w:b/>
          <w:color w:val="auto"/>
          <w:sz w:val="24"/>
        </w:rPr>
        <w:t>审</w:t>
      </w:r>
    </w:p>
    <w:p>
      <w:pPr>
        <w:spacing w:line="360" w:lineRule="auto"/>
        <w:ind w:left="561"/>
        <w:rPr>
          <w:rFonts w:hint="eastAsia" w:ascii="宋体" w:hAnsi="宋体" w:eastAsia="宋体" w:cs="宋体"/>
          <w:b/>
          <w:color w:val="auto"/>
          <w:sz w:val="24"/>
        </w:rPr>
      </w:pP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21.开标</w:t>
      </w:r>
    </w:p>
    <w:p>
      <w:pPr>
        <w:spacing w:line="360" w:lineRule="auto"/>
        <w:ind w:firstLine="480" w:firstLineChars="200"/>
        <w:outlineLvl w:val="1"/>
        <w:rPr>
          <w:rFonts w:hint="eastAsia" w:ascii="宋体" w:hAnsi="宋体" w:eastAsia="宋体" w:cs="宋体"/>
          <w:bCs/>
          <w:color w:val="auto"/>
          <w:sz w:val="24"/>
          <w:szCs w:val="24"/>
        </w:rPr>
      </w:pPr>
      <w:bookmarkStart w:id="72" w:name="_Toc18632"/>
      <w:bookmarkStart w:id="73" w:name="_Toc1660491"/>
      <w:bookmarkStart w:id="74" w:name="_Toc9126"/>
      <w:r>
        <w:rPr>
          <w:rFonts w:hint="eastAsia" w:ascii="宋体" w:hAnsi="宋体" w:eastAsia="宋体" w:cs="宋体"/>
          <w:bCs/>
          <w:color w:val="auto"/>
          <w:sz w:val="24"/>
          <w:szCs w:val="24"/>
        </w:rPr>
        <w:t>21.1采购代理机构按照相关规定，在竞争性谈判文件确定的时间、地点主持开标，并邀请供应商代表参加,</w:t>
      </w:r>
      <w:r>
        <w:rPr>
          <w:rFonts w:hint="eastAsia" w:ascii="宋体" w:hAnsi="宋体" w:eastAsia="宋体" w:cs="宋体"/>
          <w:color w:val="auto"/>
          <w:sz w:val="24"/>
        </w:rPr>
        <w:t>供应商响应代表须携带个人身份证（或其他有效证件）复印件和授权委托书亲自出席开标会并确认开标情况</w:t>
      </w:r>
      <w:r>
        <w:rPr>
          <w:rFonts w:hint="eastAsia" w:ascii="宋体" w:hAnsi="宋体" w:eastAsia="宋体" w:cs="宋体"/>
          <w:bCs/>
          <w:color w:val="auto"/>
          <w:sz w:val="24"/>
          <w:szCs w:val="24"/>
        </w:rPr>
        <w:t>。如果不参加开标的，则视同该供应商承认开标记录，且不得事后对开标记录提出任何异议，否则，其响应将作无效响应论处。</w:t>
      </w:r>
      <w:bookmarkEnd w:id="72"/>
      <w:bookmarkEnd w:id="73"/>
      <w:bookmarkEnd w:id="74"/>
    </w:p>
    <w:p>
      <w:pPr>
        <w:spacing w:line="360" w:lineRule="auto"/>
        <w:ind w:firstLine="480" w:firstLineChars="200"/>
        <w:outlineLvl w:val="1"/>
        <w:rPr>
          <w:rFonts w:hint="eastAsia" w:ascii="宋体" w:hAnsi="宋体" w:eastAsia="宋体" w:cs="宋体"/>
          <w:bCs/>
          <w:color w:val="auto"/>
          <w:sz w:val="24"/>
          <w:szCs w:val="24"/>
        </w:rPr>
      </w:pPr>
      <w:bookmarkStart w:id="75" w:name="_Toc2351"/>
      <w:bookmarkStart w:id="76" w:name="_Toc6060"/>
      <w:bookmarkStart w:id="77" w:name="_Toc1660492"/>
      <w:r>
        <w:rPr>
          <w:rFonts w:hint="eastAsia" w:ascii="宋体" w:hAnsi="宋体" w:eastAsia="宋体" w:cs="宋体"/>
          <w:bCs/>
          <w:color w:val="auto"/>
          <w:sz w:val="24"/>
          <w:szCs w:val="24"/>
        </w:rPr>
        <w:t>21.2开标时按规定查验纸质响应文件密封情况。对密封等情形确认后响应文件当众拆封。</w:t>
      </w:r>
      <w:bookmarkEnd w:id="75"/>
      <w:bookmarkEnd w:id="76"/>
      <w:bookmarkEnd w:id="77"/>
    </w:p>
    <w:p>
      <w:pPr>
        <w:spacing w:line="360" w:lineRule="auto"/>
        <w:ind w:firstLine="480" w:firstLineChars="200"/>
        <w:outlineLvl w:val="1"/>
        <w:rPr>
          <w:rFonts w:hint="eastAsia" w:ascii="宋体" w:hAnsi="宋体" w:eastAsia="宋体" w:cs="宋体"/>
          <w:bCs/>
          <w:color w:val="auto"/>
          <w:sz w:val="24"/>
          <w:szCs w:val="24"/>
        </w:rPr>
      </w:pPr>
      <w:bookmarkStart w:id="78" w:name="_Toc1660493"/>
      <w:bookmarkStart w:id="79" w:name="_Toc5661"/>
      <w:bookmarkStart w:id="80" w:name="_Toc14090"/>
      <w:r>
        <w:rPr>
          <w:rFonts w:hint="eastAsia" w:ascii="宋体" w:hAnsi="宋体" w:eastAsia="宋体" w:cs="宋体"/>
          <w:bCs/>
          <w:color w:val="auto"/>
          <w:sz w:val="24"/>
          <w:szCs w:val="24"/>
        </w:rPr>
        <w:t>21.3 评审小组按照竞争性谈判文件的要求，</w:t>
      </w:r>
      <w:r>
        <w:rPr>
          <w:rFonts w:hint="eastAsia" w:ascii="宋体" w:hAnsi="宋体" w:eastAsia="宋体" w:cs="宋体"/>
          <w:color w:val="auto"/>
          <w:kern w:val="44"/>
          <w:sz w:val="24"/>
          <w:szCs w:val="24"/>
        </w:rPr>
        <w:t>对供应商提供的资格审查文件</w:t>
      </w:r>
      <w:r>
        <w:rPr>
          <w:rFonts w:hint="eastAsia" w:ascii="宋体" w:hAnsi="宋体" w:eastAsia="宋体" w:cs="宋体"/>
          <w:bCs/>
          <w:color w:val="auto"/>
          <w:sz w:val="24"/>
          <w:szCs w:val="24"/>
        </w:rPr>
        <w:t>进行审查。</w:t>
      </w:r>
      <w:r>
        <w:rPr>
          <w:rFonts w:hint="eastAsia" w:ascii="宋体" w:hAnsi="宋体" w:eastAsia="宋体" w:cs="宋体"/>
          <w:color w:val="auto"/>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78"/>
      <w:bookmarkEnd w:id="79"/>
      <w:bookmarkEnd w:id="80"/>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21.4</w:t>
      </w:r>
      <w:r>
        <w:rPr>
          <w:rFonts w:hint="eastAsia" w:ascii="宋体" w:hAnsi="宋体" w:eastAsia="宋体" w:cs="宋体"/>
          <w:color w:val="auto"/>
          <w:kern w:val="44"/>
          <w:sz w:val="24"/>
          <w:szCs w:val="24"/>
        </w:rPr>
        <w:t xml:space="preserve"> 审查合格供应商进行谈判提交最终报价。</w:t>
      </w:r>
    </w:p>
    <w:p>
      <w:pPr>
        <w:pStyle w:val="101"/>
        <w:numPr>
          <w:ilvl w:val="0"/>
          <w:numId w:val="0"/>
        </w:numPr>
        <w:tabs>
          <w:tab w:val="clear" w:pos="709"/>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1"/>
        <w:numPr>
          <w:ilvl w:val="0"/>
          <w:numId w:val="0"/>
        </w:numPr>
        <w:tabs>
          <w:tab w:val="clear" w:pos="709"/>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21.6评审工作人员做开标记录，并在开标后要求供应商响应代表签字确认。供应商未参加开标的，视同认可开标结果。</w:t>
      </w:r>
    </w:p>
    <w:p>
      <w:pPr>
        <w:pStyle w:val="2"/>
        <w:spacing w:before="0" w:after="0" w:line="360" w:lineRule="auto"/>
        <w:rPr>
          <w:rFonts w:hint="eastAsia" w:ascii="宋体" w:hAnsi="宋体" w:eastAsia="宋体" w:cs="宋体"/>
          <w:b w:val="0"/>
          <w:color w:val="auto"/>
          <w:sz w:val="24"/>
          <w:szCs w:val="24"/>
        </w:rPr>
      </w:pPr>
      <w:bookmarkStart w:id="81" w:name="_Toc20984"/>
      <w:bookmarkStart w:id="82" w:name="_Toc1660494"/>
      <w:bookmarkStart w:id="83" w:name="_Toc7604"/>
      <w:bookmarkStart w:id="84" w:name="_Toc328815997"/>
      <w:r>
        <w:rPr>
          <w:rFonts w:hint="eastAsia" w:ascii="宋体" w:hAnsi="宋体" w:eastAsia="宋体" w:cs="宋体"/>
          <w:bCs w:val="0"/>
          <w:color w:val="auto"/>
          <w:sz w:val="24"/>
          <w:szCs w:val="24"/>
        </w:rPr>
        <w:t>22.评审</w:t>
      </w:r>
      <w:bookmarkEnd w:id="81"/>
      <w:bookmarkEnd w:id="82"/>
      <w:bookmarkEnd w:id="83"/>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 评审步骤与要求</w:t>
      </w:r>
    </w:p>
    <w:p>
      <w:pPr>
        <w:pStyle w:val="101"/>
        <w:numPr>
          <w:ilvl w:val="0"/>
          <w:numId w:val="0"/>
        </w:numPr>
        <w:tabs>
          <w:tab w:val="clear" w:pos="709"/>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22.1.1 组建谈判小组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 谈判准备与初步评审</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22.2.2谈判小组对下列情况进行审查，以判断参与谈判供应商是否实质响应了谈判文件：</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 谈判供应商资质条件是否响应谈判文件的要求；</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 谈判供应商在响应文件中提交的商务和技术文件是否响应谈判文件的要求；</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 谈判供应商自行编写的技术文件是否合理可行；</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 谈判供应商是否具备良好的财务状况和偿付能力；</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 所报价格是否合理。</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22.2.3 实质上响应的响应是指与竞争性谈判文件的主要条款、条件和规格相符，没有重大偏离或保留。</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1）应当交纳响应保证金的供应商未提交响应保证金或金额不足的；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2）资格证明文件不全或无效的；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3）响应文件未按竞争性谈判文件的规定签署、盖章的；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4）响应有效期不足的；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5）未按照竞争性谈判文件规定报价的；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6）不符合竞争性谈判文件有关分包、转包规定的；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7）响应文件附有采购人不能接受的条件；</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8）不符合竞争性谈判文件中规定的其他实质性要求。</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22.3响应的澄清</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22.4对响应文件的详细评审</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22.4.1谈判小组所有成员应当集中与单一供应商分别进行谈判，并给予所有参加谈判的供应商平等的谈判机会。</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22.4.4如果谈判中谈判小组确认需要谈判供应商就谈判中的相关问题提交澄清或补正材料，供应商应当在现场说明是否具备该材料并在谈判纪要上作出承诺。谈判供应商</w:t>
      </w:r>
      <w:bookmarkStart w:id="85" w:name="OLE_LINK15"/>
      <w:r>
        <w:rPr>
          <w:rFonts w:hint="eastAsia" w:ascii="宋体" w:hAnsi="宋体" w:eastAsia="宋体" w:cs="宋体"/>
          <w:bCs/>
          <w:color w:val="auto"/>
          <w:sz w:val="24"/>
          <w:szCs w:val="24"/>
        </w:rPr>
        <w:t>须应按照谈判小组的时限及其它相关要求送达澄清或补正材料，并由其响应代表签字或者加盖公章。若谈判供应商未按要求提交澄清或补正材料，视为谈判供应商放弃成交。</w:t>
      </w:r>
      <w:bookmarkEnd w:id="85"/>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22.5报价</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（2）谈判报价经供应商谈判代表签字确认后生效。</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（3）如果最低二次报价有两家（含）以上相同，谈判小组可要求所有参加谈判的供应商进行三次报价，依此类推。</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22.6确定成交供应商</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22.6.4 </w:t>
      </w:r>
      <w:r>
        <w:rPr>
          <w:rFonts w:hint="eastAsia" w:ascii="宋体" w:hAnsi="宋体" w:eastAsia="宋体" w:cs="宋体"/>
          <w:color w:val="auto"/>
          <w:kern w:val="44"/>
          <w:sz w:val="24"/>
          <w:szCs w:val="24"/>
        </w:rPr>
        <w:t>采购代理机构</w:t>
      </w:r>
      <w:r>
        <w:rPr>
          <w:rFonts w:hint="eastAsia" w:ascii="宋体" w:hAnsi="宋体" w:eastAsia="宋体" w:cs="宋体"/>
          <w:bCs/>
          <w:color w:val="auto"/>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22.6.6采购人或者采购代理机构不得通过对样品进行检测、对供应商进行考察等方式改变评审结果。</w:t>
      </w:r>
    </w:p>
    <w:bookmarkEnd w:id="84"/>
    <w:p>
      <w:pPr>
        <w:spacing w:line="360" w:lineRule="auto"/>
        <w:ind w:firstLine="561"/>
        <w:jc w:val="center"/>
        <w:outlineLvl w:val="1"/>
        <w:rPr>
          <w:rFonts w:hint="eastAsia" w:ascii="宋体" w:hAnsi="宋体" w:eastAsia="宋体" w:cs="宋体"/>
          <w:b/>
          <w:color w:val="auto"/>
          <w:sz w:val="24"/>
        </w:rPr>
      </w:pPr>
      <w:bookmarkStart w:id="86" w:name="_Toc246826113"/>
      <w:bookmarkStart w:id="87" w:name="_Toc1758"/>
      <w:bookmarkStart w:id="88" w:name="_Toc32420"/>
      <w:bookmarkStart w:id="89" w:name="_Toc1660495"/>
      <w:r>
        <w:rPr>
          <w:rFonts w:hint="eastAsia" w:ascii="宋体" w:hAnsi="宋体" w:eastAsia="宋体" w:cs="宋体"/>
          <w:b/>
          <w:color w:val="auto"/>
          <w:sz w:val="24"/>
        </w:rPr>
        <w:t>五、定标、合同</w:t>
      </w:r>
      <w:bookmarkEnd w:id="86"/>
      <w:r>
        <w:rPr>
          <w:rFonts w:hint="eastAsia" w:ascii="宋体" w:hAnsi="宋体" w:eastAsia="宋体" w:cs="宋体"/>
          <w:b/>
          <w:color w:val="auto"/>
          <w:sz w:val="24"/>
        </w:rPr>
        <w:t>与验收</w:t>
      </w:r>
      <w:bookmarkEnd w:id="87"/>
      <w:bookmarkEnd w:id="88"/>
      <w:bookmarkEnd w:id="89"/>
    </w:p>
    <w:p>
      <w:pPr>
        <w:spacing w:line="360" w:lineRule="auto"/>
        <w:ind w:firstLine="561"/>
        <w:jc w:val="center"/>
        <w:outlineLvl w:val="1"/>
        <w:rPr>
          <w:rFonts w:hint="eastAsia" w:ascii="宋体" w:hAnsi="宋体" w:eastAsia="宋体" w:cs="宋体"/>
          <w:b/>
          <w:color w:val="auto"/>
          <w:sz w:val="24"/>
        </w:rPr>
      </w:pP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23.定标准则</w:t>
      </w:r>
    </w:p>
    <w:p>
      <w:pPr>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评审委员会推荐排名第一且经采购人确认的或经采购人授权评审委员会直接确定的供应商即为成交供应商。</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24.成交通知</w:t>
      </w:r>
    </w:p>
    <w:p>
      <w:pPr>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hint="eastAsia" w:ascii="宋体" w:hAnsi="宋体" w:eastAsia="宋体" w:cs="宋体"/>
          <w:bCs/>
          <w:color w:val="auto"/>
          <w:sz w:val="24"/>
          <w:szCs w:val="24"/>
        </w:rPr>
      </w:pPr>
      <w:bookmarkStart w:id="90" w:name="_Toc1660496"/>
      <w:bookmarkStart w:id="91" w:name="_Toc29053"/>
      <w:bookmarkStart w:id="92" w:name="_Toc32621"/>
      <w:r>
        <w:rPr>
          <w:rFonts w:hint="eastAsia" w:ascii="宋体" w:hAnsi="宋体" w:eastAsia="宋体" w:cs="宋体"/>
          <w:bCs/>
          <w:color w:val="auto"/>
          <w:sz w:val="24"/>
          <w:szCs w:val="24"/>
        </w:rPr>
        <w:t>24.2成交通知书是合同的有效组成部分；</w:t>
      </w:r>
      <w:bookmarkEnd w:id="90"/>
      <w:bookmarkEnd w:id="91"/>
      <w:bookmarkEnd w:id="92"/>
    </w:p>
    <w:p>
      <w:pPr>
        <w:spacing w:line="360" w:lineRule="auto"/>
        <w:ind w:firstLine="480" w:firstLineChars="200"/>
        <w:outlineLvl w:val="1"/>
        <w:rPr>
          <w:rFonts w:hint="eastAsia" w:ascii="宋体" w:hAnsi="宋体" w:eastAsia="宋体" w:cs="宋体"/>
          <w:bCs/>
          <w:color w:val="auto"/>
          <w:sz w:val="24"/>
          <w:szCs w:val="24"/>
        </w:rPr>
      </w:pPr>
      <w:bookmarkStart w:id="93" w:name="_Toc1660497"/>
      <w:bookmarkStart w:id="94" w:name="_Toc11032"/>
      <w:bookmarkStart w:id="95" w:name="_Toc3448"/>
      <w:r>
        <w:rPr>
          <w:rFonts w:hint="eastAsia" w:ascii="宋体" w:hAnsi="宋体" w:eastAsia="宋体" w:cs="宋体"/>
          <w:bCs/>
          <w:color w:val="auto"/>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93"/>
      <w:bookmarkEnd w:id="94"/>
      <w:bookmarkEnd w:id="95"/>
    </w:p>
    <w:p>
      <w:pPr>
        <w:spacing w:line="360" w:lineRule="auto"/>
        <w:ind w:firstLine="480"/>
        <w:outlineLvl w:val="1"/>
        <w:rPr>
          <w:rFonts w:hint="eastAsia" w:ascii="宋体" w:hAnsi="宋体" w:eastAsia="宋体" w:cs="宋体"/>
          <w:bCs/>
          <w:color w:val="auto"/>
          <w:sz w:val="24"/>
          <w:szCs w:val="24"/>
        </w:rPr>
      </w:pPr>
      <w:bookmarkStart w:id="96" w:name="_Toc1660498"/>
      <w:bookmarkStart w:id="97" w:name="_Toc31602"/>
      <w:bookmarkStart w:id="98" w:name="_Toc5811"/>
      <w:r>
        <w:rPr>
          <w:rFonts w:hint="eastAsia" w:ascii="宋体" w:hAnsi="宋体" w:eastAsia="宋体" w:cs="宋体"/>
          <w:bCs/>
          <w:color w:val="auto"/>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96"/>
      <w:bookmarkEnd w:id="97"/>
      <w:bookmarkEnd w:id="98"/>
    </w:p>
    <w:p>
      <w:pPr>
        <w:spacing w:line="360" w:lineRule="auto"/>
        <w:outlineLvl w:val="1"/>
        <w:rPr>
          <w:rFonts w:hint="eastAsia" w:ascii="宋体" w:hAnsi="宋体" w:eastAsia="宋体" w:cs="宋体"/>
          <w:b/>
          <w:color w:val="auto"/>
          <w:sz w:val="24"/>
          <w:szCs w:val="24"/>
        </w:rPr>
      </w:pPr>
      <w:bookmarkStart w:id="99" w:name="_Toc1660499"/>
      <w:bookmarkStart w:id="100" w:name="_Toc24059"/>
      <w:bookmarkStart w:id="101" w:name="_Toc11119"/>
      <w:r>
        <w:rPr>
          <w:rFonts w:hint="eastAsia" w:ascii="宋体" w:hAnsi="宋体" w:eastAsia="宋体" w:cs="宋体"/>
          <w:b/>
          <w:color w:val="auto"/>
          <w:sz w:val="24"/>
          <w:szCs w:val="24"/>
        </w:rPr>
        <w:t>25.合同签订</w:t>
      </w:r>
      <w:bookmarkEnd w:id="99"/>
      <w:bookmarkEnd w:id="100"/>
      <w:bookmarkEnd w:id="101"/>
    </w:p>
    <w:p>
      <w:pPr>
        <w:spacing w:line="360" w:lineRule="auto"/>
        <w:ind w:firstLine="480"/>
        <w:outlineLvl w:val="1"/>
        <w:rPr>
          <w:rFonts w:hint="eastAsia" w:ascii="宋体" w:hAnsi="宋体" w:eastAsia="宋体" w:cs="宋体"/>
          <w:bCs/>
          <w:color w:val="auto"/>
          <w:sz w:val="24"/>
          <w:szCs w:val="24"/>
        </w:rPr>
      </w:pPr>
      <w:bookmarkStart w:id="102" w:name="_Toc1660500"/>
      <w:bookmarkStart w:id="103" w:name="_Toc10246"/>
      <w:bookmarkStart w:id="104" w:name="_Toc11942"/>
      <w:r>
        <w:rPr>
          <w:rFonts w:hint="eastAsia" w:ascii="宋体" w:hAnsi="宋体" w:eastAsia="宋体" w:cs="宋体"/>
          <w:bCs/>
          <w:color w:val="auto"/>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102"/>
      <w:bookmarkEnd w:id="103"/>
      <w:bookmarkEnd w:id="104"/>
    </w:p>
    <w:p>
      <w:pPr>
        <w:spacing w:line="360" w:lineRule="auto"/>
        <w:ind w:firstLine="480"/>
        <w:outlineLvl w:val="1"/>
        <w:rPr>
          <w:rFonts w:hint="eastAsia" w:ascii="宋体" w:hAnsi="宋体" w:eastAsia="宋体" w:cs="宋体"/>
          <w:bCs/>
          <w:color w:val="auto"/>
          <w:sz w:val="24"/>
          <w:szCs w:val="24"/>
        </w:rPr>
      </w:pPr>
      <w:bookmarkStart w:id="105" w:name="_Toc10409"/>
      <w:bookmarkStart w:id="106" w:name="_Toc28590"/>
      <w:bookmarkStart w:id="107" w:name="_Toc1660501"/>
      <w:r>
        <w:rPr>
          <w:rFonts w:hint="eastAsia" w:ascii="宋体" w:hAnsi="宋体" w:eastAsia="宋体" w:cs="宋体"/>
          <w:bCs/>
          <w:color w:val="auto"/>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105"/>
      <w:bookmarkEnd w:id="106"/>
      <w:bookmarkEnd w:id="107"/>
    </w:p>
    <w:p>
      <w:pPr>
        <w:spacing w:line="360" w:lineRule="auto"/>
        <w:ind w:firstLine="480"/>
        <w:outlineLvl w:val="1"/>
        <w:rPr>
          <w:rFonts w:hint="eastAsia" w:ascii="宋体" w:hAnsi="宋体" w:eastAsia="宋体" w:cs="宋体"/>
          <w:bCs/>
          <w:color w:val="auto"/>
          <w:sz w:val="24"/>
          <w:szCs w:val="24"/>
        </w:rPr>
      </w:pPr>
      <w:bookmarkStart w:id="108" w:name="_Toc1660502"/>
      <w:bookmarkStart w:id="109" w:name="_Toc22285"/>
      <w:r>
        <w:rPr>
          <w:rFonts w:hint="eastAsia" w:ascii="宋体" w:hAnsi="宋体" w:eastAsia="宋体" w:cs="宋体"/>
          <w:bCs/>
          <w:color w:val="auto"/>
          <w:sz w:val="24"/>
          <w:szCs w:val="24"/>
        </w:rPr>
        <w:t>25.3采购人如需追加与合同标的相同的货物，在不改变合同其他条款的前提下，成交供应商可与采购人协商签订补充合同，但所有补充合同的采购金额不得超过原合同金额的10%。</w:t>
      </w:r>
      <w:bookmarkEnd w:id="108"/>
      <w:bookmarkEnd w:id="109"/>
    </w:p>
    <w:p>
      <w:pPr>
        <w:spacing w:line="360" w:lineRule="auto"/>
        <w:ind w:firstLine="480"/>
        <w:outlineLvl w:val="1"/>
        <w:rPr>
          <w:rFonts w:hint="eastAsia" w:ascii="宋体" w:hAnsi="宋体" w:eastAsia="宋体" w:cs="宋体"/>
          <w:bCs/>
          <w:color w:val="auto"/>
          <w:sz w:val="24"/>
          <w:szCs w:val="24"/>
        </w:rPr>
      </w:pPr>
      <w:bookmarkStart w:id="110" w:name="_Toc1660503"/>
      <w:bookmarkStart w:id="111" w:name="_Toc5851"/>
      <w:r>
        <w:rPr>
          <w:rFonts w:hint="eastAsia" w:ascii="宋体" w:hAnsi="宋体" w:eastAsia="宋体" w:cs="宋体"/>
          <w:bCs/>
          <w:color w:val="auto"/>
          <w:sz w:val="24"/>
          <w:szCs w:val="24"/>
        </w:rPr>
        <w:t>25.4供应商成交及签订合同后，不得擅自转包。</w:t>
      </w:r>
      <w:bookmarkEnd w:id="110"/>
      <w:bookmarkEnd w:id="111"/>
    </w:p>
    <w:p>
      <w:pPr>
        <w:spacing w:line="360" w:lineRule="auto"/>
        <w:outlineLvl w:val="1"/>
        <w:rPr>
          <w:rFonts w:hint="eastAsia" w:ascii="宋体" w:hAnsi="宋体" w:eastAsia="宋体" w:cs="宋体"/>
          <w:b/>
          <w:color w:val="auto"/>
          <w:sz w:val="24"/>
          <w:szCs w:val="24"/>
        </w:rPr>
      </w:pPr>
      <w:bookmarkStart w:id="112" w:name="_Toc217446069"/>
      <w:bookmarkStart w:id="113" w:name="_Toc8932"/>
      <w:bookmarkStart w:id="114" w:name="_Toc1660504"/>
      <w:r>
        <w:rPr>
          <w:rFonts w:hint="eastAsia" w:ascii="宋体" w:hAnsi="宋体" w:eastAsia="宋体" w:cs="宋体"/>
          <w:b/>
          <w:color w:val="auto"/>
          <w:sz w:val="24"/>
          <w:szCs w:val="24"/>
        </w:rPr>
        <w:t>26.合同</w:t>
      </w:r>
      <w:bookmarkEnd w:id="112"/>
      <w:r>
        <w:rPr>
          <w:rFonts w:hint="eastAsia" w:ascii="宋体" w:hAnsi="宋体" w:eastAsia="宋体" w:cs="宋体"/>
          <w:b/>
          <w:color w:val="auto"/>
          <w:sz w:val="24"/>
          <w:szCs w:val="24"/>
        </w:rPr>
        <w:t>履行</w:t>
      </w:r>
      <w:bookmarkEnd w:id="113"/>
      <w:bookmarkEnd w:id="114"/>
    </w:p>
    <w:p>
      <w:pPr>
        <w:spacing w:line="360" w:lineRule="auto"/>
        <w:ind w:firstLine="480"/>
        <w:outlineLvl w:val="1"/>
        <w:rPr>
          <w:rFonts w:hint="eastAsia" w:ascii="宋体" w:hAnsi="宋体" w:eastAsia="宋体" w:cs="宋体"/>
          <w:bCs/>
          <w:color w:val="auto"/>
          <w:sz w:val="24"/>
          <w:szCs w:val="24"/>
        </w:rPr>
      </w:pPr>
      <w:bookmarkStart w:id="115" w:name="_Toc1660505"/>
      <w:bookmarkStart w:id="116" w:name="_Toc21727"/>
      <w:r>
        <w:rPr>
          <w:rFonts w:hint="eastAsia" w:ascii="宋体" w:hAnsi="宋体" w:eastAsia="宋体" w:cs="宋体"/>
          <w:bCs/>
          <w:color w:val="auto"/>
          <w:sz w:val="24"/>
          <w:szCs w:val="24"/>
        </w:rPr>
        <w:t>26.1成交供应商与采购人签订合同后，合同双方应严格执行合同条款，履行合同规定的义务，保证合同的顺利完成。</w:t>
      </w:r>
      <w:bookmarkEnd w:id="115"/>
      <w:bookmarkEnd w:id="116"/>
    </w:p>
    <w:p>
      <w:pPr>
        <w:spacing w:line="360" w:lineRule="auto"/>
        <w:ind w:firstLine="480"/>
        <w:outlineLvl w:val="1"/>
        <w:rPr>
          <w:rFonts w:hint="eastAsia" w:ascii="宋体" w:hAnsi="宋体" w:eastAsia="宋体" w:cs="宋体"/>
          <w:bCs/>
          <w:color w:val="auto"/>
          <w:sz w:val="24"/>
          <w:szCs w:val="24"/>
        </w:rPr>
      </w:pPr>
      <w:bookmarkStart w:id="117" w:name="_Toc1660506"/>
      <w:bookmarkStart w:id="118" w:name="_Toc21339"/>
      <w:r>
        <w:rPr>
          <w:rFonts w:hint="eastAsia" w:ascii="宋体" w:hAnsi="宋体" w:eastAsia="宋体" w:cs="宋体"/>
          <w:bCs/>
          <w:color w:val="auto"/>
          <w:sz w:val="24"/>
          <w:szCs w:val="24"/>
        </w:rPr>
        <w:t>26.2在合同履行过程中，如发生合同纠纷，合同双方应按照《合同法》的有关规定进行处理。</w:t>
      </w:r>
      <w:bookmarkEnd w:id="117"/>
      <w:bookmarkEnd w:id="118"/>
    </w:p>
    <w:p>
      <w:pPr>
        <w:spacing w:line="360" w:lineRule="auto"/>
        <w:outlineLvl w:val="1"/>
        <w:rPr>
          <w:rFonts w:hint="eastAsia" w:ascii="宋体" w:hAnsi="宋体" w:eastAsia="宋体" w:cs="宋体"/>
          <w:bCs/>
          <w:color w:val="auto"/>
          <w:sz w:val="24"/>
          <w:szCs w:val="24"/>
        </w:rPr>
      </w:pPr>
      <w:bookmarkStart w:id="119" w:name="_Toc217446070"/>
      <w:bookmarkStart w:id="120" w:name="_Toc5773"/>
      <w:bookmarkStart w:id="121" w:name="_Toc1660507"/>
      <w:r>
        <w:rPr>
          <w:rFonts w:hint="eastAsia" w:ascii="宋体" w:hAnsi="宋体" w:eastAsia="宋体" w:cs="宋体"/>
          <w:b/>
          <w:color w:val="auto"/>
          <w:sz w:val="24"/>
          <w:szCs w:val="24"/>
        </w:rPr>
        <w:t>27.验收</w:t>
      </w:r>
      <w:bookmarkEnd w:id="119"/>
      <w:r>
        <w:rPr>
          <w:rFonts w:hint="eastAsia" w:ascii="宋体" w:hAnsi="宋体" w:eastAsia="宋体" w:cs="宋体"/>
          <w:bCs/>
          <w:color w:val="auto"/>
          <w:sz w:val="24"/>
          <w:szCs w:val="24"/>
        </w:rPr>
        <w:t>：</w:t>
      </w:r>
      <w:bookmarkEnd w:id="120"/>
      <w:bookmarkEnd w:id="121"/>
    </w:p>
    <w:p>
      <w:pPr>
        <w:spacing w:line="360" w:lineRule="auto"/>
        <w:ind w:firstLine="480" w:firstLineChars="200"/>
        <w:outlineLvl w:val="1"/>
        <w:rPr>
          <w:rFonts w:hint="eastAsia" w:ascii="宋体" w:hAnsi="宋体" w:eastAsia="宋体" w:cs="宋体"/>
          <w:bCs/>
          <w:color w:val="auto"/>
          <w:sz w:val="24"/>
          <w:szCs w:val="24"/>
        </w:rPr>
      </w:pPr>
      <w:bookmarkStart w:id="122" w:name="_Toc23864"/>
      <w:bookmarkStart w:id="123" w:name="_Toc1660508"/>
      <w:r>
        <w:rPr>
          <w:rFonts w:hint="eastAsia" w:ascii="宋体" w:hAnsi="宋体" w:eastAsia="宋体" w:cs="宋体"/>
          <w:bCs/>
          <w:color w:val="auto"/>
          <w:sz w:val="24"/>
          <w:szCs w:val="24"/>
        </w:rPr>
        <w:t>成交供应商与采购人应严格按照要求进行验收。</w:t>
      </w:r>
      <w:bookmarkEnd w:id="122"/>
      <w:bookmarkEnd w:id="123"/>
    </w:p>
    <w:p>
      <w:pPr>
        <w:spacing w:line="360" w:lineRule="auto"/>
        <w:outlineLvl w:val="1"/>
        <w:rPr>
          <w:rFonts w:hint="eastAsia" w:ascii="宋体" w:hAnsi="宋体" w:eastAsia="宋体" w:cs="宋体"/>
          <w:bCs/>
          <w:color w:val="auto"/>
          <w:sz w:val="24"/>
          <w:szCs w:val="24"/>
        </w:rPr>
      </w:pPr>
    </w:p>
    <w:p>
      <w:pPr>
        <w:spacing w:line="360" w:lineRule="auto"/>
        <w:ind w:firstLine="561"/>
        <w:jc w:val="center"/>
        <w:outlineLvl w:val="1"/>
        <w:rPr>
          <w:rFonts w:hint="eastAsia" w:ascii="宋体" w:hAnsi="宋体" w:eastAsia="宋体" w:cs="宋体"/>
          <w:b/>
          <w:color w:val="auto"/>
          <w:sz w:val="24"/>
        </w:rPr>
      </w:pPr>
      <w:bookmarkStart w:id="124" w:name="_Toc1660509"/>
      <w:bookmarkStart w:id="125" w:name="_Toc13285"/>
      <w:r>
        <w:rPr>
          <w:rFonts w:hint="eastAsia" w:ascii="宋体" w:hAnsi="宋体" w:eastAsia="宋体" w:cs="宋体"/>
          <w:b/>
          <w:color w:val="auto"/>
          <w:sz w:val="24"/>
        </w:rPr>
        <w:t>六、质疑</w:t>
      </w:r>
      <w:bookmarkEnd w:id="124"/>
      <w:bookmarkEnd w:id="125"/>
    </w:p>
    <w:p>
      <w:pPr>
        <w:spacing w:line="360" w:lineRule="auto"/>
        <w:outlineLvl w:val="1"/>
        <w:rPr>
          <w:rFonts w:hint="eastAsia" w:ascii="宋体" w:hAnsi="宋体" w:eastAsia="宋体" w:cs="宋体"/>
          <w:bCs/>
          <w:color w:val="auto"/>
          <w:sz w:val="24"/>
          <w:szCs w:val="24"/>
        </w:rPr>
      </w:pPr>
      <w:bookmarkStart w:id="126" w:name="_Toc23936"/>
      <w:bookmarkStart w:id="127" w:name="_Toc1660510"/>
      <w:r>
        <w:rPr>
          <w:rFonts w:hint="eastAsia" w:ascii="宋体" w:hAnsi="宋体" w:eastAsia="宋体" w:cs="宋体"/>
          <w:b/>
          <w:color w:val="auto"/>
          <w:sz w:val="24"/>
          <w:szCs w:val="24"/>
        </w:rPr>
        <w:t>28.质疑提出</w:t>
      </w:r>
      <w:bookmarkEnd w:id="126"/>
      <w:bookmarkEnd w:id="127"/>
    </w:p>
    <w:p>
      <w:pPr>
        <w:spacing w:line="360" w:lineRule="auto"/>
        <w:ind w:firstLine="480" w:firstLineChars="200"/>
        <w:outlineLvl w:val="1"/>
        <w:rPr>
          <w:rFonts w:hint="eastAsia" w:ascii="宋体" w:hAnsi="宋体" w:eastAsia="宋体" w:cs="宋体"/>
          <w:bCs/>
          <w:color w:val="auto"/>
          <w:sz w:val="24"/>
          <w:szCs w:val="24"/>
        </w:rPr>
      </w:pPr>
      <w:bookmarkStart w:id="128" w:name="_Toc1660511"/>
      <w:bookmarkStart w:id="129" w:name="_Toc3772"/>
      <w:r>
        <w:rPr>
          <w:rFonts w:hint="eastAsia" w:ascii="宋体" w:hAnsi="宋体" w:eastAsia="宋体" w:cs="宋体"/>
          <w:bCs/>
          <w:color w:val="auto"/>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128"/>
      <w:bookmarkEnd w:id="129"/>
    </w:p>
    <w:p>
      <w:pPr>
        <w:spacing w:line="360" w:lineRule="auto"/>
        <w:ind w:firstLine="480" w:firstLineChars="200"/>
        <w:outlineLvl w:val="1"/>
        <w:rPr>
          <w:rFonts w:hint="eastAsia" w:ascii="宋体" w:hAnsi="宋体" w:eastAsia="宋体" w:cs="宋体"/>
          <w:bCs/>
          <w:color w:val="auto"/>
          <w:sz w:val="24"/>
          <w:szCs w:val="24"/>
        </w:rPr>
      </w:pPr>
      <w:bookmarkStart w:id="130" w:name="_Toc1660512"/>
      <w:bookmarkStart w:id="131" w:name="_Toc3090"/>
      <w:r>
        <w:rPr>
          <w:rFonts w:hint="eastAsia" w:ascii="宋体" w:hAnsi="宋体" w:eastAsia="宋体" w:cs="宋体"/>
          <w:bCs/>
          <w:color w:val="auto"/>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130"/>
      <w:bookmarkEnd w:id="131"/>
    </w:p>
    <w:p>
      <w:pPr>
        <w:spacing w:line="360" w:lineRule="auto"/>
        <w:ind w:firstLine="480" w:firstLineChars="200"/>
        <w:outlineLvl w:val="1"/>
        <w:rPr>
          <w:rFonts w:hint="eastAsia" w:ascii="宋体" w:hAnsi="宋体" w:eastAsia="宋体" w:cs="宋体"/>
          <w:bCs/>
          <w:color w:val="auto"/>
          <w:sz w:val="24"/>
          <w:szCs w:val="24"/>
        </w:rPr>
      </w:pPr>
      <w:bookmarkStart w:id="132" w:name="_Toc20325"/>
      <w:bookmarkStart w:id="133" w:name="_Toc1660513"/>
      <w:r>
        <w:rPr>
          <w:rFonts w:hint="eastAsia" w:ascii="宋体" w:hAnsi="宋体" w:eastAsia="宋体" w:cs="宋体"/>
          <w:bCs/>
          <w:color w:val="auto"/>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132"/>
      <w:bookmarkEnd w:id="133"/>
    </w:p>
    <w:p>
      <w:pPr>
        <w:spacing w:line="360" w:lineRule="auto"/>
        <w:ind w:firstLine="480" w:firstLineChars="200"/>
        <w:outlineLvl w:val="1"/>
        <w:rPr>
          <w:rFonts w:hint="eastAsia" w:ascii="宋体" w:hAnsi="宋体" w:eastAsia="宋体" w:cs="宋体"/>
          <w:bCs/>
          <w:color w:val="auto"/>
          <w:sz w:val="24"/>
          <w:szCs w:val="24"/>
        </w:rPr>
      </w:pPr>
      <w:bookmarkStart w:id="134" w:name="_Toc1660514"/>
      <w:bookmarkStart w:id="135" w:name="_Toc18459"/>
      <w:r>
        <w:rPr>
          <w:rFonts w:hint="eastAsia" w:ascii="宋体" w:hAnsi="宋体" w:eastAsia="宋体" w:cs="宋体"/>
          <w:bCs/>
          <w:color w:val="auto"/>
          <w:sz w:val="24"/>
          <w:szCs w:val="24"/>
        </w:rPr>
        <w:t>代理人提出质疑和投诉，应当提交供应商签署的授权委托书。</w:t>
      </w:r>
      <w:bookmarkEnd w:id="134"/>
      <w:bookmarkEnd w:id="135"/>
    </w:p>
    <w:p>
      <w:pPr>
        <w:spacing w:line="360" w:lineRule="auto"/>
        <w:outlineLvl w:val="1"/>
        <w:rPr>
          <w:rFonts w:hint="eastAsia" w:ascii="宋体" w:hAnsi="宋体" w:eastAsia="宋体" w:cs="宋体"/>
          <w:bCs/>
          <w:color w:val="auto"/>
          <w:sz w:val="24"/>
          <w:szCs w:val="24"/>
        </w:rPr>
      </w:pPr>
      <w:bookmarkStart w:id="136" w:name="_Toc30680"/>
      <w:bookmarkStart w:id="137" w:name="_Toc1660515"/>
      <w:r>
        <w:rPr>
          <w:rFonts w:hint="eastAsia" w:ascii="宋体" w:hAnsi="宋体" w:eastAsia="宋体" w:cs="宋体"/>
          <w:b/>
          <w:color w:val="auto"/>
          <w:sz w:val="24"/>
          <w:szCs w:val="24"/>
        </w:rPr>
        <w:t>29.质疑函</w:t>
      </w:r>
      <w:bookmarkEnd w:id="136"/>
      <w:bookmarkEnd w:id="137"/>
    </w:p>
    <w:p>
      <w:pPr>
        <w:spacing w:line="360" w:lineRule="auto"/>
        <w:ind w:firstLine="480" w:firstLineChars="200"/>
        <w:outlineLvl w:val="1"/>
        <w:rPr>
          <w:rFonts w:hint="eastAsia" w:ascii="宋体" w:hAnsi="宋体" w:eastAsia="宋体" w:cs="宋体"/>
          <w:bCs/>
          <w:color w:val="auto"/>
          <w:sz w:val="24"/>
          <w:szCs w:val="24"/>
        </w:rPr>
      </w:pPr>
      <w:bookmarkStart w:id="138" w:name="_Toc13615"/>
      <w:bookmarkStart w:id="139" w:name="_Toc1660516"/>
      <w:r>
        <w:rPr>
          <w:rFonts w:hint="eastAsia" w:ascii="宋体" w:hAnsi="宋体" w:eastAsia="宋体" w:cs="宋体"/>
          <w:bCs/>
          <w:color w:val="auto"/>
          <w:sz w:val="24"/>
          <w:szCs w:val="24"/>
        </w:rPr>
        <w:t>29.1 质疑函须使用财政部制定的政府采购供应商质疑函范本进行编写。</w:t>
      </w:r>
      <w:bookmarkEnd w:id="138"/>
      <w:bookmarkEnd w:id="139"/>
    </w:p>
    <w:p>
      <w:pPr>
        <w:spacing w:line="360" w:lineRule="auto"/>
        <w:ind w:firstLine="480" w:firstLineChars="200"/>
        <w:outlineLvl w:val="1"/>
        <w:rPr>
          <w:rFonts w:hint="eastAsia" w:ascii="宋体" w:hAnsi="宋体" w:eastAsia="宋体" w:cs="宋体"/>
          <w:bCs/>
          <w:color w:val="auto"/>
          <w:sz w:val="24"/>
          <w:szCs w:val="24"/>
        </w:rPr>
      </w:pPr>
      <w:bookmarkStart w:id="140" w:name="_Toc1660517"/>
      <w:bookmarkStart w:id="141" w:name="_Toc2292"/>
      <w:r>
        <w:rPr>
          <w:rFonts w:hint="eastAsia" w:ascii="宋体" w:hAnsi="宋体" w:eastAsia="宋体" w:cs="宋体"/>
          <w:bCs/>
          <w:color w:val="auto"/>
          <w:sz w:val="24"/>
          <w:szCs w:val="24"/>
        </w:rPr>
        <w:t>29.2质疑函包括下列内容：</w:t>
      </w:r>
      <w:bookmarkEnd w:id="140"/>
      <w:bookmarkEnd w:id="141"/>
    </w:p>
    <w:p>
      <w:pPr>
        <w:spacing w:line="360" w:lineRule="auto"/>
        <w:ind w:firstLine="480" w:firstLineChars="200"/>
        <w:outlineLvl w:val="1"/>
        <w:rPr>
          <w:rFonts w:hint="eastAsia" w:ascii="宋体" w:hAnsi="宋体" w:eastAsia="宋体" w:cs="宋体"/>
          <w:bCs/>
          <w:color w:val="auto"/>
          <w:sz w:val="24"/>
          <w:szCs w:val="24"/>
        </w:rPr>
      </w:pPr>
      <w:bookmarkStart w:id="142" w:name="_Toc22015"/>
      <w:bookmarkStart w:id="143" w:name="_Toc1660518"/>
      <w:r>
        <w:rPr>
          <w:rFonts w:hint="eastAsia" w:ascii="宋体" w:hAnsi="宋体" w:eastAsia="宋体" w:cs="宋体"/>
          <w:bCs/>
          <w:color w:val="auto"/>
          <w:sz w:val="24"/>
          <w:szCs w:val="24"/>
        </w:rPr>
        <w:t>（1）供应商的姓名或者名称、地址、邮编、联系人及联系电话；</w:t>
      </w:r>
      <w:bookmarkEnd w:id="142"/>
      <w:bookmarkEnd w:id="143"/>
    </w:p>
    <w:p>
      <w:pPr>
        <w:spacing w:line="360" w:lineRule="auto"/>
        <w:ind w:firstLine="480" w:firstLineChars="200"/>
        <w:outlineLvl w:val="1"/>
        <w:rPr>
          <w:rFonts w:hint="eastAsia" w:ascii="宋体" w:hAnsi="宋体" w:eastAsia="宋体" w:cs="宋体"/>
          <w:bCs/>
          <w:color w:val="auto"/>
          <w:sz w:val="24"/>
          <w:szCs w:val="24"/>
        </w:rPr>
      </w:pPr>
      <w:bookmarkStart w:id="144" w:name="_Toc4797"/>
      <w:bookmarkStart w:id="145" w:name="_Toc1660519"/>
      <w:r>
        <w:rPr>
          <w:rFonts w:hint="eastAsia" w:ascii="宋体" w:hAnsi="宋体" w:eastAsia="宋体" w:cs="宋体"/>
          <w:bCs/>
          <w:color w:val="auto"/>
          <w:sz w:val="24"/>
          <w:szCs w:val="24"/>
        </w:rPr>
        <w:t>（2）质疑项目的名称、编号；</w:t>
      </w:r>
      <w:bookmarkEnd w:id="144"/>
      <w:bookmarkEnd w:id="145"/>
    </w:p>
    <w:p>
      <w:pPr>
        <w:spacing w:line="360" w:lineRule="auto"/>
        <w:ind w:firstLine="480" w:firstLineChars="200"/>
        <w:outlineLvl w:val="1"/>
        <w:rPr>
          <w:rFonts w:hint="eastAsia" w:ascii="宋体" w:hAnsi="宋体" w:eastAsia="宋体" w:cs="宋体"/>
          <w:bCs/>
          <w:color w:val="auto"/>
          <w:sz w:val="24"/>
          <w:szCs w:val="24"/>
        </w:rPr>
      </w:pPr>
      <w:bookmarkStart w:id="146" w:name="_Toc1660520"/>
      <w:bookmarkStart w:id="147" w:name="_Toc14865"/>
      <w:r>
        <w:rPr>
          <w:rFonts w:hint="eastAsia" w:ascii="宋体" w:hAnsi="宋体" w:eastAsia="宋体" w:cs="宋体"/>
          <w:bCs/>
          <w:color w:val="auto"/>
          <w:sz w:val="24"/>
          <w:szCs w:val="24"/>
        </w:rPr>
        <w:t>（3）具体、明确的质疑事项和与质疑事项相关的请求；</w:t>
      </w:r>
      <w:bookmarkEnd w:id="146"/>
      <w:bookmarkEnd w:id="147"/>
    </w:p>
    <w:p>
      <w:pPr>
        <w:spacing w:line="360" w:lineRule="auto"/>
        <w:ind w:firstLine="480" w:firstLineChars="200"/>
        <w:outlineLvl w:val="1"/>
        <w:rPr>
          <w:rFonts w:hint="eastAsia" w:ascii="宋体" w:hAnsi="宋体" w:eastAsia="宋体" w:cs="宋体"/>
          <w:bCs/>
          <w:color w:val="auto"/>
          <w:sz w:val="24"/>
          <w:szCs w:val="24"/>
        </w:rPr>
      </w:pPr>
      <w:bookmarkStart w:id="148" w:name="_Toc1660521"/>
      <w:bookmarkStart w:id="149" w:name="_Toc4057"/>
      <w:r>
        <w:rPr>
          <w:rFonts w:hint="eastAsia" w:ascii="宋体" w:hAnsi="宋体" w:eastAsia="宋体" w:cs="宋体"/>
          <w:bCs/>
          <w:color w:val="auto"/>
          <w:sz w:val="24"/>
          <w:szCs w:val="24"/>
        </w:rPr>
        <w:t>（4）事实依据；</w:t>
      </w:r>
      <w:bookmarkEnd w:id="148"/>
      <w:bookmarkEnd w:id="149"/>
    </w:p>
    <w:p>
      <w:pPr>
        <w:spacing w:line="360" w:lineRule="auto"/>
        <w:ind w:firstLine="480" w:firstLineChars="200"/>
        <w:outlineLvl w:val="1"/>
        <w:rPr>
          <w:rFonts w:hint="eastAsia" w:ascii="宋体" w:hAnsi="宋体" w:eastAsia="宋体" w:cs="宋体"/>
          <w:bCs/>
          <w:color w:val="auto"/>
          <w:sz w:val="24"/>
          <w:szCs w:val="24"/>
        </w:rPr>
      </w:pPr>
      <w:bookmarkStart w:id="150" w:name="_Toc15844"/>
      <w:bookmarkStart w:id="151" w:name="_Toc1660522"/>
      <w:r>
        <w:rPr>
          <w:rFonts w:hint="eastAsia" w:ascii="宋体" w:hAnsi="宋体" w:eastAsia="宋体" w:cs="宋体"/>
          <w:bCs/>
          <w:color w:val="auto"/>
          <w:sz w:val="24"/>
          <w:szCs w:val="24"/>
        </w:rPr>
        <w:t>（5）必要的法律依据；</w:t>
      </w:r>
      <w:bookmarkEnd w:id="150"/>
      <w:bookmarkEnd w:id="151"/>
    </w:p>
    <w:p>
      <w:pPr>
        <w:spacing w:line="360" w:lineRule="auto"/>
        <w:ind w:firstLine="480" w:firstLineChars="200"/>
        <w:outlineLvl w:val="1"/>
        <w:rPr>
          <w:rFonts w:hint="eastAsia" w:ascii="宋体" w:hAnsi="宋体" w:eastAsia="宋体" w:cs="宋体"/>
          <w:bCs/>
          <w:color w:val="auto"/>
          <w:sz w:val="24"/>
          <w:szCs w:val="24"/>
        </w:rPr>
      </w:pPr>
      <w:bookmarkStart w:id="152" w:name="_Toc1660523"/>
      <w:bookmarkStart w:id="153" w:name="_Toc11664"/>
      <w:r>
        <w:rPr>
          <w:rFonts w:hint="eastAsia" w:ascii="宋体" w:hAnsi="宋体" w:eastAsia="宋体" w:cs="宋体"/>
          <w:bCs/>
          <w:color w:val="auto"/>
          <w:sz w:val="24"/>
          <w:szCs w:val="24"/>
        </w:rPr>
        <w:t>（6）提出质疑的日期。</w:t>
      </w:r>
      <w:bookmarkEnd w:id="152"/>
      <w:bookmarkEnd w:id="153"/>
    </w:p>
    <w:p>
      <w:pPr>
        <w:spacing w:line="360" w:lineRule="auto"/>
        <w:ind w:firstLine="480" w:firstLineChars="200"/>
        <w:outlineLvl w:val="1"/>
        <w:rPr>
          <w:rFonts w:hint="eastAsia" w:ascii="宋体" w:hAnsi="宋体" w:eastAsia="宋体" w:cs="宋体"/>
          <w:bCs/>
          <w:color w:val="auto"/>
          <w:sz w:val="24"/>
          <w:szCs w:val="24"/>
        </w:rPr>
      </w:pPr>
      <w:bookmarkStart w:id="154" w:name="_Toc6485"/>
      <w:bookmarkStart w:id="155" w:name="_Toc1660524"/>
      <w:r>
        <w:rPr>
          <w:rFonts w:hint="eastAsia" w:ascii="宋体" w:hAnsi="宋体" w:eastAsia="宋体" w:cs="宋体"/>
          <w:bCs/>
          <w:color w:val="auto"/>
          <w:sz w:val="24"/>
          <w:szCs w:val="24"/>
        </w:rPr>
        <w:t>按照“谁主张、谁举证”的原则，质疑书应当附上相关证明材料，否则质疑将视为无有效证据支持，将被予以驳回。</w:t>
      </w:r>
      <w:bookmarkEnd w:id="154"/>
      <w:bookmarkEnd w:id="155"/>
    </w:p>
    <w:p>
      <w:pPr>
        <w:spacing w:line="360" w:lineRule="auto"/>
        <w:ind w:firstLine="480" w:firstLineChars="200"/>
        <w:outlineLvl w:val="1"/>
        <w:rPr>
          <w:rFonts w:hint="eastAsia" w:ascii="宋体" w:hAnsi="宋体" w:eastAsia="宋体" w:cs="宋体"/>
          <w:bCs/>
          <w:color w:val="auto"/>
          <w:sz w:val="24"/>
          <w:szCs w:val="24"/>
        </w:rPr>
      </w:pPr>
      <w:bookmarkStart w:id="156" w:name="_Toc1660525"/>
      <w:bookmarkStart w:id="157" w:name="_Toc27924"/>
      <w:r>
        <w:rPr>
          <w:rFonts w:hint="eastAsia" w:ascii="宋体" w:hAnsi="宋体" w:eastAsia="宋体" w:cs="宋体"/>
          <w:bCs/>
          <w:color w:val="auto"/>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156"/>
      <w:bookmarkEnd w:id="157"/>
    </w:p>
    <w:p>
      <w:pPr>
        <w:spacing w:line="360" w:lineRule="auto"/>
        <w:outlineLvl w:val="1"/>
        <w:rPr>
          <w:rFonts w:hint="eastAsia" w:ascii="宋体" w:hAnsi="宋体" w:eastAsia="宋体" w:cs="宋体"/>
          <w:bCs/>
          <w:color w:val="auto"/>
          <w:sz w:val="24"/>
          <w:szCs w:val="24"/>
        </w:rPr>
      </w:pPr>
      <w:bookmarkStart w:id="158" w:name="_Toc5724"/>
      <w:bookmarkStart w:id="159" w:name="_Toc1660526"/>
      <w:r>
        <w:rPr>
          <w:rFonts w:hint="eastAsia" w:ascii="宋体" w:hAnsi="宋体" w:eastAsia="宋体" w:cs="宋体"/>
          <w:b/>
          <w:color w:val="auto"/>
          <w:sz w:val="24"/>
          <w:szCs w:val="24"/>
        </w:rPr>
        <w:t>30.质疑受理</w:t>
      </w:r>
      <w:bookmarkEnd w:id="158"/>
      <w:bookmarkEnd w:id="159"/>
    </w:p>
    <w:p>
      <w:pPr>
        <w:spacing w:line="360" w:lineRule="auto"/>
        <w:ind w:firstLine="480" w:firstLineChars="200"/>
        <w:outlineLvl w:val="1"/>
        <w:rPr>
          <w:rFonts w:hint="eastAsia" w:ascii="宋体" w:hAnsi="宋体" w:eastAsia="宋体" w:cs="宋体"/>
          <w:bCs/>
          <w:color w:val="auto"/>
          <w:sz w:val="24"/>
          <w:szCs w:val="24"/>
        </w:rPr>
      </w:pPr>
      <w:bookmarkStart w:id="160" w:name="_Toc12266"/>
      <w:bookmarkStart w:id="161" w:name="_Toc1660527"/>
      <w:r>
        <w:rPr>
          <w:rFonts w:hint="eastAsia" w:ascii="宋体" w:hAnsi="宋体" w:eastAsia="宋体" w:cs="宋体"/>
          <w:bCs/>
          <w:color w:val="auto"/>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160"/>
      <w:bookmarkEnd w:id="161"/>
    </w:p>
    <w:p>
      <w:pPr>
        <w:spacing w:line="360" w:lineRule="auto"/>
        <w:ind w:firstLine="480" w:firstLineChars="200"/>
        <w:outlineLvl w:val="1"/>
        <w:rPr>
          <w:rFonts w:hint="eastAsia" w:ascii="宋体" w:hAnsi="宋体" w:eastAsia="宋体" w:cs="宋体"/>
          <w:bCs/>
          <w:color w:val="auto"/>
          <w:sz w:val="24"/>
          <w:szCs w:val="24"/>
        </w:rPr>
      </w:pPr>
      <w:bookmarkStart w:id="162" w:name="_Toc1660528"/>
      <w:bookmarkStart w:id="163" w:name="_Toc23106"/>
      <w:r>
        <w:rPr>
          <w:rFonts w:hint="eastAsia" w:ascii="宋体" w:hAnsi="宋体" w:eastAsia="宋体" w:cs="宋体"/>
          <w:bCs/>
          <w:color w:val="auto"/>
          <w:sz w:val="24"/>
          <w:szCs w:val="24"/>
        </w:rPr>
        <w:t>以邮寄、快递方式递交质疑函的，质疑人可以在质疑有效期内以清晰扫描及时将质疑事项告知代理机构，并提供邮寄件、快递件的有效查询方式。</w:t>
      </w:r>
      <w:bookmarkEnd w:id="162"/>
      <w:bookmarkEnd w:id="163"/>
    </w:p>
    <w:p>
      <w:pPr>
        <w:spacing w:line="360" w:lineRule="auto"/>
        <w:ind w:firstLine="480" w:firstLineChars="200"/>
        <w:outlineLvl w:val="1"/>
        <w:rPr>
          <w:rFonts w:hint="eastAsia" w:ascii="宋体" w:hAnsi="宋体" w:eastAsia="宋体" w:cs="宋体"/>
          <w:bCs/>
          <w:color w:val="auto"/>
          <w:sz w:val="24"/>
          <w:szCs w:val="24"/>
        </w:rPr>
      </w:pPr>
      <w:bookmarkStart w:id="164" w:name="_Toc4256"/>
      <w:bookmarkStart w:id="165" w:name="_Toc1660529"/>
      <w:r>
        <w:rPr>
          <w:rFonts w:hint="eastAsia" w:ascii="宋体" w:hAnsi="宋体" w:eastAsia="宋体" w:cs="宋体"/>
          <w:bCs/>
          <w:color w:val="auto"/>
          <w:sz w:val="24"/>
          <w:szCs w:val="24"/>
        </w:rPr>
        <w:t>30.2 质疑函接收信息</w:t>
      </w:r>
      <w:bookmarkEnd w:id="164"/>
      <w:bookmarkEnd w:id="165"/>
    </w:p>
    <w:p>
      <w:pPr>
        <w:spacing w:line="360" w:lineRule="auto"/>
        <w:ind w:firstLine="480" w:firstLineChars="200"/>
        <w:outlineLvl w:val="1"/>
        <w:rPr>
          <w:rFonts w:hint="eastAsia" w:ascii="宋体" w:hAnsi="宋体" w:eastAsia="宋体" w:cs="宋体"/>
          <w:bCs/>
          <w:color w:val="auto"/>
          <w:sz w:val="24"/>
          <w:szCs w:val="24"/>
        </w:rPr>
      </w:pPr>
      <w:bookmarkStart w:id="166" w:name="_Toc1660530"/>
      <w:bookmarkStart w:id="167" w:name="_Toc15880"/>
      <w:r>
        <w:rPr>
          <w:rFonts w:hint="eastAsia" w:ascii="宋体" w:hAnsi="宋体" w:eastAsia="宋体" w:cs="宋体"/>
          <w:bCs/>
          <w:color w:val="auto"/>
          <w:sz w:val="24"/>
          <w:szCs w:val="24"/>
        </w:rPr>
        <w:t>联系部门：海南政辉招投标代理有限公司—项目部</w:t>
      </w:r>
      <w:bookmarkEnd w:id="166"/>
      <w:bookmarkEnd w:id="167"/>
    </w:p>
    <w:p>
      <w:pPr>
        <w:spacing w:line="360" w:lineRule="auto"/>
        <w:ind w:firstLine="480" w:firstLineChars="200"/>
        <w:outlineLvl w:val="1"/>
        <w:rPr>
          <w:rFonts w:hint="eastAsia" w:ascii="宋体" w:hAnsi="宋体" w:eastAsia="宋体" w:cs="宋体"/>
          <w:bCs/>
          <w:color w:val="auto"/>
          <w:sz w:val="24"/>
          <w:szCs w:val="24"/>
        </w:rPr>
      </w:pPr>
      <w:bookmarkStart w:id="168" w:name="_Toc1660531"/>
      <w:bookmarkStart w:id="169" w:name="_Toc12857"/>
      <w:r>
        <w:rPr>
          <w:rFonts w:hint="eastAsia" w:ascii="宋体" w:hAnsi="宋体" w:eastAsia="宋体" w:cs="宋体"/>
          <w:bCs/>
          <w:color w:val="auto"/>
          <w:sz w:val="24"/>
          <w:szCs w:val="24"/>
        </w:rPr>
        <w:t xml:space="preserve">联系电话及联系人：0898-66557609  </w:t>
      </w:r>
      <w:bookmarkEnd w:id="168"/>
      <w:r>
        <w:rPr>
          <w:rFonts w:hint="eastAsia" w:ascii="宋体" w:hAnsi="宋体" w:eastAsia="宋体" w:cs="宋体"/>
          <w:bCs/>
          <w:color w:val="auto"/>
          <w:sz w:val="24"/>
          <w:szCs w:val="24"/>
        </w:rPr>
        <w:t>梁女士</w:t>
      </w:r>
      <w:bookmarkEnd w:id="169"/>
    </w:p>
    <w:p>
      <w:pPr>
        <w:spacing w:line="360" w:lineRule="auto"/>
        <w:ind w:firstLine="480" w:firstLineChars="200"/>
        <w:outlineLvl w:val="1"/>
        <w:rPr>
          <w:rFonts w:hint="eastAsia" w:ascii="宋体" w:hAnsi="宋体" w:eastAsia="宋体" w:cs="宋体"/>
          <w:bCs/>
          <w:color w:val="auto"/>
          <w:sz w:val="24"/>
          <w:szCs w:val="24"/>
        </w:rPr>
      </w:pPr>
      <w:bookmarkStart w:id="170" w:name="_Toc1660532"/>
      <w:bookmarkStart w:id="171" w:name="_Toc22174"/>
      <w:r>
        <w:rPr>
          <w:rFonts w:hint="eastAsia" w:ascii="宋体" w:hAnsi="宋体" w:eastAsia="宋体" w:cs="宋体"/>
          <w:bCs/>
          <w:color w:val="auto"/>
          <w:sz w:val="24"/>
          <w:szCs w:val="24"/>
        </w:rPr>
        <w:t>通讯地址：海南省海口市五指山路康业花园西湖苑G栋2A</w:t>
      </w:r>
      <w:bookmarkEnd w:id="170"/>
      <w:bookmarkEnd w:id="171"/>
    </w:p>
    <w:p>
      <w:pPr>
        <w:spacing w:line="360" w:lineRule="auto"/>
        <w:ind w:firstLine="480" w:firstLineChars="200"/>
        <w:outlineLvl w:val="1"/>
        <w:rPr>
          <w:rFonts w:hint="eastAsia" w:ascii="宋体" w:hAnsi="宋体" w:eastAsia="宋体" w:cs="宋体"/>
          <w:bCs/>
          <w:color w:val="auto"/>
          <w:sz w:val="24"/>
          <w:szCs w:val="24"/>
        </w:rPr>
      </w:pPr>
      <w:bookmarkStart w:id="172" w:name="_Toc17398"/>
      <w:bookmarkStart w:id="173" w:name="_Toc1660533"/>
      <w:r>
        <w:rPr>
          <w:rFonts w:hint="eastAsia" w:ascii="宋体" w:hAnsi="宋体" w:eastAsia="宋体" w:cs="宋体"/>
          <w:bCs/>
          <w:color w:val="auto"/>
          <w:sz w:val="24"/>
          <w:szCs w:val="24"/>
        </w:rPr>
        <w:t>30.3有下列情形之一的，属于无效质疑，采购人或采购代理机构可不予受理：</w:t>
      </w:r>
      <w:bookmarkEnd w:id="172"/>
      <w:bookmarkEnd w:id="173"/>
    </w:p>
    <w:p>
      <w:pPr>
        <w:spacing w:line="360" w:lineRule="auto"/>
        <w:ind w:firstLine="480" w:firstLineChars="200"/>
        <w:outlineLvl w:val="1"/>
        <w:rPr>
          <w:rFonts w:hint="eastAsia" w:ascii="宋体" w:hAnsi="宋体" w:eastAsia="宋体" w:cs="宋体"/>
          <w:bCs/>
          <w:color w:val="auto"/>
          <w:sz w:val="24"/>
          <w:szCs w:val="24"/>
        </w:rPr>
      </w:pPr>
      <w:bookmarkStart w:id="174" w:name="_Toc5131"/>
      <w:bookmarkStart w:id="175" w:name="_Toc1660534"/>
      <w:r>
        <w:rPr>
          <w:rFonts w:hint="eastAsia" w:ascii="宋体" w:hAnsi="宋体" w:eastAsia="宋体" w:cs="宋体"/>
          <w:bCs/>
          <w:color w:val="auto"/>
          <w:sz w:val="24"/>
          <w:szCs w:val="24"/>
        </w:rPr>
        <w:t>（1）未在有效期限内提出质疑的；</w:t>
      </w:r>
      <w:bookmarkEnd w:id="174"/>
      <w:bookmarkEnd w:id="175"/>
    </w:p>
    <w:p>
      <w:pPr>
        <w:spacing w:line="360" w:lineRule="auto"/>
        <w:ind w:firstLine="480" w:firstLineChars="200"/>
        <w:outlineLvl w:val="1"/>
        <w:rPr>
          <w:rFonts w:hint="eastAsia" w:ascii="宋体" w:hAnsi="宋体" w:eastAsia="宋体" w:cs="宋体"/>
          <w:bCs/>
          <w:color w:val="auto"/>
          <w:sz w:val="24"/>
          <w:szCs w:val="24"/>
        </w:rPr>
      </w:pPr>
      <w:bookmarkStart w:id="176" w:name="_Toc9315"/>
      <w:bookmarkStart w:id="177" w:name="_Toc1660535"/>
      <w:r>
        <w:rPr>
          <w:rFonts w:hint="eastAsia" w:ascii="宋体" w:hAnsi="宋体" w:eastAsia="宋体" w:cs="宋体"/>
          <w:bCs/>
          <w:color w:val="auto"/>
          <w:sz w:val="24"/>
          <w:szCs w:val="24"/>
        </w:rPr>
        <w:t>（2）质疑未以书面形式提出的；</w:t>
      </w:r>
      <w:bookmarkEnd w:id="176"/>
      <w:bookmarkEnd w:id="177"/>
    </w:p>
    <w:p>
      <w:pPr>
        <w:spacing w:line="360" w:lineRule="auto"/>
        <w:ind w:firstLine="480" w:firstLineChars="200"/>
        <w:outlineLvl w:val="1"/>
        <w:rPr>
          <w:rFonts w:hint="eastAsia" w:ascii="宋体" w:hAnsi="宋体" w:eastAsia="宋体" w:cs="宋体"/>
          <w:bCs/>
          <w:color w:val="auto"/>
          <w:sz w:val="24"/>
          <w:szCs w:val="24"/>
        </w:rPr>
      </w:pPr>
      <w:bookmarkStart w:id="178" w:name="_Toc22213"/>
      <w:bookmarkStart w:id="179" w:name="_Toc1660536"/>
      <w:r>
        <w:rPr>
          <w:rFonts w:hint="eastAsia" w:ascii="宋体" w:hAnsi="宋体" w:eastAsia="宋体" w:cs="宋体"/>
          <w:bCs/>
          <w:color w:val="auto"/>
          <w:sz w:val="24"/>
          <w:szCs w:val="24"/>
        </w:rPr>
        <w:t>（3）所提交材料未明示属于质疑材料的；</w:t>
      </w:r>
      <w:bookmarkEnd w:id="178"/>
      <w:bookmarkEnd w:id="179"/>
    </w:p>
    <w:p>
      <w:pPr>
        <w:spacing w:line="360" w:lineRule="auto"/>
        <w:ind w:firstLine="480" w:firstLineChars="200"/>
        <w:outlineLvl w:val="1"/>
        <w:rPr>
          <w:rFonts w:hint="eastAsia" w:ascii="宋体" w:hAnsi="宋体" w:eastAsia="宋体" w:cs="宋体"/>
          <w:bCs/>
          <w:color w:val="auto"/>
          <w:sz w:val="24"/>
          <w:szCs w:val="24"/>
        </w:rPr>
      </w:pPr>
      <w:bookmarkStart w:id="180" w:name="_Toc1660537"/>
      <w:bookmarkStart w:id="181" w:name="_Toc9682"/>
      <w:r>
        <w:rPr>
          <w:rFonts w:hint="eastAsia" w:ascii="宋体" w:hAnsi="宋体" w:eastAsia="宋体" w:cs="宋体"/>
          <w:bCs/>
          <w:color w:val="auto"/>
          <w:sz w:val="24"/>
          <w:szCs w:val="24"/>
        </w:rPr>
        <w:t>（4）质疑事项已经进入投诉或者诉讼程序的；</w:t>
      </w:r>
      <w:bookmarkEnd w:id="180"/>
      <w:bookmarkEnd w:id="181"/>
    </w:p>
    <w:p>
      <w:pPr>
        <w:spacing w:line="360" w:lineRule="auto"/>
        <w:ind w:firstLine="480" w:firstLineChars="200"/>
        <w:outlineLvl w:val="1"/>
        <w:rPr>
          <w:rFonts w:hint="eastAsia" w:ascii="宋体" w:hAnsi="宋体" w:eastAsia="宋体" w:cs="宋体"/>
          <w:bCs/>
          <w:color w:val="auto"/>
          <w:sz w:val="24"/>
          <w:szCs w:val="24"/>
        </w:rPr>
      </w:pPr>
      <w:bookmarkStart w:id="182" w:name="_Toc5311"/>
      <w:bookmarkStart w:id="183" w:name="_Toc1660538"/>
      <w:r>
        <w:rPr>
          <w:rFonts w:hint="eastAsia" w:ascii="宋体" w:hAnsi="宋体" w:eastAsia="宋体" w:cs="宋体"/>
          <w:bCs/>
          <w:color w:val="auto"/>
          <w:sz w:val="24"/>
          <w:szCs w:val="24"/>
        </w:rPr>
        <w:t>（5）其它不符合受理条件的情形。</w:t>
      </w:r>
      <w:bookmarkEnd w:id="182"/>
      <w:bookmarkEnd w:id="183"/>
    </w:p>
    <w:p>
      <w:pPr>
        <w:spacing w:line="360" w:lineRule="auto"/>
        <w:ind w:firstLine="480" w:firstLineChars="200"/>
        <w:outlineLvl w:val="1"/>
        <w:rPr>
          <w:rFonts w:hint="eastAsia" w:ascii="宋体" w:hAnsi="宋体" w:eastAsia="宋体" w:cs="宋体"/>
          <w:bCs/>
          <w:color w:val="auto"/>
          <w:sz w:val="24"/>
          <w:szCs w:val="24"/>
        </w:rPr>
      </w:pPr>
      <w:bookmarkStart w:id="184" w:name="_Toc1660539"/>
      <w:bookmarkStart w:id="185" w:name="_Toc18348"/>
      <w:r>
        <w:rPr>
          <w:rFonts w:hint="eastAsia" w:ascii="宋体" w:hAnsi="宋体" w:eastAsia="宋体" w:cs="宋体"/>
          <w:bCs/>
          <w:color w:val="auto"/>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184"/>
      <w:bookmarkEnd w:id="185"/>
    </w:p>
    <w:p>
      <w:pPr>
        <w:spacing w:line="360" w:lineRule="auto"/>
        <w:ind w:firstLine="480" w:firstLineChars="200"/>
        <w:outlineLvl w:val="1"/>
        <w:rPr>
          <w:rFonts w:hint="eastAsia" w:ascii="宋体" w:hAnsi="宋体" w:eastAsia="宋体" w:cs="宋体"/>
          <w:bCs/>
          <w:color w:val="auto"/>
          <w:sz w:val="24"/>
          <w:szCs w:val="24"/>
        </w:rPr>
      </w:pPr>
      <w:bookmarkStart w:id="186" w:name="_Toc1660540"/>
      <w:bookmarkStart w:id="187" w:name="_Toc13308"/>
      <w:r>
        <w:rPr>
          <w:rFonts w:hint="eastAsia" w:ascii="宋体" w:hAnsi="宋体" w:eastAsia="宋体" w:cs="宋体"/>
          <w:bCs/>
          <w:color w:val="auto"/>
          <w:sz w:val="24"/>
          <w:szCs w:val="24"/>
        </w:rPr>
        <w:t>（1）质疑函未按照谈判须知正文28.3条要求提供的；</w:t>
      </w:r>
      <w:bookmarkEnd w:id="186"/>
      <w:bookmarkEnd w:id="187"/>
    </w:p>
    <w:p>
      <w:pPr>
        <w:spacing w:line="360" w:lineRule="auto"/>
        <w:ind w:firstLine="480" w:firstLineChars="200"/>
        <w:outlineLvl w:val="1"/>
        <w:rPr>
          <w:rFonts w:hint="eastAsia" w:ascii="宋体" w:hAnsi="宋体" w:eastAsia="宋体" w:cs="宋体"/>
          <w:bCs/>
          <w:color w:val="auto"/>
          <w:sz w:val="24"/>
          <w:szCs w:val="24"/>
        </w:rPr>
      </w:pPr>
      <w:bookmarkStart w:id="188" w:name="_Toc1660541"/>
      <w:bookmarkStart w:id="189" w:name="_Toc4921"/>
      <w:r>
        <w:rPr>
          <w:rFonts w:hint="eastAsia" w:ascii="宋体" w:hAnsi="宋体" w:eastAsia="宋体" w:cs="宋体"/>
          <w:bCs/>
          <w:color w:val="auto"/>
          <w:sz w:val="24"/>
          <w:szCs w:val="24"/>
        </w:rPr>
        <w:t>（2）质疑函未按照谈判须知正文29.3条要求签署和盖章的；</w:t>
      </w:r>
      <w:bookmarkEnd w:id="188"/>
      <w:bookmarkEnd w:id="189"/>
    </w:p>
    <w:p>
      <w:pPr>
        <w:spacing w:line="360" w:lineRule="auto"/>
        <w:ind w:firstLine="480" w:firstLineChars="200"/>
        <w:outlineLvl w:val="1"/>
        <w:rPr>
          <w:rFonts w:hint="eastAsia" w:ascii="宋体" w:hAnsi="宋体" w:eastAsia="宋体" w:cs="宋体"/>
          <w:bCs/>
          <w:color w:val="auto"/>
          <w:sz w:val="24"/>
          <w:szCs w:val="24"/>
        </w:rPr>
      </w:pPr>
      <w:bookmarkStart w:id="190" w:name="_Toc1660542"/>
      <w:bookmarkStart w:id="191" w:name="_Toc11943"/>
      <w:r>
        <w:rPr>
          <w:rFonts w:hint="eastAsia" w:ascii="宋体" w:hAnsi="宋体" w:eastAsia="宋体" w:cs="宋体"/>
          <w:bCs/>
          <w:color w:val="auto"/>
          <w:sz w:val="24"/>
          <w:szCs w:val="24"/>
        </w:rPr>
        <w:t>（3）质疑函未使用财政部制定的政府采购供应商质疑函范本进行编写的；</w:t>
      </w:r>
      <w:bookmarkEnd w:id="190"/>
      <w:bookmarkEnd w:id="191"/>
    </w:p>
    <w:p>
      <w:pPr>
        <w:spacing w:line="360" w:lineRule="auto"/>
        <w:ind w:firstLine="480" w:firstLineChars="200"/>
        <w:outlineLvl w:val="1"/>
        <w:rPr>
          <w:rFonts w:hint="eastAsia" w:ascii="宋体" w:hAnsi="宋体" w:eastAsia="宋体" w:cs="宋体"/>
          <w:bCs/>
          <w:color w:val="auto"/>
          <w:sz w:val="24"/>
          <w:szCs w:val="24"/>
        </w:rPr>
      </w:pPr>
      <w:bookmarkStart w:id="192" w:name="_Toc1660543"/>
      <w:bookmarkStart w:id="193" w:name="_Toc32729"/>
      <w:r>
        <w:rPr>
          <w:rFonts w:hint="eastAsia" w:ascii="宋体" w:hAnsi="宋体" w:eastAsia="宋体" w:cs="宋体"/>
          <w:bCs/>
          <w:color w:val="auto"/>
          <w:sz w:val="24"/>
          <w:szCs w:val="24"/>
        </w:rPr>
        <w:t>（4）质疑函内容不全的。</w:t>
      </w:r>
      <w:bookmarkEnd w:id="192"/>
      <w:bookmarkEnd w:id="193"/>
    </w:p>
    <w:p>
      <w:pPr>
        <w:spacing w:line="360" w:lineRule="auto"/>
        <w:ind w:firstLine="480" w:firstLineChars="200"/>
        <w:outlineLvl w:val="1"/>
        <w:rPr>
          <w:rFonts w:hint="eastAsia" w:ascii="宋体" w:hAnsi="宋体" w:eastAsia="宋体" w:cs="宋体"/>
          <w:bCs/>
          <w:color w:val="auto"/>
          <w:sz w:val="24"/>
          <w:szCs w:val="24"/>
        </w:rPr>
      </w:pPr>
      <w:bookmarkStart w:id="194" w:name="_Toc1660544"/>
      <w:bookmarkStart w:id="195" w:name="_Toc29954"/>
      <w:r>
        <w:rPr>
          <w:rFonts w:hint="eastAsia" w:ascii="宋体" w:hAnsi="宋体" w:eastAsia="宋体" w:cs="宋体"/>
          <w:bCs/>
          <w:color w:val="auto"/>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194"/>
      <w:bookmarkEnd w:id="195"/>
    </w:p>
    <w:p>
      <w:pPr>
        <w:spacing w:line="360" w:lineRule="auto"/>
        <w:ind w:firstLine="480" w:firstLineChars="200"/>
        <w:outlineLvl w:val="1"/>
        <w:rPr>
          <w:rFonts w:hint="eastAsia" w:ascii="宋体" w:hAnsi="宋体" w:eastAsia="宋体" w:cs="宋体"/>
          <w:bCs/>
          <w:color w:val="auto"/>
          <w:sz w:val="24"/>
          <w:szCs w:val="24"/>
        </w:rPr>
      </w:pPr>
      <w:bookmarkStart w:id="196" w:name="_Toc1660545"/>
      <w:bookmarkStart w:id="197" w:name="_Toc8635"/>
      <w:r>
        <w:rPr>
          <w:rFonts w:hint="eastAsia" w:ascii="宋体" w:hAnsi="宋体" w:eastAsia="宋体" w:cs="宋体"/>
          <w:bCs/>
          <w:color w:val="auto"/>
          <w:sz w:val="24"/>
          <w:szCs w:val="24"/>
        </w:rPr>
        <w:t>质疑函在质疑有效期内需要修改、补充的，以提交修改或补充的质疑函原件并发出质疑签收单之日作为质疑正式受理之日。</w:t>
      </w:r>
      <w:bookmarkEnd w:id="196"/>
      <w:bookmarkEnd w:id="197"/>
    </w:p>
    <w:p>
      <w:pPr>
        <w:numPr>
          <w:ilvl w:val="0"/>
          <w:numId w:val="6"/>
        </w:numPr>
        <w:spacing w:line="360" w:lineRule="auto"/>
        <w:ind w:firstLine="561"/>
        <w:jc w:val="center"/>
        <w:outlineLvl w:val="1"/>
        <w:rPr>
          <w:rFonts w:hint="eastAsia" w:ascii="宋体" w:hAnsi="宋体" w:eastAsia="宋体" w:cs="宋体"/>
          <w:b/>
          <w:color w:val="auto"/>
          <w:sz w:val="24"/>
        </w:rPr>
      </w:pPr>
      <w:bookmarkStart w:id="198" w:name="_Toc25509"/>
      <w:bookmarkStart w:id="199" w:name="_Toc1660546"/>
      <w:r>
        <w:rPr>
          <w:rFonts w:hint="eastAsia" w:ascii="宋体" w:hAnsi="宋体" w:eastAsia="宋体" w:cs="宋体"/>
          <w:b/>
          <w:color w:val="auto"/>
          <w:sz w:val="24"/>
        </w:rPr>
        <w:t>其他</w:t>
      </w:r>
      <w:bookmarkEnd w:id="198"/>
      <w:bookmarkEnd w:id="199"/>
    </w:p>
    <w:p>
      <w:pPr>
        <w:pStyle w:val="89"/>
        <w:spacing w:line="360" w:lineRule="auto"/>
        <w:ind w:firstLine="0" w:firstLineChars="0"/>
        <w:jc w:val="left"/>
        <w:rPr>
          <w:rFonts w:hint="eastAsia" w:ascii="宋体" w:hAnsi="宋体" w:eastAsia="宋体" w:cs="宋体"/>
          <w:b/>
          <w:color w:val="auto"/>
          <w:sz w:val="24"/>
          <w:szCs w:val="24"/>
        </w:rPr>
      </w:pPr>
      <w:r>
        <w:rPr>
          <w:rFonts w:hint="eastAsia" w:ascii="宋体" w:hAnsi="宋体" w:eastAsia="宋体" w:cs="宋体"/>
          <w:b/>
          <w:color w:val="auto"/>
          <w:sz w:val="24"/>
          <w:szCs w:val="24"/>
        </w:rPr>
        <w:t>31.采购项目终止</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31.1在谈判过程中，谈判小组发现有下列情形之一的，应当终止竞争性谈判采购活动,发布项目终止公告并说明原因，重新开展采购活动：</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（1）因情况变化，不再符合规定的竞争性谈判采购方式适用情形的；</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（2）出现影响采购公正的违法、违规行为的；</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（3）除《政府采购非招标采购方式管理办法》第二十一条第三款规定的情形外，在采购过程中符合要求的供应商或者报价未超过采购预算的供应商不足3家的。</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竞争性谈判采购活动终止后，谈判小组应作出书面报告。</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31.3.终止采购活动后，采购代理机构应当将终止采购活动原因通知所有供应商。</w:t>
      </w:r>
    </w:p>
    <w:p>
      <w:pPr>
        <w:pStyle w:val="89"/>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32.保密和披露</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32.1 供应商自领取竞争性谈判文件之日起，须履行本采购项目下保密义务，不得将因本次采购获得的信息向第三人外传。</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32.2采购人或采购代理机构有权将供应商提供的所有资料向有关政府部门或评审委员会披露。</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89"/>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33.法律及相关政策</w:t>
      </w:r>
    </w:p>
    <w:p>
      <w:pPr>
        <w:pStyle w:val="89"/>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采购人、政府采购代理机构及供应商的一切采购响应活动均适用《政府采购法》、《政府采购法实施条例》、《政府采购质疑和投诉办法》及其配套的法规、规章、政策。</w:t>
      </w:r>
    </w:p>
    <w:p>
      <w:pPr>
        <w:pStyle w:val="2"/>
        <w:rPr>
          <w:rFonts w:hint="eastAsia" w:ascii="宋体" w:hAnsi="宋体" w:eastAsia="宋体" w:cs="宋体"/>
          <w:color w:val="auto"/>
        </w:rPr>
      </w:pPr>
      <w:r>
        <w:rPr>
          <w:rFonts w:hint="eastAsia" w:ascii="宋体" w:hAnsi="宋体" w:eastAsia="宋体" w:cs="宋体"/>
          <w:color w:val="auto"/>
        </w:rPr>
        <w:br w:type="page"/>
      </w:r>
    </w:p>
    <w:p>
      <w:pPr>
        <w:pStyle w:val="3"/>
        <w:bidi w:val="0"/>
        <w:rPr>
          <w:rFonts w:hint="eastAsia"/>
          <w:color w:val="auto"/>
        </w:rPr>
      </w:pPr>
      <w:bookmarkStart w:id="200" w:name="_Toc16277"/>
      <w:r>
        <w:rPr>
          <w:rFonts w:hint="eastAsia"/>
          <w:color w:val="auto"/>
        </w:rPr>
        <w:t>第三章、</w:t>
      </w:r>
      <w:r>
        <w:rPr>
          <w:rFonts w:hint="eastAsia"/>
          <w:color w:val="auto"/>
          <w:lang w:val="en-US" w:eastAsia="zh-CN"/>
        </w:rPr>
        <w:t>采购</w:t>
      </w:r>
      <w:r>
        <w:rPr>
          <w:rFonts w:hint="eastAsia"/>
          <w:color w:val="auto"/>
        </w:rPr>
        <w:t>需求</w:t>
      </w:r>
      <w:bookmarkEnd w:id="200"/>
    </w:p>
    <w:p>
      <w:pPr>
        <w:pStyle w:val="2"/>
        <w:spacing w:before="0" w:after="0" w:line="360" w:lineRule="auto"/>
        <w:rPr>
          <w:rFonts w:hint="eastAsia" w:ascii="宋体" w:hAnsi="宋体" w:eastAsia="宋体" w:cs="宋体"/>
          <w:bCs w:val="0"/>
          <w:color w:val="auto"/>
          <w:sz w:val="28"/>
          <w:szCs w:val="28"/>
        </w:rPr>
      </w:pPr>
      <w:bookmarkStart w:id="201" w:name="_Toc6376"/>
      <w:r>
        <w:rPr>
          <w:rFonts w:hint="eastAsia" w:ascii="宋体" w:hAnsi="宋体" w:eastAsia="宋体" w:cs="宋体"/>
          <w:bCs w:val="0"/>
          <w:color w:val="auto"/>
          <w:sz w:val="28"/>
          <w:szCs w:val="28"/>
        </w:rPr>
        <w:t>一、项目概况</w:t>
      </w:r>
      <w:bookmarkEnd w:id="201"/>
    </w:p>
    <w:p>
      <w:pPr>
        <w:tabs>
          <w:tab w:val="left" w:pos="780"/>
        </w:tabs>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1、项目名称：</w:t>
      </w:r>
      <w:r>
        <w:rPr>
          <w:rFonts w:hint="eastAsia" w:ascii="宋体" w:hAnsi="宋体" w:cs="宋体"/>
          <w:color w:val="auto"/>
          <w:sz w:val="24"/>
          <w:lang w:eastAsia="zh-CN"/>
        </w:rPr>
        <w:t>2020年秋冬季疫情医疗防控物资储备采购</w:t>
      </w:r>
      <w:r>
        <w:rPr>
          <w:rFonts w:hint="eastAsia" w:ascii="宋体" w:hAnsi="宋体" w:eastAsia="宋体" w:cs="宋体"/>
          <w:color w:val="auto"/>
          <w:sz w:val="24"/>
        </w:rPr>
        <w:t xml:space="preserve">   </w:t>
      </w:r>
    </w:p>
    <w:p>
      <w:pPr>
        <w:tabs>
          <w:tab w:val="left" w:pos="780"/>
        </w:tabs>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2、采购预算:¥</w:t>
      </w:r>
      <w:r>
        <w:rPr>
          <w:rFonts w:hint="eastAsia" w:ascii="宋体" w:hAnsi="宋体" w:cs="宋体"/>
          <w:color w:val="auto"/>
          <w:kern w:val="28"/>
          <w:sz w:val="24"/>
          <w:lang w:val="en-US" w:eastAsia="zh-CN"/>
        </w:rPr>
        <w:t>4302900.00</w:t>
      </w:r>
      <w:r>
        <w:rPr>
          <w:rFonts w:hint="eastAsia" w:ascii="宋体" w:hAnsi="宋体" w:eastAsia="宋体" w:cs="宋体"/>
          <w:color w:val="auto"/>
          <w:sz w:val="24"/>
        </w:rPr>
        <w:t>元，超出采购预算的为无效报价</w:t>
      </w:r>
    </w:p>
    <w:p>
      <w:pPr>
        <w:numPr>
          <w:ilvl w:val="0"/>
          <w:numId w:val="0"/>
        </w:numPr>
        <w:spacing w:line="360" w:lineRule="auto"/>
        <w:ind w:firstLine="720" w:firstLineChars="300"/>
        <w:rPr>
          <w:rFonts w:hint="eastAsia" w:ascii="宋体" w:hAnsi="宋体" w:eastAsia="宋体" w:cs="宋体"/>
          <w:color w:val="auto"/>
          <w:kern w:val="28"/>
          <w:sz w:val="24"/>
          <w:szCs w:val="24"/>
          <w:lang w:val="en-US" w:eastAsia="zh-CN"/>
        </w:rPr>
      </w:pPr>
      <w:r>
        <w:rPr>
          <w:rFonts w:hint="eastAsia" w:ascii="宋体" w:hAnsi="宋体" w:eastAsia="宋体" w:cs="宋体"/>
          <w:color w:val="auto"/>
          <w:sz w:val="24"/>
        </w:rPr>
        <w:t>3、</w:t>
      </w:r>
      <w:r>
        <w:rPr>
          <w:rFonts w:hint="eastAsia" w:ascii="宋体" w:hAnsi="宋体" w:eastAsia="宋体" w:cs="宋体"/>
          <w:color w:val="auto"/>
          <w:kern w:val="28"/>
          <w:sz w:val="24"/>
          <w:szCs w:val="24"/>
          <w:lang w:val="en-US" w:eastAsia="zh-CN"/>
        </w:rPr>
        <w:t>合同履行期限（交货期）：自合同签订之日起</w:t>
      </w:r>
      <w:r>
        <w:rPr>
          <w:rFonts w:hint="eastAsia" w:ascii="宋体" w:hAnsi="宋体" w:cs="宋体"/>
          <w:color w:val="auto"/>
          <w:kern w:val="28"/>
          <w:sz w:val="24"/>
          <w:szCs w:val="24"/>
          <w:lang w:val="en-US" w:eastAsia="zh-CN"/>
        </w:rPr>
        <w:t>1</w:t>
      </w:r>
      <w:r>
        <w:rPr>
          <w:rFonts w:hint="eastAsia" w:ascii="宋体" w:hAnsi="宋体" w:eastAsia="宋体" w:cs="宋体"/>
          <w:color w:val="auto"/>
          <w:kern w:val="28"/>
          <w:sz w:val="24"/>
          <w:szCs w:val="24"/>
          <w:lang w:val="en-US" w:eastAsia="zh-CN"/>
        </w:rPr>
        <w:t>5天内</w:t>
      </w:r>
    </w:p>
    <w:p>
      <w:pPr>
        <w:numPr>
          <w:ilvl w:val="0"/>
          <w:numId w:val="0"/>
        </w:numPr>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质保期：自交货验收合格之日起1年</w:t>
      </w:r>
    </w:p>
    <w:p>
      <w:pPr>
        <w:tabs>
          <w:tab w:val="left" w:pos="780"/>
        </w:tabs>
        <w:spacing w:line="360" w:lineRule="auto"/>
        <w:ind w:firstLine="720" w:firstLineChars="3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5、交货地点：采购人指定地点，运送所产生的所有费用由中标人承担</w:t>
      </w:r>
    </w:p>
    <w:p>
      <w:pPr>
        <w:tabs>
          <w:tab w:val="left" w:pos="780"/>
        </w:tabs>
        <w:spacing w:line="360" w:lineRule="auto"/>
        <w:ind w:firstLine="720" w:firstLineChars="3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6、付款方式：按照合同约定的付款方式付款</w:t>
      </w:r>
    </w:p>
    <w:p>
      <w:pPr>
        <w:tabs>
          <w:tab w:val="left" w:pos="780"/>
        </w:tabs>
        <w:spacing w:line="360" w:lineRule="auto"/>
        <w:ind w:firstLine="720" w:firstLineChars="3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7、验收要求：按谈判文件技术参数进行验收</w:t>
      </w:r>
    </w:p>
    <w:p>
      <w:pPr>
        <w:widowControl/>
        <w:tabs>
          <w:tab w:val="left" w:pos="630"/>
        </w:tabs>
        <w:spacing w:line="360" w:lineRule="auto"/>
        <w:ind w:firstLine="720" w:firstLineChars="300"/>
        <w:jc w:val="left"/>
        <w:textAlignment w:val="bottom"/>
        <w:rPr>
          <w:rFonts w:hint="eastAsia" w:ascii="宋体" w:hAnsi="宋体" w:eastAsia="宋体" w:cs="宋体"/>
          <w:color w:val="auto"/>
          <w:kern w:val="28"/>
          <w:sz w:val="24"/>
        </w:rPr>
      </w:pPr>
      <w:r>
        <w:rPr>
          <w:rFonts w:hint="eastAsia" w:ascii="宋体" w:hAnsi="宋体" w:cs="宋体"/>
          <w:color w:val="auto"/>
          <w:sz w:val="24"/>
          <w:lang w:val="en-US" w:eastAsia="zh-CN"/>
        </w:rPr>
        <w:t>8、</w:t>
      </w:r>
      <w:r>
        <w:rPr>
          <w:rFonts w:hint="eastAsia" w:ascii="宋体" w:hAnsi="宋体" w:eastAsia="宋体" w:cs="宋体"/>
          <w:color w:val="auto"/>
          <w:kern w:val="28"/>
          <w:sz w:val="24"/>
        </w:rPr>
        <w:t>根据国务院办公厅关于建立政府强制采购节能产品制度的通知，在同等条件下优先采购节能产品</w:t>
      </w:r>
    </w:p>
    <w:p>
      <w:pPr>
        <w:bidi w:val="0"/>
        <w:rPr>
          <w:rFonts w:hint="eastAsia"/>
          <w:color w:val="auto"/>
        </w:rPr>
      </w:pPr>
    </w:p>
    <w:p>
      <w:pPr>
        <w:rPr>
          <w:rFonts w:hint="eastAsia" w:ascii="宋体" w:hAnsi="宋体" w:eastAsia="宋体" w:cs="宋体"/>
          <w:color w:val="auto"/>
          <w:sz w:val="28"/>
          <w:szCs w:val="28"/>
        </w:rPr>
      </w:pPr>
      <w:bookmarkStart w:id="202" w:name="_Toc3830"/>
      <w:r>
        <w:rPr>
          <w:rFonts w:hint="eastAsia" w:ascii="宋体" w:hAnsi="宋体" w:eastAsia="宋体" w:cs="宋体"/>
          <w:color w:val="auto"/>
          <w:sz w:val="28"/>
          <w:szCs w:val="28"/>
        </w:rPr>
        <w:br w:type="page"/>
      </w:r>
    </w:p>
    <w:p>
      <w:pPr>
        <w:pStyle w:val="2"/>
        <w:pageBreakBefore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二、配置清单及技术参数</w:t>
      </w:r>
      <w:bookmarkEnd w:id="202"/>
    </w:p>
    <w:tbl>
      <w:tblPr>
        <w:tblStyle w:val="33"/>
        <w:tblpPr w:leftFromText="180" w:rightFromText="180" w:vertAnchor="text" w:horzAnchor="page" w:tblpX="1750" w:tblpY="843"/>
        <w:tblOverlap w:val="never"/>
        <w:tblW w:w="8807" w:type="dxa"/>
        <w:tblInd w:w="0" w:type="dxa"/>
        <w:shd w:val="clear" w:color="auto" w:fill="auto"/>
        <w:tblLayout w:type="fixed"/>
        <w:tblCellMar>
          <w:top w:w="0" w:type="dxa"/>
          <w:left w:w="0" w:type="dxa"/>
          <w:bottom w:w="0" w:type="dxa"/>
          <w:right w:w="0" w:type="dxa"/>
        </w:tblCellMar>
      </w:tblPr>
      <w:tblGrid>
        <w:gridCol w:w="270"/>
        <w:gridCol w:w="1437"/>
        <w:gridCol w:w="5097"/>
        <w:gridCol w:w="1165"/>
        <w:gridCol w:w="838"/>
      </w:tblGrid>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参考规格及技术参数</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数量</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单位</w:t>
            </w:r>
          </w:p>
        </w:tc>
      </w:tr>
      <w:tr>
        <w:tblPrEx>
          <w:shd w:val="clear" w:color="auto" w:fill="auto"/>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普通一次性口罩</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符合一次性使用医用口罩YY/T0969-2013要求</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1000000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个</w:t>
            </w:r>
          </w:p>
        </w:tc>
      </w:tr>
      <w:tr>
        <w:tblPrEx>
          <w:shd w:val="clear" w:color="auto" w:fill="auto"/>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医用外科口罩</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符合医用外科口罩YY0469-2011要求，建议PFE≥90%</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650000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个</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N95口罩</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符合医用防护口罩技术要求GB19083-2010要求</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20000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个</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医用防护服（非灭菌）</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符合医用一次性防护服技术要求GB19082-2009要求</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套</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防渗一次性隔离衣</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符合T/CTES 1013-2019，阻隔性能4级要求；原材料符合纺织品 隔离衣用非织造布GB/T38462-2020要求。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件</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乳胶检查手套</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符合一次性使用医用橡胶检查手套GB10213-2006要求</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100000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双</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一次性医用鞋套/靴套</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采用符合FZ/T64005-2011规定的材料制成</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双</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一次性工作帽</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采用符合FZ/T64005-2011规定的材料制成</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22000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个</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免洗手消毒液</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符合手消毒剂通用要求GB27950-2020要求</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6000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瓶</w:t>
            </w:r>
          </w:p>
        </w:tc>
      </w:tr>
      <w:tr>
        <w:tblPrEx>
          <w:tblLayout w:type="fixed"/>
          <w:tblCellMar>
            <w:top w:w="0" w:type="dxa"/>
            <w:left w:w="0" w:type="dxa"/>
            <w:bottom w:w="0" w:type="dxa"/>
            <w:right w:w="0" w:type="dxa"/>
          </w:tblCellMar>
        </w:tblPrEx>
        <w:trPr>
          <w:trHeight w:val="64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医用体温枪</w:t>
            </w:r>
          </w:p>
        </w:tc>
        <w:tc>
          <w:tcPr>
            <w:tcW w:w="50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额头非接触式红外体温计参考GB/T21417医用红外体温计要求</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3500</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把</w:t>
            </w:r>
          </w:p>
        </w:tc>
      </w:tr>
    </w:tbl>
    <w:p>
      <w:pPr>
        <w:rPr>
          <w:rFonts w:hint="eastAsia"/>
          <w:color w:val="auto"/>
        </w:rPr>
      </w:pPr>
      <w:r>
        <w:rPr>
          <w:rFonts w:hint="eastAsia"/>
          <w:color w:val="auto"/>
        </w:rPr>
        <w:br w:type="page"/>
      </w:r>
    </w:p>
    <w:p>
      <w:pPr>
        <w:pStyle w:val="3"/>
        <w:bidi w:val="0"/>
        <w:rPr>
          <w:rFonts w:hint="eastAsia" w:ascii="宋体" w:hAnsi="宋体" w:eastAsia="宋体" w:cs="宋体"/>
          <w:b/>
          <w:color w:val="auto"/>
          <w:sz w:val="24"/>
        </w:rPr>
      </w:pPr>
      <w:bookmarkStart w:id="203" w:name="_Toc2669"/>
      <w:r>
        <w:rPr>
          <w:rFonts w:hint="eastAsia"/>
          <w:color w:val="auto"/>
        </w:rPr>
        <w:t>第四章、合同文本（参考文本）</w:t>
      </w:r>
      <w:bookmarkEnd w:id="203"/>
    </w:p>
    <w:p>
      <w:pPr>
        <w:spacing w:line="440" w:lineRule="exact"/>
        <w:rPr>
          <w:rFonts w:hint="eastAsia" w:ascii="宋体" w:hAnsi="宋体" w:eastAsia="宋体" w:cs="宋体"/>
          <w:b/>
          <w:color w:val="auto"/>
          <w:sz w:val="24"/>
        </w:rPr>
      </w:pP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合同编号：XXXX。</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签订地点：XXXX。</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签订时间：XXXX年XX月XX日。</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采购人（甲方）：   </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供应商（乙方）：</w:t>
      </w:r>
    </w:p>
    <w:p>
      <w:pPr>
        <w:pStyle w:val="5"/>
        <w:spacing w:line="360" w:lineRule="auto"/>
        <w:ind w:firstLineChars="175"/>
        <w:rPr>
          <w:rFonts w:hint="eastAsia" w:ascii="宋体" w:hAnsi="宋体" w:eastAsia="宋体" w:cs="宋体"/>
          <w:color w:val="auto"/>
          <w:sz w:val="24"/>
          <w:szCs w:val="24"/>
        </w:rPr>
      </w:pP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根据《中华人民共和国政府采购法》、《中华人民共和国合同法》及</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一、合同货物</w:t>
      </w:r>
    </w:p>
    <w:tbl>
      <w:tblPr>
        <w:tblStyle w:val="33"/>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货物品名</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单位</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jc w:val="center"/>
              <w:rPr>
                <w:rFonts w:hint="eastAsia" w:ascii="宋体" w:hAnsi="宋体" w:eastAsia="宋体" w:cs="宋体"/>
                <w:color w:val="auto"/>
                <w:szCs w:val="21"/>
              </w:rPr>
            </w:pPr>
            <w:r>
              <w:rPr>
                <w:rFonts w:hint="eastAsia" w:ascii="宋体" w:hAnsi="宋体" w:eastAsia="宋体" w:cs="宋体"/>
                <w:color w:val="auto"/>
                <w:szCs w:val="21"/>
              </w:rPr>
              <w:t>单价</w:t>
            </w:r>
          </w:p>
          <w:p>
            <w:pPr>
              <w:pStyle w:val="5"/>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jc w:val="center"/>
              <w:rPr>
                <w:rFonts w:hint="eastAsia" w:ascii="宋体" w:hAnsi="宋体" w:eastAsia="宋体" w:cs="宋体"/>
                <w:color w:val="auto"/>
                <w:szCs w:val="21"/>
              </w:rPr>
            </w:pPr>
            <w:r>
              <w:rPr>
                <w:rFonts w:hint="eastAsia" w:ascii="宋体" w:hAnsi="宋体" w:eastAsia="宋体" w:cs="宋体"/>
                <w:color w:val="auto"/>
                <w:szCs w:val="21"/>
              </w:rPr>
              <w:t>总价</w:t>
            </w:r>
          </w:p>
          <w:p>
            <w:pPr>
              <w:pStyle w:val="5"/>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随机</w:t>
            </w:r>
          </w:p>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交货期</w:t>
            </w:r>
          </w:p>
        </w:tc>
      </w:tr>
      <w:tr>
        <w:tblPrEx>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r>
      <w:tr>
        <w:tblPrEx>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r>
    </w:tbl>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二、合同总价</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三、货物要求</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1.所有设备必须是厂商原装、全新的正品，符合国家及该产品的出厂标准，并完全符合甲方要求的产品。</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2.附货物具体技术参数。</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四、交货时间及交货地点</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1.交货时间：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2.交货地点：采购人指定地点。</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五、付款方式</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5"/>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六、质保期及售后服务要求</w:t>
      </w:r>
    </w:p>
    <w:p>
      <w:pPr>
        <w:pStyle w:val="5"/>
        <w:spacing w:line="360" w:lineRule="auto"/>
        <w:ind w:firstLineChars="175"/>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七、验收：</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由甲方组织，乙方配合，根据对本项目采购需求响应情况及国家行业标准进行验收。</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八、违约责任与赔偿损失</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1.乙方交付的货物不符合竞争性磋商文件、报价文件或本合同规定的，甲方有权拒收，并且乙方须向甲方支付本合同总价5%的违约金。</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乙方未能按本合同规定的交货时间交付货物，从逾期之日起每日按本合同总价3‰的数额向甲方支付违约金；逾期半个月以上的，甲方有权终止合同，由此造成的甲方经济损失由乙方承担。</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3. 甲方无正当理由拒收货物，到期拒付货物款项的，甲方向乙方偿付本合同总的5%的违约金。甲方人逾期付款，则每日按本合同总价的3‰向乙方偿付违约金。</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4. 其它违约责任按《中华人民共和国合同法》处理。</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九、争议的解决</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1.合同执行过程中发生的任何争议，如双方不能通过友好协商解决，按相关法律法规处理。</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十一、税费：在中国境内、外发生的与本合同执行有关的一切税费均由乙方负担。</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十二、其它</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 本合同所有附件、竞争性谈判文件、响应文件、成交通知书均为合同的有效组成部分，与本合同具有同等法律效力。</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在执行本合同的过程中，所有经双方签署确认的文件（包括会议纪要、补充协议、往来信函）即成为本合同的有效组成部分。</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如一方地址、电话、传真号码有变更，应在变更当日内书面通知对方，否则，应承担相应责任。 </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4. 除甲方事先书面同意外，乙方不得部分或全部转让其应履行的合同项下的义务。</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十三、合同生效：</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1.本合同在甲乙双方法人代表或其授权代表签字盖章后生效。</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2.合同一式七份。甲、乙方，采购代理机构各执两份，另一份由采购人送至监督部门。</w:t>
      </w:r>
    </w:p>
    <w:p>
      <w:pPr>
        <w:pStyle w:val="5"/>
        <w:spacing w:line="360" w:lineRule="auto"/>
        <w:ind w:firstLineChars="175"/>
        <w:rPr>
          <w:rFonts w:hint="eastAsia" w:ascii="宋体" w:hAnsi="宋体" w:eastAsia="宋体" w:cs="宋体"/>
          <w:color w:val="auto"/>
          <w:sz w:val="24"/>
          <w:szCs w:val="24"/>
        </w:rPr>
      </w:pP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甲方：   （盖章）</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乙方：（盖章）</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法定代表人（授权代表）：             法定代表人（授权代表）：</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地址：                               地址：</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开户银行：                           开户银行：</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账号：                               账号：</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电话：                               电话：</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传真：                               传真：</w:t>
      </w:r>
    </w:p>
    <w:p>
      <w:pPr>
        <w:pStyle w:val="5"/>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签约日期：XX年XX月XX日</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签约日期：XX年XX月XX日</w:t>
      </w:r>
    </w:p>
    <w:p>
      <w:pPr>
        <w:jc w:val="center"/>
        <w:outlineLvl w:val="0"/>
        <w:rPr>
          <w:rFonts w:hint="eastAsia" w:ascii="宋体" w:hAnsi="宋体" w:eastAsia="宋体" w:cs="宋体"/>
          <w:b/>
          <w:color w:val="auto"/>
          <w:sz w:val="44"/>
          <w:szCs w:val="44"/>
        </w:rPr>
      </w:pPr>
    </w:p>
    <w:p>
      <w:pPr>
        <w:snapToGrid w:val="0"/>
        <w:spacing w:before="19" w:line="500" w:lineRule="exact"/>
        <w:ind w:firstLine="281" w:firstLineChars="100"/>
        <w:rPr>
          <w:rFonts w:hint="eastAsia" w:ascii="宋体" w:hAnsi="宋体" w:eastAsia="宋体" w:cs="宋体"/>
          <w:b/>
          <w:color w:val="auto"/>
          <w:sz w:val="28"/>
          <w:u w:val="single"/>
        </w:rPr>
      </w:pPr>
      <w:r>
        <w:rPr>
          <w:rFonts w:hint="eastAsia" w:ascii="宋体" w:hAnsi="宋体" w:cs="宋体"/>
          <w:b/>
          <w:color w:val="auto"/>
          <w:sz w:val="28"/>
          <w:lang w:val="en-US" w:eastAsia="zh-CN"/>
        </w:rPr>
        <w:t>采购</w:t>
      </w:r>
      <w:r>
        <w:rPr>
          <w:rFonts w:hint="eastAsia" w:ascii="宋体" w:hAnsi="宋体" w:eastAsia="宋体" w:cs="宋体"/>
          <w:b/>
          <w:color w:val="auto"/>
          <w:sz w:val="28"/>
        </w:rPr>
        <w:t>代</w:t>
      </w:r>
      <w:r>
        <w:rPr>
          <w:rFonts w:hint="eastAsia" w:ascii="宋体" w:hAnsi="宋体" w:cs="宋体"/>
          <w:b/>
          <w:color w:val="auto"/>
          <w:sz w:val="28"/>
          <w:lang w:val="en-US" w:eastAsia="zh-CN"/>
        </w:rPr>
        <w:t>机构</w:t>
      </w:r>
      <w:r>
        <w:rPr>
          <w:rFonts w:hint="eastAsia" w:ascii="宋体" w:hAnsi="宋体" w:eastAsia="宋体" w:cs="宋体"/>
          <w:b/>
          <w:color w:val="auto"/>
          <w:sz w:val="28"/>
        </w:rPr>
        <w:t>：</w:t>
      </w:r>
      <w:r>
        <w:rPr>
          <w:rFonts w:hint="eastAsia" w:ascii="宋体" w:hAnsi="宋体" w:eastAsia="宋体" w:cs="宋体"/>
          <w:b/>
          <w:color w:val="auto"/>
          <w:sz w:val="28"/>
          <w:u w:val="single"/>
        </w:rPr>
        <w:t>海南政辉招投标代理有限公司（盖章）</w:t>
      </w:r>
    </w:p>
    <w:p>
      <w:pPr>
        <w:snapToGrid w:val="0"/>
        <w:spacing w:before="19" w:line="500" w:lineRule="exact"/>
        <w:ind w:firstLine="280" w:firstLineChars="100"/>
        <w:rPr>
          <w:rFonts w:hint="eastAsia" w:ascii="宋体" w:hAnsi="宋体" w:eastAsia="宋体" w:cs="宋体"/>
          <w:color w:val="auto"/>
          <w:sz w:val="28"/>
        </w:rPr>
      </w:pPr>
      <w:r>
        <w:rPr>
          <w:rFonts w:hint="eastAsia" w:ascii="宋体" w:hAnsi="宋体" w:eastAsia="宋体" w:cs="宋体"/>
          <w:color w:val="auto"/>
          <w:sz w:val="28"/>
        </w:rPr>
        <w:t>经办人：</w:t>
      </w:r>
    </w:p>
    <w:p>
      <w:pPr>
        <w:ind w:firstLine="280" w:firstLineChars="100"/>
        <w:rPr>
          <w:rFonts w:hint="eastAsia" w:ascii="宋体" w:hAnsi="宋体" w:eastAsia="宋体" w:cs="宋体"/>
          <w:color w:val="auto"/>
        </w:rPr>
      </w:pPr>
      <w:r>
        <w:rPr>
          <w:rFonts w:hint="eastAsia" w:ascii="宋体" w:hAnsi="宋体" w:eastAsia="宋体" w:cs="宋体"/>
          <w:color w:val="auto"/>
          <w:sz w:val="28"/>
        </w:rPr>
        <w:t>年月日</w:t>
      </w:r>
    </w:p>
    <w:p>
      <w:pPr>
        <w:rPr>
          <w:rFonts w:hint="eastAsia"/>
          <w:color w:val="auto"/>
        </w:rPr>
      </w:pPr>
      <w:bookmarkStart w:id="204" w:name="_Toc5141"/>
      <w:r>
        <w:rPr>
          <w:rFonts w:hint="eastAsia"/>
          <w:color w:val="auto"/>
        </w:rPr>
        <w:br w:type="page"/>
      </w:r>
    </w:p>
    <w:p>
      <w:pPr>
        <w:pStyle w:val="3"/>
        <w:bidi w:val="0"/>
        <w:rPr>
          <w:rFonts w:hint="eastAsia"/>
          <w:color w:val="auto"/>
        </w:rPr>
      </w:pPr>
      <w:r>
        <w:rPr>
          <w:rFonts w:hint="eastAsia"/>
          <w:color w:val="auto"/>
        </w:rPr>
        <w:t>第五章、报价内容和格式（参考）</w:t>
      </w:r>
      <w:bookmarkEnd w:id="204"/>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开标一览表；</w:t>
      </w:r>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报价函；</w:t>
      </w:r>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报价明细表；</w:t>
      </w:r>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供应商资格证明文件；</w:t>
      </w:r>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需求响应表；</w:t>
      </w:r>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其他相关材料。</w:t>
      </w:r>
    </w:p>
    <w:p>
      <w:pPr>
        <w:pStyle w:val="111"/>
        <w:rPr>
          <w:rFonts w:hint="eastAsia"/>
          <w:color w:val="auto"/>
        </w:rPr>
      </w:pPr>
    </w:p>
    <w:p>
      <w:pPr>
        <w:widowControl/>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由供应商根据自身实际情况并结合采购文件相关要求据实编写，格式由投标人自定。</w:t>
      </w: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spacing w:line="360" w:lineRule="auto"/>
        <w:rPr>
          <w:rFonts w:hint="eastAsia" w:ascii="宋体" w:hAnsi="宋体" w:eastAsia="宋体" w:cs="宋体"/>
          <w:b/>
          <w:color w:val="auto"/>
          <w:sz w:val="32"/>
        </w:rPr>
      </w:pPr>
    </w:p>
    <w:p>
      <w:pPr>
        <w:rPr>
          <w:rFonts w:hint="eastAsia" w:ascii="宋体" w:hAnsi="宋体" w:eastAsia="宋体" w:cs="宋体"/>
          <w:b/>
          <w:color w:val="auto"/>
          <w:sz w:val="32"/>
        </w:rPr>
      </w:pPr>
      <w:r>
        <w:rPr>
          <w:rFonts w:hint="eastAsia" w:ascii="宋体" w:hAnsi="宋体" w:eastAsia="宋体" w:cs="宋体"/>
          <w:b/>
          <w:color w:val="auto"/>
          <w:sz w:val="32"/>
        </w:rPr>
        <w:br w:type="page"/>
      </w:r>
    </w:p>
    <w:p>
      <w:pPr>
        <w:spacing w:line="360" w:lineRule="auto"/>
        <w:jc w:val="center"/>
        <w:rPr>
          <w:rFonts w:hint="eastAsia" w:ascii="宋体" w:hAnsi="宋体" w:eastAsia="宋体" w:cs="宋体"/>
          <w:b/>
          <w:color w:val="auto"/>
          <w:sz w:val="32"/>
        </w:rPr>
      </w:pPr>
      <w:r>
        <w:rPr>
          <w:rFonts w:hint="eastAsia" w:ascii="宋体" w:hAnsi="宋体" w:eastAsia="宋体" w:cs="宋体"/>
          <w:b/>
          <w:color w:val="auto"/>
          <w:sz w:val="32"/>
        </w:rPr>
        <w:t>1、开标一览表</w:t>
      </w:r>
    </w:p>
    <w:p>
      <w:pPr>
        <w:pStyle w:val="5"/>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项目名称：</w:t>
      </w:r>
      <w:r>
        <w:rPr>
          <w:rFonts w:hint="eastAsia" w:ascii="宋体" w:hAnsi="宋体" w:cs="宋体"/>
          <w:bCs/>
          <w:color w:val="auto"/>
          <w:sz w:val="24"/>
          <w:lang w:eastAsia="zh-CN"/>
        </w:rPr>
        <w:t>2020年秋冬季疫情医疗防控物资储备采购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lang w:eastAsia="zh-CN"/>
        </w:rPr>
      </w:pPr>
      <w:r>
        <w:rPr>
          <w:rFonts w:hint="eastAsia" w:ascii="宋体" w:hAnsi="宋体" w:eastAsia="宋体" w:cs="宋体"/>
          <w:color w:val="auto"/>
          <w:sz w:val="24"/>
        </w:rPr>
        <w:t>项目编号：</w:t>
      </w:r>
      <w:r>
        <w:rPr>
          <w:rFonts w:hint="eastAsia" w:ascii="宋体" w:hAnsi="宋体" w:cs="宋体"/>
          <w:color w:val="auto"/>
          <w:sz w:val="24"/>
          <w:lang w:eastAsia="zh-CN"/>
        </w:rPr>
        <w:t>HNZH-2020-334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rPr>
      </w:pPr>
      <w:r>
        <w:rPr>
          <w:rFonts w:hint="eastAsia" w:ascii="宋体" w:hAnsi="宋体" w:eastAsia="宋体" w:cs="宋体"/>
          <w:color w:val="auto"/>
        </w:rPr>
        <w:t>包号：（A或B或项目本身）</w:t>
      </w:r>
    </w:p>
    <w:p>
      <w:pPr>
        <w:jc w:val="right"/>
        <w:rPr>
          <w:rFonts w:hint="eastAsia" w:ascii="宋体" w:hAnsi="宋体" w:eastAsia="宋体" w:cs="宋体"/>
          <w:bCs/>
          <w:color w:val="auto"/>
          <w:sz w:val="24"/>
        </w:rPr>
      </w:pPr>
      <w:r>
        <w:rPr>
          <w:rFonts w:hint="eastAsia" w:ascii="宋体" w:hAnsi="宋体" w:eastAsia="宋体" w:cs="宋体"/>
          <w:color w:val="auto"/>
          <w:sz w:val="24"/>
        </w:rPr>
        <w:t>金额单位：元</w:t>
      </w:r>
      <w:r>
        <w:rPr>
          <w:rFonts w:hint="eastAsia" w:ascii="宋体" w:hAnsi="宋体" w:eastAsia="宋体" w:cs="宋体"/>
          <w:bCs/>
          <w:color w:val="auto"/>
          <w:sz w:val="24"/>
        </w:rPr>
        <w:t xml:space="preserve">                       </w:t>
      </w:r>
    </w:p>
    <w:tbl>
      <w:tblPr>
        <w:tblStyle w:val="33"/>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本项目投标总报价</w:t>
            </w:r>
          </w:p>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（小写）：</w:t>
            </w:r>
          </w:p>
        </w:tc>
      </w:tr>
      <w:tr>
        <w:tblPrEx>
          <w:tblLayout w:type="fixed"/>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auto"/>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（大写）：</w:t>
            </w:r>
          </w:p>
        </w:tc>
      </w:tr>
      <w:tr>
        <w:tblPrEx>
          <w:tblLayout w:type="fixed"/>
          <w:tblCellMar>
            <w:top w:w="0" w:type="dxa"/>
            <w:left w:w="30" w:type="dxa"/>
            <w:bottom w:w="0" w:type="dxa"/>
            <w:right w:w="30" w:type="dxa"/>
          </w:tblCellMar>
        </w:tblPrEx>
        <w:trPr>
          <w:cantSplit/>
          <w:trHeight w:val="61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default" w:ascii="宋体" w:hAnsi="宋体" w:eastAsia="宋体" w:cs="宋体"/>
                <w:bCs/>
                <w:color w:val="auto"/>
                <w:sz w:val="24"/>
                <w:szCs w:val="22"/>
                <w:lang w:val="en-US" w:eastAsia="zh-CN"/>
              </w:rPr>
            </w:pPr>
            <w:r>
              <w:rPr>
                <w:rFonts w:hint="eastAsia" w:ascii="宋体" w:hAnsi="宋体" w:eastAsia="宋体" w:cs="宋体"/>
                <w:bCs/>
                <w:color w:val="auto"/>
                <w:sz w:val="24"/>
                <w:szCs w:val="22"/>
              </w:rPr>
              <w:t>交</w:t>
            </w:r>
            <w:r>
              <w:rPr>
                <w:rFonts w:hint="eastAsia" w:ascii="宋体" w:hAnsi="宋体" w:cs="宋体"/>
                <w:bCs/>
                <w:color w:val="auto"/>
                <w:sz w:val="24"/>
                <w:szCs w:val="22"/>
                <w:lang w:val="en-US" w:eastAsia="zh-CN"/>
              </w:rPr>
              <w:t>货</w:t>
            </w:r>
            <w:r>
              <w:rPr>
                <w:rFonts w:hint="eastAsia" w:ascii="宋体" w:hAnsi="宋体" w:eastAsia="宋体" w:cs="宋体"/>
                <w:bCs/>
                <w:color w:val="auto"/>
                <w:sz w:val="24"/>
                <w:szCs w:val="22"/>
              </w:rPr>
              <w:t>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p>
        </w:tc>
      </w:tr>
      <w:tr>
        <w:tblPrEx>
          <w:tblLayout w:type="fixed"/>
          <w:tblCellMar>
            <w:top w:w="0" w:type="dxa"/>
            <w:left w:w="30" w:type="dxa"/>
            <w:bottom w:w="0" w:type="dxa"/>
            <w:right w:w="30" w:type="dxa"/>
          </w:tblCellMar>
        </w:tblPrEx>
        <w:trPr>
          <w:cantSplit/>
          <w:trHeight w:val="445"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bCs/>
                <w:color w:val="auto"/>
                <w:sz w:val="24"/>
                <w:szCs w:val="22"/>
              </w:rPr>
            </w:pPr>
            <w:r>
              <w:rPr>
                <w:rFonts w:hint="eastAsia" w:ascii="宋体" w:hAnsi="宋体" w:eastAsia="宋体" w:cs="宋体"/>
                <w:bCs/>
                <w:color w:val="auto"/>
                <w:sz w:val="24"/>
                <w:szCs w:val="22"/>
              </w:rPr>
              <w:t>交货地点</w:t>
            </w:r>
          </w:p>
        </w:tc>
        <w:tc>
          <w:tcPr>
            <w:tcW w:w="6551" w:type="dxa"/>
            <w:tcBorders>
              <w:top w:val="single" w:color="auto" w:sz="6"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Cs/>
                <w:color w:val="auto"/>
                <w:sz w:val="24"/>
                <w:szCs w:val="22"/>
              </w:rPr>
            </w:pPr>
          </w:p>
        </w:tc>
      </w:tr>
      <w:tr>
        <w:tblPrEx>
          <w:tblLayout w:type="fixed"/>
          <w:tblCellMar>
            <w:top w:w="0" w:type="dxa"/>
            <w:left w:w="30" w:type="dxa"/>
            <w:bottom w:w="0" w:type="dxa"/>
            <w:right w:w="30" w:type="dxa"/>
          </w:tblCellMar>
        </w:tblPrEx>
        <w:trPr>
          <w:cantSplit/>
          <w:trHeight w:val="612"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default" w:ascii="宋体" w:hAnsi="宋体" w:eastAsia="宋体" w:cs="宋体"/>
                <w:bCs/>
                <w:color w:val="auto"/>
                <w:sz w:val="24"/>
                <w:szCs w:val="22"/>
                <w:lang w:val="en-US" w:eastAsia="zh-CN"/>
              </w:rPr>
            </w:pPr>
            <w:r>
              <w:rPr>
                <w:rFonts w:hint="eastAsia" w:ascii="宋体" w:hAnsi="宋体" w:cs="宋体"/>
                <w:bCs/>
                <w:color w:val="auto"/>
                <w:sz w:val="24"/>
                <w:szCs w:val="22"/>
                <w:lang w:val="en-US" w:eastAsia="zh-CN"/>
              </w:rPr>
              <w:t>备注</w:t>
            </w:r>
          </w:p>
        </w:tc>
        <w:tc>
          <w:tcPr>
            <w:tcW w:w="6551" w:type="dxa"/>
            <w:tcBorders>
              <w:top w:val="single" w:color="auto" w:sz="4"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p>
        </w:tc>
      </w:tr>
      <w:tr>
        <w:tblPrEx>
          <w:tblLayout w:type="fixed"/>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szCs w:val="21"/>
              </w:rPr>
            </w:pPr>
            <w:r>
              <w:rPr>
                <w:rFonts w:hint="eastAsia" w:ascii="宋体" w:hAnsi="宋体" w:eastAsia="宋体" w:cs="宋体"/>
                <w:bCs/>
                <w:color w:val="auto"/>
                <w:sz w:val="24"/>
              </w:rPr>
              <w:t>是否小微型企业产品：是（   ）；否（   ）</w:t>
            </w:r>
          </w:p>
        </w:tc>
      </w:tr>
      <w:tr>
        <w:tblPrEx>
          <w:tblLayout w:type="fixed"/>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szCs w:val="21"/>
              </w:rPr>
            </w:pPr>
            <w:r>
              <w:rPr>
                <w:rFonts w:hint="eastAsia" w:ascii="宋体" w:hAnsi="宋体" w:eastAsia="宋体" w:cs="宋体"/>
                <w:bCs/>
                <w:color w:val="auto"/>
                <w:sz w:val="24"/>
              </w:rPr>
              <w:t>是否监狱企业参加采购活动：是（   ）；否（   ）</w:t>
            </w:r>
          </w:p>
        </w:tc>
      </w:tr>
      <w:tr>
        <w:tblPrEx>
          <w:tblLayout w:type="fixed"/>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szCs w:val="21"/>
              </w:rPr>
            </w:pPr>
            <w:r>
              <w:rPr>
                <w:rFonts w:hint="eastAsia" w:ascii="宋体" w:hAnsi="宋体" w:eastAsia="宋体" w:cs="宋体"/>
                <w:bCs/>
                <w:color w:val="auto"/>
                <w:sz w:val="24"/>
              </w:rPr>
              <w:t>是否残疾人福利性单位参加采购活动：是（   ）；否（   ）</w:t>
            </w:r>
          </w:p>
        </w:tc>
      </w:tr>
    </w:tbl>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1"/>
        <w:rPr>
          <w:rFonts w:hint="eastAsia" w:ascii="宋体" w:hAnsi="宋体" w:eastAsia="宋体" w:cs="宋体"/>
          <w:bCs/>
          <w:color w:val="auto"/>
          <w:sz w:val="24"/>
        </w:rPr>
      </w:pPr>
      <w:bookmarkStart w:id="205" w:name="_Toc1660550"/>
      <w:bookmarkStart w:id="206" w:name="_Toc1059"/>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1"/>
        <w:rPr>
          <w:rFonts w:hint="eastAsia" w:ascii="宋体" w:hAnsi="宋体" w:eastAsia="宋体" w:cs="宋体"/>
          <w:bCs/>
          <w:color w:val="auto"/>
          <w:sz w:val="24"/>
        </w:rPr>
      </w:pPr>
      <w:r>
        <w:rPr>
          <w:rFonts w:hint="eastAsia" w:ascii="宋体" w:hAnsi="宋体" w:eastAsia="宋体" w:cs="宋体"/>
          <w:bCs/>
          <w:color w:val="auto"/>
          <w:sz w:val="24"/>
        </w:rPr>
        <w:t>注：1. 报价须是最终用户验收合格后的总价，否则视为不合格投标人。</w:t>
      </w:r>
      <w:bookmarkEnd w:id="205"/>
      <w:bookmarkEnd w:id="206"/>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outlineLvl w:val="1"/>
        <w:rPr>
          <w:rFonts w:hint="eastAsia" w:ascii="宋体" w:hAnsi="宋体" w:eastAsia="宋体" w:cs="宋体"/>
          <w:bCs/>
          <w:color w:val="auto"/>
          <w:sz w:val="24"/>
        </w:rPr>
      </w:pPr>
      <w:bookmarkStart w:id="207" w:name="_Toc1660551"/>
      <w:bookmarkStart w:id="208" w:name="_Toc18779"/>
      <w:r>
        <w:rPr>
          <w:rFonts w:hint="eastAsia" w:ascii="宋体" w:hAnsi="宋体" w:eastAsia="宋体" w:cs="宋体"/>
          <w:color w:val="auto"/>
          <w:sz w:val="24"/>
        </w:rPr>
        <w:t>2、投标人报价应包含：货物运输、设备安装、售后等服务</w:t>
      </w:r>
      <w:bookmarkEnd w:id="207"/>
      <w:bookmarkEnd w:id="208"/>
      <w:r>
        <w:rPr>
          <w:rFonts w:hint="eastAsia" w:ascii="宋体" w:hAnsi="宋体" w:eastAsia="宋体" w:cs="宋体"/>
          <w:bCs/>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outlineLvl w:val="1"/>
        <w:rPr>
          <w:rFonts w:hint="eastAsia" w:ascii="宋体" w:hAnsi="宋体" w:eastAsia="宋体" w:cs="宋体"/>
          <w:bCs/>
          <w:color w:val="auto"/>
          <w:sz w:val="24"/>
        </w:rPr>
      </w:pPr>
      <w:r>
        <w:rPr>
          <w:rFonts w:hint="eastAsia" w:ascii="宋体" w:hAnsi="宋体" w:eastAsia="宋体" w:cs="宋体"/>
          <w:bCs/>
          <w:color w:val="auto"/>
          <w:sz w:val="24"/>
        </w:rPr>
        <w:t xml:space="preserve"> </w:t>
      </w:r>
      <w:bookmarkStart w:id="209" w:name="_Toc1660552"/>
      <w:bookmarkStart w:id="210" w:name="_Toc17466"/>
      <w:r>
        <w:rPr>
          <w:rFonts w:hint="eastAsia" w:ascii="宋体" w:hAnsi="宋体" w:eastAsia="宋体" w:cs="宋体"/>
          <w:bCs/>
          <w:color w:val="auto"/>
          <w:sz w:val="24"/>
        </w:rPr>
        <w:t>3.“开标一览表”为多页的，每页均需由授权代表签字并盖投标人印章。</w:t>
      </w:r>
      <w:bookmarkEnd w:id="209"/>
      <w:bookmarkEnd w:id="210"/>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bCs/>
          <w:color w:val="auto"/>
          <w:sz w:val="24"/>
        </w:rPr>
      </w:pPr>
      <w:r>
        <w:rPr>
          <w:rFonts w:hint="eastAsia" w:ascii="宋体" w:hAnsi="宋体" w:eastAsia="宋体" w:cs="宋体"/>
          <w:bCs/>
          <w:color w:val="auto"/>
          <w:sz w:val="24"/>
        </w:rPr>
        <w:t>4、是否小微型企业产品栏，在相应的括弧里打勾（√）,空白则默认为非小微型产品投标。</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bCs/>
          <w:color w:val="auto"/>
          <w:sz w:val="24"/>
        </w:rPr>
      </w:pPr>
      <w:r>
        <w:rPr>
          <w:rFonts w:hint="eastAsia" w:ascii="宋体" w:hAnsi="宋体" w:eastAsia="宋体" w:cs="宋体"/>
          <w:bCs/>
          <w:color w:val="auto"/>
          <w:sz w:val="24"/>
        </w:rPr>
        <w:t>5、是否监狱企业栏，在相应的括弧里打勾（√）,空白则默认为非监狱企业参与投标。</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bCs/>
          <w:color w:val="auto"/>
          <w:sz w:val="24"/>
        </w:rPr>
      </w:pPr>
      <w:r>
        <w:rPr>
          <w:rFonts w:hint="eastAsia" w:ascii="宋体" w:hAnsi="宋体" w:eastAsia="宋体" w:cs="宋体"/>
          <w:bCs/>
          <w:color w:val="auto"/>
          <w:sz w:val="24"/>
        </w:rPr>
        <w:t>6、是否残疾人福利性单位栏，在相应的括弧里打勾（√）,空白则默认为非残疾人福利性单位参与投标。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其委托代理人</w:t>
      </w:r>
      <w:r>
        <w:rPr>
          <w:rFonts w:hint="eastAsia" w:ascii="宋体" w:hAnsi="宋体" w:eastAsia="宋体" w:cs="宋体"/>
          <w:color w:val="auto"/>
          <w:sz w:val="24"/>
        </w:rPr>
        <w:t>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供应商名称</w:t>
      </w:r>
      <w:r>
        <w:rPr>
          <w:rFonts w:hint="eastAsia" w:ascii="宋体" w:hAnsi="宋体" w:eastAsia="宋体" w:cs="宋体"/>
          <w:color w:val="auto"/>
          <w:sz w:val="24"/>
        </w:rPr>
        <w:t>：         （盖章）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z w:val="44"/>
          <w:szCs w:val="44"/>
        </w:rPr>
      </w:pPr>
      <w:r>
        <w:rPr>
          <w:rFonts w:hint="eastAsia" w:ascii="宋体" w:hAnsi="宋体" w:eastAsia="宋体" w:cs="宋体"/>
          <w:color w:val="auto"/>
          <w:sz w:val="24"/>
        </w:rPr>
        <w:t>日    期：   年   月  日</w:t>
      </w:r>
    </w:p>
    <w:p>
      <w:pPr>
        <w:jc w:val="center"/>
        <w:rPr>
          <w:rFonts w:hint="eastAsia" w:ascii="宋体" w:hAnsi="宋体" w:eastAsia="宋体" w:cs="宋体"/>
          <w:b/>
          <w:color w:val="auto"/>
          <w:sz w:val="32"/>
        </w:rPr>
      </w:pPr>
      <w:r>
        <w:rPr>
          <w:rFonts w:hint="eastAsia" w:ascii="宋体" w:hAnsi="宋体" w:eastAsia="宋体" w:cs="宋体"/>
          <w:b/>
          <w:color w:val="auto"/>
          <w:sz w:val="32"/>
        </w:rPr>
        <w:br w:type="page"/>
      </w:r>
      <w:r>
        <w:rPr>
          <w:rFonts w:hint="eastAsia" w:ascii="宋体" w:hAnsi="宋体" w:eastAsia="宋体" w:cs="宋体"/>
          <w:b/>
          <w:color w:val="auto"/>
          <w:sz w:val="32"/>
        </w:rPr>
        <w:t>2、报价函</w:t>
      </w:r>
    </w:p>
    <w:p>
      <w:pPr>
        <w:spacing w:line="360" w:lineRule="auto"/>
        <w:rPr>
          <w:rFonts w:hint="eastAsia" w:ascii="宋体" w:hAnsi="宋体" w:eastAsia="宋体" w:cs="宋体"/>
          <w:color w:val="auto"/>
          <w:sz w:val="24"/>
        </w:rPr>
      </w:pPr>
    </w:p>
    <w:p>
      <w:pPr>
        <w:spacing w:before="19" w:line="360" w:lineRule="auto"/>
        <w:rPr>
          <w:rFonts w:hint="eastAsia" w:ascii="宋体" w:hAnsi="宋体" w:eastAsia="宋体" w:cs="宋体"/>
          <w:color w:val="auto"/>
          <w:sz w:val="24"/>
        </w:rPr>
      </w:pPr>
      <w:r>
        <w:rPr>
          <w:rFonts w:hint="eastAsia" w:ascii="宋体" w:hAnsi="宋体" w:eastAsia="宋体" w:cs="宋体"/>
          <w:color w:val="auto"/>
          <w:sz w:val="24"/>
        </w:rPr>
        <w:t>致：海南政辉招投标代理有限公司：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根据贵单位项目编号为</w:t>
      </w:r>
      <w:r>
        <w:rPr>
          <w:rFonts w:hint="eastAsia" w:ascii="宋体" w:hAnsi="宋体" w:eastAsia="宋体" w:cs="宋体"/>
          <w:color w:val="auto"/>
          <w:sz w:val="24"/>
          <w:u w:val="single"/>
        </w:rPr>
        <w:t xml:space="preserve">               </w:t>
      </w:r>
      <w:r>
        <w:rPr>
          <w:rFonts w:hint="eastAsia" w:ascii="宋体" w:hAnsi="宋体" w:eastAsia="宋体" w:cs="宋体"/>
          <w:color w:val="auto"/>
          <w:sz w:val="24"/>
        </w:rPr>
        <w:t>的报价邀请函，正式授权下述签字人</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（姓名和职务）代表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cs="宋体"/>
          <w:color w:val="auto"/>
          <w:sz w:val="24"/>
          <w:lang w:val="en-US" w:eastAsia="zh-CN"/>
        </w:rPr>
        <w:t>供应商</w:t>
      </w:r>
      <w:r>
        <w:rPr>
          <w:rFonts w:hint="eastAsia" w:ascii="宋体" w:hAnsi="宋体" w:eastAsia="宋体" w:cs="宋体"/>
          <w:color w:val="auto"/>
          <w:sz w:val="24"/>
        </w:rPr>
        <w:t>名称），提交</w:t>
      </w:r>
    </w:p>
    <w:p>
      <w:pPr>
        <w:spacing w:line="360" w:lineRule="auto"/>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包报价书正本一式壹份，副本一式贰份。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根据此函，我们宣布同意如下：</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1、我方接受谈判文件的所有的条款和规定。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2、我方同意按照谈判文件第</w:t>
      </w:r>
      <w:r>
        <w:rPr>
          <w:rFonts w:hint="eastAsia" w:ascii="宋体" w:hAnsi="宋体" w:cs="宋体"/>
          <w:color w:val="auto"/>
          <w:sz w:val="24"/>
          <w:lang w:val="en-US" w:eastAsia="zh-CN"/>
        </w:rPr>
        <w:t>二</w:t>
      </w:r>
      <w:r>
        <w:rPr>
          <w:rFonts w:hint="eastAsia" w:ascii="宋体" w:hAnsi="宋体" w:eastAsia="宋体" w:cs="宋体"/>
          <w:color w:val="auto"/>
          <w:sz w:val="24"/>
        </w:rPr>
        <w:t>章“报价人须知”的规定，本报价文件的有效期为从报价截止日期起计算的</w:t>
      </w:r>
      <w:r>
        <w:rPr>
          <w:rFonts w:hint="eastAsia" w:ascii="宋体" w:hAnsi="宋体" w:eastAsia="宋体" w:cs="宋体"/>
          <w:color w:val="auto"/>
          <w:sz w:val="24"/>
          <w:u w:val="single"/>
        </w:rPr>
        <w:t xml:space="preserve">      </w:t>
      </w:r>
      <w:r>
        <w:rPr>
          <w:rFonts w:hint="eastAsia" w:ascii="宋体" w:hAnsi="宋体" w:eastAsia="宋体" w:cs="宋体"/>
          <w:color w:val="auto"/>
          <w:sz w:val="24"/>
        </w:rPr>
        <w:t>，在此期间，本报价文件将始终对我方具有约束力，并可随时被接受。</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3、我们同意提供贵单位要求的有关本次报价的所有资料或证据。</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4、我方完全理解贵方不一定要接受最低报价的报价，即最低报价不是成交的保证。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5、如果我方成交，我们将根据招标文件的规定严格履行自己的责任和义务。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6、如果我方成交，我方将支付本次谈判的服务费。</w:t>
      </w:r>
    </w:p>
    <w:p>
      <w:pPr>
        <w:spacing w:line="360" w:lineRule="auto"/>
        <w:ind w:firstLine="570"/>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cs="宋体"/>
          <w:color w:val="auto"/>
          <w:sz w:val="24"/>
          <w:lang w:val="en-US" w:eastAsia="zh-CN"/>
        </w:rPr>
        <w:t>供应商</w:t>
      </w:r>
      <w:r>
        <w:rPr>
          <w:rFonts w:hint="eastAsia" w:ascii="宋体" w:hAnsi="宋体" w:eastAsia="宋体" w:cs="宋体"/>
          <w:color w:val="auto"/>
          <w:sz w:val="24"/>
        </w:rPr>
        <w:t>：</w:t>
      </w:r>
      <w:r>
        <w:rPr>
          <w:rFonts w:hint="eastAsia" w:ascii="宋体" w:hAnsi="宋体" w:eastAsia="宋体" w:cs="宋体"/>
          <w:color w:val="auto"/>
          <w:sz w:val="24"/>
          <w:u w:val="single"/>
        </w:rPr>
        <w:t xml:space="preserve">              （公章）</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邮编：</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电话：</w:t>
      </w:r>
      <w:r>
        <w:rPr>
          <w:rFonts w:hint="eastAsia" w:ascii="宋体" w:hAnsi="宋体" w:eastAsia="宋体" w:cs="宋体"/>
          <w:color w:val="auto"/>
          <w:sz w:val="24"/>
          <w:u w:val="single"/>
        </w:rPr>
        <w:t xml:space="preserve">              </w:t>
      </w:r>
      <w:r>
        <w:rPr>
          <w:rFonts w:hint="eastAsia" w:ascii="宋体" w:hAnsi="宋体" w:eastAsia="宋体" w:cs="宋体"/>
          <w:color w:val="auto"/>
          <w:sz w:val="24"/>
        </w:rPr>
        <w:t>传真：</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w:t>
      </w:r>
      <w:r>
        <w:rPr>
          <w:rFonts w:hint="eastAsia" w:ascii="宋体" w:hAnsi="宋体" w:cs="宋体"/>
          <w:color w:val="auto"/>
          <w:sz w:val="24"/>
          <w:lang w:val="en-US" w:eastAsia="zh-CN"/>
        </w:rPr>
        <w:t>其委托代理人</w:t>
      </w:r>
      <w:r>
        <w:rPr>
          <w:rFonts w:hint="eastAsia" w:ascii="宋体" w:hAnsi="宋体" w:eastAsia="宋体" w:cs="宋体"/>
          <w:color w:val="auto"/>
          <w:sz w:val="24"/>
        </w:rPr>
        <w:t>签字：</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职务：</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日期：</w:t>
      </w:r>
      <w:r>
        <w:rPr>
          <w:rFonts w:hint="eastAsia" w:ascii="宋体" w:hAnsi="宋体" w:eastAsia="宋体" w:cs="宋体"/>
          <w:color w:val="auto"/>
          <w:sz w:val="24"/>
          <w:u w:val="single"/>
        </w:rPr>
        <w:t xml:space="preserve">                  </w:t>
      </w:r>
    </w:p>
    <w:p>
      <w:pPr>
        <w:spacing w:line="360" w:lineRule="auto"/>
        <w:jc w:val="center"/>
        <w:rPr>
          <w:rFonts w:hint="eastAsia" w:ascii="宋体" w:hAnsi="宋体" w:eastAsia="宋体" w:cs="宋体"/>
          <w:color w:val="auto"/>
          <w:sz w:val="24"/>
          <w:u w:val="single"/>
        </w:rPr>
      </w:pPr>
    </w:p>
    <w:p>
      <w:pPr>
        <w:spacing w:line="360" w:lineRule="auto"/>
        <w:jc w:val="center"/>
        <w:rPr>
          <w:rFonts w:hint="eastAsia" w:ascii="宋体" w:hAnsi="宋体" w:eastAsia="宋体" w:cs="宋体"/>
          <w:color w:val="auto"/>
          <w:sz w:val="24"/>
          <w:u w:val="single"/>
        </w:rPr>
      </w:pPr>
    </w:p>
    <w:p>
      <w:pPr>
        <w:spacing w:line="360" w:lineRule="auto"/>
        <w:jc w:val="center"/>
        <w:rPr>
          <w:rFonts w:hint="eastAsia" w:ascii="宋体" w:hAnsi="宋体" w:eastAsia="宋体" w:cs="宋体"/>
          <w:color w:val="auto"/>
          <w:sz w:val="24"/>
          <w:u w:val="single"/>
        </w:rPr>
      </w:pPr>
    </w:p>
    <w:p>
      <w:pPr>
        <w:spacing w:line="360" w:lineRule="auto"/>
        <w:jc w:val="center"/>
        <w:rPr>
          <w:rFonts w:hint="eastAsia" w:ascii="宋体" w:hAnsi="宋体" w:eastAsia="宋体" w:cs="宋体"/>
          <w:color w:val="auto"/>
          <w:sz w:val="24"/>
          <w:u w:val="single"/>
        </w:rPr>
      </w:pPr>
    </w:p>
    <w:p>
      <w:pPr>
        <w:spacing w:line="360" w:lineRule="auto"/>
        <w:jc w:val="center"/>
        <w:rPr>
          <w:rFonts w:hint="eastAsia" w:ascii="宋体" w:hAnsi="宋体" w:eastAsia="宋体" w:cs="宋体"/>
          <w:color w:val="auto"/>
          <w:sz w:val="24"/>
          <w:u w:val="single"/>
        </w:rPr>
      </w:pPr>
    </w:p>
    <w:p>
      <w:pPr>
        <w:spacing w:line="360" w:lineRule="auto"/>
        <w:jc w:val="center"/>
        <w:rPr>
          <w:rFonts w:hint="eastAsia" w:ascii="宋体" w:hAnsi="宋体" w:eastAsia="宋体" w:cs="宋体"/>
          <w:color w:val="auto"/>
          <w:sz w:val="24"/>
          <w:u w:val="single"/>
        </w:rPr>
      </w:pPr>
    </w:p>
    <w:p>
      <w:pPr>
        <w:spacing w:line="360" w:lineRule="auto"/>
        <w:rPr>
          <w:rFonts w:hint="eastAsia" w:ascii="宋体" w:hAnsi="宋体" w:eastAsia="宋体" w:cs="宋体"/>
          <w:color w:val="auto"/>
          <w:sz w:val="24"/>
          <w:u w:val="single"/>
        </w:rPr>
      </w:pPr>
    </w:p>
    <w:p>
      <w:pPr>
        <w:snapToGrid w:val="0"/>
        <w:spacing w:line="360" w:lineRule="auto"/>
        <w:ind w:firstLine="630" w:firstLineChars="19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3、报价明细表</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项</w:t>
      </w:r>
      <w:r>
        <w:rPr>
          <w:rFonts w:hint="eastAsia" w:ascii="宋体" w:hAnsi="宋体" w:eastAsia="宋体" w:cs="宋体"/>
          <w:b/>
          <w:color w:val="auto"/>
          <w:sz w:val="24"/>
          <w:szCs w:val="24"/>
        </w:rPr>
        <w:t>目名称：</w:t>
      </w:r>
      <w:r>
        <w:rPr>
          <w:rFonts w:hint="eastAsia" w:ascii="宋体" w:hAnsi="宋体" w:cs="宋体"/>
          <w:b/>
          <w:color w:val="auto"/>
          <w:sz w:val="24"/>
          <w:lang w:eastAsia="zh-CN"/>
        </w:rPr>
        <w:t>2020年秋冬季疫情医疗防控物资储备采购</w:t>
      </w:r>
      <w:r>
        <w:rPr>
          <w:rFonts w:hint="eastAsia" w:ascii="宋体" w:hAnsi="宋体" w:eastAsia="宋体" w:cs="宋体"/>
          <w:b/>
          <w:color w:val="auto"/>
          <w:sz w:val="24"/>
        </w:rPr>
        <w:t xml:space="preserve"> </w:t>
      </w:r>
    </w:p>
    <w:p>
      <w:pPr>
        <w:spacing w:line="360" w:lineRule="auto"/>
        <w:rPr>
          <w:rFonts w:hint="eastAsia" w:ascii="宋体" w:hAnsi="宋体" w:eastAsia="宋体" w:cs="宋体"/>
          <w:b/>
          <w:color w:val="auto"/>
          <w:kern w:val="0"/>
          <w:sz w:val="24"/>
          <w:lang w:eastAsia="zh-CN"/>
        </w:rPr>
      </w:pPr>
      <w:r>
        <w:rPr>
          <w:rFonts w:hint="eastAsia" w:ascii="宋体" w:hAnsi="宋体" w:eastAsia="宋体" w:cs="宋体"/>
          <w:b/>
          <w:bCs/>
          <w:color w:val="auto"/>
          <w:sz w:val="24"/>
        </w:rPr>
        <w:t>项目编号</w:t>
      </w:r>
      <w:r>
        <w:rPr>
          <w:rFonts w:hint="eastAsia" w:ascii="宋体" w:hAnsi="宋体" w:eastAsia="宋体" w:cs="宋体"/>
          <w:b/>
          <w:color w:val="auto"/>
          <w:sz w:val="24"/>
        </w:rPr>
        <w:t>：</w:t>
      </w:r>
      <w:r>
        <w:rPr>
          <w:rFonts w:hint="eastAsia" w:ascii="宋体" w:hAnsi="宋体" w:cs="宋体"/>
          <w:b/>
          <w:color w:val="auto"/>
          <w:kern w:val="0"/>
          <w:sz w:val="24"/>
          <w:lang w:eastAsia="zh-CN"/>
        </w:rPr>
        <w:t>HNZH-2020-334</w:t>
      </w:r>
    </w:p>
    <w:p>
      <w:pPr>
        <w:rPr>
          <w:rFonts w:hint="eastAsia" w:ascii="宋体" w:hAnsi="宋体" w:eastAsia="宋体" w:cs="宋体"/>
          <w:b/>
          <w:bCs/>
          <w:color w:val="auto"/>
          <w:sz w:val="24"/>
        </w:rPr>
      </w:pPr>
      <w:r>
        <w:rPr>
          <w:rFonts w:hint="eastAsia" w:ascii="宋体" w:hAnsi="宋体" w:eastAsia="宋体" w:cs="宋体"/>
          <w:b/>
          <w:bCs/>
          <w:color w:val="auto"/>
          <w:sz w:val="24"/>
        </w:rPr>
        <w:t>包号：（A或B或项目本身）</w:t>
      </w:r>
    </w:p>
    <w:p>
      <w:pPr>
        <w:pStyle w:val="111"/>
        <w:rPr>
          <w:rFonts w:hint="eastAsia"/>
          <w:color w:val="auto"/>
        </w:rPr>
      </w:pPr>
    </w:p>
    <w:tbl>
      <w:tblPr>
        <w:tblStyle w:val="33"/>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260"/>
        <w:gridCol w:w="1680"/>
        <w:gridCol w:w="1680"/>
        <w:gridCol w:w="892"/>
        <w:gridCol w:w="877"/>
        <w:gridCol w:w="774"/>
        <w:gridCol w:w="669"/>
        <w:gridCol w:w="1039"/>
      </w:tblGrid>
      <w:tr>
        <w:tblPrEx>
          <w:tblLayout w:type="fixed"/>
          <w:tblCellMar>
            <w:top w:w="0" w:type="dxa"/>
            <w:left w:w="108" w:type="dxa"/>
            <w:bottom w:w="0" w:type="dxa"/>
            <w:right w:w="108" w:type="dxa"/>
          </w:tblCellMar>
        </w:tblPrEx>
        <w:trPr>
          <w:trHeight w:val="938" w:hRule="atLeast"/>
          <w:jc w:val="center"/>
        </w:trPr>
        <w:tc>
          <w:tcPr>
            <w:tcW w:w="697" w:type="dxa"/>
            <w:tcBorders>
              <w:bottom w:val="single" w:color="auto" w:sz="4" w:space="0"/>
            </w:tcBorders>
            <w:vAlign w:val="center"/>
          </w:tcPr>
          <w:p>
            <w:pPr>
              <w:tabs>
                <w:tab w:val="left" w:pos="360"/>
              </w:tabs>
              <w:spacing w:before="67" w:line="0" w:lineRule="atLeast"/>
              <w:ind w:right="-357"/>
              <w:rPr>
                <w:rFonts w:hint="eastAsia" w:ascii="宋体" w:hAnsi="宋体" w:eastAsia="宋体" w:cs="宋体"/>
                <w:color w:val="auto"/>
                <w:szCs w:val="21"/>
              </w:rPr>
            </w:pPr>
            <w:r>
              <w:rPr>
                <w:rFonts w:hint="eastAsia" w:ascii="宋体" w:hAnsi="宋体" w:eastAsia="宋体" w:cs="宋体"/>
                <w:color w:val="auto"/>
                <w:szCs w:val="21"/>
              </w:rPr>
              <w:t xml:space="preserve"> 序号</w:t>
            </w:r>
          </w:p>
        </w:tc>
        <w:tc>
          <w:tcPr>
            <w:tcW w:w="1260" w:type="dxa"/>
            <w:tcBorders>
              <w:bottom w:val="single" w:color="auto" w:sz="4" w:space="0"/>
            </w:tcBorders>
            <w:vAlign w:val="center"/>
          </w:tcPr>
          <w:p>
            <w:pPr>
              <w:tabs>
                <w:tab w:val="left" w:pos="360"/>
              </w:tabs>
              <w:spacing w:before="67" w:line="0" w:lineRule="atLeast"/>
              <w:ind w:right="-357" w:firstLine="120"/>
              <w:rPr>
                <w:rFonts w:hint="eastAsia" w:ascii="宋体" w:hAnsi="宋体" w:eastAsia="宋体" w:cs="宋体"/>
                <w:color w:val="auto"/>
                <w:szCs w:val="21"/>
              </w:rPr>
            </w:pPr>
            <w:r>
              <w:rPr>
                <w:rFonts w:hint="eastAsia" w:ascii="宋体" w:hAnsi="宋体" w:eastAsia="宋体" w:cs="宋体"/>
                <w:color w:val="auto"/>
                <w:szCs w:val="21"/>
              </w:rPr>
              <w:t>名称</w:t>
            </w:r>
          </w:p>
        </w:tc>
        <w:tc>
          <w:tcPr>
            <w:tcW w:w="1680" w:type="dxa"/>
            <w:tcBorders>
              <w:bottom w:val="single" w:color="auto" w:sz="4" w:space="0"/>
            </w:tcBorders>
            <w:vAlign w:val="center"/>
          </w:tcPr>
          <w:p>
            <w:pPr>
              <w:tabs>
                <w:tab w:val="left" w:pos="360"/>
              </w:tabs>
              <w:spacing w:before="67" w:line="0" w:lineRule="atLeast"/>
              <w:ind w:right="-357" w:firstLine="200"/>
              <w:rPr>
                <w:rFonts w:hint="eastAsia" w:ascii="宋体" w:hAnsi="宋体" w:eastAsia="宋体" w:cs="宋体"/>
                <w:color w:val="auto"/>
                <w:szCs w:val="21"/>
              </w:rPr>
            </w:pPr>
            <w:r>
              <w:rPr>
                <w:rFonts w:hint="eastAsia" w:ascii="宋体" w:hAnsi="宋体" w:eastAsia="宋体" w:cs="宋体"/>
                <w:color w:val="auto"/>
                <w:szCs w:val="21"/>
              </w:rPr>
              <w:t xml:space="preserve">  型号/规格</w:t>
            </w:r>
          </w:p>
        </w:tc>
        <w:tc>
          <w:tcPr>
            <w:tcW w:w="1680" w:type="dxa"/>
            <w:tcBorders>
              <w:bottom w:val="single" w:color="auto" w:sz="4" w:space="0"/>
            </w:tcBorders>
            <w:vAlign w:val="center"/>
          </w:tcPr>
          <w:p>
            <w:pPr>
              <w:tabs>
                <w:tab w:val="left" w:pos="360"/>
              </w:tabs>
              <w:spacing w:before="67" w:line="0" w:lineRule="atLeast"/>
              <w:ind w:right="-357" w:firstLine="200"/>
              <w:rPr>
                <w:rFonts w:hint="eastAsia" w:ascii="宋体" w:hAnsi="宋体" w:eastAsia="宋体" w:cs="宋体"/>
                <w:color w:val="auto"/>
                <w:szCs w:val="21"/>
              </w:rPr>
            </w:pPr>
            <w:r>
              <w:rPr>
                <w:rFonts w:hint="eastAsia" w:ascii="宋体" w:hAnsi="宋体" w:eastAsia="宋体" w:cs="宋体"/>
                <w:color w:val="auto"/>
                <w:szCs w:val="21"/>
              </w:rPr>
              <w:t xml:space="preserve"> 原产地</w:t>
            </w:r>
          </w:p>
        </w:tc>
        <w:tc>
          <w:tcPr>
            <w:tcW w:w="892" w:type="dxa"/>
            <w:tcBorders>
              <w:bottom w:val="single" w:color="auto" w:sz="4" w:space="0"/>
            </w:tcBorders>
            <w:vAlign w:val="center"/>
          </w:tcPr>
          <w:p>
            <w:pPr>
              <w:tabs>
                <w:tab w:val="left" w:pos="360"/>
              </w:tabs>
              <w:spacing w:before="67" w:line="0" w:lineRule="atLeast"/>
              <w:ind w:right="-357"/>
              <w:rPr>
                <w:rFonts w:hint="eastAsia" w:ascii="宋体" w:hAnsi="宋体" w:eastAsia="宋体" w:cs="宋体"/>
                <w:color w:val="auto"/>
                <w:szCs w:val="21"/>
              </w:rPr>
            </w:pPr>
            <w:r>
              <w:rPr>
                <w:rFonts w:hint="eastAsia" w:ascii="宋体" w:hAnsi="宋体" w:eastAsia="宋体" w:cs="宋体"/>
                <w:color w:val="auto"/>
                <w:szCs w:val="21"/>
              </w:rPr>
              <w:t xml:space="preserve">  单位</w:t>
            </w:r>
          </w:p>
        </w:tc>
        <w:tc>
          <w:tcPr>
            <w:tcW w:w="877" w:type="dxa"/>
            <w:tcBorders>
              <w:bottom w:val="single" w:color="auto" w:sz="4" w:space="0"/>
            </w:tcBorders>
            <w:vAlign w:val="center"/>
          </w:tcPr>
          <w:p>
            <w:pPr>
              <w:tabs>
                <w:tab w:val="left" w:pos="360"/>
              </w:tabs>
              <w:spacing w:before="67" w:line="0" w:lineRule="atLeast"/>
              <w:ind w:right="-357"/>
              <w:rPr>
                <w:rFonts w:hint="eastAsia" w:ascii="宋体" w:hAnsi="宋体" w:eastAsia="宋体" w:cs="宋体"/>
                <w:color w:val="auto"/>
                <w:szCs w:val="21"/>
              </w:rPr>
            </w:pPr>
            <w:r>
              <w:rPr>
                <w:rFonts w:hint="eastAsia" w:ascii="宋体" w:hAnsi="宋体" w:eastAsia="宋体" w:cs="宋体"/>
                <w:color w:val="auto"/>
                <w:szCs w:val="21"/>
              </w:rPr>
              <w:t xml:space="preserve">  数量</w:t>
            </w:r>
          </w:p>
        </w:tc>
        <w:tc>
          <w:tcPr>
            <w:tcW w:w="774" w:type="dxa"/>
            <w:tcBorders>
              <w:bottom w:val="single" w:color="auto" w:sz="4" w:space="0"/>
            </w:tcBorders>
            <w:vAlign w:val="center"/>
          </w:tcPr>
          <w:p>
            <w:pPr>
              <w:tabs>
                <w:tab w:val="left" w:pos="360"/>
              </w:tabs>
              <w:spacing w:before="67" w:line="0" w:lineRule="atLeast"/>
              <w:ind w:right="-357"/>
              <w:rPr>
                <w:rFonts w:hint="eastAsia" w:ascii="宋体" w:hAnsi="宋体" w:eastAsia="宋体" w:cs="宋体"/>
                <w:color w:val="auto"/>
                <w:szCs w:val="21"/>
              </w:rPr>
            </w:pPr>
            <w:r>
              <w:rPr>
                <w:rFonts w:hint="eastAsia" w:ascii="宋体" w:hAnsi="宋体" w:eastAsia="宋体" w:cs="宋体"/>
                <w:color w:val="auto"/>
                <w:szCs w:val="21"/>
              </w:rPr>
              <w:t xml:space="preserve"> 单价</w:t>
            </w:r>
          </w:p>
        </w:tc>
        <w:tc>
          <w:tcPr>
            <w:tcW w:w="669" w:type="dxa"/>
            <w:tcBorders>
              <w:bottom w:val="single" w:color="auto" w:sz="4" w:space="0"/>
            </w:tcBorders>
            <w:vAlign w:val="center"/>
          </w:tcPr>
          <w:p>
            <w:pPr>
              <w:tabs>
                <w:tab w:val="left" w:pos="360"/>
              </w:tabs>
              <w:spacing w:before="67" w:line="0" w:lineRule="atLeast"/>
              <w:ind w:right="-357"/>
              <w:rPr>
                <w:rFonts w:hint="eastAsia" w:ascii="宋体" w:hAnsi="宋体" w:eastAsia="宋体" w:cs="宋体"/>
                <w:color w:val="auto"/>
                <w:szCs w:val="21"/>
              </w:rPr>
            </w:pPr>
            <w:r>
              <w:rPr>
                <w:rFonts w:hint="eastAsia" w:ascii="宋体" w:hAnsi="宋体" w:eastAsia="宋体" w:cs="宋体"/>
                <w:color w:val="auto"/>
                <w:szCs w:val="21"/>
              </w:rPr>
              <w:t>总价</w:t>
            </w:r>
          </w:p>
        </w:tc>
        <w:tc>
          <w:tcPr>
            <w:tcW w:w="1039" w:type="dxa"/>
            <w:tcBorders>
              <w:bottom w:val="single" w:color="auto" w:sz="4" w:space="0"/>
            </w:tcBorders>
            <w:vAlign w:val="center"/>
          </w:tcPr>
          <w:p>
            <w:pPr>
              <w:tabs>
                <w:tab w:val="left" w:pos="360"/>
              </w:tabs>
              <w:spacing w:before="67" w:line="0" w:lineRule="atLeast"/>
              <w:ind w:right="-357"/>
              <w:rPr>
                <w:rFonts w:hint="eastAsia" w:ascii="宋体" w:hAnsi="宋体" w:eastAsia="宋体" w:cs="宋体"/>
                <w:color w:val="auto"/>
                <w:szCs w:val="21"/>
              </w:rPr>
            </w:pPr>
            <w:r>
              <w:rPr>
                <w:rFonts w:hint="eastAsia" w:ascii="宋体" w:hAnsi="宋体" w:eastAsia="宋体" w:cs="宋体"/>
                <w:color w:val="auto"/>
                <w:szCs w:val="21"/>
              </w:rPr>
              <w:t xml:space="preserve"> 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Align w:val="center"/>
          </w:tcPr>
          <w:p>
            <w:pPr>
              <w:tabs>
                <w:tab w:val="left" w:pos="360"/>
              </w:tabs>
              <w:spacing w:before="67" w:line="0" w:lineRule="atLeast"/>
              <w:ind w:right="-357"/>
              <w:rPr>
                <w:rFonts w:hint="eastAsia" w:ascii="宋体" w:hAnsi="宋体" w:eastAsia="宋体" w:cs="宋体"/>
                <w:color w:val="auto"/>
                <w:sz w:val="24"/>
              </w:rPr>
            </w:pPr>
            <w:r>
              <w:rPr>
                <w:rFonts w:hint="eastAsia" w:ascii="宋体" w:hAnsi="宋体" w:eastAsia="宋体" w:cs="宋体"/>
                <w:color w:val="auto"/>
                <w:sz w:val="24"/>
              </w:rPr>
              <w:t xml:space="preserve"> 1</w:t>
            </w:r>
          </w:p>
        </w:tc>
        <w:tc>
          <w:tcPr>
            <w:tcW w:w="1260" w:type="dxa"/>
            <w:vAlign w:val="center"/>
          </w:tcPr>
          <w:p>
            <w:pPr>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892" w:type="dxa"/>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877"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774"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66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03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697" w:type="dxa"/>
            <w:vAlign w:val="center"/>
          </w:tcPr>
          <w:p>
            <w:pPr>
              <w:tabs>
                <w:tab w:val="left" w:pos="360"/>
              </w:tabs>
              <w:spacing w:before="67" w:line="0" w:lineRule="atLeast"/>
              <w:ind w:right="-357"/>
              <w:rPr>
                <w:rFonts w:hint="eastAsia" w:ascii="宋体" w:hAnsi="宋体" w:eastAsia="宋体" w:cs="宋体"/>
                <w:color w:val="auto"/>
                <w:sz w:val="24"/>
              </w:rPr>
            </w:pPr>
            <w:r>
              <w:rPr>
                <w:rFonts w:hint="eastAsia" w:ascii="宋体" w:hAnsi="宋体" w:eastAsia="宋体" w:cs="宋体"/>
                <w:color w:val="auto"/>
                <w:sz w:val="24"/>
              </w:rPr>
              <w:t xml:space="preserve"> 2</w:t>
            </w:r>
          </w:p>
        </w:tc>
        <w:tc>
          <w:tcPr>
            <w:tcW w:w="1260" w:type="dxa"/>
            <w:vAlign w:val="center"/>
          </w:tcPr>
          <w:p>
            <w:pPr>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892" w:type="dxa"/>
            <w:vAlign w:val="center"/>
          </w:tcPr>
          <w:p>
            <w:pPr>
              <w:jc w:val="center"/>
              <w:rPr>
                <w:rFonts w:hint="eastAsia" w:ascii="宋体" w:hAnsi="宋体" w:eastAsia="宋体" w:cs="宋体"/>
                <w:color w:val="auto"/>
                <w:sz w:val="24"/>
              </w:rPr>
            </w:pPr>
          </w:p>
        </w:tc>
        <w:tc>
          <w:tcPr>
            <w:tcW w:w="877"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774"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66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03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tcBorders>
              <w:bottom w:val="single" w:color="auto" w:sz="4" w:space="0"/>
            </w:tcBorders>
            <w:vAlign w:val="center"/>
          </w:tcPr>
          <w:p>
            <w:pPr>
              <w:tabs>
                <w:tab w:val="left" w:pos="360"/>
              </w:tabs>
              <w:spacing w:before="67" w:line="0" w:lineRule="atLeast"/>
              <w:ind w:right="-357"/>
              <w:rPr>
                <w:rFonts w:hint="eastAsia" w:ascii="宋体" w:hAnsi="宋体" w:eastAsia="宋体" w:cs="宋体"/>
                <w:color w:val="auto"/>
                <w:sz w:val="24"/>
              </w:rPr>
            </w:pPr>
            <w:r>
              <w:rPr>
                <w:rFonts w:hint="eastAsia" w:ascii="宋体" w:hAnsi="宋体" w:eastAsia="宋体" w:cs="宋体"/>
                <w:color w:val="auto"/>
                <w:sz w:val="24"/>
              </w:rPr>
              <w:t xml:space="preserve"> 3</w:t>
            </w:r>
          </w:p>
        </w:tc>
        <w:tc>
          <w:tcPr>
            <w:tcW w:w="1260" w:type="dxa"/>
            <w:tcBorders>
              <w:bottom w:val="single" w:color="auto" w:sz="4" w:space="0"/>
            </w:tcBorders>
            <w:vAlign w:val="center"/>
          </w:tcPr>
          <w:p>
            <w:pPr>
              <w:jc w:val="center"/>
              <w:rPr>
                <w:rFonts w:hint="eastAsia" w:ascii="宋体" w:hAnsi="宋体" w:eastAsia="宋体" w:cs="宋体"/>
                <w:color w:val="auto"/>
                <w:sz w:val="24"/>
              </w:rPr>
            </w:pPr>
          </w:p>
        </w:tc>
        <w:tc>
          <w:tcPr>
            <w:tcW w:w="1680" w:type="dxa"/>
            <w:tcBorders>
              <w:bottom w:val="single" w:color="auto" w:sz="4" w:space="0"/>
            </w:tcBorders>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1680" w:type="dxa"/>
            <w:tcBorders>
              <w:bottom w:val="single" w:color="auto" w:sz="4" w:space="0"/>
            </w:tcBorders>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892" w:type="dxa"/>
            <w:tcBorders>
              <w:bottom w:val="single" w:color="auto" w:sz="4" w:space="0"/>
            </w:tcBorders>
            <w:vAlign w:val="center"/>
          </w:tcPr>
          <w:p>
            <w:pPr>
              <w:jc w:val="center"/>
              <w:rPr>
                <w:rFonts w:hint="eastAsia" w:ascii="宋体" w:hAnsi="宋体" w:eastAsia="宋体" w:cs="宋体"/>
                <w:color w:val="auto"/>
                <w:sz w:val="24"/>
              </w:rPr>
            </w:pPr>
          </w:p>
        </w:tc>
        <w:tc>
          <w:tcPr>
            <w:tcW w:w="877" w:type="dxa"/>
            <w:tcBorders>
              <w:bottom w:val="single" w:color="auto" w:sz="4" w:space="0"/>
            </w:tcBorders>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774" w:type="dxa"/>
            <w:tcBorders>
              <w:bottom w:val="single" w:color="auto" w:sz="4" w:space="0"/>
            </w:tcBorders>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669" w:type="dxa"/>
            <w:tcBorders>
              <w:bottom w:val="single" w:color="auto" w:sz="4" w:space="0"/>
            </w:tcBorders>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039" w:type="dxa"/>
            <w:tcBorders>
              <w:bottom w:val="single" w:color="auto" w:sz="4" w:space="0"/>
            </w:tcBorders>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Align w:val="center"/>
          </w:tcPr>
          <w:p>
            <w:pPr>
              <w:tabs>
                <w:tab w:val="left" w:pos="360"/>
              </w:tabs>
              <w:spacing w:before="67" w:line="0" w:lineRule="atLeast"/>
              <w:ind w:right="-357"/>
              <w:rPr>
                <w:rFonts w:hint="eastAsia" w:ascii="宋体" w:hAnsi="宋体" w:eastAsia="宋体" w:cs="宋体"/>
                <w:color w:val="auto"/>
                <w:sz w:val="24"/>
              </w:rPr>
            </w:pPr>
            <w:r>
              <w:rPr>
                <w:rFonts w:hint="eastAsia" w:ascii="宋体" w:hAnsi="宋体" w:eastAsia="宋体" w:cs="宋体"/>
                <w:b/>
                <w:bCs/>
                <w:color w:val="auto"/>
                <w:sz w:val="24"/>
              </w:rPr>
              <w:t xml:space="preserve"> …</w:t>
            </w:r>
          </w:p>
        </w:tc>
        <w:tc>
          <w:tcPr>
            <w:tcW w:w="1260" w:type="dxa"/>
            <w:vAlign w:val="center"/>
          </w:tcPr>
          <w:p>
            <w:pPr>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892" w:type="dxa"/>
            <w:vAlign w:val="center"/>
          </w:tcPr>
          <w:p>
            <w:pPr>
              <w:jc w:val="center"/>
              <w:rPr>
                <w:rFonts w:hint="eastAsia" w:ascii="宋体" w:hAnsi="宋体" w:eastAsia="宋体" w:cs="宋体"/>
                <w:color w:val="auto"/>
                <w:sz w:val="24"/>
              </w:rPr>
            </w:pPr>
          </w:p>
        </w:tc>
        <w:tc>
          <w:tcPr>
            <w:tcW w:w="877"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774"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66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03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tcBorders>
              <w:bottom w:val="single" w:color="auto" w:sz="4" w:space="0"/>
            </w:tcBorders>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1260" w:type="dxa"/>
            <w:tcBorders>
              <w:bottom w:val="single" w:color="auto" w:sz="4" w:space="0"/>
            </w:tcBorders>
            <w:vAlign w:val="center"/>
          </w:tcPr>
          <w:p>
            <w:pPr>
              <w:jc w:val="center"/>
              <w:rPr>
                <w:rFonts w:hint="eastAsia" w:ascii="宋体" w:hAnsi="宋体" w:eastAsia="宋体" w:cs="宋体"/>
                <w:color w:val="auto"/>
                <w:sz w:val="24"/>
              </w:rPr>
            </w:pPr>
          </w:p>
        </w:tc>
        <w:tc>
          <w:tcPr>
            <w:tcW w:w="1680" w:type="dxa"/>
            <w:tcBorders>
              <w:bottom w:val="single" w:color="auto" w:sz="4" w:space="0"/>
            </w:tcBorders>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1680" w:type="dxa"/>
            <w:tcBorders>
              <w:bottom w:val="single" w:color="auto" w:sz="4" w:space="0"/>
            </w:tcBorders>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892" w:type="dxa"/>
            <w:tcBorders>
              <w:bottom w:val="single" w:color="auto" w:sz="4" w:space="0"/>
            </w:tcBorders>
            <w:vAlign w:val="center"/>
          </w:tcPr>
          <w:p>
            <w:pPr>
              <w:jc w:val="center"/>
              <w:rPr>
                <w:rFonts w:hint="eastAsia" w:ascii="宋体" w:hAnsi="宋体" w:eastAsia="宋体" w:cs="宋体"/>
                <w:color w:val="auto"/>
                <w:sz w:val="24"/>
              </w:rPr>
            </w:pPr>
          </w:p>
        </w:tc>
        <w:tc>
          <w:tcPr>
            <w:tcW w:w="877" w:type="dxa"/>
            <w:tcBorders>
              <w:bottom w:val="single" w:color="auto" w:sz="4" w:space="0"/>
            </w:tcBorders>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774" w:type="dxa"/>
            <w:tcBorders>
              <w:bottom w:val="single" w:color="auto" w:sz="4" w:space="0"/>
            </w:tcBorders>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669" w:type="dxa"/>
            <w:tcBorders>
              <w:bottom w:val="single" w:color="auto" w:sz="4" w:space="0"/>
            </w:tcBorders>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039" w:type="dxa"/>
            <w:tcBorders>
              <w:bottom w:val="single" w:color="auto" w:sz="4" w:space="0"/>
            </w:tcBorders>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Align w:val="center"/>
          </w:tcPr>
          <w:p>
            <w:pPr>
              <w:tabs>
                <w:tab w:val="left" w:pos="360"/>
              </w:tabs>
              <w:spacing w:before="67" w:line="0" w:lineRule="atLeast"/>
              <w:ind w:right="-357"/>
              <w:rPr>
                <w:rFonts w:hint="eastAsia" w:ascii="宋体" w:hAnsi="宋体" w:eastAsia="宋体" w:cs="宋体"/>
                <w:color w:val="auto"/>
                <w:sz w:val="24"/>
              </w:rPr>
            </w:pPr>
          </w:p>
        </w:tc>
        <w:tc>
          <w:tcPr>
            <w:tcW w:w="1260" w:type="dxa"/>
            <w:vAlign w:val="center"/>
          </w:tcPr>
          <w:p>
            <w:pPr>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1680" w:type="dxa"/>
            <w:vAlign w:val="center"/>
          </w:tcPr>
          <w:p>
            <w:pPr>
              <w:tabs>
                <w:tab w:val="left" w:pos="360"/>
              </w:tabs>
              <w:spacing w:before="67" w:line="0" w:lineRule="atLeast"/>
              <w:ind w:right="-357" w:firstLine="200"/>
              <w:jc w:val="center"/>
              <w:rPr>
                <w:rFonts w:hint="eastAsia" w:ascii="宋体" w:hAnsi="宋体" w:eastAsia="宋体" w:cs="宋体"/>
                <w:color w:val="auto"/>
                <w:sz w:val="24"/>
              </w:rPr>
            </w:pPr>
          </w:p>
        </w:tc>
        <w:tc>
          <w:tcPr>
            <w:tcW w:w="892" w:type="dxa"/>
            <w:vAlign w:val="center"/>
          </w:tcPr>
          <w:p>
            <w:pPr>
              <w:jc w:val="center"/>
              <w:rPr>
                <w:rFonts w:hint="eastAsia" w:ascii="宋体" w:hAnsi="宋体" w:eastAsia="宋体" w:cs="宋体"/>
                <w:color w:val="auto"/>
                <w:sz w:val="24"/>
              </w:rPr>
            </w:pPr>
          </w:p>
        </w:tc>
        <w:tc>
          <w:tcPr>
            <w:tcW w:w="877"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774"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66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03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bl>
    <w:p>
      <w:pPr>
        <w:snapToGrid w:val="0"/>
        <w:spacing w:line="0" w:lineRule="atLeast"/>
        <w:rPr>
          <w:rFonts w:hint="eastAsia" w:ascii="宋体" w:hAnsi="宋体" w:eastAsia="宋体" w:cs="宋体"/>
          <w:color w:val="auto"/>
          <w:sz w:val="24"/>
        </w:rPr>
      </w:pPr>
    </w:p>
    <w:p>
      <w:pPr>
        <w:snapToGrid w:val="0"/>
        <w:spacing w:line="0" w:lineRule="atLeast"/>
        <w:rPr>
          <w:rFonts w:hint="eastAsia" w:ascii="宋体" w:hAnsi="宋体" w:eastAsia="宋体" w:cs="宋体"/>
          <w:color w:val="auto"/>
          <w:sz w:val="24"/>
        </w:rPr>
      </w:pPr>
      <w:r>
        <w:rPr>
          <w:rFonts w:hint="eastAsia" w:ascii="宋体" w:hAnsi="宋体" w:eastAsia="宋体" w:cs="宋体"/>
          <w:color w:val="auto"/>
          <w:sz w:val="24"/>
        </w:rPr>
        <w:t>注：</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bCs/>
          <w:color w:val="auto"/>
          <w:sz w:val="24"/>
        </w:rPr>
        <w:t>此表为表样，行数可自行添加，但表式不变；</w:t>
      </w:r>
    </w:p>
    <w:p>
      <w:pPr>
        <w:snapToGrid w:val="0"/>
        <w:spacing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 xml:space="preserve"> (2)总价=单价*数量，数量由投标人自行计算并填列；</w:t>
      </w:r>
    </w:p>
    <w:p>
      <w:pPr>
        <w:tabs>
          <w:tab w:val="left" w:pos="360"/>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(3)本表中“报价总计”数应当等于“报价一览表”中“投标总计”数。</w:t>
      </w:r>
    </w:p>
    <w:p>
      <w:pPr>
        <w:spacing w:line="0" w:lineRule="atLeast"/>
        <w:ind w:firstLine="600"/>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cs="宋体"/>
          <w:color w:val="auto"/>
          <w:sz w:val="24"/>
          <w:lang w:val="en-US" w:eastAsia="zh-CN"/>
        </w:rPr>
        <w:t>供应商名称</w:t>
      </w:r>
      <w:r>
        <w:rPr>
          <w:rFonts w:hint="eastAsia" w:ascii="宋体" w:hAnsi="宋体" w:eastAsia="宋体" w:cs="宋体"/>
          <w:color w:val="auto"/>
          <w:sz w:val="24"/>
        </w:rPr>
        <w:t xml:space="preserve">：（盖章）                </w:t>
      </w:r>
      <w:r>
        <w:rPr>
          <w:rFonts w:hint="eastAsia" w:ascii="宋体" w:hAnsi="宋体" w:cs="宋体"/>
          <w:color w:val="auto"/>
          <w:sz w:val="24"/>
          <w:lang w:val="en-US" w:eastAsia="zh-CN"/>
        </w:rPr>
        <w:t>其委托代理人</w:t>
      </w:r>
      <w:r>
        <w:rPr>
          <w:rFonts w:hint="eastAsia" w:ascii="宋体" w:hAnsi="宋体" w:eastAsia="宋体" w:cs="宋体"/>
          <w:color w:val="auto"/>
          <w:sz w:val="24"/>
        </w:rPr>
        <w:t>签字</w:t>
      </w:r>
    </w:p>
    <w:p>
      <w:pPr>
        <w:widowControl/>
        <w:snapToGrid w:val="0"/>
        <w:spacing w:line="360" w:lineRule="auto"/>
        <w:ind w:firstLine="480"/>
        <w:jc w:val="left"/>
        <w:rPr>
          <w:rFonts w:hint="eastAsia" w:ascii="宋体" w:hAnsi="宋体" w:eastAsia="宋体" w:cs="宋体"/>
          <w:color w:val="auto"/>
          <w:kern w:val="0"/>
          <w:szCs w:val="21"/>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b/>
          <w:color w:val="auto"/>
          <w:sz w:val="32"/>
        </w:rPr>
      </w:pPr>
      <w:r>
        <w:rPr>
          <w:rFonts w:hint="eastAsia" w:ascii="宋体" w:hAnsi="宋体" w:eastAsia="宋体" w:cs="宋体"/>
          <w:color w:val="auto"/>
          <w:sz w:val="24"/>
          <w:szCs w:val="24"/>
        </w:rPr>
        <w:t xml:space="preserve"> </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4、授权委托书</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致：海南政辉招投标代理有限公司：</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本授权书声明：</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受托人：姓名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出生日期：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所在单位：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身 份 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联系方式:</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兹委托受托人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代表我方参加海南政辉招投标代理有限公司组织的</w:t>
      </w:r>
      <w:r>
        <w:rPr>
          <w:rFonts w:hint="eastAsia" w:ascii="宋体" w:hAnsi="宋体" w:eastAsia="宋体" w:cs="宋体"/>
          <w:color w:val="auto"/>
          <w:kern w:val="28"/>
          <w:sz w:val="24"/>
          <w:u w:val="single"/>
        </w:rPr>
        <w:t xml:space="preserve">                （项目名称+包号</w:t>
      </w:r>
      <w:r>
        <w:rPr>
          <w:rFonts w:hint="eastAsia" w:ascii="宋体" w:hAnsi="宋体" w:eastAsia="宋体" w:cs="宋体"/>
          <w:color w:val="auto"/>
          <w:sz w:val="24"/>
          <w:szCs w:val="24"/>
        </w:rPr>
        <w:t>（项目编号为：</w:t>
      </w:r>
      <w:r>
        <w:rPr>
          <w:rFonts w:hint="eastAsia" w:ascii="宋体" w:hAnsi="宋体" w:cs="宋体"/>
          <w:color w:val="auto"/>
          <w:sz w:val="24"/>
          <w:szCs w:val="24"/>
          <w:lang w:eastAsia="zh-CN"/>
        </w:rPr>
        <w:t>HNZH-2020-334</w:t>
      </w:r>
      <w:r>
        <w:rPr>
          <w:rFonts w:hint="eastAsia" w:ascii="宋体" w:hAnsi="宋体" w:eastAsia="宋体" w:cs="宋体"/>
          <w:color w:val="auto"/>
          <w:sz w:val="24"/>
          <w:szCs w:val="24"/>
        </w:rPr>
        <w:t>）的政府采购活动，并授权其全权办理以下事宜：</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1、参加报价活动；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2、出席谈判会议；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3、签订与成交事宜有关的合同；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4、负责合同的履行、服务以及在合同履行过程中有关事宜的洽谈和处理。</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受托人在办理上述事宜过程中以其自己的名义所签署的所有文件我方均予以承认。受托人无转委托权。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委托期限：至上述事宜处理完毕止。</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附：法人和</w:t>
      </w:r>
      <w:r>
        <w:rPr>
          <w:rFonts w:hint="eastAsia" w:ascii="宋体" w:hAnsi="宋体" w:cs="宋体"/>
          <w:color w:val="auto"/>
          <w:sz w:val="24"/>
          <w:szCs w:val="24"/>
          <w:lang w:val="en-US" w:eastAsia="zh-CN"/>
        </w:rPr>
        <w:t>其委托代理人</w:t>
      </w:r>
      <w:r>
        <w:rPr>
          <w:rFonts w:hint="eastAsia" w:ascii="宋体" w:hAnsi="宋体" w:eastAsia="宋体" w:cs="宋体"/>
          <w:color w:val="auto"/>
          <w:sz w:val="24"/>
          <w:szCs w:val="24"/>
        </w:rPr>
        <w:t>身份证复印件</w:t>
      </w:r>
    </w:p>
    <w:p>
      <w:pPr>
        <w:spacing w:line="360" w:lineRule="auto"/>
        <w:ind w:firstLine="3840" w:firstLineChars="1600"/>
        <w:rPr>
          <w:rFonts w:hint="eastAsia" w:ascii="宋体" w:hAnsi="宋体" w:eastAsia="宋体" w:cs="宋体"/>
          <w:color w:val="auto"/>
          <w:sz w:val="24"/>
          <w:szCs w:val="24"/>
        </w:rPr>
      </w:pPr>
      <w:r>
        <w:rPr>
          <w:rFonts w:hint="eastAsia" w:ascii="宋体" w:hAnsi="宋体" w:eastAsia="宋体" w:cs="宋体"/>
          <w:color w:val="auto"/>
          <w:sz w:val="24"/>
          <w:szCs w:val="24"/>
        </w:rPr>
        <w:t xml:space="preserve">委托单位    （公章）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  （签名）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其委托代理</w:t>
      </w:r>
      <w:r>
        <w:rPr>
          <w:rFonts w:hint="eastAsia" w:ascii="宋体" w:hAnsi="宋体" w:eastAsia="宋体" w:cs="宋体"/>
          <w:color w:val="auto"/>
          <w:sz w:val="24"/>
          <w:szCs w:val="24"/>
        </w:rPr>
        <w:t xml:space="preserve">人  （签名）          </w:t>
      </w:r>
    </w:p>
    <w:p>
      <w:pPr>
        <w:spacing w:line="360" w:lineRule="auto"/>
        <w:ind w:firstLine="4200" w:firstLineChars="1750"/>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snapToGrid w:val="0"/>
        <w:spacing w:line="360" w:lineRule="auto"/>
        <w:ind w:firstLine="472" w:firstLineChars="147"/>
        <w:jc w:val="center"/>
        <w:rPr>
          <w:rFonts w:hint="eastAsia" w:ascii="宋体" w:hAnsi="宋体" w:eastAsia="宋体" w:cs="宋体"/>
          <w:b/>
          <w:color w:val="auto"/>
          <w:sz w:val="32"/>
        </w:rPr>
      </w:pPr>
    </w:p>
    <w:p>
      <w:pPr>
        <w:pStyle w:val="2"/>
        <w:rPr>
          <w:rFonts w:hint="eastAsia"/>
          <w:color w:val="auto"/>
        </w:rPr>
      </w:pPr>
    </w:p>
    <w:p>
      <w:pPr>
        <w:snapToGrid w:val="0"/>
        <w:spacing w:line="360" w:lineRule="auto"/>
        <w:jc w:val="both"/>
        <w:rPr>
          <w:rFonts w:hint="eastAsia" w:ascii="宋体" w:hAnsi="宋体" w:eastAsia="宋体" w:cs="宋体"/>
          <w:b/>
          <w:color w:val="auto"/>
          <w:sz w:val="32"/>
        </w:rPr>
      </w:pPr>
    </w:p>
    <w:p>
      <w:pPr>
        <w:rPr>
          <w:rFonts w:hint="eastAsia" w:ascii="宋体" w:hAnsi="宋体" w:eastAsia="宋体" w:cs="宋体"/>
          <w:b/>
          <w:color w:val="auto"/>
          <w:sz w:val="32"/>
        </w:rPr>
      </w:pPr>
      <w:r>
        <w:rPr>
          <w:rFonts w:hint="eastAsia" w:ascii="宋体" w:hAnsi="宋体" w:eastAsia="宋体" w:cs="宋体"/>
          <w:b/>
          <w:color w:val="auto"/>
          <w:sz w:val="32"/>
        </w:rPr>
        <w:br w:type="page"/>
      </w:r>
    </w:p>
    <w:p>
      <w:pPr>
        <w:snapToGrid w:val="0"/>
        <w:spacing w:line="360" w:lineRule="auto"/>
        <w:ind w:firstLine="472" w:firstLineChars="147"/>
        <w:jc w:val="center"/>
        <w:rPr>
          <w:rFonts w:hint="eastAsia" w:ascii="宋体" w:hAnsi="宋体" w:eastAsia="宋体" w:cs="宋体"/>
          <w:b/>
          <w:color w:val="auto"/>
          <w:sz w:val="32"/>
        </w:rPr>
      </w:pPr>
      <w:r>
        <w:rPr>
          <w:rFonts w:hint="eastAsia" w:ascii="宋体" w:hAnsi="宋体" w:eastAsia="宋体" w:cs="宋体"/>
          <w:b/>
          <w:color w:val="auto"/>
          <w:sz w:val="32"/>
        </w:rPr>
        <w:t>5、</w:t>
      </w:r>
      <w:r>
        <w:rPr>
          <w:rFonts w:hint="eastAsia" w:ascii="宋体" w:hAnsi="宋体" w:cs="宋体"/>
          <w:b/>
          <w:color w:val="auto"/>
          <w:sz w:val="32"/>
          <w:lang w:val="en-US" w:eastAsia="zh-CN"/>
        </w:rPr>
        <w:t>采购</w:t>
      </w:r>
      <w:r>
        <w:rPr>
          <w:rFonts w:hint="eastAsia" w:ascii="宋体" w:hAnsi="宋体" w:eastAsia="宋体" w:cs="宋体"/>
          <w:b/>
          <w:color w:val="auto"/>
          <w:sz w:val="32"/>
        </w:rPr>
        <w:t>需求响应表</w:t>
      </w:r>
    </w:p>
    <w:p>
      <w:pPr>
        <w:spacing w:before="19" w:line="360" w:lineRule="auto"/>
        <w:rPr>
          <w:rFonts w:hint="eastAsia" w:ascii="宋体" w:hAnsi="宋体" w:eastAsia="宋体" w:cs="宋体"/>
          <w:color w:val="auto"/>
          <w:kern w:val="28"/>
          <w:sz w:val="24"/>
          <w:lang w:eastAsia="zh-CN"/>
        </w:rPr>
      </w:pPr>
      <w:r>
        <w:rPr>
          <w:rFonts w:hint="eastAsia" w:ascii="宋体" w:hAnsi="宋体" w:eastAsia="宋体" w:cs="宋体"/>
          <w:color w:val="auto"/>
          <w:sz w:val="24"/>
        </w:rPr>
        <w:t>项目名称：</w:t>
      </w:r>
      <w:r>
        <w:rPr>
          <w:rFonts w:hint="eastAsia" w:ascii="宋体" w:hAnsi="宋体" w:cs="宋体"/>
          <w:color w:val="auto"/>
          <w:sz w:val="24"/>
          <w:lang w:eastAsia="zh-CN"/>
        </w:rPr>
        <w:t>2020年秋冬季疫情医疗防控物资储备采购</w:t>
      </w:r>
    </w:p>
    <w:p>
      <w:pPr>
        <w:spacing w:before="19" w:line="360" w:lineRule="auto"/>
        <w:rPr>
          <w:rFonts w:hint="eastAsia" w:ascii="宋体" w:hAnsi="宋体" w:eastAsia="宋体" w:cs="宋体"/>
          <w:color w:val="auto"/>
          <w:sz w:val="24"/>
          <w:lang w:eastAsia="zh-CN"/>
        </w:rPr>
      </w:pPr>
      <w:r>
        <w:rPr>
          <w:rFonts w:hint="eastAsia" w:ascii="宋体" w:hAnsi="宋体" w:eastAsia="宋体" w:cs="宋体"/>
          <w:color w:val="auto"/>
          <w:sz w:val="24"/>
        </w:rPr>
        <w:t>编号：</w:t>
      </w:r>
      <w:r>
        <w:rPr>
          <w:rFonts w:hint="eastAsia" w:ascii="宋体" w:hAnsi="宋体" w:cs="宋体"/>
          <w:color w:val="auto"/>
          <w:sz w:val="24"/>
          <w:lang w:eastAsia="zh-CN"/>
        </w:rPr>
        <w:t>HNZH-2020-334</w:t>
      </w:r>
    </w:p>
    <w:p>
      <w:pPr>
        <w:rPr>
          <w:rFonts w:hint="eastAsia" w:ascii="宋体" w:hAnsi="宋体" w:eastAsia="宋体" w:cs="宋体"/>
          <w:bCs/>
          <w:color w:val="auto"/>
          <w:sz w:val="24"/>
        </w:rPr>
      </w:pPr>
      <w:r>
        <w:rPr>
          <w:rFonts w:hint="eastAsia" w:ascii="宋体" w:hAnsi="宋体" w:eastAsia="宋体" w:cs="宋体"/>
          <w:bCs/>
          <w:color w:val="auto"/>
          <w:sz w:val="24"/>
        </w:rPr>
        <w:t>包号：（A或B或项目本身）</w:t>
      </w:r>
    </w:p>
    <w:p>
      <w:pPr>
        <w:keepNext w:val="0"/>
        <w:keepLines w:val="0"/>
        <w:pageBreakBefore w:val="0"/>
        <w:widowControl w:val="0"/>
        <w:shd w:val="clear" w:color="auto" w:fill="FFFFFF"/>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
          <w:bCs/>
          <w:color w:val="auto"/>
          <w:sz w:val="21"/>
          <w:szCs w:val="21"/>
          <w:u w:val="single"/>
        </w:rPr>
      </w:pPr>
      <w:r>
        <w:rPr>
          <w:rFonts w:hint="eastAsia" w:ascii="宋体" w:hAnsi="宋体" w:eastAsia="宋体" w:cs="宋体"/>
          <w:color w:val="auto"/>
          <w:sz w:val="21"/>
          <w:szCs w:val="21"/>
        </w:rPr>
        <w:t>说明：供应商必须仔细阅读询价文件中“第三</w:t>
      </w:r>
      <w:r>
        <w:rPr>
          <w:rFonts w:hint="eastAsia" w:ascii="宋体" w:hAnsi="宋体" w:cs="宋体"/>
          <w:color w:val="auto"/>
          <w:sz w:val="21"/>
          <w:szCs w:val="21"/>
          <w:lang w:val="en-US" w:eastAsia="zh-CN"/>
        </w:rPr>
        <w:t>章</w:t>
      </w:r>
      <w:r>
        <w:rPr>
          <w:rFonts w:hint="eastAsia" w:ascii="宋体" w:hAnsi="宋体" w:eastAsia="宋体" w:cs="宋体"/>
          <w:color w:val="auto"/>
          <w:sz w:val="21"/>
          <w:szCs w:val="21"/>
        </w:rPr>
        <w:t>采购需求”所有技术规范条款和相关功能要求，并对“第三</w:t>
      </w:r>
      <w:r>
        <w:rPr>
          <w:rFonts w:hint="eastAsia" w:ascii="宋体" w:hAnsi="宋体" w:cs="宋体"/>
          <w:color w:val="auto"/>
          <w:sz w:val="21"/>
          <w:szCs w:val="21"/>
          <w:lang w:val="en-US" w:eastAsia="zh-CN"/>
        </w:rPr>
        <w:t>章</w:t>
      </w:r>
      <w:r>
        <w:rPr>
          <w:rFonts w:hint="eastAsia" w:ascii="宋体" w:hAnsi="宋体" w:eastAsia="宋体" w:cs="宋体"/>
          <w:color w:val="auto"/>
          <w:sz w:val="21"/>
          <w:szCs w:val="21"/>
        </w:rPr>
        <w:t xml:space="preserve"> 采购需求”所有技术规范和功能条目列入下表进行响应，未列入下表的视作供应商不响应。带</w:t>
      </w:r>
      <w:r>
        <w:rPr>
          <w:rFonts w:hint="eastAsia" w:ascii="宋体" w:hAnsi="宋体"/>
          <w:bCs/>
          <w:color w:val="auto"/>
          <w:sz w:val="21"/>
          <w:szCs w:val="21"/>
        </w:rPr>
        <w:t>▲</w:t>
      </w:r>
      <w:r>
        <w:rPr>
          <w:rFonts w:hint="eastAsia" w:ascii="宋体" w:hAnsi="宋体" w:eastAsia="宋体" w:cs="宋体"/>
          <w:color w:val="auto"/>
          <w:sz w:val="21"/>
          <w:szCs w:val="21"/>
        </w:rPr>
        <w:t>的指标列入下表时，必须在指标前面保留</w:t>
      </w:r>
      <w:r>
        <w:rPr>
          <w:rFonts w:hint="eastAsia" w:ascii="宋体" w:hAnsi="宋体"/>
          <w:bCs/>
          <w:color w:val="auto"/>
          <w:sz w:val="21"/>
          <w:szCs w:val="21"/>
        </w:rPr>
        <w:t>▲</w:t>
      </w:r>
      <w:r>
        <w:rPr>
          <w:rFonts w:hint="eastAsia" w:ascii="宋体" w:hAnsi="宋体" w:eastAsia="宋体" w:cs="宋体"/>
          <w:color w:val="auto"/>
          <w:sz w:val="21"/>
          <w:szCs w:val="21"/>
        </w:rPr>
        <w:t>。</w:t>
      </w:r>
      <w:r>
        <w:rPr>
          <w:rFonts w:hint="eastAsia" w:ascii="宋体" w:hAnsi="宋体" w:eastAsia="宋体" w:cs="宋体"/>
          <w:b/>
          <w:color w:val="auto"/>
          <w:sz w:val="21"/>
          <w:szCs w:val="21"/>
          <w:u w:val="single"/>
        </w:rPr>
        <w:t>供应商必须根据所投产品的实际情况（技术资料）如实填写，</w:t>
      </w:r>
      <w:r>
        <w:rPr>
          <w:rFonts w:hint="eastAsia" w:ascii="宋体" w:hAnsi="宋体" w:cs="宋体"/>
          <w:b/>
          <w:color w:val="auto"/>
          <w:sz w:val="21"/>
          <w:szCs w:val="21"/>
          <w:u w:val="single"/>
          <w:lang w:val="en-US" w:eastAsia="zh-CN"/>
        </w:rPr>
        <w:t>谈判</w:t>
      </w:r>
      <w:r>
        <w:rPr>
          <w:rFonts w:hint="eastAsia" w:ascii="宋体" w:hAnsi="宋体" w:eastAsia="宋体" w:cs="宋体"/>
          <w:b/>
          <w:color w:val="auto"/>
          <w:sz w:val="21"/>
          <w:szCs w:val="21"/>
          <w:u w:val="single"/>
        </w:rPr>
        <w:t>小组如发现有虚假描述的，该响应文件无效，该供应商列入黑名单，并报政府采购主管部门严肃处理，</w:t>
      </w:r>
      <w:r>
        <w:rPr>
          <w:rFonts w:hint="eastAsia" w:ascii="宋体" w:hAnsi="宋体" w:eastAsia="宋体" w:cs="宋体"/>
          <w:b/>
          <w:bCs/>
          <w:color w:val="auto"/>
          <w:sz w:val="21"/>
          <w:szCs w:val="21"/>
          <w:u w:val="single"/>
        </w:rPr>
        <w:t>并没收其响应保证金。</w:t>
      </w:r>
    </w:p>
    <w:p>
      <w:pPr>
        <w:bidi w:val="0"/>
        <w:rPr>
          <w:rFonts w:hint="eastAsia"/>
          <w:color w:val="auto"/>
        </w:rPr>
      </w:pPr>
    </w:p>
    <w:tbl>
      <w:tblPr>
        <w:tblStyle w:val="33"/>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Layout w:type="fixed"/>
          <w:tblCellMar>
            <w:top w:w="0" w:type="dxa"/>
            <w:left w:w="108" w:type="dxa"/>
            <w:bottom w:w="0" w:type="dxa"/>
            <w:right w:w="108" w:type="dxa"/>
          </w:tblCellMar>
        </w:tblPrEx>
        <w:trPr>
          <w:trHeight w:val="902" w:hRule="atLeast"/>
          <w:tblHeader/>
          <w:jc w:val="center"/>
        </w:trPr>
        <w:tc>
          <w:tcPr>
            <w:tcW w:w="638"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序号</w:t>
            </w:r>
          </w:p>
        </w:tc>
        <w:tc>
          <w:tcPr>
            <w:tcW w:w="1199"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货物名称</w:t>
            </w:r>
          </w:p>
        </w:tc>
        <w:tc>
          <w:tcPr>
            <w:tcW w:w="2574"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采购性能指标及技术参数</w:t>
            </w:r>
          </w:p>
        </w:tc>
        <w:tc>
          <w:tcPr>
            <w:tcW w:w="2584"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投标性能指标及技术参数</w:t>
            </w:r>
          </w:p>
        </w:tc>
        <w:tc>
          <w:tcPr>
            <w:tcW w:w="1709" w:type="dxa"/>
            <w:tcBorders>
              <w:bottom w:val="single" w:color="auto" w:sz="4" w:space="0"/>
            </w:tcBorders>
            <w:shd w:val="clear" w:color="auto" w:fill="D9D9D9"/>
            <w:vAlign w:val="center"/>
          </w:tcPr>
          <w:p>
            <w:pPr>
              <w:snapToGrid w:val="0"/>
              <w:jc w:val="center"/>
              <w:rPr>
                <w:rFonts w:hint="eastAsia" w:ascii="宋体" w:hAnsi="宋体" w:eastAsia="宋体" w:cs="宋体"/>
                <w:color w:val="auto"/>
                <w:szCs w:val="21"/>
              </w:rPr>
            </w:pPr>
            <w:r>
              <w:rPr>
                <w:rFonts w:hint="eastAsia" w:ascii="宋体" w:hAnsi="宋体" w:eastAsia="宋体" w:cs="宋体"/>
                <w:color w:val="auto"/>
                <w:szCs w:val="21"/>
              </w:rPr>
              <w:t>偏离情况说明</w:t>
            </w:r>
          </w:p>
          <w:p>
            <w:pPr>
              <w:spacing w:line="460" w:lineRule="exact"/>
              <w:jc w:val="center"/>
              <w:rPr>
                <w:rFonts w:hint="eastAsia" w:ascii="宋体" w:hAnsi="宋体" w:eastAsia="宋体" w:cs="宋体"/>
                <w:b/>
                <w:color w:val="auto"/>
              </w:rPr>
            </w:pPr>
            <w:r>
              <w:rPr>
                <w:rFonts w:hint="eastAsia" w:ascii="宋体" w:hAnsi="宋体" w:eastAsia="宋体" w:cs="宋体"/>
                <w:color w:val="auto"/>
                <w:szCs w:val="21"/>
              </w:rPr>
              <w:t>（＋/-/=）</w:t>
            </w:r>
          </w:p>
        </w:tc>
      </w:tr>
      <w:tr>
        <w:tblPrEx>
          <w:tblLayout w:type="fixed"/>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1</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2</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3</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4</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5</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p>
        </w:tc>
        <w:tc>
          <w:tcPr>
            <w:tcW w:w="1199" w:type="dxa"/>
            <w:vAlign w:val="center"/>
          </w:tcPr>
          <w:p>
            <w:pPr>
              <w:snapToGrid w:val="0"/>
              <w:spacing w:line="360" w:lineRule="auto"/>
              <w:jc w:val="center"/>
              <w:rPr>
                <w:rFonts w:hint="eastAsia" w:ascii="宋体" w:hAnsi="宋体" w:eastAsia="宋体" w:cs="宋体"/>
                <w:b/>
                <w:color w:val="auto"/>
              </w:rPr>
            </w:pPr>
            <w:r>
              <w:rPr>
                <w:rFonts w:hint="eastAsia" w:ascii="宋体" w:hAnsi="宋体" w:eastAsia="宋体" w:cs="宋体"/>
                <w:b/>
                <w:color w:val="auto"/>
              </w:rPr>
              <w:t>…</w:t>
            </w: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bl>
    <w:p>
      <w:pPr>
        <w:snapToGrid w:val="0"/>
        <w:spacing w:line="360" w:lineRule="auto"/>
        <w:rPr>
          <w:rFonts w:hint="eastAsia" w:ascii="宋体" w:hAnsi="宋体" w:cs="宋体"/>
          <w:b/>
          <w:color w:val="auto"/>
          <w:sz w:val="24"/>
          <w:szCs w:val="24"/>
          <w:lang w:val="en-US" w:eastAsia="zh-CN"/>
        </w:rPr>
      </w:pPr>
    </w:p>
    <w:p>
      <w:pPr>
        <w:snapToGrid w:val="0"/>
        <w:spacing w:line="360" w:lineRule="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供应商</w:t>
      </w:r>
      <w:r>
        <w:rPr>
          <w:rFonts w:hint="eastAsia" w:ascii="宋体" w:hAnsi="宋体" w:eastAsia="宋体" w:cs="宋体"/>
          <w:b/>
          <w:color w:val="auto"/>
          <w:sz w:val="24"/>
          <w:szCs w:val="24"/>
        </w:rPr>
        <w:t xml:space="preserve">全称（公章）：            </w:t>
      </w:r>
      <w:r>
        <w:rPr>
          <w:rFonts w:hint="eastAsia" w:ascii="宋体" w:hAnsi="宋体" w:cs="宋体"/>
          <w:b/>
          <w:color w:val="auto"/>
          <w:sz w:val="24"/>
          <w:szCs w:val="24"/>
          <w:lang w:val="en-US" w:eastAsia="zh-CN"/>
        </w:rPr>
        <w:t>其委托代理人</w:t>
      </w:r>
      <w:r>
        <w:rPr>
          <w:rFonts w:hint="eastAsia" w:ascii="宋体" w:hAnsi="宋体" w:eastAsia="宋体" w:cs="宋体"/>
          <w:b/>
          <w:color w:val="auto"/>
          <w:sz w:val="24"/>
          <w:szCs w:val="24"/>
        </w:rPr>
        <w:t>（签字）：</w:t>
      </w:r>
    </w:p>
    <w:p>
      <w:pPr>
        <w:bidi w:val="0"/>
        <w:rPr>
          <w:rFonts w:hint="eastAsia"/>
          <w:color w:val="auto"/>
        </w:rPr>
      </w:pPr>
    </w:p>
    <w:p>
      <w:pPr>
        <w:tabs>
          <w:tab w:val="left" w:pos="11130"/>
        </w:tabs>
        <w:snapToGrid w:val="0"/>
        <w:spacing w:line="360" w:lineRule="auto"/>
        <w:ind w:firstLine="120" w:firstLineChars="50"/>
        <w:rPr>
          <w:rFonts w:hint="eastAsia" w:ascii="宋体" w:hAnsi="宋体" w:eastAsia="宋体" w:cs="宋体"/>
          <w:bCs/>
          <w:color w:val="auto"/>
          <w:sz w:val="24"/>
        </w:rPr>
      </w:pPr>
      <w:r>
        <w:rPr>
          <w:rFonts w:hint="eastAsia" w:ascii="宋体" w:hAnsi="宋体" w:eastAsia="宋体" w:cs="宋体"/>
          <w:b/>
          <w:bCs/>
          <w:color w:val="auto"/>
          <w:sz w:val="24"/>
        </w:rPr>
        <w:t>注：</w:t>
      </w:r>
      <w:r>
        <w:rPr>
          <w:rFonts w:hint="eastAsia" w:ascii="宋体" w:hAnsi="宋体" w:eastAsia="宋体" w:cs="宋体"/>
          <w:bCs/>
          <w:color w:val="auto"/>
          <w:sz w:val="24"/>
        </w:rPr>
        <w:t>1、此表为表样，行数可自行添加，但表式不变。</w:t>
      </w:r>
    </w:p>
    <w:p>
      <w:pPr>
        <w:numPr>
          <w:ilvl w:val="0"/>
          <w:numId w:val="8"/>
        </w:numPr>
        <w:snapToGrid w:val="0"/>
        <w:spacing w:line="360" w:lineRule="auto"/>
        <w:ind w:firstLine="600"/>
        <w:rPr>
          <w:rFonts w:hint="eastAsia" w:ascii="宋体" w:hAnsi="宋体" w:eastAsia="宋体" w:cs="宋体"/>
          <w:bCs/>
          <w:color w:val="auto"/>
          <w:sz w:val="24"/>
        </w:rPr>
      </w:pPr>
      <w:r>
        <w:rPr>
          <w:rFonts w:hint="eastAsia" w:ascii="宋体" w:hAnsi="宋体" w:eastAsia="宋体" w:cs="宋体"/>
          <w:bCs/>
          <w:color w:val="auto"/>
          <w:sz w:val="24"/>
        </w:rPr>
        <w:t>请在“投标性能指标及技术参数” 中列出所投设备/项目的详细技术参数和功能描述情况，要求将技术参数和功能分别描述，否则将视为不响应或负偏离。</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3、偏离情况说明分正偏离（+）、完全响应（=）、负偏离（-），分别表示优于要求、满足要求、不满足要求。</w:t>
      </w: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spacing w:line="360" w:lineRule="auto"/>
        <w:ind w:firstLine="640" w:firstLineChars="200"/>
        <w:jc w:val="center"/>
        <w:rPr>
          <w:rFonts w:hint="eastAsia" w:ascii="宋体" w:hAnsi="宋体" w:eastAsia="宋体" w:cs="宋体"/>
          <w:color w:val="auto"/>
          <w:sz w:val="32"/>
          <w:szCs w:val="32"/>
        </w:rPr>
      </w:pPr>
      <w:r>
        <w:rPr>
          <w:rFonts w:hint="eastAsia" w:ascii="宋体" w:hAnsi="宋体" w:eastAsia="宋体" w:cs="宋体"/>
          <w:color w:val="auto"/>
          <w:sz w:val="32"/>
          <w:szCs w:val="32"/>
        </w:rPr>
        <w:t>6、政府采购活动信用记录自查承诺函</w:t>
      </w:r>
    </w:p>
    <w:p>
      <w:pPr>
        <w:spacing w:line="360" w:lineRule="auto"/>
        <w:jc w:val="left"/>
        <w:outlineLvl w:val="1"/>
        <w:rPr>
          <w:rFonts w:hint="eastAsia" w:ascii="宋体" w:hAnsi="宋体" w:eastAsia="宋体" w:cs="宋体"/>
          <w:color w:val="auto"/>
          <w:sz w:val="24"/>
        </w:rPr>
      </w:pPr>
    </w:p>
    <w:p>
      <w:pPr>
        <w:spacing w:line="440" w:lineRule="exact"/>
        <w:rPr>
          <w:rFonts w:hint="eastAsia" w:ascii="宋体" w:hAnsi="宋体" w:eastAsia="宋体" w:cs="宋体"/>
          <w:color w:val="auto"/>
          <w:sz w:val="24"/>
          <w:lang w:val="zh-CN"/>
        </w:rPr>
      </w:pPr>
      <w:r>
        <w:rPr>
          <w:rFonts w:hint="eastAsia" w:ascii="宋体" w:hAnsi="宋体" w:eastAsia="宋体" w:cs="宋体"/>
          <w:color w:val="auto"/>
          <w:sz w:val="24"/>
          <w:lang w:val="zh-CN"/>
        </w:rPr>
        <w:t>海南政辉招投标代理有限公司：</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hint="eastAsia" w:ascii="宋体" w:hAnsi="宋体" w:eastAsia="宋体" w:cs="宋体"/>
          <w:color w:val="auto"/>
          <w:sz w:val="24"/>
          <w:lang w:val="zh-CN"/>
        </w:rPr>
      </w:pPr>
    </w:p>
    <w:p>
      <w:pPr>
        <w:spacing w:line="440" w:lineRule="exact"/>
        <w:ind w:firstLine="480" w:firstLineChars="200"/>
        <w:rPr>
          <w:rFonts w:hint="eastAsia" w:ascii="宋体" w:hAnsi="宋体" w:eastAsia="宋体" w:cs="宋体"/>
          <w:color w:val="auto"/>
          <w:sz w:val="24"/>
          <w:lang w:val="zh-CN"/>
        </w:rPr>
      </w:pP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特此承诺！</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相关资格证明材料如下（均提供网站截图加盖公章）：</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附件</w:t>
      </w:r>
      <w:r>
        <w:rPr>
          <w:rFonts w:hint="eastAsia" w:ascii="宋体" w:hAnsi="宋体" w:eastAsia="宋体" w:cs="宋体"/>
          <w:color w:val="auto"/>
          <w:sz w:val="24"/>
        </w:rPr>
        <w:t>1：</w:t>
      </w:r>
      <w:r>
        <w:rPr>
          <w:rFonts w:hint="eastAsia" w:ascii="宋体" w:hAnsi="宋体" w:eastAsia="宋体" w:cs="宋体"/>
          <w:color w:val="auto"/>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附件</w:t>
      </w:r>
      <w:r>
        <w:rPr>
          <w:rFonts w:hint="eastAsia" w:ascii="宋体" w:hAnsi="宋体" w:eastAsia="宋体" w:cs="宋体"/>
          <w:color w:val="auto"/>
          <w:sz w:val="24"/>
        </w:rPr>
        <w:t>2：</w:t>
      </w:r>
      <w:r>
        <w:rPr>
          <w:rFonts w:hint="eastAsia" w:ascii="宋体" w:hAnsi="宋体" w:eastAsia="宋体" w:cs="宋体"/>
          <w:color w:val="auto"/>
          <w:sz w:val="24"/>
          <w:lang w:val="zh-CN"/>
        </w:rPr>
        <w:t>中国政府采购网（www.ccgp.gov.cn）中“政府采购严重违法失信行为信息记录”截图证明。</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响应代表（签字或盖名章）：</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供应商名称（加盖公章）：</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日    期：   年   月  日</w:t>
      </w: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pStyle w:val="2"/>
        <w:rPr>
          <w:rFonts w:hint="eastAsia" w:ascii="宋体" w:hAnsi="宋体" w:eastAsia="宋体" w:cs="宋体"/>
          <w:b/>
          <w:color w:val="auto"/>
          <w:kern w:val="0"/>
          <w:sz w:val="32"/>
          <w:szCs w:val="32"/>
        </w:rPr>
      </w:pPr>
    </w:p>
    <w:p>
      <w:pPr>
        <w:rPr>
          <w:rFonts w:hint="eastAsia"/>
          <w:color w:val="auto"/>
        </w:rPr>
      </w:pPr>
    </w:p>
    <w:p>
      <w:pPr>
        <w:rPr>
          <w:rFonts w:hint="eastAsia" w:ascii="宋体" w:hAnsi="宋体" w:eastAsia="宋体" w:cs="宋体"/>
          <w:b/>
          <w:color w:val="auto"/>
          <w:sz w:val="36"/>
          <w:szCs w:val="36"/>
        </w:rPr>
      </w:pPr>
      <w:bookmarkStart w:id="211" w:name="_Toc1660553"/>
      <w:r>
        <w:rPr>
          <w:rFonts w:hint="eastAsia" w:ascii="宋体" w:hAnsi="宋体" w:eastAsia="宋体" w:cs="宋体"/>
          <w:b/>
          <w:color w:val="auto"/>
          <w:sz w:val="36"/>
          <w:szCs w:val="36"/>
        </w:rPr>
        <w:br w:type="page"/>
      </w: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7、中小企业声明函</w:t>
      </w:r>
    </w:p>
    <w:p>
      <w:pPr>
        <w:spacing w:line="588" w:lineRule="exact"/>
        <w:rPr>
          <w:rFonts w:hint="eastAsia" w:ascii="宋体" w:hAnsi="宋体" w:eastAsia="宋体" w:cs="宋体"/>
          <w:b/>
          <w:color w:val="auto"/>
          <w:spacing w:val="6"/>
          <w:sz w:val="24"/>
        </w:rPr>
      </w:pP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本公司郑重声明，根据《政府采购促进中小企业发展暂行办法》（财库[2011]181号）的规定，本公司为</w:t>
      </w:r>
      <w:bookmarkStart w:id="212" w:name="OLE_LINK2"/>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（请填写：中型、小型、微型）企业</w:t>
      </w:r>
      <w:bookmarkEnd w:id="212"/>
      <w:r>
        <w:rPr>
          <w:rFonts w:hint="eastAsia" w:ascii="宋体" w:hAnsi="宋体" w:eastAsia="宋体" w:cs="宋体"/>
          <w:color w:val="auto"/>
          <w:spacing w:val="6"/>
          <w:sz w:val="24"/>
        </w:rPr>
        <w:t>。即，本公司同时满足以下条件：</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（请填写：中型、小型、微型）企业。</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2.本公司参加</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单位的</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项目采购活动提供本企业制造的货物，由本企业承担工程、提供服务，或者提供其他</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（请填写：中型、小型、微型）企业制造的货物。本条所称货物不包括使用大型企业注册商标的货物。</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本公司对上述声明的真实性负责。如有虚假，将依法承担相应责任。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rPr>
      </w:pPr>
    </w:p>
    <w:p>
      <w:pPr>
        <w:spacing w:line="588" w:lineRule="exact"/>
        <w:ind w:firstLine="504" w:firstLineChars="200"/>
        <w:rPr>
          <w:rFonts w:hint="eastAsia" w:ascii="宋体" w:hAnsi="宋体" w:eastAsia="宋体" w:cs="宋体"/>
          <w:color w:val="auto"/>
          <w:spacing w:val="6"/>
          <w:sz w:val="24"/>
        </w:rPr>
      </w:pPr>
    </w:p>
    <w:p>
      <w:pPr>
        <w:tabs>
          <w:tab w:val="left" w:pos="4860"/>
        </w:tabs>
        <w:spacing w:line="588" w:lineRule="exact"/>
        <w:ind w:right="1560" w:firstLine="504" w:firstLineChars="200"/>
        <w:jc w:val="center"/>
        <w:rPr>
          <w:rFonts w:hint="eastAsia" w:ascii="宋体" w:hAnsi="宋体" w:eastAsia="宋体" w:cs="宋体"/>
          <w:color w:val="auto"/>
          <w:spacing w:val="6"/>
          <w:sz w:val="24"/>
        </w:rPr>
      </w:pPr>
      <w:r>
        <w:rPr>
          <w:rFonts w:hint="eastAsia" w:ascii="宋体" w:hAnsi="宋体" w:eastAsia="宋体" w:cs="宋体"/>
          <w:color w:val="auto"/>
          <w:spacing w:val="6"/>
          <w:sz w:val="24"/>
        </w:rPr>
        <w:t xml:space="preserve">               企业名称（盖章）： </w:t>
      </w:r>
    </w:p>
    <w:p>
      <w:pPr>
        <w:jc w:val="center"/>
        <w:outlineLvl w:val="0"/>
        <w:rPr>
          <w:rFonts w:hint="eastAsia" w:ascii="宋体" w:hAnsi="宋体" w:eastAsia="宋体" w:cs="宋体"/>
          <w:b/>
          <w:color w:val="auto"/>
          <w:sz w:val="44"/>
          <w:szCs w:val="44"/>
        </w:rPr>
      </w:pPr>
      <w:r>
        <w:rPr>
          <w:rFonts w:hint="eastAsia" w:ascii="宋体" w:hAnsi="宋体" w:eastAsia="宋体" w:cs="宋体"/>
          <w:color w:val="auto"/>
          <w:spacing w:val="6"/>
          <w:sz w:val="24"/>
        </w:rPr>
        <w:t xml:space="preserve">       </w:t>
      </w:r>
      <w:bookmarkStart w:id="213" w:name="_Toc5112"/>
      <w:r>
        <w:rPr>
          <w:rFonts w:hint="eastAsia" w:ascii="宋体" w:hAnsi="宋体" w:eastAsia="宋体" w:cs="宋体"/>
          <w:color w:val="auto"/>
          <w:spacing w:val="6"/>
          <w:sz w:val="24"/>
        </w:rPr>
        <w:t>日  期：</w:t>
      </w:r>
      <w:bookmarkEnd w:id="213"/>
      <w:r>
        <w:rPr>
          <w:rFonts w:hint="eastAsia" w:ascii="宋体" w:hAnsi="宋体" w:eastAsia="宋体" w:cs="宋体"/>
          <w:color w:val="auto"/>
          <w:spacing w:val="6"/>
          <w:sz w:val="24"/>
        </w:rPr>
        <w:t xml:space="preserve">   </w:t>
      </w: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sz w:val="32"/>
          <w:szCs w:val="32"/>
        </w:rPr>
      </w:pPr>
      <w:bookmarkStart w:id="214" w:name="_Toc17376"/>
      <w:r>
        <w:rPr>
          <w:rFonts w:hint="eastAsia" w:ascii="宋体" w:hAnsi="宋体" w:eastAsia="宋体" w:cs="宋体"/>
          <w:b/>
          <w:color w:val="auto"/>
          <w:kern w:val="0"/>
          <w:sz w:val="32"/>
          <w:szCs w:val="32"/>
        </w:rPr>
        <w:t>8、中小企业（监狱企业）声明函</w:t>
      </w:r>
      <w:bookmarkEnd w:id="211"/>
      <w:bookmarkEnd w:id="214"/>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eastAsia="宋体" w:cs="宋体"/>
          <w:color w:val="auto"/>
          <w:sz w:val="24"/>
        </w:rPr>
        <w:br w:type="textWrapping"/>
      </w:r>
      <w:r>
        <w:rPr>
          <w:rFonts w:hint="eastAsia" w:ascii="宋体" w:hAnsi="宋体" w:eastAsia="宋体" w:cs="宋体"/>
          <w:color w:val="auto"/>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eastAsia="宋体" w:cs="宋体"/>
          <w:color w:val="auto"/>
          <w:sz w:val="24"/>
        </w:rPr>
        <w:br w:type="textWrapping"/>
      </w:r>
      <w:r>
        <w:rPr>
          <w:rFonts w:hint="eastAsia" w:ascii="宋体" w:hAnsi="宋体" w:eastAsia="宋体" w:cs="宋体"/>
          <w:color w:val="auto"/>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3、提供中华人民共和国工商行政管理总局官网上“小微企业名录”查询截图（ </w:t>
      </w: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"http://xwqy.gsxt.gov.cn/））或残疾人福利性单位声明函。如不满足以上三项要求，采购代理机构一律不给予价格评审优惠政策。" </w:instrText>
      </w:r>
      <w:r>
        <w:rPr>
          <w:rFonts w:hint="eastAsia" w:ascii="宋体" w:hAnsi="宋体" w:eastAsia="宋体" w:cs="宋体"/>
          <w:color w:val="auto"/>
          <w:sz w:val="24"/>
        </w:rPr>
        <w:fldChar w:fldCharType="separate"/>
      </w:r>
      <w:r>
        <w:rPr>
          <w:rFonts w:hint="eastAsia" w:ascii="宋体" w:hAnsi="宋体" w:eastAsia="宋体" w:cs="宋体"/>
          <w:color w:val="auto"/>
          <w:sz w:val="24"/>
        </w:rPr>
        <w:t>http://xwqy.gsxt.gov.cn/）</w:t>
      </w:r>
      <w:r>
        <w:rPr>
          <w:rFonts w:hint="eastAsia" w:ascii="宋体" w:hAnsi="宋体" w:eastAsia="宋体" w:cs="宋体"/>
          <w:color w:val="auto"/>
          <w:sz w:val="24"/>
          <w:lang w:val="zh-CN"/>
        </w:rPr>
        <w:t>。</w:t>
      </w:r>
      <w:r>
        <w:rPr>
          <w:rFonts w:hint="eastAsia" w:ascii="宋体" w:hAnsi="宋体" w:eastAsia="宋体" w:cs="宋体"/>
          <w:color w:val="auto"/>
          <w:sz w:val="24"/>
        </w:rPr>
        <w:fldChar w:fldCharType="end"/>
      </w:r>
      <w:r>
        <w:rPr>
          <w:rFonts w:hint="eastAsia" w:ascii="宋体" w:hAnsi="宋体" w:eastAsia="宋体" w:cs="宋体"/>
          <w:color w:val="auto"/>
          <w:sz w:val="24"/>
        </w:rPr>
        <w:br w:type="textWrapping"/>
      </w:r>
      <w:r>
        <w:rPr>
          <w:rFonts w:hint="eastAsia" w:ascii="宋体" w:hAnsi="宋体" w:eastAsia="宋体" w:cs="宋体"/>
          <w:color w:val="auto"/>
          <w:sz w:val="24"/>
        </w:rPr>
        <w:t>　　本公司对上述声明的真实性负责。如有虚假，将依法承担相应责任。</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企业名称（盖章）：</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日   期：</w:t>
      </w:r>
      <w:bookmarkStart w:id="215" w:name="_Toc417911732"/>
      <w:bookmarkStart w:id="216" w:name="_Toc387147344"/>
      <w:bookmarkStart w:id="217" w:name="_Toc387658050"/>
      <w:bookmarkStart w:id="218" w:name="_Toc413748654"/>
      <w:bookmarkStart w:id="219" w:name="_Toc419811733"/>
    </w:p>
    <w:p>
      <w:pPr>
        <w:spacing w:line="360" w:lineRule="auto"/>
        <w:rPr>
          <w:rFonts w:hint="eastAsia" w:ascii="宋体" w:hAnsi="宋体" w:eastAsia="宋体" w:cs="宋体"/>
          <w:color w:val="auto"/>
          <w:sz w:val="24"/>
        </w:rPr>
      </w:pPr>
      <w:r>
        <w:rPr>
          <w:rFonts w:hint="eastAsia" w:ascii="宋体" w:hAnsi="宋体" w:eastAsia="宋体" w:cs="宋体"/>
          <w:color w:val="auto"/>
          <w:sz w:val="24"/>
        </w:rPr>
        <w:t>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215"/>
      <w:bookmarkEnd w:id="216"/>
      <w:bookmarkEnd w:id="217"/>
      <w:bookmarkEnd w:id="218"/>
      <w:bookmarkEnd w:id="219"/>
    </w:p>
    <w:p>
      <w:pPr>
        <w:spacing w:line="360" w:lineRule="auto"/>
        <w:rPr>
          <w:rFonts w:hint="eastAsia" w:ascii="宋体" w:hAnsi="宋体" w:eastAsia="宋体" w:cs="宋体"/>
          <w:color w:val="auto"/>
          <w:sz w:val="24"/>
        </w:rPr>
      </w:pPr>
      <w:r>
        <w:rPr>
          <w:rFonts w:hint="eastAsia" w:ascii="宋体" w:hAnsi="宋体" w:eastAsia="宋体" w:cs="宋体"/>
          <w:color w:val="auto"/>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hint="eastAsia" w:ascii="宋体" w:hAnsi="宋体" w:eastAsia="宋体" w:cs="宋体"/>
          <w:b/>
          <w:color w:val="auto"/>
          <w:sz w:val="32"/>
          <w:szCs w:val="32"/>
        </w:rPr>
      </w:pPr>
      <w:bookmarkStart w:id="220" w:name="_Toc30261"/>
      <w:bookmarkStart w:id="221" w:name="_Toc1660554"/>
      <w:r>
        <w:rPr>
          <w:rFonts w:hint="eastAsia" w:ascii="宋体" w:hAnsi="宋体" w:eastAsia="宋体" w:cs="宋体"/>
          <w:color w:val="auto"/>
          <w:sz w:val="24"/>
        </w:rPr>
        <w:t>3、供应商为非企业单位的，可不提供此声明。</w:t>
      </w:r>
      <w:bookmarkEnd w:id="220"/>
      <w:bookmarkEnd w:id="221"/>
      <w:bookmarkStart w:id="222" w:name="OLE_LINK13"/>
      <w:bookmarkStart w:id="223" w:name="OLE_LINK14"/>
    </w:p>
    <w:p>
      <w:pPr>
        <w:rPr>
          <w:rFonts w:hint="eastAsia" w:ascii="宋体" w:hAnsi="宋体" w:eastAsia="宋体" w:cs="宋体"/>
          <w:b/>
          <w:color w:val="auto"/>
          <w:kern w:val="0"/>
          <w:sz w:val="32"/>
          <w:szCs w:val="32"/>
        </w:rPr>
      </w:pPr>
      <w:bookmarkStart w:id="224" w:name="_Toc1660555"/>
      <w:bookmarkStart w:id="225" w:name="_Toc31424"/>
      <w:r>
        <w:rPr>
          <w:rFonts w:hint="eastAsia" w:ascii="宋体" w:hAnsi="宋体" w:eastAsia="宋体" w:cs="宋体"/>
          <w:b/>
          <w:color w:val="auto"/>
          <w:kern w:val="0"/>
          <w:sz w:val="32"/>
          <w:szCs w:val="32"/>
        </w:rPr>
        <w:br w:type="page"/>
      </w:r>
    </w:p>
    <w:p>
      <w:pPr>
        <w:widowControl/>
        <w:spacing w:line="360" w:lineRule="atLeast"/>
        <w:jc w:val="center"/>
        <w:outlineLvl w:val="1"/>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9、残疾人福利性单位声明函</w:t>
      </w:r>
      <w:bookmarkEnd w:id="224"/>
      <w:bookmarkEnd w:id="225"/>
    </w:p>
    <w:bookmarkEnd w:id="222"/>
    <w:bookmarkEnd w:id="223"/>
    <w:p>
      <w:pPr>
        <w:spacing w:line="588" w:lineRule="exact"/>
        <w:rPr>
          <w:rFonts w:hint="eastAsia" w:ascii="宋体" w:hAnsi="宋体" w:eastAsia="宋体" w:cs="宋体"/>
          <w:b/>
          <w:color w:val="auto"/>
          <w:spacing w:val="6"/>
          <w:sz w:val="24"/>
        </w:rPr>
      </w:pP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 民政部 中国残疾人联合会关于促进残疾人就业政府采购政策的通知》（财库</w:t>
      </w:r>
      <w:r>
        <w:rPr>
          <w:rFonts w:hint="eastAsia" w:ascii="宋体" w:hAnsi="宋体" w:eastAsia="宋体" w:cs="宋体"/>
          <w:color w:val="auto"/>
          <w:sz w:val="24"/>
        </w:rPr>
        <w:t>〔2017〕 141</w:t>
      </w:r>
      <w:r>
        <w:rPr>
          <w:rFonts w:hint="eastAsia" w:ascii="宋体" w:hAnsi="宋体" w:eastAsia="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588" w:lineRule="exact"/>
        <w:rPr>
          <w:rFonts w:hint="eastAsia" w:ascii="宋体" w:hAnsi="宋体" w:eastAsia="宋体" w:cs="宋体"/>
          <w:color w:val="auto"/>
          <w:spacing w:val="6"/>
          <w:sz w:val="24"/>
        </w:rPr>
      </w:pPr>
    </w:p>
    <w:p>
      <w:pPr>
        <w:spacing w:line="588" w:lineRule="exact"/>
        <w:rPr>
          <w:rFonts w:hint="eastAsia" w:ascii="宋体" w:hAnsi="宋体" w:eastAsia="宋体" w:cs="宋体"/>
          <w:color w:val="auto"/>
          <w:spacing w:val="6"/>
          <w:sz w:val="24"/>
        </w:rPr>
      </w:pPr>
    </w:p>
    <w:p>
      <w:pPr>
        <w:tabs>
          <w:tab w:val="left" w:pos="4860"/>
        </w:tabs>
        <w:spacing w:line="588" w:lineRule="exact"/>
        <w:ind w:right="1560"/>
        <w:rPr>
          <w:rFonts w:hint="eastAsia" w:ascii="宋体" w:hAnsi="宋体" w:eastAsia="宋体" w:cs="宋体"/>
          <w:b/>
          <w:bCs/>
          <w:color w:val="auto"/>
          <w:spacing w:val="6"/>
          <w:sz w:val="24"/>
        </w:rPr>
      </w:pPr>
      <w:r>
        <w:rPr>
          <w:rFonts w:hint="eastAsia" w:ascii="宋体" w:hAnsi="宋体" w:eastAsia="宋体" w:cs="宋体"/>
          <w:b/>
          <w:bCs/>
          <w:color w:val="auto"/>
          <w:spacing w:val="6"/>
          <w:sz w:val="24"/>
        </w:rPr>
        <w:t>单位名称（盖章）：</w:t>
      </w:r>
    </w:p>
    <w:p>
      <w:pPr>
        <w:rPr>
          <w:rFonts w:hint="eastAsia" w:ascii="宋体" w:hAnsi="宋体" w:eastAsia="宋体" w:cs="宋体"/>
          <w:b/>
          <w:bCs/>
          <w:color w:val="auto"/>
          <w:spacing w:val="6"/>
          <w:sz w:val="24"/>
        </w:rPr>
      </w:pPr>
    </w:p>
    <w:p>
      <w:pPr>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日  期：</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w:t>
      </w:r>
    </w:p>
    <w:p>
      <w:pPr>
        <w:numPr>
          <w:ilvl w:val="0"/>
          <w:numId w:val="9"/>
        </w:numPr>
        <w:spacing w:line="360" w:lineRule="auto"/>
        <w:rPr>
          <w:rFonts w:hint="eastAsia" w:ascii="宋体" w:hAnsi="宋体" w:eastAsia="宋体" w:cs="宋体"/>
          <w:color w:val="auto"/>
          <w:sz w:val="24"/>
        </w:rPr>
      </w:pPr>
      <w:r>
        <w:rPr>
          <w:rFonts w:hint="eastAsia" w:ascii="宋体" w:hAnsi="宋体" w:eastAsia="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9"/>
        </w:numPr>
        <w:spacing w:line="360" w:lineRule="auto"/>
        <w:rPr>
          <w:rFonts w:hint="eastAsia" w:ascii="宋体" w:hAnsi="宋体" w:eastAsia="宋体" w:cs="宋体"/>
          <w:bCs/>
          <w:color w:val="auto"/>
          <w:sz w:val="24"/>
        </w:rPr>
      </w:pPr>
      <w:r>
        <w:rPr>
          <w:rFonts w:hint="eastAsia" w:ascii="宋体" w:hAnsi="宋体" w:eastAsia="宋体" w:cs="宋体"/>
          <w:color w:val="auto"/>
          <w:sz w:val="24"/>
        </w:rPr>
        <w:t>供应商为非残疾人福利性单位的，可不提供此声明。</w:t>
      </w:r>
    </w:p>
    <w:p>
      <w:pPr>
        <w:rPr>
          <w:rFonts w:hint="eastAsia" w:ascii="宋体" w:hAnsi="宋体" w:eastAsia="宋体" w:cs="宋体"/>
          <w:bCs/>
          <w:color w:val="auto"/>
          <w:sz w:val="24"/>
        </w:rPr>
      </w:pPr>
      <w:r>
        <w:rPr>
          <w:rFonts w:hint="eastAsia" w:ascii="宋体" w:hAnsi="宋体" w:eastAsia="宋体" w:cs="宋体"/>
          <w:color w:val="auto"/>
          <w:sz w:val="24"/>
        </w:rPr>
        <w:br w:type="page"/>
      </w:r>
    </w:p>
    <w:p>
      <w:pPr>
        <w:tabs>
          <w:tab w:val="left" w:pos="180"/>
        </w:tabs>
        <w:spacing w:line="360" w:lineRule="auto"/>
        <w:ind w:firstLine="413" w:firstLineChars="147"/>
        <w:jc w:val="center"/>
        <w:rPr>
          <w:rFonts w:hint="default" w:ascii="宋体" w:hAnsi="宋体" w:eastAsia="宋体"/>
          <w:b/>
          <w:color w:val="auto"/>
          <w:sz w:val="28"/>
          <w:szCs w:val="28"/>
          <w:lang w:val="en-US" w:eastAsia="zh-CN"/>
        </w:rPr>
      </w:pPr>
      <w:r>
        <w:rPr>
          <w:rFonts w:hint="eastAsia" w:ascii="宋体" w:hAnsi="宋体"/>
          <w:b/>
          <w:color w:val="auto"/>
          <w:sz w:val="28"/>
          <w:szCs w:val="28"/>
          <w:lang w:val="en-US" w:eastAsia="zh-CN"/>
        </w:rPr>
        <w:t>二次报价函</w:t>
      </w:r>
    </w:p>
    <w:p>
      <w:pPr>
        <w:tabs>
          <w:tab w:val="left" w:pos="180"/>
        </w:tabs>
        <w:spacing w:line="360" w:lineRule="auto"/>
        <w:ind w:firstLine="413" w:firstLineChars="147"/>
        <w:jc w:val="center"/>
        <w:rPr>
          <w:rFonts w:hint="eastAsia" w:ascii="宋体" w:hAnsi="宋体"/>
          <w:b/>
          <w:color w:val="auto"/>
          <w:sz w:val="28"/>
          <w:szCs w:val="28"/>
        </w:rPr>
      </w:pPr>
      <w:r>
        <w:rPr>
          <w:rFonts w:hint="eastAsia" w:ascii="宋体" w:hAnsi="宋体"/>
          <w:b/>
          <w:color w:val="auto"/>
          <w:sz w:val="28"/>
          <w:szCs w:val="28"/>
          <w:lang w:eastAsia="zh-CN"/>
        </w:rPr>
        <w:t>（</w:t>
      </w:r>
      <w:r>
        <w:rPr>
          <w:rFonts w:hint="eastAsia" w:ascii="宋体" w:hAnsi="宋体"/>
          <w:b/>
          <w:color w:val="auto"/>
          <w:sz w:val="28"/>
          <w:szCs w:val="28"/>
        </w:rPr>
        <w:t>最终报价函</w:t>
      </w:r>
      <w:r>
        <w:rPr>
          <w:rFonts w:hint="eastAsia" w:ascii="宋体" w:hAnsi="宋体"/>
          <w:b/>
          <w:color w:val="auto"/>
          <w:sz w:val="28"/>
          <w:szCs w:val="28"/>
          <w:lang w:eastAsia="zh-CN"/>
        </w:rPr>
        <w:t>）</w:t>
      </w:r>
    </w:p>
    <w:p>
      <w:pPr>
        <w:autoSpaceDE w:val="0"/>
        <w:autoSpaceDN w:val="0"/>
        <w:snapToGrid w:val="0"/>
        <w:spacing w:line="460" w:lineRule="exact"/>
        <w:rPr>
          <w:rFonts w:hint="eastAsia" w:ascii="宋体" w:hAnsi="宋体" w:cs="宋体"/>
          <w:color w:val="auto"/>
          <w:spacing w:val="8"/>
        </w:rPr>
      </w:pPr>
    </w:p>
    <w:p>
      <w:pPr>
        <w:ind w:right="62"/>
        <w:rPr>
          <w:rFonts w:hint="eastAsia" w:ascii="宋体" w:hAnsi="宋体" w:cs="宋体"/>
          <w:b/>
          <w:bCs/>
          <w:color w:val="auto"/>
          <w:kern w:val="0"/>
          <w:sz w:val="24"/>
          <w:szCs w:val="24"/>
        </w:rPr>
      </w:pPr>
      <w:r>
        <w:rPr>
          <w:rFonts w:hint="eastAsia" w:ascii="宋体" w:hAnsi="宋体" w:cs="宋体"/>
          <w:b/>
          <w:bCs/>
          <w:color w:val="auto"/>
          <w:kern w:val="0"/>
          <w:sz w:val="24"/>
          <w:szCs w:val="24"/>
        </w:rPr>
        <w:t xml:space="preserve">项目名称：  </w:t>
      </w:r>
    </w:p>
    <w:p>
      <w:pPr>
        <w:ind w:right="62"/>
        <w:rPr>
          <w:rFonts w:hint="eastAsia" w:ascii="宋体" w:hAnsi="宋体" w:cs="宋体"/>
          <w:b/>
          <w:bCs/>
          <w:color w:val="auto"/>
          <w:kern w:val="0"/>
          <w:sz w:val="24"/>
          <w:szCs w:val="24"/>
        </w:rPr>
      </w:pPr>
    </w:p>
    <w:p>
      <w:pPr>
        <w:ind w:right="62"/>
        <w:rPr>
          <w:rFonts w:hint="eastAsia" w:ascii="宋体" w:hAnsi="宋体" w:cs="宋体"/>
          <w:b/>
          <w:bCs/>
          <w:color w:val="auto"/>
          <w:kern w:val="0"/>
          <w:sz w:val="24"/>
          <w:szCs w:val="24"/>
        </w:rPr>
      </w:pPr>
      <w:r>
        <w:rPr>
          <w:rFonts w:hint="eastAsia" w:ascii="宋体" w:hAnsi="宋体" w:cs="宋体"/>
          <w:b/>
          <w:bCs/>
          <w:color w:val="auto"/>
          <w:kern w:val="0"/>
          <w:sz w:val="24"/>
          <w:szCs w:val="24"/>
        </w:rPr>
        <w:t xml:space="preserve">          </w:t>
      </w:r>
    </w:p>
    <w:p>
      <w:pPr>
        <w:ind w:right="62"/>
        <w:rPr>
          <w:rFonts w:hint="eastAsia" w:ascii="宋体" w:hAnsi="宋体" w:cs="宋体"/>
          <w:b/>
          <w:bCs/>
          <w:color w:val="auto"/>
          <w:kern w:val="0"/>
          <w:sz w:val="24"/>
          <w:szCs w:val="24"/>
        </w:rPr>
      </w:pPr>
      <w:r>
        <w:rPr>
          <w:rFonts w:hint="eastAsia" w:ascii="宋体" w:hAnsi="宋体" w:cs="宋体"/>
          <w:b/>
          <w:bCs/>
          <w:color w:val="auto"/>
          <w:kern w:val="0"/>
          <w:sz w:val="24"/>
          <w:szCs w:val="24"/>
        </w:rPr>
        <w:t>项目编号：</w:t>
      </w:r>
    </w:p>
    <w:p>
      <w:pPr>
        <w:bidi w:val="0"/>
        <w:rPr>
          <w:rFonts w:hint="eastAsia"/>
          <w:color w:val="auto"/>
          <w:sz w:val="24"/>
          <w:szCs w:val="24"/>
        </w:rPr>
      </w:pPr>
    </w:p>
    <w:p>
      <w:pPr>
        <w:spacing w:line="360" w:lineRule="auto"/>
        <w:rPr>
          <w:rFonts w:hint="eastAsia" w:ascii="宋体" w:hAnsi="宋体"/>
          <w:color w:val="auto"/>
          <w:sz w:val="24"/>
          <w:szCs w:val="24"/>
        </w:rPr>
      </w:pPr>
      <w:r>
        <w:rPr>
          <w:rFonts w:hint="eastAsia" w:ascii="宋体" w:hAnsi="宋体"/>
          <w:color w:val="auto"/>
          <w:sz w:val="24"/>
          <w:szCs w:val="24"/>
        </w:rPr>
        <w:t xml:space="preserve"> </w:t>
      </w:r>
    </w:p>
    <w:p>
      <w:pPr>
        <w:pStyle w:val="106"/>
        <w:numPr>
          <w:ilvl w:val="0"/>
          <w:numId w:val="10"/>
        </w:numPr>
        <w:spacing w:line="360" w:lineRule="auto"/>
        <w:ind w:firstLineChars="0"/>
        <w:rPr>
          <w:rFonts w:hint="eastAsia" w:ascii="宋体" w:hAnsi="宋体"/>
          <w:b/>
          <w:color w:val="auto"/>
          <w:sz w:val="24"/>
          <w:szCs w:val="24"/>
        </w:rPr>
      </w:pPr>
      <w:r>
        <w:rPr>
          <w:rFonts w:hint="eastAsia" w:ascii="宋体" w:hAnsi="宋体"/>
          <w:b/>
          <w:color w:val="auto"/>
          <w:sz w:val="24"/>
          <w:szCs w:val="24"/>
        </w:rPr>
        <w:t>最终报价为：</w:t>
      </w:r>
    </w:p>
    <w:p>
      <w:pPr>
        <w:spacing w:line="360" w:lineRule="auto"/>
        <w:rPr>
          <w:rFonts w:hint="eastAsia" w:ascii="宋体" w:hAnsi="宋体"/>
          <w:color w:val="auto"/>
          <w:sz w:val="24"/>
          <w:szCs w:val="24"/>
        </w:rPr>
      </w:pPr>
    </w:p>
    <w:p>
      <w:pPr>
        <w:spacing w:line="720" w:lineRule="auto"/>
        <w:rPr>
          <w:rFonts w:hint="eastAsia" w:ascii="宋体" w:hAnsi="宋体"/>
          <w:color w:val="auto"/>
          <w:sz w:val="24"/>
          <w:szCs w:val="24"/>
        </w:rPr>
      </w:pPr>
      <w:r>
        <w:rPr>
          <w:rFonts w:hint="eastAsia" w:ascii="宋体" w:hAnsi="宋体"/>
          <w:color w:val="auto"/>
          <w:sz w:val="24"/>
          <w:szCs w:val="24"/>
        </w:rPr>
        <w:t>人民币（小写）</w:t>
      </w:r>
      <w:r>
        <w:rPr>
          <w:rFonts w:ascii="Arial" w:hAnsi="Arial" w:cs="Arial"/>
          <w:color w:val="auto"/>
          <w:sz w:val="24"/>
          <w:szCs w:val="24"/>
          <w:u w:val="single"/>
        </w:rPr>
        <w:t>¥</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spacing w:line="720" w:lineRule="auto"/>
        <w:rPr>
          <w:rFonts w:hint="eastAsia" w:ascii="宋体" w:hAnsi="宋体"/>
          <w:color w:val="auto"/>
          <w:sz w:val="24"/>
          <w:szCs w:val="24"/>
        </w:rPr>
      </w:pPr>
      <w:r>
        <w:rPr>
          <w:rFonts w:hint="eastAsia" w:ascii="宋体" w:hAnsi="宋体"/>
          <w:color w:val="auto"/>
          <w:sz w:val="24"/>
          <w:szCs w:val="24"/>
        </w:rPr>
        <w:t xml:space="preserve">      （大写）</w:t>
      </w:r>
      <w:r>
        <w:rPr>
          <w:rFonts w:hint="eastAsia" w:ascii="Arial" w:hAnsi="Arial" w:cs="Arial"/>
          <w:color w:val="auto"/>
          <w:sz w:val="24"/>
          <w:szCs w:val="24"/>
          <w:u w:val="single"/>
        </w:rPr>
        <w:t xml:space="preserve"> </w:t>
      </w:r>
      <w:r>
        <w:rPr>
          <w:rFonts w:hint="eastAsia" w:ascii="宋体" w:hAnsi="宋体"/>
          <w:color w:val="auto"/>
          <w:sz w:val="24"/>
          <w:szCs w:val="24"/>
          <w:u w:val="single"/>
        </w:rPr>
        <w:t xml:space="preserve">                                       </w:t>
      </w:r>
    </w:p>
    <w:p>
      <w:pPr>
        <w:spacing w:line="360" w:lineRule="auto"/>
        <w:rPr>
          <w:rFonts w:hint="eastAsia" w:ascii="宋体" w:hAnsi="宋体"/>
          <w:color w:val="auto"/>
          <w:sz w:val="24"/>
          <w:szCs w:val="24"/>
        </w:rPr>
      </w:pPr>
    </w:p>
    <w:p>
      <w:pPr>
        <w:spacing w:line="360" w:lineRule="auto"/>
        <w:rPr>
          <w:rFonts w:hint="eastAsia" w:ascii="宋体" w:hAnsi="宋体"/>
          <w:color w:val="auto"/>
          <w:sz w:val="24"/>
          <w:szCs w:val="24"/>
        </w:rPr>
      </w:pPr>
      <w:r>
        <w:rPr>
          <w:rFonts w:hint="eastAsia" w:ascii="宋体" w:hAnsi="宋体"/>
          <w:b/>
          <w:color w:val="auto"/>
          <w:sz w:val="24"/>
          <w:szCs w:val="24"/>
        </w:rPr>
        <w:t>2、其它承诺</w:t>
      </w:r>
    </w:p>
    <w:p>
      <w:pPr>
        <w:spacing w:line="360" w:lineRule="auto"/>
        <w:rPr>
          <w:rFonts w:hint="eastAsia" w:ascii="宋体" w:hAnsi="宋体"/>
          <w:color w:val="auto"/>
          <w:sz w:val="24"/>
          <w:szCs w:val="24"/>
        </w:rPr>
      </w:pPr>
    </w:p>
    <w:p>
      <w:pPr>
        <w:spacing w:line="360" w:lineRule="auto"/>
        <w:rPr>
          <w:rFonts w:hint="eastAsia" w:ascii="宋体" w:hAnsi="宋体"/>
          <w:color w:val="auto"/>
          <w:sz w:val="24"/>
          <w:szCs w:val="24"/>
        </w:rPr>
      </w:pPr>
      <w:r>
        <w:rPr>
          <w:rFonts w:hint="eastAsia" w:ascii="宋体" w:hAnsi="宋体"/>
          <w:color w:val="auto"/>
          <w:sz w:val="24"/>
          <w:szCs w:val="24"/>
        </w:rPr>
        <w:t>其余部分均以已递交的响应文件为准。</w:t>
      </w:r>
    </w:p>
    <w:p>
      <w:pPr>
        <w:spacing w:line="360" w:lineRule="auto"/>
        <w:rPr>
          <w:rFonts w:hint="eastAsia" w:ascii="宋体" w:hAnsi="宋体"/>
          <w:color w:val="auto"/>
          <w:sz w:val="24"/>
          <w:szCs w:val="24"/>
        </w:rPr>
      </w:pPr>
    </w:p>
    <w:p>
      <w:pPr>
        <w:rPr>
          <w:rFonts w:hint="eastAsia" w:ascii="宋体" w:hAnsi="宋体"/>
          <w:b/>
          <w:color w:val="auto"/>
          <w:sz w:val="24"/>
          <w:szCs w:val="24"/>
        </w:rPr>
      </w:pPr>
      <w:r>
        <w:rPr>
          <w:rFonts w:hint="eastAsia" w:ascii="宋体" w:hAnsi="宋体"/>
          <w:b/>
          <w:color w:val="auto"/>
          <w:sz w:val="24"/>
          <w:szCs w:val="24"/>
        </w:rPr>
        <w:t>供应商全称</w:t>
      </w:r>
      <w:r>
        <w:rPr>
          <w:rFonts w:hint="eastAsia" w:ascii="宋体" w:hAnsi="宋体"/>
          <w:b/>
          <w:color w:val="auto"/>
          <w:sz w:val="24"/>
          <w:szCs w:val="24"/>
          <w:lang w:eastAsia="zh-CN"/>
        </w:rPr>
        <w:t>（加盖单位公章）</w:t>
      </w:r>
      <w:r>
        <w:rPr>
          <w:rFonts w:hint="eastAsia" w:ascii="宋体" w:hAnsi="宋体"/>
          <w:b/>
          <w:color w:val="auto"/>
          <w:sz w:val="24"/>
          <w:szCs w:val="24"/>
        </w:rPr>
        <w:t xml:space="preserve">： </w:t>
      </w:r>
    </w:p>
    <w:p>
      <w:pPr>
        <w:spacing w:line="360" w:lineRule="auto"/>
        <w:rPr>
          <w:rFonts w:hint="eastAsia" w:ascii="宋体" w:hAnsi="宋体"/>
          <w:b/>
          <w:color w:val="auto"/>
          <w:sz w:val="24"/>
          <w:szCs w:val="24"/>
        </w:rPr>
      </w:pPr>
    </w:p>
    <w:p>
      <w:pPr>
        <w:spacing w:line="360" w:lineRule="auto"/>
        <w:rPr>
          <w:rFonts w:hint="eastAsia" w:ascii="宋体" w:hAnsi="宋体"/>
          <w:b/>
          <w:color w:val="auto"/>
          <w:sz w:val="24"/>
          <w:szCs w:val="24"/>
        </w:rPr>
      </w:pPr>
    </w:p>
    <w:p>
      <w:pPr>
        <w:spacing w:line="360" w:lineRule="auto"/>
        <w:rPr>
          <w:rFonts w:hint="eastAsia" w:ascii="宋体" w:hAnsi="宋体"/>
          <w:b/>
          <w:color w:val="auto"/>
          <w:sz w:val="24"/>
          <w:szCs w:val="24"/>
        </w:rPr>
      </w:pPr>
      <w:r>
        <w:rPr>
          <w:rFonts w:hint="eastAsia" w:ascii="宋体" w:hAnsi="宋体"/>
          <w:b/>
          <w:color w:val="auto"/>
          <w:sz w:val="24"/>
          <w:szCs w:val="24"/>
        </w:rPr>
        <w:t>法定代表人或</w:t>
      </w:r>
      <w:r>
        <w:rPr>
          <w:rFonts w:hint="eastAsia" w:ascii="宋体" w:hAnsi="宋体"/>
          <w:b/>
          <w:color w:val="auto"/>
          <w:sz w:val="24"/>
          <w:szCs w:val="24"/>
          <w:lang w:val="en-US" w:eastAsia="zh-CN"/>
        </w:rPr>
        <w:t>其委托代理人</w:t>
      </w:r>
      <w:r>
        <w:rPr>
          <w:rFonts w:hint="eastAsia" w:ascii="宋体" w:hAnsi="宋体"/>
          <w:b/>
          <w:color w:val="auto"/>
          <w:sz w:val="24"/>
          <w:szCs w:val="24"/>
        </w:rPr>
        <w:t xml:space="preserve">(签字)：      </w:t>
      </w:r>
    </w:p>
    <w:p>
      <w:pPr>
        <w:spacing w:line="360" w:lineRule="auto"/>
        <w:rPr>
          <w:rFonts w:hint="eastAsia" w:ascii="宋体" w:hAnsi="宋体"/>
          <w:color w:val="auto"/>
          <w:sz w:val="24"/>
          <w:szCs w:val="24"/>
        </w:rPr>
      </w:pPr>
      <w:r>
        <w:rPr>
          <w:rFonts w:hint="eastAsia" w:ascii="宋体" w:hAnsi="宋体"/>
          <w:color w:val="auto"/>
          <w:sz w:val="24"/>
          <w:szCs w:val="24"/>
        </w:rPr>
        <w:t xml:space="preserve">                  </w:t>
      </w:r>
    </w:p>
    <w:p>
      <w:pPr>
        <w:spacing w:line="360" w:lineRule="auto"/>
        <w:rPr>
          <w:rFonts w:hint="eastAsia" w:ascii="宋体" w:hAnsi="宋体"/>
          <w:color w:val="auto"/>
          <w:sz w:val="24"/>
          <w:szCs w:val="24"/>
        </w:rPr>
      </w:pPr>
      <w:r>
        <w:rPr>
          <w:rFonts w:hint="eastAsia" w:ascii="宋体" w:hAnsi="宋体"/>
          <w:color w:val="auto"/>
          <w:sz w:val="24"/>
          <w:szCs w:val="24"/>
        </w:rPr>
        <w:t>日期：</w:t>
      </w:r>
      <w:r>
        <w:rPr>
          <w:rFonts w:hint="eastAsia" w:ascii="宋体" w:hAnsi="宋体"/>
          <w:color w:val="auto"/>
          <w:sz w:val="24"/>
          <w:szCs w:val="24"/>
          <w:lang w:val="en-US" w:eastAsia="zh-CN"/>
        </w:rPr>
        <w:t xml:space="preserve">    </w:t>
      </w:r>
      <w:r>
        <w:rPr>
          <w:rFonts w:hint="eastAsia" w:ascii="宋体" w:hAnsi="宋体"/>
          <w:color w:val="auto"/>
          <w:sz w:val="24"/>
          <w:szCs w:val="24"/>
        </w:rPr>
        <w:t>年</w:t>
      </w:r>
      <w:r>
        <w:rPr>
          <w:rFonts w:hint="eastAsia" w:ascii="宋体" w:hAnsi="宋体"/>
          <w:color w:val="auto"/>
          <w:sz w:val="24"/>
          <w:szCs w:val="24"/>
          <w:lang w:val="en-US" w:eastAsia="zh-CN"/>
        </w:rPr>
        <w:t xml:space="preserve">    </w:t>
      </w:r>
      <w:r>
        <w:rPr>
          <w:rFonts w:hint="eastAsia" w:ascii="宋体" w:hAnsi="宋体"/>
          <w:color w:val="auto"/>
          <w:sz w:val="24"/>
          <w:szCs w:val="24"/>
        </w:rPr>
        <w:t>月</w:t>
      </w:r>
      <w:r>
        <w:rPr>
          <w:rFonts w:hint="eastAsia" w:ascii="宋体" w:hAnsi="宋体"/>
          <w:color w:val="auto"/>
          <w:sz w:val="24"/>
          <w:szCs w:val="24"/>
          <w:lang w:val="en-US" w:eastAsia="zh-CN"/>
        </w:rPr>
        <w:t xml:space="preserve">   </w:t>
      </w:r>
      <w:r>
        <w:rPr>
          <w:rFonts w:hint="eastAsia" w:ascii="宋体" w:hAnsi="宋体"/>
          <w:color w:val="auto"/>
          <w:sz w:val="24"/>
          <w:szCs w:val="24"/>
        </w:rPr>
        <w:t>日</w:t>
      </w:r>
    </w:p>
    <w:p>
      <w:pPr>
        <w:spacing w:line="360" w:lineRule="auto"/>
        <w:rPr>
          <w:rFonts w:hint="eastAsia" w:ascii="宋体" w:hAnsi="宋体"/>
          <w:color w:val="auto"/>
        </w:rPr>
      </w:pPr>
    </w:p>
    <w:p>
      <w:pPr>
        <w:rPr>
          <w:rFonts w:hint="eastAsia" w:ascii="宋体" w:hAnsi="宋体"/>
          <w:color w:val="auto"/>
          <w:sz w:val="24"/>
        </w:rPr>
      </w:pPr>
      <w:r>
        <w:rPr>
          <w:rFonts w:hint="eastAsia" w:ascii="宋体" w:hAnsi="宋体"/>
          <w:color w:val="auto"/>
          <w:sz w:val="24"/>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olor w:val="auto"/>
          <w:sz w:val="24"/>
        </w:rPr>
      </w:pPr>
      <w:r>
        <w:rPr>
          <w:rFonts w:hint="eastAsia" w:ascii="宋体" w:hAnsi="宋体"/>
          <w:color w:val="auto"/>
          <w:sz w:val="24"/>
        </w:rPr>
        <w:t>注：</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olor w:val="auto"/>
          <w:sz w:val="24"/>
        </w:rPr>
      </w:pPr>
      <w:r>
        <w:rPr>
          <w:rFonts w:hint="eastAsia" w:ascii="宋体" w:hAnsi="宋体"/>
          <w:bCs/>
          <w:color w:val="auto"/>
          <w:sz w:val="24"/>
        </w:rPr>
        <w:t>1、所有报价用人民币元。</w:t>
      </w:r>
    </w:p>
    <w:p>
      <w:pPr>
        <w:snapToGrid w:val="0"/>
        <w:spacing w:line="360" w:lineRule="auto"/>
        <w:rPr>
          <w:rFonts w:hint="eastAsia" w:ascii="宋体" w:hAnsi="宋体" w:eastAsia="宋体"/>
          <w:b/>
          <w:color w:val="auto"/>
          <w:sz w:val="44"/>
          <w:szCs w:val="44"/>
          <w:lang w:eastAsia="zh-CN"/>
        </w:rPr>
        <w:sectPr>
          <w:footerReference r:id="rId5" w:type="default"/>
          <w:pgSz w:w="11906" w:h="16838"/>
          <w:pgMar w:top="1559" w:right="1559" w:bottom="999" w:left="1559" w:header="851" w:footer="992" w:gutter="0"/>
          <w:pgNumType w:fmt="decimal" w:start="1"/>
          <w:cols w:space="720" w:num="1"/>
          <w:docGrid w:type="lines" w:linePitch="312" w:charSpace="0"/>
        </w:sectPr>
      </w:pPr>
      <w:r>
        <w:rPr>
          <w:rFonts w:hint="eastAsia" w:ascii="宋体" w:hAnsi="宋体"/>
          <w:bCs/>
          <w:color w:val="auto"/>
          <w:sz w:val="24"/>
        </w:rPr>
        <w:t>2、</w:t>
      </w:r>
      <w:r>
        <w:rPr>
          <w:rFonts w:hint="eastAsia" w:ascii="宋体" w:hAnsi="宋体"/>
          <w:bCs/>
          <w:color w:val="auto"/>
          <w:sz w:val="24"/>
          <w:lang w:eastAsia="zh-CN"/>
        </w:rPr>
        <w:t>供应商</w:t>
      </w:r>
      <w:r>
        <w:rPr>
          <w:rFonts w:hint="eastAsia" w:ascii="宋体" w:hAnsi="宋体"/>
          <w:color w:val="auto"/>
          <w:sz w:val="24"/>
        </w:rPr>
        <w:t>将</w:t>
      </w:r>
      <w:r>
        <w:rPr>
          <w:rFonts w:hint="eastAsia" w:ascii="宋体" w:hAnsi="宋体"/>
          <w:bCs/>
          <w:color w:val="auto"/>
          <w:sz w:val="24"/>
        </w:rPr>
        <w:t>此表打印</w:t>
      </w:r>
      <w:r>
        <w:rPr>
          <w:rFonts w:hint="eastAsia" w:ascii="宋体" w:hAnsi="宋体"/>
          <w:bCs/>
          <w:color w:val="auto"/>
          <w:sz w:val="24"/>
          <w:lang w:val="en-US" w:eastAsia="zh-CN"/>
        </w:rPr>
        <w:t>并盖章</w:t>
      </w:r>
      <w:r>
        <w:rPr>
          <w:rFonts w:hint="eastAsia" w:ascii="宋体" w:hAnsi="宋体"/>
          <w:bCs/>
          <w:color w:val="auto"/>
          <w:sz w:val="24"/>
        </w:rPr>
        <w:t>2至3份，自带到谈判现场，填写</w:t>
      </w:r>
      <w:r>
        <w:rPr>
          <w:rFonts w:hint="eastAsia" w:ascii="宋体" w:hAnsi="宋体" w:cs="宋体"/>
          <w:color w:val="auto"/>
          <w:spacing w:val="15"/>
          <w:kern w:val="0"/>
          <w:sz w:val="24"/>
        </w:rPr>
        <w:t>第2轮</w:t>
      </w:r>
      <w:r>
        <w:rPr>
          <w:rFonts w:hint="eastAsia" w:ascii="宋体" w:hAnsi="宋体" w:cs="宋体"/>
          <w:color w:val="auto"/>
          <w:spacing w:val="15"/>
          <w:kern w:val="0"/>
          <w:sz w:val="24"/>
          <w:lang w:eastAsia="zh-CN"/>
        </w:rPr>
        <w:t>报价</w:t>
      </w:r>
      <w:r>
        <w:rPr>
          <w:rFonts w:hint="eastAsia" w:ascii="宋体" w:hAnsi="宋体" w:cs="宋体"/>
          <w:color w:val="auto"/>
          <w:spacing w:val="15"/>
          <w:kern w:val="0"/>
          <w:sz w:val="24"/>
        </w:rPr>
        <w:t>用。</w:t>
      </w:r>
      <w:r>
        <w:rPr>
          <w:rFonts w:hint="eastAsia" w:ascii="宋体" w:hAnsi="宋体" w:cs="宋体"/>
          <w:color w:val="auto"/>
          <w:spacing w:val="15"/>
          <w:kern w:val="0"/>
          <w:sz w:val="24"/>
          <w:lang w:eastAsia="zh-CN"/>
        </w:rPr>
        <w:t>无须胶装在响应文件中。</w:t>
      </w:r>
    </w:p>
    <w:p>
      <w:pPr>
        <w:pStyle w:val="3"/>
        <w:bidi w:val="0"/>
        <w:rPr>
          <w:rFonts w:hint="eastAsia"/>
          <w:color w:val="auto"/>
        </w:rPr>
      </w:pPr>
      <w:bookmarkStart w:id="226" w:name="_Toc13681"/>
      <w:r>
        <w:rPr>
          <w:rFonts w:hint="eastAsia"/>
          <w:color w:val="auto"/>
        </w:rPr>
        <w:t>第六章、评审办法</w:t>
      </w:r>
      <w:bookmarkEnd w:id="226"/>
    </w:p>
    <w:p>
      <w:pPr>
        <w:numPr>
          <w:ilvl w:val="0"/>
          <w:numId w:val="11"/>
        </w:numPr>
        <w:tabs>
          <w:tab w:val="left" w:pos="720"/>
        </w:tabs>
        <w:spacing w:line="480" w:lineRule="atLeast"/>
        <w:ind w:right="-105" w:rightChars="-50"/>
        <w:jc w:val="left"/>
        <w:rPr>
          <w:rFonts w:hint="eastAsia" w:ascii="宋体" w:hAnsi="宋体" w:eastAsia="宋体" w:cs="宋体"/>
          <w:b/>
          <w:color w:val="auto"/>
          <w:sz w:val="28"/>
          <w:szCs w:val="28"/>
        </w:rPr>
      </w:pPr>
      <w:r>
        <w:rPr>
          <w:rFonts w:hint="eastAsia" w:ascii="宋体" w:hAnsi="宋体" w:eastAsia="宋体" w:cs="宋体"/>
          <w:b/>
          <w:color w:val="auto"/>
          <w:sz w:val="28"/>
          <w:szCs w:val="28"/>
        </w:rPr>
        <w:t>评审原则</w:t>
      </w:r>
    </w:p>
    <w:p>
      <w:pPr>
        <w:tabs>
          <w:tab w:val="left" w:pos="420"/>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2、本次评审是以谈判文件，报价文件和谈判承诺文件和最终报价（即二次报价）为依据，按公正、科学、客观、平等竞争的要求，</w:t>
      </w:r>
      <w:r>
        <w:rPr>
          <w:rFonts w:hint="eastAsia" w:ascii="宋体" w:hAnsi="宋体" w:eastAsia="宋体" w:cs="宋体"/>
          <w:color w:val="auto"/>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1"/>
        </w:numPr>
        <w:tabs>
          <w:tab w:val="left" w:pos="720"/>
        </w:tabs>
        <w:spacing w:line="480" w:lineRule="atLeast"/>
        <w:ind w:right="-105" w:rightChars="-50"/>
        <w:jc w:val="left"/>
        <w:rPr>
          <w:rFonts w:hint="eastAsia" w:ascii="宋体" w:hAnsi="宋体" w:eastAsia="宋体" w:cs="宋体"/>
          <w:b/>
          <w:color w:val="auto"/>
          <w:sz w:val="24"/>
        </w:rPr>
      </w:pPr>
      <w:r>
        <w:rPr>
          <w:rFonts w:hint="eastAsia" w:ascii="宋体" w:hAnsi="宋体" w:eastAsia="宋体" w:cs="宋体"/>
          <w:b/>
          <w:color w:val="auto"/>
          <w:sz w:val="28"/>
          <w:szCs w:val="28"/>
        </w:rPr>
        <w:t>评审程序和评审方法</w:t>
      </w:r>
    </w:p>
    <w:p>
      <w:pPr>
        <w:tabs>
          <w:tab w:val="left" w:pos="720"/>
        </w:tabs>
        <w:spacing w:line="480" w:lineRule="atLeast"/>
        <w:ind w:left="418" w:leftChars="199"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评审程序分初步评审和谈判。</w:t>
      </w:r>
    </w:p>
    <w:p>
      <w:pPr>
        <w:numPr>
          <w:ilvl w:val="0"/>
          <w:numId w:val="12"/>
        </w:numPr>
        <w:spacing w:line="480" w:lineRule="atLeas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初步评审</w:t>
      </w:r>
    </w:p>
    <w:p>
      <w:pPr>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进入评审程序后，谈判小组先对报价人的报价文件进行初步评审。谈判小组将根据评审办法的规定和</w:t>
      </w:r>
      <w:r>
        <w:rPr>
          <w:rFonts w:hint="eastAsia" w:ascii="宋体" w:hAnsi="宋体" w:eastAsia="宋体" w:cs="宋体"/>
          <w:b/>
          <w:color w:val="auto"/>
          <w:sz w:val="24"/>
          <w:szCs w:val="24"/>
          <w:u w:val="single"/>
        </w:rPr>
        <w:t>初步审查表</w:t>
      </w:r>
      <w:r>
        <w:rPr>
          <w:rFonts w:hint="eastAsia" w:ascii="宋体" w:hAnsi="宋体" w:eastAsia="宋体" w:cs="宋体"/>
          <w:color w:val="auto"/>
          <w:sz w:val="24"/>
          <w:szCs w:val="24"/>
        </w:rPr>
        <w:t>的内容，对报价文件进行初步评审。</w:t>
      </w:r>
    </w:p>
    <w:p>
      <w:pPr>
        <w:tabs>
          <w:tab w:val="left" w:pos="720"/>
          <w:tab w:val="left" w:pos="3675"/>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出现下列情况的报价文件将被认定为不满足采购需求而不能通过初步审查：</w:t>
      </w:r>
    </w:p>
    <w:p>
      <w:pPr>
        <w:numPr>
          <w:ilvl w:val="0"/>
          <w:numId w:val="13"/>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报价人未提交报价保证金或金额不足、出具的证明不按谈判文件要求的；</w:t>
      </w:r>
    </w:p>
    <w:p>
      <w:pPr>
        <w:numPr>
          <w:ilvl w:val="0"/>
          <w:numId w:val="13"/>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资格证明文件不全的。 </w:t>
      </w:r>
    </w:p>
    <w:p>
      <w:pPr>
        <w:numPr>
          <w:ilvl w:val="0"/>
          <w:numId w:val="13"/>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报价文件无法人代表签字，或签字人无有效的法人代表授权书的；</w:t>
      </w:r>
    </w:p>
    <w:p>
      <w:pPr>
        <w:numPr>
          <w:ilvl w:val="0"/>
          <w:numId w:val="13"/>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报价文件有效期不足的；</w:t>
      </w:r>
    </w:p>
    <w:p>
      <w:pPr>
        <w:numPr>
          <w:ilvl w:val="0"/>
          <w:numId w:val="13"/>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非固定价格投标的；</w:t>
      </w:r>
    </w:p>
    <w:p>
      <w:pPr>
        <w:numPr>
          <w:ilvl w:val="0"/>
          <w:numId w:val="13"/>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不满足谈判文件规定的其它条件的。</w:t>
      </w:r>
    </w:p>
    <w:p>
      <w:pPr>
        <w:spacing w:line="480" w:lineRule="atLeast"/>
        <w:ind w:left="178" w:leftChars="85"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初步评审采用“一项否决”的原则，只有全部符合要求的才能通过初步评审。</w:t>
      </w:r>
    </w:p>
    <w:p>
      <w:pPr>
        <w:numPr>
          <w:ilvl w:val="0"/>
          <w:numId w:val="12"/>
        </w:numPr>
        <w:spacing w:line="480" w:lineRule="atLeast"/>
        <w:jc w:val="left"/>
        <w:rPr>
          <w:rFonts w:hint="eastAsia" w:ascii="宋体" w:hAnsi="宋体" w:eastAsia="宋体" w:cs="宋体"/>
          <w:b/>
          <w:color w:val="auto"/>
          <w:sz w:val="24"/>
          <w:szCs w:val="24"/>
        </w:rPr>
      </w:pPr>
      <w:r>
        <w:rPr>
          <w:rFonts w:hint="eastAsia" w:ascii="宋体" w:hAnsi="宋体" w:eastAsia="宋体" w:cs="宋体"/>
          <w:b/>
          <w:color w:val="auto"/>
          <w:sz w:val="24"/>
          <w:szCs w:val="24"/>
        </w:rPr>
        <w:t>谈判（二次报价）</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3、推荐成交候选人</w:t>
      </w:r>
    </w:p>
    <w:p>
      <w:pPr>
        <w:spacing w:line="360" w:lineRule="auto"/>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（2）如果有效报价达到3家或以上，</w:t>
      </w:r>
      <w:r>
        <w:rPr>
          <w:rFonts w:hint="eastAsia" w:ascii="宋体" w:hAnsi="宋体" w:eastAsia="宋体" w:cs="宋体"/>
          <w:color w:val="auto"/>
          <w:sz w:val="24"/>
        </w:rPr>
        <w:t>谈判小组从质量和服务均能满足采购文件实质性响应要求的供应商中，按照最后报价由低到高的顺序提出3名（含）以上成交候选人。</w:t>
      </w:r>
    </w:p>
    <w:p>
      <w:pPr>
        <w:numPr>
          <w:ilvl w:val="0"/>
          <w:numId w:val="11"/>
        </w:numPr>
        <w:spacing w:line="5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报价的核对</w:t>
      </w:r>
    </w:p>
    <w:p>
      <w:pPr>
        <w:tabs>
          <w:tab w:val="left" w:pos="72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4、节能产品：根据国务院办公厅关于建立政府强制采购节能产品制度的通知在同等条件下优先采购节能产品。</w:t>
      </w:r>
    </w:p>
    <w:p>
      <w:pPr>
        <w:numPr>
          <w:ilvl w:val="0"/>
          <w:numId w:val="11"/>
        </w:numPr>
        <w:spacing w:line="360" w:lineRule="auto"/>
        <w:ind w:right="420" w:right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谈判、评审过程的保密性。</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1"/>
        </w:numPr>
        <w:spacing w:line="360" w:lineRule="auto"/>
        <w:ind w:right="420" w:right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接受和拒绝任何或所有报价的权利。</w:t>
      </w:r>
    </w:p>
    <w:p>
      <w:pPr>
        <w:tabs>
          <w:tab w:val="left" w:pos="180"/>
          <w:tab w:val="left" w:pos="360"/>
        </w:tabs>
        <w:spacing w:line="360" w:lineRule="auto"/>
        <w:ind w:right="31" w:rightChars="15"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采购人保留在成交之前任何时候接受或拒绝任何报价，以及宣布竞争性谈判无效或拒绝所有报价的权力，对受影响的报价人不承担任何责任。</w:t>
      </w:r>
    </w:p>
    <w:p>
      <w:pPr>
        <w:numPr>
          <w:ilvl w:val="0"/>
          <w:numId w:val="11"/>
        </w:numPr>
        <w:spacing w:line="360" w:lineRule="auto"/>
        <w:ind w:right="420" w:right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变更技术方案的权利。</w:t>
      </w:r>
    </w:p>
    <w:p>
      <w:pPr>
        <w:tabs>
          <w:tab w:val="left" w:pos="180"/>
          <w:tab w:val="left" w:pos="360"/>
        </w:tabs>
        <w:spacing w:line="360" w:lineRule="auto"/>
        <w:ind w:right="31" w:rightChars="15"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hint="eastAsia" w:ascii="宋体" w:hAnsi="宋体" w:eastAsia="宋体" w:cs="宋体"/>
          <w:b/>
          <w:color w:val="auto"/>
          <w:sz w:val="44"/>
          <w:szCs w:val="44"/>
        </w:rPr>
      </w:pPr>
      <w:bookmarkStart w:id="227" w:name="_Toc301182590"/>
      <w:bookmarkStart w:id="228" w:name="_Toc481157517"/>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rPr>
          <w:rFonts w:hint="eastAsia" w:ascii="宋体" w:hAnsi="宋体" w:eastAsia="宋体" w:cs="宋体"/>
          <w:color w:val="auto"/>
        </w:rPr>
      </w:pPr>
      <w:r>
        <w:rPr>
          <w:rFonts w:hint="eastAsia" w:ascii="宋体" w:hAnsi="宋体" w:eastAsia="宋体" w:cs="宋体"/>
          <w:color w:val="auto"/>
        </w:rPr>
        <w:br w:type="page"/>
      </w:r>
    </w:p>
    <w:p>
      <w:pPr>
        <w:pStyle w:val="2"/>
        <w:jc w:val="center"/>
        <w:rPr>
          <w:rFonts w:hint="eastAsia" w:ascii="宋体" w:hAnsi="宋体" w:eastAsia="宋体" w:cs="宋体"/>
          <w:color w:val="auto"/>
        </w:rPr>
      </w:pPr>
      <w:bookmarkStart w:id="229" w:name="_Toc7063"/>
      <w:r>
        <w:rPr>
          <w:rFonts w:hint="eastAsia" w:ascii="宋体" w:hAnsi="宋体" w:eastAsia="宋体" w:cs="宋体"/>
          <w:color w:val="auto"/>
        </w:rPr>
        <w:t>附表1、初步审查表</w:t>
      </w:r>
      <w:bookmarkEnd w:id="227"/>
      <w:bookmarkEnd w:id="228"/>
      <w:bookmarkEnd w:id="229"/>
    </w:p>
    <w:p>
      <w:pPr>
        <w:numPr>
          <w:ilvl w:val="0"/>
          <w:numId w:val="14"/>
        </w:numPr>
        <w:spacing w:line="500" w:lineRule="exact"/>
        <w:ind w:left="420" w:leftChars="0" w:hanging="42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资格审查表</w:t>
      </w:r>
    </w:p>
    <w:p>
      <w:pPr>
        <w:bidi w:val="0"/>
        <w:rPr>
          <w:rFonts w:hint="eastAsia"/>
          <w:color w:val="auto"/>
        </w:rPr>
      </w:pPr>
    </w:p>
    <w:tbl>
      <w:tblPr>
        <w:tblStyle w:val="33"/>
        <w:tblW w:w="9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804"/>
        <w:gridCol w:w="4712"/>
        <w:gridCol w:w="884"/>
        <w:gridCol w:w="883"/>
        <w:gridCol w:w="938"/>
      </w:tblGrid>
      <w:tr>
        <w:tblPrEx>
          <w:tblLayout w:type="fixed"/>
          <w:tblCellMar>
            <w:top w:w="0" w:type="dxa"/>
            <w:left w:w="108" w:type="dxa"/>
            <w:bottom w:w="0" w:type="dxa"/>
            <w:right w:w="108" w:type="dxa"/>
          </w:tblCellMar>
        </w:tblPrEx>
        <w:trPr>
          <w:trHeight w:val="44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4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供应商1</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供应商2</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供应商3</w:t>
            </w:r>
          </w:p>
        </w:tc>
      </w:tr>
      <w:tr>
        <w:tblPrEx>
          <w:tblLayout w:type="fixed"/>
          <w:tblCellMar>
            <w:top w:w="0" w:type="dxa"/>
            <w:left w:w="108" w:type="dxa"/>
            <w:bottom w:w="0" w:type="dxa"/>
            <w:right w:w="108" w:type="dxa"/>
          </w:tblCellMar>
        </w:tblPrEx>
        <w:trPr>
          <w:trHeight w:val="2006"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1</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营业执照</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在中华人民共和国注册的、具有独立承担民事责任能力的法人（提供营业执照副本、税务登记证副本和组织机构代码证。“一照三号”或“一照一码”的营业执照副本也视为同等有效证明证件复印件加盖公章）</w:t>
            </w:r>
          </w:p>
        </w:tc>
        <w:tc>
          <w:tcPr>
            <w:tcW w:w="8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539"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2</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承诺函</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具有履行合同所必需的设备和专业</w:t>
            </w:r>
            <w:r>
              <w:rPr>
                <w:rFonts w:hint="eastAsia" w:ascii="宋体" w:hAnsi="宋体" w:cs="宋体"/>
                <w:color w:val="auto"/>
                <w:sz w:val="24"/>
                <w:szCs w:val="24"/>
                <w:lang w:val="en-US" w:eastAsia="zh-CN"/>
              </w:rPr>
              <w:t>售后</w:t>
            </w:r>
            <w:r>
              <w:rPr>
                <w:rFonts w:hint="eastAsia" w:ascii="宋体" w:hAnsi="宋体" w:eastAsia="宋体" w:cs="宋体"/>
                <w:color w:val="auto"/>
                <w:sz w:val="24"/>
                <w:szCs w:val="24"/>
              </w:rPr>
              <w:t>技术能力</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提供承诺函</w:t>
            </w:r>
            <w:r>
              <w:rPr>
                <w:rFonts w:hint="eastAsia" w:ascii="宋体" w:hAnsi="宋体" w:cs="宋体"/>
                <w:color w:val="auto"/>
                <w:sz w:val="24"/>
                <w:szCs w:val="24"/>
                <w:lang w:eastAsia="zh-CN"/>
              </w:rPr>
              <w:t>）</w:t>
            </w:r>
          </w:p>
        </w:tc>
        <w:tc>
          <w:tcPr>
            <w:tcW w:w="8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119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3</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财务制度</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具有良好的商业信誉和健全的财务会计制度</w:t>
            </w:r>
            <w:r>
              <w:rPr>
                <w:rFonts w:hint="eastAsia" w:ascii="宋体" w:hAnsi="宋体" w:cs="宋体"/>
                <w:color w:val="auto"/>
                <w:sz w:val="24"/>
                <w:szCs w:val="24"/>
                <w:lang w:eastAsia="zh-CN"/>
              </w:rPr>
              <w:t>（</w:t>
            </w:r>
            <w:r>
              <w:rPr>
                <w:rFonts w:hint="eastAsia" w:ascii="宋体" w:hAnsi="宋体" w:eastAsia="宋体" w:cs="宋体"/>
                <w:color w:val="auto"/>
                <w:sz w:val="24"/>
                <w:szCs w:val="24"/>
              </w:rPr>
              <w:t>提供2020年至今任意1个月或季度的企业出具的财务报表</w:t>
            </w:r>
            <w:r>
              <w:rPr>
                <w:rFonts w:hint="eastAsia" w:ascii="宋体" w:hAnsi="宋体" w:eastAsia="宋体" w:cs="宋体"/>
                <w:color w:val="auto"/>
                <w:sz w:val="24"/>
                <w:szCs w:val="24"/>
                <w:lang w:val="en-GB"/>
              </w:rPr>
              <w:t>复印件加盖公章</w:t>
            </w:r>
            <w:r>
              <w:rPr>
                <w:rFonts w:hint="eastAsia" w:ascii="宋体" w:hAnsi="宋体" w:cs="宋体"/>
                <w:color w:val="auto"/>
                <w:sz w:val="24"/>
                <w:szCs w:val="24"/>
                <w:lang w:eastAsia="zh-CN"/>
              </w:rPr>
              <w:t>）</w:t>
            </w:r>
          </w:p>
        </w:tc>
        <w:tc>
          <w:tcPr>
            <w:tcW w:w="8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76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4</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税收及社保</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缴纳记录</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有依法缴纳税收和社会保障资金的良好记录</w:t>
            </w:r>
            <w:r>
              <w:rPr>
                <w:rFonts w:hint="eastAsia" w:ascii="宋体" w:hAnsi="宋体" w:cs="宋体"/>
                <w:color w:val="auto"/>
                <w:sz w:val="24"/>
                <w:szCs w:val="24"/>
                <w:lang w:eastAsia="zh-CN"/>
              </w:rPr>
              <w:t>（</w:t>
            </w:r>
            <w:r>
              <w:rPr>
                <w:rFonts w:hint="eastAsia" w:ascii="宋体" w:hAnsi="宋体" w:eastAsia="宋体" w:cs="宋体"/>
                <w:color w:val="auto"/>
                <w:sz w:val="24"/>
                <w:szCs w:val="24"/>
              </w:rPr>
              <w:t>提供2020年至今任意1个月的纳税、社保缴纳记录凭证</w:t>
            </w:r>
            <w:r>
              <w:rPr>
                <w:rFonts w:hint="eastAsia" w:ascii="宋体" w:hAnsi="宋体" w:eastAsia="宋体" w:cs="宋体"/>
                <w:color w:val="auto"/>
                <w:sz w:val="24"/>
                <w:szCs w:val="24"/>
                <w:lang w:val="en-GB"/>
              </w:rPr>
              <w:t>复印件加盖公章</w:t>
            </w:r>
            <w:r>
              <w:rPr>
                <w:rFonts w:hint="eastAsia" w:ascii="宋体" w:hAnsi="宋体" w:cs="宋体"/>
                <w:color w:val="auto"/>
                <w:sz w:val="24"/>
                <w:szCs w:val="24"/>
                <w:lang w:eastAsia="zh-CN"/>
              </w:rPr>
              <w:t>）</w:t>
            </w:r>
          </w:p>
        </w:tc>
        <w:tc>
          <w:tcPr>
            <w:tcW w:w="8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877"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5</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声明函</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参加政府采购活动前三年内，在经营活动中没有重大违法记录</w:t>
            </w:r>
            <w:r>
              <w:rPr>
                <w:rFonts w:hint="eastAsia" w:ascii="宋体" w:hAnsi="宋体" w:cs="宋体"/>
                <w:bCs/>
                <w:color w:val="auto"/>
                <w:sz w:val="24"/>
                <w:szCs w:val="24"/>
                <w:lang w:eastAsia="zh-CN"/>
              </w:rPr>
              <w:t>（</w:t>
            </w:r>
            <w:r>
              <w:rPr>
                <w:rFonts w:hint="eastAsia" w:ascii="宋体" w:hAnsi="宋体" w:eastAsia="宋体" w:cs="宋体"/>
                <w:color w:val="auto"/>
                <w:sz w:val="24"/>
                <w:szCs w:val="24"/>
              </w:rPr>
              <w:t>提供声明函加盖公章</w:t>
            </w:r>
            <w:r>
              <w:rPr>
                <w:rFonts w:hint="eastAsia" w:ascii="宋体" w:hAnsi="宋体" w:cs="宋体"/>
                <w:bCs/>
                <w:color w:val="auto"/>
                <w:sz w:val="24"/>
                <w:szCs w:val="24"/>
                <w:lang w:eastAsia="zh-CN"/>
              </w:rPr>
              <w:t>）</w:t>
            </w:r>
          </w:p>
        </w:tc>
        <w:tc>
          <w:tcPr>
            <w:tcW w:w="8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9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6</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jc w:val="center"/>
              <w:textAlignment w:val="top"/>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信用</w:t>
            </w:r>
            <w:r>
              <w:rPr>
                <w:rFonts w:hint="eastAsia" w:ascii="宋体" w:hAnsi="宋体" w:eastAsia="宋体" w:cs="宋体"/>
                <w:bCs/>
                <w:color w:val="auto"/>
                <w:sz w:val="24"/>
                <w:szCs w:val="24"/>
                <w:lang w:val="en-US" w:eastAsia="zh-CN"/>
              </w:rPr>
              <w:t>中国及中国政府采购网查询</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供应商必须为未被列入“信用中国”网站(www.creditchina.gov.cn)失信被执行人、政府采购严重违法失信名单、重大税收违法案件当事人名单和中国政府采购网( www.ccgp.gov.cn ) 的“政府采购严重违法失信行为记录名单”的供应商</w:t>
            </w:r>
            <w:r>
              <w:rPr>
                <w:rFonts w:hint="eastAsia" w:ascii="宋体" w:hAnsi="宋体" w:cs="宋体"/>
                <w:bCs/>
                <w:color w:val="auto"/>
                <w:sz w:val="24"/>
                <w:szCs w:val="24"/>
                <w:lang w:eastAsia="zh-CN"/>
              </w:rPr>
              <w:t>（</w:t>
            </w:r>
            <w:r>
              <w:rPr>
                <w:rFonts w:hint="eastAsia" w:ascii="宋体" w:hAnsi="宋体" w:eastAsia="宋体" w:cs="宋体"/>
                <w:color w:val="auto"/>
                <w:sz w:val="24"/>
                <w:szCs w:val="24"/>
              </w:rPr>
              <w:t>提供查询结果的网页打印件加盖公章。查询截止时间：自公告发布之日起至响应文件递交截止时间前</w:t>
            </w:r>
            <w:r>
              <w:rPr>
                <w:rFonts w:hint="eastAsia" w:ascii="宋体" w:hAnsi="宋体" w:eastAsia="宋体" w:cs="宋体"/>
                <w:color w:val="auto"/>
                <w:sz w:val="24"/>
                <w:szCs w:val="24"/>
                <w:lang w:eastAsia="zh-CN"/>
              </w:rPr>
              <w:t>）</w:t>
            </w:r>
          </w:p>
        </w:tc>
        <w:tc>
          <w:tcPr>
            <w:tcW w:w="8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9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7</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资质要求</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供应商具有医疗器械生产（或经营）许可证（提供许可证复印件加盖公章）</w:t>
            </w:r>
          </w:p>
        </w:tc>
        <w:tc>
          <w:tcPr>
            <w:tcW w:w="8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53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8</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其它</w:t>
            </w:r>
          </w:p>
        </w:tc>
        <w:tc>
          <w:tcPr>
            <w:tcW w:w="4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是否有其它无效响应认定的条件</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p>
        </w:tc>
      </w:tr>
      <w:tr>
        <w:tblPrEx>
          <w:tblLayout w:type="fixed"/>
          <w:tblCellMar>
            <w:top w:w="0" w:type="dxa"/>
            <w:left w:w="108" w:type="dxa"/>
            <w:bottom w:w="0" w:type="dxa"/>
            <w:right w:w="108" w:type="dxa"/>
          </w:tblCellMar>
        </w:tblPrEx>
        <w:trPr>
          <w:trHeight w:val="546" w:hRule="atLeast"/>
          <w:jc w:val="center"/>
        </w:trPr>
        <w:tc>
          <w:tcPr>
            <w:tcW w:w="71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b/>
                <w:color w:val="auto"/>
                <w:sz w:val="24"/>
                <w:szCs w:val="24"/>
              </w:rPr>
              <w:t>结       论</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p>
        </w:tc>
      </w:tr>
    </w:tbl>
    <w:p>
      <w:pPr>
        <w:rPr>
          <w:rFonts w:hint="eastAsia" w:ascii="宋体" w:hAnsi="宋体" w:eastAsia="宋体" w:cs="宋体"/>
          <w:color w:val="auto"/>
          <w:sz w:val="24"/>
          <w:szCs w:val="24"/>
        </w:rPr>
      </w:pPr>
    </w:p>
    <w:p>
      <w:pPr>
        <w:spacing w:line="460" w:lineRule="exact"/>
        <w:ind w:firstLine="482" w:firstLineChars="200"/>
        <w:rPr>
          <w:rFonts w:hint="eastAsia" w:ascii="宋体" w:hAnsi="宋体" w:eastAsia="宋体" w:cs="宋体"/>
          <w:b/>
          <w:color w:val="auto"/>
          <w:sz w:val="24"/>
          <w:szCs w:val="24"/>
        </w:rPr>
      </w:pPr>
      <w:bookmarkStart w:id="230" w:name="_Toc413606705"/>
      <w:r>
        <w:rPr>
          <w:rFonts w:hint="eastAsia" w:ascii="宋体" w:hAnsi="宋体" w:eastAsia="宋体" w:cs="宋体"/>
          <w:b/>
          <w:color w:val="auto"/>
          <w:sz w:val="24"/>
          <w:szCs w:val="24"/>
        </w:rPr>
        <w:t>注：资格审查内容中的每一项均为必需条件，请各供应商仔细对照，如有其中任何一项不满足，均会导致资格预审不合格，请认真对待！</w:t>
      </w:r>
      <w:bookmarkEnd w:id="230"/>
    </w:p>
    <w:p>
      <w:pPr>
        <w:shd w:val="clear" w:color="auto" w:fill="FFFFFF"/>
        <w:snapToGrid w:val="0"/>
        <w:spacing w:line="44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1、在表中的各项只需填写“√/通过”或“×/不通过”。</w:t>
      </w:r>
    </w:p>
    <w:p>
      <w:pPr>
        <w:shd w:val="clear" w:color="auto" w:fill="FFFFFF"/>
        <w:snapToGrid w:val="0"/>
        <w:spacing w:line="44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2、在结论中按“一项否决”的原则，只有全部是√/通过的，填写“合格”；只要其中有一项是×/不通过的，填写“不合格”。</w:t>
      </w:r>
    </w:p>
    <w:p>
      <w:pPr>
        <w:shd w:val="clear" w:color="auto" w:fill="FFFFFF"/>
        <w:snapToGrid w:val="0"/>
        <w:spacing w:line="44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3、结论是合格的，才能进入下一轮；不合格的被淘汰。</w:t>
      </w:r>
    </w:p>
    <w:p>
      <w:pPr>
        <w:spacing w:line="500" w:lineRule="exact"/>
        <w:ind w:firstLine="480" w:firstLineChars="200"/>
        <w:jc w:val="center"/>
        <w:rPr>
          <w:rFonts w:hint="eastAsia" w:ascii="宋体" w:hAnsi="宋体" w:eastAsia="宋体" w:cs="宋体"/>
          <w:b/>
          <w:color w:val="auto"/>
          <w:sz w:val="24"/>
          <w:szCs w:val="24"/>
        </w:rPr>
      </w:pPr>
      <w:r>
        <w:rPr>
          <w:rFonts w:hint="eastAsia" w:ascii="宋体" w:hAnsi="宋体" w:eastAsia="宋体" w:cs="宋体"/>
          <w:color w:val="auto"/>
          <w:sz w:val="24"/>
          <w:szCs w:val="24"/>
        </w:rPr>
        <w:br w:type="page"/>
      </w:r>
      <w:r>
        <w:rPr>
          <w:rFonts w:hint="eastAsia" w:ascii="宋体" w:hAnsi="宋体" w:eastAsia="宋体" w:cs="宋体"/>
          <w:b/>
          <w:bCs/>
          <w:color w:val="auto"/>
          <w:sz w:val="24"/>
          <w:szCs w:val="24"/>
        </w:rPr>
        <w:t>符合性审查表</w:t>
      </w:r>
    </w:p>
    <w:tbl>
      <w:tblPr>
        <w:tblStyle w:val="33"/>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284"/>
        <w:gridCol w:w="3740"/>
        <w:gridCol w:w="1069"/>
        <w:gridCol w:w="105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3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供应商1</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供应商2</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1</w:t>
            </w:r>
          </w:p>
        </w:tc>
        <w:tc>
          <w:tcPr>
            <w:tcW w:w="2284" w:type="dxa"/>
            <w:tcBorders>
              <w:top w:val="single" w:color="auto" w:sz="4" w:space="0"/>
              <w:left w:val="single" w:color="auto" w:sz="4" w:space="0"/>
              <w:bottom w:val="single" w:color="auto" w:sz="4" w:space="0"/>
              <w:right w:val="single" w:color="auto" w:sz="4" w:space="0"/>
            </w:tcBorders>
          </w:tcPr>
          <w:p>
            <w:pPr>
              <w:shd w:val="clear" w:color="auto" w:fill="FFFFFF"/>
              <w:spacing w:line="5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响应文件的有效性、完整性</w:t>
            </w:r>
          </w:p>
        </w:tc>
        <w:tc>
          <w:tcPr>
            <w:tcW w:w="3740" w:type="dxa"/>
            <w:tcBorders>
              <w:top w:val="single" w:color="auto" w:sz="4" w:space="0"/>
              <w:left w:val="single" w:color="auto" w:sz="4" w:space="0"/>
              <w:bottom w:val="single" w:color="auto" w:sz="4" w:space="0"/>
              <w:right w:val="single" w:color="auto" w:sz="4" w:space="0"/>
            </w:tcBorders>
          </w:tcPr>
          <w:p>
            <w:pPr>
              <w:shd w:val="clear" w:color="auto" w:fill="FFFFFF"/>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是否符合</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文件的样式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格式</w:t>
            </w:r>
            <w:r>
              <w:rPr>
                <w:rFonts w:hint="eastAsia" w:ascii="宋体" w:hAnsi="宋体" w:eastAsia="宋体" w:cs="宋体"/>
                <w:color w:val="auto"/>
                <w:sz w:val="24"/>
                <w:szCs w:val="24"/>
              </w:rPr>
              <w:t>和签署要求且内容完整无缺漏</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2</w:t>
            </w:r>
          </w:p>
        </w:tc>
        <w:tc>
          <w:tcPr>
            <w:tcW w:w="22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响应保证金</w:t>
            </w:r>
          </w:p>
        </w:tc>
        <w:tc>
          <w:tcPr>
            <w:tcW w:w="37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是否按要求提交响应保证金证明的</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3</w:t>
            </w:r>
          </w:p>
        </w:tc>
        <w:tc>
          <w:tcPr>
            <w:tcW w:w="22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响应有效期</w:t>
            </w:r>
          </w:p>
        </w:tc>
        <w:tc>
          <w:tcPr>
            <w:tcW w:w="37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宋体" w:hAnsi="宋体" w:eastAsia="宋体" w:cs="宋体"/>
                <w:color w:val="auto"/>
                <w:sz w:val="24"/>
                <w:szCs w:val="24"/>
                <w:lang w:val="en-US" w:eastAsia="zh-CN"/>
              </w:rPr>
            </w:pPr>
            <w:r>
              <w:rPr>
                <w:rFonts w:hint="eastAsia" w:ascii="宋体" w:hAnsi="宋体" w:eastAsia="宋体" w:cs="宋体"/>
                <w:bCs/>
                <w:color w:val="auto"/>
                <w:sz w:val="24"/>
                <w:szCs w:val="24"/>
              </w:rPr>
              <w:t>响应</w:t>
            </w:r>
            <w:r>
              <w:rPr>
                <w:rFonts w:hint="eastAsia" w:ascii="宋体" w:hAnsi="宋体" w:eastAsia="宋体" w:cs="宋体"/>
                <w:color w:val="auto"/>
                <w:sz w:val="24"/>
                <w:szCs w:val="24"/>
              </w:rPr>
              <w:t>有效期是否</w:t>
            </w:r>
            <w:r>
              <w:rPr>
                <w:rFonts w:hint="eastAsia" w:ascii="宋体" w:hAnsi="宋体" w:cs="宋体"/>
                <w:color w:val="auto"/>
                <w:sz w:val="24"/>
                <w:szCs w:val="24"/>
                <w:lang w:val="en-US" w:eastAsia="zh-CN"/>
              </w:rPr>
              <w:t>谈判文件要求</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4</w:t>
            </w:r>
          </w:p>
        </w:tc>
        <w:tc>
          <w:tcPr>
            <w:tcW w:w="22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交货期</w:t>
            </w:r>
            <w:r>
              <w:rPr>
                <w:rFonts w:hint="eastAsia" w:ascii="宋体" w:hAnsi="宋体" w:cs="宋体"/>
                <w:bCs/>
                <w:color w:val="auto"/>
                <w:sz w:val="24"/>
                <w:szCs w:val="24"/>
                <w:lang w:val="en-US" w:eastAsia="zh-CN"/>
              </w:rPr>
              <w:t>及质保期</w:t>
            </w:r>
          </w:p>
        </w:tc>
        <w:tc>
          <w:tcPr>
            <w:tcW w:w="37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是否满足</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文件要求</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5</w:t>
            </w:r>
          </w:p>
        </w:tc>
        <w:tc>
          <w:tcPr>
            <w:tcW w:w="2284" w:type="dxa"/>
            <w:tcBorders>
              <w:top w:val="single" w:color="auto" w:sz="4" w:space="0"/>
              <w:left w:val="single" w:color="auto" w:sz="4" w:space="0"/>
              <w:bottom w:val="single" w:color="auto" w:sz="4" w:space="0"/>
              <w:right w:val="single" w:color="auto" w:sz="4" w:space="0"/>
            </w:tcBorders>
            <w:vAlign w:val="center"/>
          </w:tcPr>
          <w:p>
            <w:pPr>
              <w:spacing w:beforeLines="30" w:afterLines="30" w:line="5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响应报价完整性、有效性</w:t>
            </w:r>
          </w:p>
        </w:tc>
        <w:tc>
          <w:tcPr>
            <w:tcW w:w="37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响应</w:t>
            </w:r>
            <w:r>
              <w:rPr>
                <w:rFonts w:hint="eastAsia" w:ascii="宋体" w:hAnsi="宋体" w:eastAsia="宋体" w:cs="宋体"/>
                <w:color w:val="auto"/>
                <w:sz w:val="24"/>
                <w:szCs w:val="24"/>
              </w:rPr>
              <w:t>报价是否满足</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文件要求（报价有效、不漏项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不超出采购预算）</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6</w:t>
            </w:r>
          </w:p>
        </w:tc>
        <w:tc>
          <w:tcPr>
            <w:tcW w:w="22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实质性响应</w:t>
            </w:r>
          </w:p>
        </w:tc>
        <w:tc>
          <w:tcPr>
            <w:tcW w:w="37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所投产品</w:t>
            </w:r>
            <w:r>
              <w:rPr>
                <w:rFonts w:hint="eastAsia" w:ascii="宋体" w:hAnsi="宋体" w:eastAsia="宋体" w:cs="宋体"/>
                <w:color w:val="auto"/>
                <w:sz w:val="24"/>
                <w:szCs w:val="24"/>
              </w:rPr>
              <w:t xml:space="preserve">是否能完全满足第三章采购需求的要求，无重大负偏离； </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7</w:t>
            </w:r>
          </w:p>
        </w:tc>
        <w:tc>
          <w:tcPr>
            <w:tcW w:w="22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sz w:val="24"/>
                <w:szCs w:val="24"/>
              </w:rPr>
            </w:pPr>
            <w:r>
              <w:rPr>
                <w:rFonts w:hint="eastAsia" w:ascii="宋体" w:hAnsi="宋体" w:eastAsia="宋体" w:cs="宋体"/>
                <w:color w:val="auto"/>
                <w:sz w:val="24"/>
                <w:szCs w:val="24"/>
              </w:rPr>
              <w:t>其它</w:t>
            </w:r>
          </w:p>
        </w:tc>
        <w:tc>
          <w:tcPr>
            <w:tcW w:w="37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是否有其它无效报价认定条件</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5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b/>
                <w:color w:val="auto"/>
                <w:sz w:val="24"/>
                <w:szCs w:val="24"/>
              </w:rPr>
              <w:t>结       论</w:t>
            </w:r>
          </w:p>
        </w:tc>
        <w:tc>
          <w:tcPr>
            <w:tcW w:w="1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rPr>
            </w:pPr>
          </w:p>
        </w:tc>
      </w:tr>
    </w:tbl>
    <w:p>
      <w:pPr>
        <w:rPr>
          <w:rFonts w:hint="eastAsia" w:ascii="宋体" w:hAnsi="宋体" w:eastAsia="宋体" w:cs="宋体"/>
          <w:color w:val="auto"/>
          <w:sz w:val="24"/>
          <w:szCs w:val="24"/>
        </w:rPr>
      </w:pPr>
    </w:p>
    <w:p>
      <w:pPr>
        <w:spacing w:line="4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注：</w:t>
      </w:r>
      <w:r>
        <w:rPr>
          <w:rFonts w:hint="eastAsia" w:ascii="宋体" w:hAnsi="宋体" w:eastAsia="宋体" w:cs="宋体"/>
          <w:b/>
          <w:color w:val="auto"/>
          <w:sz w:val="24"/>
          <w:szCs w:val="24"/>
          <w:lang w:val="en-US" w:eastAsia="zh-CN"/>
        </w:rPr>
        <w:t>符合性</w:t>
      </w:r>
      <w:r>
        <w:rPr>
          <w:rFonts w:hint="eastAsia" w:ascii="宋体" w:hAnsi="宋体" w:eastAsia="宋体" w:cs="宋体"/>
          <w:b/>
          <w:color w:val="auto"/>
          <w:sz w:val="24"/>
          <w:szCs w:val="24"/>
        </w:rPr>
        <w:t>审查内容中的每一项均为必需条件，请各供应商仔细对照，如有其中任何一项不满足，均会导致</w:t>
      </w:r>
      <w:r>
        <w:rPr>
          <w:rFonts w:hint="eastAsia" w:ascii="宋体" w:hAnsi="宋体" w:eastAsia="宋体" w:cs="宋体"/>
          <w:b/>
          <w:color w:val="auto"/>
          <w:sz w:val="24"/>
          <w:szCs w:val="24"/>
          <w:lang w:val="en-US" w:eastAsia="zh-CN"/>
        </w:rPr>
        <w:t>符合性</w:t>
      </w:r>
      <w:r>
        <w:rPr>
          <w:rFonts w:hint="eastAsia" w:ascii="宋体" w:hAnsi="宋体" w:eastAsia="宋体" w:cs="宋体"/>
          <w:b/>
          <w:color w:val="auto"/>
          <w:sz w:val="24"/>
          <w:szCs w:val="24"/>
        </w:rPr>
        <w:t>审</w:t>
      </w:r>
      <w:r>
        <w:rPr>
          <w:rFonts w:hint="eastAsia" w:ascii="宋体" w:hAnsi="宋体" w:eastAsia="宋体" w:cs="宋体"/>
          <w:b/>
          <w:color w:val="auto"/>
          <w:sz w:val="24"/>
          <w:szCs w:val="24"/>
          <w:lang w:val="en-US" w:eastAsia="zh-CN"/>
        </w:rPr>
        <w:t>查</w:t>
      </w:r>
      <w:r>
        <w:rPr>
          <w:rFonts w:hint="eastAsia" w:ascii="宋体" w:hAnsi="宋体" w:eastAsia="宋体" w:cs="宋体"/>
          <w:b/>
          <w:color w:val="auto"/>
          <w:sz w:val="24"/>
          <w:szCs w:val="24"/>
        </w:rPr>
        <w:t>不合格，请认真对待！</w:t>
      </w:r>
    </w:p>
    <w:p>
      <w:pPr>
        <w:shd w:val="clear" w:color="auto" w:fill="FFFFFF"/>
        <w:snapToGrid w:val="0"/>
        <w:spacing w:line="44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1、在表中的各项只需填写“√/通过”或“×/不通过”。</w:t>
      </w:r>
    </w:p>
    <w:p>
      <w:pPr>
        <w:shd w:val="clear" w:color="auto" w:fill="FFFFFF"/>
        <w:snapToGrid w:val="0"/>
        <w:spacing w:line="44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2、在结论中按“一项否决”的原则，只有全部是√/通过的，填写“合格”；只要其中有一项是×/不通过的，填写“不合格”。</w:t>
      </w:r>
    </w:p>
    <w:p>
      <w:pPr>
        <w:shd w:val="clear" w:color="auto" w:fill="FFFFFF"/>
        <w:snapToGrid w:val="0"/>
        <w:spacing w:line="44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3、结论是合格的，才能进入下一轮；不合格的被淘汰。</w:t>
      </w: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rPr>
          <w:rFonts w:hint="eastAsia" w:ascii="宋体" w:hAnsi="宋体" w:eastAsia="宋体" w:cs="宋体"/>
          <w:color w:val="auto"/>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Light">
    <w:panose1 w:val="02010600030101010101"/>
    <w:charset w:val="86"/>
    <w:family w:val="swiss"/>
    <w:pitch w:val="default"/>
    <w:sig w:usb0="00000000" w:usb1="00000000" w:usb2="00000016" w:usb3="00000000" w:csb0="0004000F" w:csb1="00000000"/>
  </w:font>
  <w:font w:name="等线">
    <w:panose1 w:val="02010600030101010101"/>
    <w:charset w:val="86"/>
    <w:family w:val="auto"/>
    <w:pitch w:val="default"/>
    <w:sig w:usb0="00000000" w:usb1="00000000" w:usb2="00000016" w:usb3="00000000" w:csb0="0004000F" w:csb1="00000000"/>
  </w:font>
  <w:font w:name="Verdana">
    <w:panose1 w:val="020B0604030504040204"/>
    <w:charset w:val="00"/>
    <w:family w:val="roman"/>
    <w:pitch w:val="default"/>
    <w:sig w:usb0="00000000" w:usb1="00000000" w:usb2="00000010" w:usb3="00000000" w:csb0="2000019F" w:csb1="00000000"/>
  </w:font>
  <w:font w:name="新宋体">
    <w:panose1 w:val="02010609030101010101"/>
    <w:charset w:val="86"/>
    <w:family w:val="decorative"/>
    <w:pitch w:val="default"/>
    <w:sig w:usb0="00000000" w:usb1="00000000" w:usb2="00000006" w:usb3="00000000" w:csb0="00040001" w:csb1="00000000"/>
  </w:font>
  <w:font w:name="Tahoma">
    <w:panose1 w:val="020B0604030504040204"/>
    <w:charset w:val="00"/>
    <w:family w:val="roman"/>
    <w:pitch w:val="default"/>
    <w:sig w:usb0="00000000" w:usb1="00000000" w:usb2="00000029" w:usb3="00000000" w:csb0="200101FF" w:csb1="20280000"/>
  </w:font>
  <w:font w:name="方正兰亭黑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5239230"/>
                          </w:sdtPr>
                          <w:sdtContent>
                            <w:p>
                              <w:pPr>
                                <w:pStyle w:val="15"/>
                                <w:jc w:val="center"/>
                              </w:pPr>
                              <w:r>
                                <w:fldChar w:fldCharType="begin"/>
                              </w:r>
                              <w:r>
                                <w:instrText xml:space="preserve">PAGE   \* MERGEFORMAT</w:instrText>
                              </w:r>
                              <w:r>
                                <w:fldChar w:fldCharType="separate"/>
                              </w:r>
                              <w:r>
                                <w:rPr>
                                  <w:lang w:val="zh-CN"/>
                                </w:rPr>
                                <w:t>36</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2045239230"/>
                    </w:sdtPr>
                    <w:sdtContent>
                      <w:p>
                        <w:pPr>
                          <w:pStyle w:val="15"/>
                          <w:jc w:val="center"/>
                        </w:pPr>
                        <w:r>
                          <w:fldChar w:fldCharType="begin"/>
                        </w:r>
                        <w:r>
                          <w:instrText xml:space="preserve">PAGE   \* MERGEFORMAT</w:instrText>
                        </w:r>
                        <w:r>
                          <w:fldChar w:fldCharType="separate"/>
                        </w:r>
                        <w:r>
                          <w:rPr>
                            <w:lang w:val="zh-CN"/>
                          </w:rPr>
                          <w:t>36</w:t>
                        </w:r>
                        <w:r>
                          <w:fldChar w:fldCharType="end"/>
                        </w:r>
                      </w:p>
                    </w:sdtContent>
                  </w:sdt>
                  <w:p>
                    <w:pPr>
                      <w:pStyle w:val="2"/>
                    </w:pP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E56AD"/>
    <w:multiLevelType w:val="singleLevel"/>
    <w:tmpl w:val="97CE56AD"/>
    <w:lvl w:ilvl="0" w:tentative="0">
      <w:start w:val="7"/>
      <w:numFmt w:val="decimal"/>
      <w:suff w:val="nothing"/>
      <w:lvlText w:val="%1、"/>
      <w:lvlJc w:val="left"/>
    </w:lvl>
  </w:abstractNum>
  <w:abstractNum w:abstractNumId="1">
    <w:nsid w:val="A569A53C"/>
    <w:multiLevelType w:val="singleLevel"/>
    <w:tmpl w:val="A569A53C"/>
    <w:lvl w:ilvl="0" w:tentative="0">
      <w:start w:val="1"/>
      <w:numFmt w:val="bullet"/>
      <w:lvlText w:val=""/>
      <w:lvlJc w:val="left"/>
      <w:pPr>
        <w:ind w:left="420" w:hanging="420"/>
      </w:pPr>
      <w:rPr>
        <w:rFonts w:hint="default" w:ascii="Wingdings" w:hAnsi="Wingdings"/>
      </w:rPr>
    </w:lvl>
  </w:abstractNum>
  <w:abstractNum w:abstractNumId="2">
    <w:nsid w:val="C53E2178"/>
    <w:multiLevelType w:val="singleLevel"/>
    <w:tmpl w:val="C53E2178"/>
    <w:lvl w:ilvl="0" w:tentative="0">
      <w:start w:val="2"/>
      <w:numFmt w:val="decimal"/>
      <w:suff w:val="nothing"/>
      <w:lvlText w:val="（%1）"/>
      <w:lvlJc w:val="left"/>
    </w:lvl>
  </w:abstractNum>
  <w:abstractNum w:abstractNumId="3">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F"/>
    <w:multiLevelType w:val="multilevel"/>
    <w:tmpl w:val="0000000F"/>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6">
    <w:nsid w:val="0591499C"/>
    <w:multiLevelType w:val="multilevel"/>
    <w:tmpl w:val="0591499C"/>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7">
    <w:nsid w:val="1F776188"/>
    <w:multiLevelType w:val="multilevel"/>
    <w:tmpl w:val="1F776188"/>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FED364"/>
    <w:multiLevelType w:val="singleLevel"/>
    <w:tmpl w:val="55FED364"/>
    <w:lvl w:ilvl="0" w:tentative="0">
      <w:start w:val="1"/>
      <w:numFmt w:val="decimal"/>
      <w:suff w:val="nothing"/>
      <w:lvlText w:val="%1、"/>
      <w:lvlJc w:val="left"/>
    </w:lvl>
  </w:abstractNum>
  <w:abstractNum w:abstractNumId="9">
    <w:nsid w:val="562A39F4"/>
    <w:multiLevelType w:val="singleLevel"/>
    <w:tmpl w:val="562A39F4"/>
    <w:lvl w:ilvl="0" w:tentative="0">
      <w:start w:val="2"/>
      <w:numFmt w:val="decimal"/>
      <w:suff w:val="nothing"/>
      <w:lvlText w:val="%1、"/>
      <w:lvlJc w:val="left"/>
    </w:lvl>
  </w:abstractNum>
  <w:abstractNum w:abstractNumId="10">
    <w:nsid w:val="5A1BDBA1"/>
    <w:multiLevelType w:val="singleLevel"/>
    <w:tmpl w:val="5A1BDBA1"/>
    <w:lvl w:ilvl="0" w:tentative="0">
      <w:start w:val="3"/>
      <w:numFmt w:val="chineseCounting"/>
      <w:suff w:val="nothing"/>
      <w:lvlText w:val="%1、"/>
      <w:lvlJc w:val="left"/>
    </w:lvl>
  </w:abstractNum>
  <w:abstractNum w:abstractNumId="11">
    <w:nsid w:val="5A1CFB6B"/>
    <w:multiLevelType w:val="singleLevel"/>
    <w:tmpl w:val="5A1CFB6B"/>
    <w:lvl w:ilvl="0" w:tentative="0">
      <w:start w:val="7"/>
      <w:numFmt w:val="chineseCounting"/>
      <w:suff w:val="nothing"/>
      <w:lvlText w:val="%1、"/>
      <w:lvlJc w:val="left"/>
    </w:lvl>
  </w:abstractNum>
  <w:abstractNum w:abstractNumId="12">
    <w:nsid w:val="60919166"/>
    <w:multiLevelType w:val="singleLevel"/>
    <w:tmpl w:val="60919166"/>
    <w:lvl w:ilvl="0" w:tentative="0">
      <w:start w:val="1"/>
      <w:numFmt w:val="decimal"/>
      <w:suff w:val="nothing"/>
      <w:lvlText w:val="（%1）"/>
      <w:lvlJc w:val="left"/>
    </w:lvl>
  </w:abstractNum>
  <w:abstractNum w:abstractNumId="13">
    <w:nsid w:val="6AAA39C2"/>
    <w:multiLevelType w:val="multilevel"/>
    <w:tmpl w:val="6AAA39C2"/>
    <w:lvl w:ilvl="0" w:tentative="0">
      <w:start w:val="1"/>
      <w:numFmt w:val="decimal"/>
      <w:pStyle w:val="101"/>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8"/>
  </w:num>
  <w:num w:numId="8">
    <w:abstractNumId w:val="9"/>
  </w:num>
  <w:num w:numId="9">
    <w:abstractNumId w:val="7"/>
  </w:num>
  <w:num w:numId="10">
    <w:abstractNumId w:val="3"/>
  </w:num>
  <w:num w:numId="11">
    <w:abstractNumId w:val="4"/>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07"/>
    <w:qFormat/>
    <w:uiPriority w:val="9"/>
    <w:pPr>
      <w:keepNext/>
      <w:keepLines/>
      <w:spacing w:before="340" w:after="330" w:line="578" w:lineRule="auto"/>
      <w:jc w:val="center"/>
      <w:outlineLvl w:val="0"/>
    </w:pPr>
    <w:rPr>
      <w:b/>
      <w:bCs/>
      <w:kern w:val="44"/>
      <w:sz w:val="30"/>
      <w:szCs w:val="44"/>
    </w:rPr>
  </w:style>
  <w:style w:type="paragraph" w:styleId="2">
    <w:name w:val="heading 2"/>
    <w:basedOn w:val="1"/>
    <w:next w:val="1"/>
    <w:link w:val="3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8"/>
    <w:qFormat/>
    <w:uiPriority w:val="0"/>
    <w:pPr>
      <w:keepNext/>
      <w:keepLines/>
      <w:tabs>
        <w:tab w:val="left" w:pos="5852"/>
      </w:tabs>
      <w:snapToGrid w:val="0"/>
      <w:spacing w:before="360" w:line="240" w:lineRule="exact"/>
      <w:outlineLvl w:val="2"/>
    </w:pPr>
    <w:rPr>
      <w:b/>
      <w:sz w:val="28"/>
    </w:rPr>
  </w:style>
  <w:style w:type="character" w:default="1" w:styleId="22">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52"/>
    <w:qFormat/>
    <w:uiPriority w:val="0"/>
    <w:pPr>
      <w:ind w:firstLine="420"/>
    </w:pPr>
    <w:rPr>
      <w:rFonts w:asciiTheme="minorHAnsi" w:hAnsiTheme="minorHAnsi" w:cstheme="minorBidi"/>
      <w:szCs w:val="22"/>
    </w:rPr>
  </w:style>
  <w:style w:type="paragraph" w:styleId="6">
    <w:name w:val="annotation subject"/>
    <w:basedOn w:val="7"/>
    <w:next w:val="7"/>
    <w:link w:val="68"/>
    <w:qFormat/>
    <w:uiPriority w:val="0"/>
    <w:rPr>
      <w:b/>
      <w:bCs/>
      <w:szCs w:val="24"/>
    </w:rPr>
  </w:style>
  <w:style w:type="paragraph" w:styleId="7">
    <w:name w:val="annotation text"/>
    <w:basedOn w:val="1"/>
    <w:link w:val="67"/>
    <w:unhideWhenUsed/>
    <w:qFormat/>
    <w:uiPriority w:val="0"/>
    <w:pPr>
      <w:jc w:val="left"/>
    </w:pPr>
  </w:style>
  <w:style w:type="paragraph" w:styleId="8">
    <w:name w:val="Document Map"/>
    <w:basedOn w:val="1"/>
    <w:link w:val="69"/>
    <w:qFormat/>
    <w:uiPriority w:val="0"/>
    <w:pPr>
      <w:shd w:val="clear" w:color="auto" w:fill="000080"/>
    </w:pPr>
    <w:rPr>
      <w:szCs w:val="24"/>
    </w:rPr>
  </w:style>
  <w:style w:type="paragraph" w:styleId="9">
    <w:name w:val="Body Text"/>
    <w:basedOn w:val="1"/>
    <w:qFormat/>
    <w:uiPriority w:val="0"/>
    <w:pPr>
      <w:spacing w:after="120"/>
    </w:pPr>
  </w:style>
  <w:style w:type="paragraph" w:styleId="10">
    <w:name w:val="Body Text Indent"/>
    <w:basedOn w:val="1"/>
    <w:link w:val="36"/>
    <w:qFormat/>
    <w:uiPriority w:val="0"/>
    <w:pPr>
      <w:autoSpaceDE w:val="0"/>
      <w:autoSpaceDN w:val="0"/>
      <w:spacing w:line="360" w:lineRule="auto"/>
      <w:ind w:left="181" w:firstLine="539"/>
    </w:pPr>
    <w:rPr>
      <w:rFonts w:asciiTheme="minorHAnsi" w:hAnsiTheme="minorHAnsi" w:cstheme="minorBidi"/>
      <w:sz w:val="24"/>
      <w:szCs w:val="22"/>
    </w:rPr>
  </w:style>
  <w:style w:type="paragraph" w:styleId="11">
    <w:name w:val="Plain Text"/>
    <w:basedOn w:val="1"/>
    <w:link w:val="45"/>
    <w:qFormat/>
    <w:uiPriority w:val="0"/>
    <w:rPr>
      <w:rFonts w:ascii="宋体" w:hAnsi="Courier New" w:cstheme="minorBidi"/>
      <w:szCs w:val="22"/>
    </w:rPr>
  </w:style>
  <w:style w:type="paragraph" w:styleId="12">
    <w:name w:val="Date"/>
    <w:basedOn w:val="1"/>
    <w:next w:val="1"/>
    <w:link w:val="66"/>
    <w:qFormat/>
    <w:uiPriority w:val="0"/>
    <w:pPr>
      <w:ind w:left="100" w:leftChars="2500"/>
    </w:pPr>
    <w:rPr>
      <w:szCs w:val="24"/>
    </w:rPr>
  </w:style>
  <w:style w:type="paragraph" w:styleId="13">
    <w:name w:val="Body Text Indent 2"/>
    <w:basedOn w:val="1"/>
    <w:link w:val="47"/>
    <w:qFormat/>
    <w:uiPriority w:val="0"/>
    <w:pPr>
      <w:spacing w:after="120" w:line="480" w:lineRule="auto"/>
      <w:ind w:left="420" w:leftChars="200"/>
    </w:pPr>
    <w:rPr>
      <w:rFonts w:asciiTheme="minorHAnsi" w:hAnsiTheme="minorHAnsi" w:eastAsiaTheme="minorEastAsia" w:cstheme="minorBidi"/>
      <w:szCs w:val="24"/>
    </w:rPr>
  </w:style>
  <w:style w:type="paragraph" w:styleId="14">
    <w:name w:val="Balloon Text"/>
    <w:basedOn w:val="1"/>
    <w:link w:val="71"/>
    <w:qFormat/>
    <w:uiPriority w:val="0"/>
    <w:rPr>
      <w:sz w:val="18"/>
      <w:szCs w:val="18"/>
    </w:rPr>
  </w:style>
  <w:style w:type="paragraph" w:styleId="15">
    <w:name w:val="footer"/>
    <w:basedOn w:val="1"/>
    <w:link w:val="58"/>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Body Text First Indent 2"/>
    <w:basedOn w:val="10"/>
    <w:link w:val="109"/>
    <w:unhideWhenUsed/>
    <w:qFormat/>
    <w:uiPriority w:val="99"/>
    <w:pPr>
      <w:autoSpaceDE/>
      <w:autoSpaceDN/>
      <w:spacing w:after="120" w:line="240" w:lineRule="auto"/>
      <w:ind w:left="420" w:leftChars="200" w:firstLine="420" w:firstLineChars="200"/>
    </w:pPr>
    <w:rPr>
      <w:rFonts w:ascii="Times New Roman" w:hAnsi="Times New Roman" w:cs="Times New Roman"/>
      <w:sz w:val="21"/>
      <w:szCs w:val="20"/>
    </w:rPr>
  </w:style>
  <w:style w:type="paragraph" w:styleId="17">
    <w:name w:val="header"/>
    <w:basedOn w:val="1"/>
    <w:link w:val="6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9">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20">
    <w:name w:val="Normal (Web)"/>
    <w:basedOn w:val="1"/>
    <w:qFormat/>
    <w:uiPriority w:val="99"/>
    <w:pPr>
      <w:widowControl/>
      <w:spacing w:before="100" w:beforeAutospacing="1" w:after="100" w:afterAutospacing="1"/>
      <w:jc w:val="left"/>
    </w:pPr>
    <w:rPr>
      <w:rFonts w:ascii="宋体" w:hAnsi="宋体"/>
      <w:kern w:val="0"/>
      <w:sz w:val="24"/>
    </w:rPr>
  </w:style>
  <w:style w:type="paragraph" w:styleId="21">
    <w:name w:val="Title"/>
    <w:basedOn w:val="1"/>
    <w:link w:val="62"/>
    <w:qFormat/>
    <w:uiPriority w:val="0"/>
    <w:pPr>
      <w:tabs>
        <w:tab w:val="left" w:pos="420"/>
      </w:tabs>
      <w:spacing w:before="120" w:after="120" w:line="360" w:lineRule="auto"/>
      <w:ind w:left="420"/>
      <w:jc w:val="center"/>
      <w:outlineLvl w:val="0"/>
    </w:pPr>
    <w:rPr>
      <w:rFonts w:ascii="宋体" w:hAnsi="Verdana" w:cs="Arial" w:eastAsiaTheme="minorEastAsia"/>
      <w:b/>
      <w:bCs/>
      <w:sz w:val="32"/>
      <w:szCs w:val="32"/>
    </w:rPr>
  </w:style>
  <w:style w:type="character" w:styleId="23">
    <w:name w:val="Strong"/>
    <w:basedOn w:val="22"/>
    <w:qFormat/>
    <w:uiPriority w:val="0"/>
    <w:rPr>
      <w:b/>
      <w:bCs/>
    </w:rPr>
  </w:style>
  <w:style w:type="character" w:styleId="24">
    <w:name w:val="FollowedHyperlink"/>
    <w:basedOn w:val="22"/>
    <w:qFormat/>
    <w:uiPriority w:val="0"/>
    <w:rPr>
      <w:color w:val="013F7C"/>
      <w:u w:val="none"/>
    </w:rPr>
  </w:style>
  <w:style w:type="character" w:styleId="25">
    <w:name w:val="Emphasis"/>
    <w:basedOn w:val="22"/>
    <w:qFormat/>
    <w:uiPriority w:val="0"/>
  </w:style>
  <w:style w:type="character" w:styleId="26">
    <w:name w:val="HTML Definition"/>
    <w:basedOn w:val="22"/>
    <w:qFormat/>
    <w:uiPriority w:val="0"/>
  </w:style>
  <w:style w:type="character" w:styleId="27">
    <w:name w:val="HTML Typewriter"/>
    <w:basedOn w:val="22"/>
    <w:qFormat/>
    <w:uiPriority w:val="0"/>
    <w:rPr>
      <w:rFonts w:ascii="宋体" w:hAnsi="宋体" w:eastAsia="宋体" w:cs="宋体"/>
      <w:sz w:val="24"/>
      <w:szCs w:val="24"/>
    </w:rPr>
  </w:style>
  <w:style w:type="character" w:styleId="28">
    <w:name w:val="HTML Variable"/>
    <w:basedOn w:val="22"/>
    <w:qFormat/>
    <w:uiPriority w:val="0"/>
  </w:style>
  <w:style w:type="character" w:styleId="29">
    <w:name w:val="Hyperlink"/>
    <w:basedOn w:val="22"/>
    <w:qFormat/>
    <w:uiPriority w:val="99"/>
    <w:rPr>
      <w:color w:val="013F7C"/>
      <w:u w:val="none"/>
    </w:rPr>
  </w:style>
  <w:style w:type="character" w:styleId="30">
    <w:name w:val="HTML Code"/>
    <w:basedOn w:val="22"/>
    <w:qFormat/>
    <w:uiPriority w:val="0"/>
    <w:rPr>
      <w:rFonts w:ascii="Courier New" w:hAnsi="Courier New"/>
      <w:sz w:val="20"/>
    </w:rPr>
  </w:style>
  <w:style w:type="character" w:styleId="31">
    <w:name w:val="annotation reference"/>
    <w:basedOn w:val="22"/>
    <w:qFormat/>
    <w:uiPriority w:val="0"/>
    <w:rPr>
      <w:sz w:val="21"/>
      <w:szCs w:val="21"/>
    </w:rPr>
  </w:style>
  <w:style w:type="character" w:styleId="32">
    <w:name w:val="HTML Cite"/>
    <w:basedOn w:val="22"/>
    <w:qFormat/>
    <w:uiPriority w:val="0"/>
  </w:style>
  <w:style w:type="table" w:styleId="34">
    <w:name w:val="Table Grid"/>
    <w:basedOn w:val="33"/>
    <w:qFormat/>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标题 2 字符"/>
    <w:basedOn w:val="22"/>
    <w:link w:val="2"/>
    <w:qFormat/>
    <w:uiPriority w:val="0"/>
    <w:rPr>
      <w:rFonts w:asciiTheme="majorHAnsi" w:hAnsiTheme="majorHAnsi" w:eastAsiaTheme="majorEastAsia" w:cstheme="majorBidi"/>
      <w:b/>
      <w:bCs/>
      <w:sz w:val="32"/>
      <w:szCs w:val="32"/>
    </w:rPr>
  </w:style>
  <w:style w:type="character" w:customStyle="1" w:styleId="36">
    <w:name w:val="正文文本缩进 字符"/>
    <w:link w:val="10"/>
    <w:qFormat/>
    <w:uiPriority w:val="0"/>
    <w:rPr>
      <w:rFonts w:eastAsia="宋体"/>
      <w:sz w:val="24"/>
    </w:rPr>
  </w:style>
  <w:style w:type="character" w:customStyle="1" w:styleId="37">
    <w:name w:val="正文文本缩进 字符1"/>
    <w:basedOn w:val="22"/>
    <w:semiHidden/>
    <w:qFormat/>
    <w:uiPriority w:val="99"/>
    <w:rPr>
      <w:rFonts w:ascii="Times New Roman" w:hAnsi="Times New Roman" w:eastAsia="宋体" w:cs="Times New Roman"/>
      <w:szCs w:val="20"/>
    </w:rPr>
  </w:style>
  <w:style w:type="character" w:customStyle="1" w:styleId="38">
    <w:name w:val="标题 3 字符"/>
    <w:basedOn w:val="22"/>
    <w:link w:val="4"/>
    <w:qFormat/>
    <w:uiPriority w:val="0"/>
    <w:rPr>
      <w:rFonts w:ascii="Times New Roman" w:hAnsi="Times New Roman" w:eastAsia="宋体" w:cs="Times New Roman"/>
      <w:b/>
      <w:sz w:val="28"/>
      <w:szCs w:val="20"/>
    </w:rPr>
  </w:style>
  <w:style w:type="character" w:customStyle="1" w:styleId="39">
    <w:name w:val="current"/>
    <w:basedOn w:val="22"/>
    <w:qFormat/>
    <w:uiPriority w:val="0"/>
    <w:rPr>
      <w:b/>
      <w:color w:val="FF0084"/>
    </w:rPr>
  </w:style>
  <w:style w:type="character" w:customStyle="1" w:styleId="40">
    <w:name w:val="批注文字 Char"/>
    <w:basedOn w:val="22"/>
    <w:qFormat/>
    <w:uiPriority w:val="0"/>
    <w:rPr>
      <w:rFonts w:eastAsia="宋体"/>
      <w:kern w:val="2"/>
      <w:sz w:val="21"/>
      <w:szCs w:val="24"/>
      <w:lang w:val="en-US" w:eastAsia="zh-CN" w:bidi="ar-SA"/>
    </w:rPr>
  </w:style>
  <w:style w:type="character" w:customStyle="1" w:styleId="41">
    <w:name w:val="批注文字 字符"/>
    <w:basedOn w:val="22"/>
    <w:qFormat/>
    <w:uiPriority w:val="0"/>
    <w:rPr>
      <w:rFonts w:eastAsia="宋体"/>
      <w:kern w:val="2"/>
      <w:sz w:val="21"/>
      <w:szCs w:val="24"/>
      <w:lang w:val="en-US" w:eastAsia="zh-CN" w:bidi="ar-SA"/>
    </w:rPr>
  </w:style>
  <w:style w:type="character" w:customStyle="1" w:styleId="42">
    <w:name w:val="Underrubrik1 Char Char"/>
    <w:qFormat/>
    <w:uiPriority w:val="0"/>
    <w:rPr>
      <w:rFonts w:ascii="Arial" w:hAnsi="Arial"/>
      <w:b/>
      <w:bCs/>
      <w:color w:val="000000"/>
      <w:sz w:val="30"/>
    </w:rPr>
  </w:style>
  <w:style w:type="character" w:customStyle="1" w:styleId="43">
    <w:name w:val="样式3 Char Char"/>
    <w:link w:val="44"/>
    <w:qFormat/>
    <w:uiPriority w:val="0"/>
    <w:rPr>
      <w:rFonts w:ascii="宋体" w:hAnsi="Courier New"/>
      <w:sz w:val="28"/>
      <w:szCs w:val="24"/>
    </w:rPr>
  </w:style>
  <w:style w:type="paragraph" w:customStyle="1" w:styleId="44">
    <w:name w:val="样式3"/>
    <w:basedOn w:val="11"/>
    <w:link w:val="43"/>
    <w:qFormat/>
    <w:uiPriority w:val="0"/>
    <w:pPr>
      <w:spacing w:line="0" w:lineRule="atLeast"/>
      <w:outlineLvl w:val="0"/>
    </w:pPr>
    <w:rPr>
      <w:rFonts w:eastAsiaTheme="minorEastAsia"/>
      <w:sz w:val="28"/>
      <w:szCs w:val="24"/>
    </w:rPr>
  </w:style>
  <w:style w:type="character" w:customStyle="1" w:styleId="45">
    <w:name w:val="纯文本 字符"/>
    <w:basedOn w:val="22"/>
    <w:link w:val="11"/>
    <w:qFormat/>
    <w:uiPriority w:val="0"/>
    <w:rPr>
      <w:rFonts w:ascii="宋体" w:hAnsi="Courier New" w:eastAsia="宋体"/>
    </w:rPr>
  </w:style>
  <w:style w:type="character" w:customStyle="1" w:styleId="46">
    <w:name w:val="ds-reads-from"/>
    <w:basedOn w:val="22"/>
    <w:qFormat/>
    <w:uiPriority w:val="0"/>
  </w:style>
  <w:style w:type="character" w:customStyle="1" w:styleId="47">
    <w:name w:val="正文文本缩进 2 字符"/>
    <w:basedOn w:val="22"/>
    <w:link w:val="13"/>
    <w:qFormat/>
    <w:uiPriority w:val="0"/>
    <w:rPr>
      <w:szCs w:val="24"/>
    </w:rPr>
  </w:style>
  <w:style w:type="character" w:customStyle="1" w:styleId="48">
    <w:name w:val="Char Char5"/>
    <w:basedOn w:val="22"/>
    <w:qFormat/>
    <w:uiPriority w:val="0"/>
    <w:rPr>
      <w:rFonts w:ascii="宋体" w:hAnsi="Courier New" w:eastAsia="宋体"/>
      <w:kern w:val="2"/>
      <w:sz w:val="21"/>
      <w:lang w:val="en-US" w:eastAsia="zh-CN" w:bidi="ar-SA"/>
    </w:rPr>
  </w:style>
  <w:style w:type="character" w:customStyle="1" w:styleId="49">
    <w:name w:val="普通文字 Char Char1"/>
    <w:basedOn w:val="22"/>
    <w:qFormat/>
    <w:uiPriority w:val="0"/>
    <w:rPr>
      <w:rFonts w:ascii="宋体" w:hAnsi="Courier New" w:eastAsia="宋体"/>
      <w:kern w:val="2"/>
      <w:sz w:val="21"/>
      <w:lang w:val="en-US" w:eastAsia="zh-CN" w:bidi="ar-SA"/>
    </w:rPr>
  </w:style>
  <w:style w:type="character" w:customStyle="1" w:styleId="50">
    <w:name w:val="ds-reads-app-special"/>
    <w:basedOn w:val="22"/>
    <w:qFormat/>
    <w:uiPriority w:val="0"/>
    <w:rPr>
      <w:color w:val="FFFFFF"/>
      <w:shd w:val="clear" w:color="auto" w:fill="F94A47"/>
    </w:rPr>
  </w:style>
  <w:style w:type="character" w:customStyle="1" w:styleId="51">
    <w:name w:val="font81"/>
    <w:basedOn w:val="22"/>
    <w:qFormat/>
    <w:uiPriority w:val="0"/>
    <w:rPr>
      <w:rFonts w:ascii="新宋体" w:hAnsi="新宋体" w:eastAsia="新宋体" w:cs="新宋体"/>
      <w:color w:val="000000"/>
      <w:sz w:val="21"/>
      <w:szCs w:val="21"/>
      <w:u w:val="none"/>
    </w:rPr>
  </w:style>
  <w:style w:type="character" w:customStyle="1" w:styleId="52">
    <w:name w:val="正文缩进 字符"/>
    <w:basedOn w:val="22"/>
    <w:link w:val="5"/>
    <w:qFormat/>
    <w:uiPriority w:val="0"/>
    <w:rPr>
      <w:rFonts w:eastAsia="宋体"/>
    </w:rPr>
  </w:style>
  <w:style w:type="character" w:customStyle="1" w:styleId="53">
    <w:name w:val="font91"/>
    <w:basedOn w:val="22"/>
    <w:qFormat/>
    <w:uiPriority w:val="0"/>
    <w:rPr>
      <w:rFonts w:ascii="Arial" w:hAnsi="Arial" w:cs="Arial"/>
      <w:color w:val="000000"/>
      <w:sz w:val="21"/>
      <w:szCs w:val="21"/>
      <w:u w:val="none"/>
    </w:rPr>
  </w:style>
  <w:style w:type="character" w:customStyle="1" w:styleId="54">
    <w:name w:val="font101"/>
    <w:basedOn w:val="22"/>
    <w:qFormat/>
    <w:uiPriority w:val="0"/>
    <w:rPr>
      <w:rFonts w:ascii="宋体" w:hAnsi="宋体" w:eastAsia="宋体" w:cs="宋体"/>
      <w:color w:val="000000"/>
      <w:sz w:val="21"/>
      <w:szCs w:val="21"/>
      <w:u w:val="none"/>
    </w:rPr>
  </w:style>
  <w:style w:type="character" w:customStyle="1" w:styleId="55">
    <w:name w:val="p141"/>
    <w:qFormat/>
    <w:uiPriority w:val="0"/>
    <w:rPr>
      <w:sz w:val="21"/>
      <w:szCs w:val="21"/>
    </w:rPr>
  </w:style>
  <w:style w:type="character" w:customStyle="1" w:styleId="56">
    <w:name w:val="font11"/>
    <w:basedOn w:val="22"/>
    <w:qFormat/>
    <w:uiPriority w:val="0"/>
    <w:rPr>
      <w:rFonts w:ascii="新宋体" w:hAnsi="新宋体" w:eastAsia="新宋体" w:cs="新宋体"/>
      <w:color w:val="000000"/>
      <w:sz w:val="21"/>
      <w:szCs w:val="21"/>
      <w:u w:val="none"/>
    </w:rPr>
  </w:style>
  <w:style w:type="character" w:customStyle="1" w:styleId="57">
    <w:name w:val="Char Char"/>
    <w:basedOn w:val="22"/>
    <w:qFormat/>
    <w:uiPriority w:val="0"/>
    <w:rPr>
      <w:rFonts w:ascii="宋体" w:hAnsi="Courier New" w:eastAsia="宋体"/>
      <w:kern w:val="2"/>
      <w:sz w:val="21"/>
      <w:lang w:val="en-US" w:eastAsia="zh-CN" w:bidi="ar-SA"/>
    </w:rPr>
  </w:style>
  <w:style w:type="character" w:customStyle="1" w:styleId="58">
    <w:name w:val="页脚 字符"/>
    <w:basedOn w:val="22"/>
    <w:link w:val="15"/>
    <w:qFormat/>
    <w:uiPriority w:val="99"/>
    <w:rPr>
      <w:sz w:val="18"/>
      <w:szCs w:val="18"/>
    </w:rPr>
  </w:style>
  <w:style w:type="character" w:customStyle="1" w:styleId="59">
    <w:name w:val="ask-title2"/>
    <w:basedOn w:val="22"/>
    <w:qFormat/>
    <w:uiPriority w:val="0"/>
  </w:style>
  <w:style w:type="character" w:customStyle="1" w:styleId="60">
    <w:name w:val="页眉 字符"/>
    <w:basedOn w:val="22"/>
    <w:link w:val="17"/>
    <w:qFormat/>
    <w:uiPriority w:val="0"/>
    <w:rPr>
      <w:sz w:val="18"/>
      <w:szCs w:val="18"/>
    </w:rPr>
  </w:style>
  <w:style w:type="character" w:customStyle="1" w:styleId="61">
    <w:name w:val="标题 字符1"/>
    <w:basedOn w:val="22"/>
    <w:qFormat/>
    <w:uiPriority w:val="0"/>
    <w:rPr>
      <w:rFonts w:ascii="Cambria" w:hAnsi="Cambria" w:eastAsia="宋体" w:cs="宋体"/>
      <w:b/>
      <w:bCs/>
      <w:kern w:val="2"/>
      <w:sz w:val="32"/>
      <w:szCs w:val="32"/>
    </w:rPr>
  </w:style>
  <w:style w:type="character" w:customStyle="1" w:styleId="62">
    <w:name w:val="标题 字符"/>
    <w:link w:val="21"/>
    <w:qFormat/>
    <w:uiPriority w:val="0"/>
    <w:rPr>
      <w:rFonts w:ascii="宋体" w:hAnsi="Verdana" w:cs="Arial"/>
      <w:b/>
      <w:bCs/>
      <w:sz w:val="32"/>
      <w:szCs w:val="32"/>
    </w:rPr>
  </w:style>
  <w:style w:type="character" w:customStyle="1" w:styleId="63">
    <w:name w:val="ds-unread-count"/>
    <w:basedOn w:val="22"/>
    <w:qFormat/>
    <w:uiPriority w:val="0"/>
    <w:rPr>
      <w:b/>
      <w:color w:val="EE3322"/>
    </w:rPr>
  </w:style>
  <w:style w:type="character" w:customStyle="1" w:styleId="64">
    <w:name w:val="纯文本 字符1"/>
    <w:basedOn w:val="22"/>
    <w:semiHidden/>
    <w:qFormat/>
    <w:uiPriority w:val="99"/>
    <w:rPr>
      <w:rFonts w:hAnsi="Courier New" w:cs="Courier New" w:asciiTheme="minorEastAsia"/>
      <w:szCs w:val="20"/>
    </w:rPr>
  </w:style>
  <w:style w:type="character" w:customStyle="1" w:styleId="65">
    <w:name w:val="正文文本缩进 2 字符1"/>
    <w:basedOn w:val="22"/>
    <w:semiHidden/>
    <w:qFormat/>
    <w:uiPriority w:val="99"/>
    <w:rPr>
      <w:rFonts w:ascii="Times New Roman" w:hAnsi="Times New Roman" w:eastAsia="宋体" w:cs="Times New Roman"/>
      <w:szCs w:val="20"/>
    </w:rPr>
  </w:style>
  <w:style w:type="character" w:customStyle="1" w:styleId="66">
    <w:name w:val="日期 字符"/>
    <w:basedOn w:val="22"/>
    <w:link w:val="12"/>
    <w:qFormat/>
    <w:uiPriority w:val="0"/>
    <w:rPr>
      <w:rFonts w:ascii="Times New Roman" w:hAnsi="Times New Roman" w:eastAsia="宋体" w:cs="Times New Roman"/>
      <w:szCs w:val="24"/>
    </w:rPr>
  </w:style>
  <w:style w:type="character" w:customStyle="1" w:styleId="67">
    <w:name w:val="批注文字 字符1"/>
    <w:basedOn w:val="22"/>
    <w:link w:val="7"/>
    <w:semiHidden/>
    <w:qFormat/>
    <w:uiPriority w:val="99"/>
    <w:rPr>
      <w:rFonts w:ascii="Times New Roman" w:hAnsi="Times New Roman" w:eastAsia="宋体" w:cs="Times New Roman"/>
      <w:szCs w:val="20"/>
    </w:rPr>
  </w:style>
  <w:style w:type="character" w:customStyle="1" w:styleId="68">
    <w:name w:val="批注主题 字符"/>
    <w:basedOn w:val="67"/>
    <w:link w:val="6"/>
    <w:qFormat/>
    <w:uiPriority w:val="0"/>
    <w:rPr>
      <w:rFonts w:ascii="Times New Roman" w:hAnsi="Times New Roman" w:eastAsia="宋体" w:cs="Times New Roman"/>
      <w:b/>
      <w:bCs/>
      <w:szCs w:val="24"/>
    </w:rPr>
  </w:style>
  <w:style w:type="character" w:customStyle="1" w:styleId="69">
    <w:name w:val="文档结构图 字符"/>
    <w:basedOn w:val="22"/>
    <w:link w:val="8"/>
    <w:qFormat/>
    <w:uiPriority w:val="0"/>
    <w:rPr>
      <w:rFonts w:ascii="Times New Roman" w:hAnsi="Times New Roman" w:eastAsia="宋体" w:cs="Times New Roman"/>
      <w:szCs w:val="24"/>
      <w:shd w:val="clear" w:color="auto" w:fill="000080"/>
    </w:rPr>
  </w:style>
  <w:style w:type="character" w:customStyle="1" w:styleId="70">
    <w:name w:val="页眉 字符1"/>
    <w:basedOn w:val="22"/>
    <w:semiHidden/>
    <w:qFormat/>
    <w:uiPriority w:val="99"/>
    <w:rPr>
      <w:rFonts w:ascii="Times New Roman" w:hAnsi="Times New Roman" w:eastAsia="宋体" w:cs="Times New Roman"/>
      <w:sz w:val="18"/>
      <w:szCs w:val="18"/>
    </w:rPr>
  </w:style>
  <w:style w:type="character" w:customStyle="1" w:styleId="71">
    <w:name w:val="批注框文本 字符"/>
    <w:basedOn w:val="22"/>
    <w:link w:val="14"/>
    <w:qFormat/>
    <w:uiPriority w:val="0"/>
    <w:rPr>
      <w:rFonts w:ascii="Times New Roman" w:hAnsi="Times New Roman" w:eastAsia="宋体" w:cs="Times New Roman"/>
      <w:sz w:val="18"/>
      <w:szCs w:val="18"/>
    </w:rPr>
  </w:style>
  <w:style w:type="character" w:customStyle="1" w:styleId="72">
    <w:name w:val="页脚 字符1"/>
    <w:basedOn w:val="22"/>
    <w:semiHidden/>
    <w:qFormat/>
    <w:uiPriority w:val="99"/>
    <w:rPr>
      <w:rFonts w:ascii="Times New Roman" w:hAnsi="Times New Roman" w:eastAsia="宋体" w:cs="Times New Roman"/>
      <w:sz w:val="18"/>
      <w:szCs w:val="18"/>
    </w:rPr>
  </w:style>
  <w:style w:type="character" w:customStyle="1" w:styleId="73">
    <w:name w:val="标题 字符2"/>
    <w:basedOn w:val="22"/>
    <w:qFormat/>
    <w:uiPriority w:val="10"/>
    <w:rPr>
      <w:rFonts w:asciiTheme="majorHAnsi" w:hAnsiTheme="majorHAnsi" w:eastAsiaTheme="majorEastAsia" w:cstheme="majorBidi"/>
      <w:b/>
      <w:bCs/>
      <w:sz w:val="32"/>
      <w:szCs w:val="32"/>
    </w:rPr>
  </w:style>
  <w:style w:type="paragraph" w:customStyle="1" w:styleId="74">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paragraph" w:customStyle="1" w:styleId="75">
    <w:name w:val="Char Char Char Char Char Char Char"/>
    <w:basedOn w:val="1"/>
    <w:qFormat/>
    <w:uiPriority w:val="0"/>
    <w:rPr>
      <w:szCs w:val="24"/>
    </w:rPr>
  </w:style>
  <w:style w:type="paragraph" w:customStyle="1" w:styleId="76">
    <w:name w:val="列出段落5"/>
    <w:basedOn w:val="1"/>
    <w:qFormat/>
    <w:uiPriority w:val="99"/>
    <w:pPr>
      <w:ind w:firstLine="420" w:firstLineChars="200"/>
    </w:pPr>
    <w:rPr>
      <w:szCs w:val="24"/>
    </w:rPr>
  </w:style>
  <w:style w:type="paragraph" w:customStyle="1" w:styleId="77">
    <w:name w:val="List Paragraph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78">
    <w:name w:val="正文文本缩进1"/>
    <w:basedOn w:val="1"/>
    <w:qFormat/>
    <w:uiPriority w:val="0"/>
    <w:pPr>
      <w:widowControl/>
      <w:spacing w:after="120"/>
      <w:ind w:left="420" w:leftChars="200"/>
      <w:jc w:val="left"/>
    </w:pPr>
    <w:rPr>
      <w:kern w:val="0"/>
      <w:sz w:val="34"/>
    </w:rPr>
  </w:style>
  <w:style w:type="paragraph" w:customStyle="1" w:styleId="79">
    <w:name w:val="列出段落4"/>
    <w:basedOn w:val="1"/>
    <w:qFormat/>
    <w:uiPriority w:val="99"/>
    <w:pPr>
      <w:ind w:firstLine="420" w:firstLineChars="200"/>
    </w:pPr>
    <w:rPr>
      <w:szCs w:val="24"/>
    </w:rPr>
  </w:style>
  <w:style w:type="paragraph" w:customStyle="1" w:styleId="80">
    <w:name w:val="列出段落11"/>
    <w:basedOn w:val="1"/>
    <w:qFormat/>
    <w:uiPriority w:val="0"/>
    <w:pPr>
      <w:ind w:firstLine="420" w:firstLineChars="200"/>
    </w:pPr>
    <w:rPr>
      <w:szCs w:val="24"/>
    </w:rPr>
  </w:style>
  <w:style w:type="paragraph" w:customStyle="1" w:styleId="81">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82">
    <w:name w:val="_Style 49"/>
    <w:basedOn w:val="1"/>
    <w:next w:val="11"/>
    <w:qFormat/>
    <w:uiPriority w:val="0"/>
    <w:rPr>
      <w:rFonts w:ascii="宋体" w:hAnsi="Courier New"/>
      <w:sz w:val="24"/>
    </w:rPr>
  </w:style>
  <w:style w:type="paragraph" w:customStyle="1" w:styleId="83">
    <w:name w:val="Char"/>
    <w:basedOn w:val="1"/>
    <w:next w:val="1"/>
    <w:qFormat/>
    <w:uiPriority w:val="0"/>
    <w:pPr>
      <w:widowControl/>
      <w:spacing w:after="160" w:line="240" w:lineRule="exact"/>
      <w:jc w:val="left"/>
    </w:pPr>
    <w:rPr>
      <w:rFonts w:ascii="Verdana" w:hAnsi="Verdana"/>
      <w:kern w:val="0"/>
      <w:sz w:val="20"/>
      <w:lang w:eastAsia="en-US"/>
    </w:rPr>
  </w:style>
  <w:style w:type="paragraph" w:customStyle="1" w:styleId="84">
    <w:name w:val="_Style 13"/>
    <w:basedOn w:val="1"/>
    <w:qFormat/>
    <w:uiPriority w:val="0"/>
    <w:pPr>
      <w:spacing w:after="160" w:line="240" w:lineRule="exact"/>
    </w:pPr>
  </w:style>
  <w:style w:type="paragraph" w:customStyle="1" w:styleId="85">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86">
    <w:name w:val="正文2"/>
    <w:basedOn w:val="87"/>
    <w:qFormat/>
    <w:uiPriority w:val="0"/>
    <w:pPr>
      <w:tabs>
        <w:tab w:val="left" w:pos="420"/>
      </w:tabs>
      <w:adjustRightInd/>
      <w:spacing w:line="360" w:lineRule="auto"/>
      <w:ind w:left="420" w:hanging="420"/>
    </w:pPr>
    <w:rPr>
      <w:kern w:val="2"/>
      <w:sz w:val="24"/>
      <w:szCs w:val="24"/>
    </w:rPr>
  </w:style>
  <w:style w:type="paragraph" w:customStyle="1" w:styleId="87">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88">
    <w:name w:val="_Style 12"/>
    <w:basedOn w:val="8"/>
    <w:qFormat/>
    <w:uiPriority w:val="0"/>
    <w:pPr>
      <w:adjustRightInd w:val="0"/>
      <w:snapToGrid w:val="0"/>
      <w:spacing w:line="360" w:lineRule="auto"/>
    </w:pPr>
    <w:rPr>
      <w:rFonts w:hAnsi="Tahoma"/>
      <w:sz w:val="24"/>
      <w:szCs w:val="20"/>
    </w:rPr>
  </w:style>
  <w:style w:type="paragraph" w:customStyle="1" w:styleId="89">
    <w:name w:val="列出段落1"/>
    <w:basedOn w:val="1"/>
    <w:qFormat/>
    <w:uiPriority w:val="0"/>
    <w:pPr>
      <w:ind w:firstLine="420" w:firstLineChars="200"/>
    </w:pPr>
    <w:rPr>
      <w:rFonts w:ascii="Calibri" w:hAnsi="Calibri"/>
    </w:rPr>
  </w:style>
  <w:style w:type="paragraph" w:customStyle="1" w:styleId="90">
    <w:name w:val="Char1 Char Char Char Char Char Char1"/>
    <w:basedOn w:val="1"/>
    <w:qFormat/>
    <w:uiPriority w:val="0"/>
    <w:pPr>
      <w:spacing w:after="160" w:line="240" w:lineRule="exact"/>
    </w:pPr>
  </w:style>
  <w:style w:type="paragraph" w:customStyle="1" w:styleId="91">
    <w:name w:val="示例×："/>
    <w:basedOn w:val="1"/>
    <w:qFormat/>
    <w:uiPriority w:val="0"/>
    <w:pPr>
      <w:widowControl/>
    </w:pPr>
    <w:rPr>
      <w:rFonts w:ascii="宋体"/>
      <w:kern w:val="0"/>
      <w:sz w:val="18"/>
      <w:szCs w:val="18"/>
    </w:rPr>
  </w:style>
  <w:style w:type="paragraph" w:customStyle="1" w:styleId="92">
    <w:name w:val="默认段落字体 Para Char Char Char Char Char Char Char"/>
    <w:basedOn w:val="1"/>
    <w:qFormat/>
    <w:uiPriority w:val="0"/>
    <w:pPr>
      <w:spacing w:line="360" w:lineRule="auto"/>
    </w:pPr>
  </w:style>
  <w:style w:type="paragraph" w:customStyle="1" w:styleId="93">
    <w:name w:val="Char Char Char"/>
    <w:basedOn w:val="1"/>
    <w:qFormat/>
    <w:uiPriority w:val="0"/>
    <w:rPr>
      <w:szCs w:val="24"/>
    </w:rPr>
  </w:style>
  <w:style w:type="paragraph" w:customStyle="1" w:styleId="94">
    <w:name w:val="正文3"/>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95">
    <w:name w:val="列出段落3"/>
    <w:basedOn w:val="1"/>
    <w:qFormat/>
    <w:uiPriority w:val="0"/>
    <w:pPr>
      <w:ind w:firstLine="420" w:firstLineChars="200"/>
    </w:pPr>
    <w:rPr>
      <w:szCs w:val="24"/>
    </w:rPr>
  </w:style>
  <w:style w:type="paragraph" w:customStyle="1" w:styleId="96">
    <w:name w:val="列出段落2"/>
    <w:basedOn w:val="1"/>
    <w:qFormat/>
    <w:uiPriority w:val="0"/>
    <w:pPr>
      <w:ind w:firstLine="420" w:firstLineChars="200"/>
    </w:pPr>
    <w:rPr>
      <w:szCs w:val="24"/>
    </w:rPr>
  </w:style>
  <w:style w:type="paragraph" w:customStyle="1" w:styleId="97">
    <w:name w:val="样式 首行缩进:  2 字符"/>
    <w:basedOn w:val="1"/>
    <w:qFormat/>
    <w:uiPriority w:val="0"/>
    <w:pPr>
      <w:ind w:firstLine="420" w:firstLineChars="200"/>
    </w:pPr>
    <w:rPr>
      <w:rFonts w:ascii="宋体" w:cs="宋体"/>
    </w:rPr>
  </w:style>
  <w:style w:type="paragraph" w:customStyle="1" w:styleId="98">
    <w:name w:val="Default"/>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99">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100">
    <w:name w:val="Char Char1 Char Char Char Char Char Char"/>
    <w:basedOn w:val="1"/>
    <w:qFormat/>
    <w:uiPriority w:val="0"/>
    <w:pPr>
      <w:adjustRightInd w:val="0"/>
      <w:snapToGrid w:val="0"/>
      <w:spacing w:beforeLines="25" w:afterLines="25" w:line="240" w:lineRule="exact"/>
      <w:ind w:firstLine="560" w:firstLineChars="192"/>
    </w:pPr>
    <w:rPr>
      <w:szCs w:val="24"/>
    </w:rPr>
  </w:style>
  <w:style w:type="paragraph" w:customStyle="1" w:styleId="101">
    <w:name w:val="样式1"/>
    <w:basedOn w:val="1"/>
    <w:qFormat/>
    <w:uiPriority w:val="0"/>
    <w:pPr>
      <w:numPr>
        <w:ilvl w:val="0"/>
        <w:numId w:val="1"/>
      </w:numPr>
      <w:tabs>
        <w:tab w:val="left" w:pos="709"/>
      </w:tabs>
    </w:pPr>
    <w:rPr>
      <w:rFonts w:ascii="宋体" w:hAnsi="宋体"/>
      <w:szCs w:val="21"/>
    </w:rPr>
  </w:style>
  <w:style w:type="paragraph" w:customStyle="1" w:styleId="102">
    <w:name w:val="Char Char Char Char"/>
    <w:basedOn w:val="8"/>
    <w:qFormat/>
    <w:uiPriority w:val="0"/>
    <w:pPr>
      <w:adjustRightInd w:val="0"/>
      <w:snapToGrid w:val="0"/>
      <w:spacing w:line="360" w:lineRule="auto"/>
    </w:pPr>
  </w:style>
  <w:style w:type="paragraph" w:customStyle="1" w:styleId="103">
    <w:name w:val="msonormalcxspmiddle"/>
    <w:basedOn w:val="1"/>
    <w:qFormat/>
    <w:uiPriority w:val="0"/>
    <w:pPr>
      <w:widowControl/>
      <w:spacing w:before="280" w:after="280"/>
      <w:jc w:val="left"/>
    </w:pPr>
    <w:rPr>
      <w:rFonts w:ascii="宋体" w:hAnsi="宋体" w:cs="宋体"/>
      <w:kern w:val="1"/>
      <w:sz w:val="24"/>
      <w:szCs w:val="24"/>
      <w:lang w:eastAsia="ar-SA"/>
    </w:rPr>
  </w:style>
  <w:style w:type="paragraph" w:customStyle="1" w:styleId="104">
    <w:name w:val="List Paragraph_32a8a71d-9d51-41db-9a20-0e87fd3ab526"/>
    <w:basedOn w:val="1"/>
    <w:qFormat/>
    <w:uiPriority w:val="99"/>
    <w:pPr>
      <w:ind w:firstLine="420" w:firstLineChars="200"/>
    </w:pPr>
    <w:rPr>
      <w:szCs w:val="24"/>
    </w:rPr>
  </w:style>
  <w:style w:type="paragraph" w:customStyle="1" w:styleId="105">
    <w:name w:val="表格"/>
    <w:basedOn w:val="1"/>
    <w:qFormat/>
    <w:uiPriority w:val="0"/>
    <w:pPr>
      <w:spacing w:line="400" w:lineRule="exact"/>
    </w:pPr>
    <w:rPr>
      <w:sz w:val="24"/>
      <w:szCs w:val="24"/>
    </w:rPr>
  </w:style>
  <w:style w:type="paragraph" w:customStyle="1" w:styleId="106">
    <w:name w:val="List Paragraph"/>
    <w:basedOn w:val="1"/>
    <w:qFormat/>
    <w:uiPriority w:val="34"/>
    <w:pPr>
      <w:ind w:firstLine="420" w:firstLineChars="200"/>
    </w:pPr>
  </w:style>
  <w:style w:type="character" w:customStyle="1" w:styleId="107">
    <w:name w:val="标题 1 字符"/>
    <w:basedOn w:val="22"/>
    <w:link w:val="3"/>
    <w:qFormat/>
    <w:uiPriority w:val="9"/>
    <w:rPr>
      <w:rFonts w:ascii="Times New Roman" w:hAnsi="Times New Roman" w:eastAsia="宋体" w:cs="Times New Roman"/>
      <w:b/>
      <w:bCs/>
      <w:kern w:val="44"/>
      <w:sz w:val="30"/>
      <w:szCs w:val="44"/>
    </w:rPr>
  </w:style>
  <w:style w:type="paragraph" w:customStyle="1" w:styleId="108">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09">
    <w:name w:val="正文首行缩进 2 字符"/>
    <w:basedOn w:val="36"/>
    <w:link w:val="16"/>
    <w:semiHidden/>
    <w:qFormat/>
    <w:uiPriority w:val="99"/>
    <w:rPr>
      <w:rFonts w:ascii="Times New Roman" w:hAnsi="Times New Roman" w:eastAsia="宋体" w:cs="Times New Roman"/>
      <w:sz w:val="24"/>
      <w:szCs w:val="20"/>
    </w:rPr>
  </w:style>
  <w:style w:type="paragraph" w:customStyle="1" w:styleId="110">
    <w:name w:val="列出段落6"/>
    <w:basedOn w:val="1"/>
    <w:qFormat/>
    <w:uiPriority w:val="0"/>
    <w:pPr>
      <w:ind w:firstLine="200" w:firstLineChars="200"/>
    </w:pPr>
    <w:rPr>
      <w:rFonts w:ascii="Calibri" w:hAnsi="Calibri"/>
      <w:szCs w:val="24"/>
    </w:rPr>
  </w:style>
  <w:style w:type="paragraph" w:customStyle="1" w:styleId="111">
    <w:name w:val="表格文字"/>
    <w:basedOn w:val="1"/>
    <w:qFormat/>
    <w:uiPriority w:val="0"/>
    <w:pPr>
      <w:spacing w:before="25" w:after="25" w:line="240" w:lineRule="auto"/>
      <w:ind w:firstLine="0"/>
      <w:jc w:val="left"/>
    </w:pPr>
    <w:rPr>
      <w:bCs/>
      <w:spacing w:val="10"/>
      <w:kern w:val="0"/>
      <w:sz w:val="24"/>
    </w:rPr>
  </w:style>
  <w:style w:type="character" w:customStyle="1" w:styleId="112">
    <w:name w:val="font31"/>
    <w:basedOn w:val="22"/>
    <w:qFormat/>
    <w:uiPriority w:val="0"/>
    <w:rPr>
      <w:rFonts w:hint="default" w:ascii="方正兰亭黑简体" w:hAnsi="方正兰亭黑简体" w:eastAsia="方正兰亭黑简体" w:cs="方正兰亭黑简体"/>
      <w:color w:val="000000"/>
      <w:sz w:val="24"/>
      <w:szCs w:val="24"/>
      <w:u w:val="none"/>
    </w:rPr>
  </w:style>
  <w:style w:type="character" w:customStyle="1" w:styleId="113">
    <w:name w:val="font61"/>
    <w:basedOn w:val="22"/>
    <w:qFormat/>
    <w:uiPriority w:val="0"/>
    <w:rPr>
      <w:rFonts w:hint="default" w:ascii="方正兰亭黑简体" w:hAnsi="方正兰亭黑简体" w:eastAsia="方正兰亭黑简体" w:cs="方正兰亭黑简体"/>
      <w:color w:val="000000"/>
      <w:sz w:val="24"/>
      <w:szCs w:val="24"/>
      <w:u w:val="none"/>
      <w:vertAlign w:val="subscript"/>
    </w:rPr>
  </w:style>
  <w:style w:type="character" w:customStyle="1" w:styleId="114">
    <w:name w:val="font51"/>
    <w:basedOn w:val="22"/>
    <w:qFormat/>
    <w:uiPriority w:val="0"/>
    <w:rPr>
      <w:rFonts w:hint="default" w:ascii="方正兰亭黑简体" w:hAnsi="方正兰亭黑简体" w:eastAsia="方正兰亭黑简体" w:cs="方正兰亭黑简体"/>
      <w:color w:val="000000"/>
      <w:sz w:val="24"/>
      <w:szCs w:val="24"/>
      <w:u w:val="none"/>
    </w:rPr>
  </w:style>
  <w:style w:type="character" w:customStyle="1" w:styleId="115">
    <w:name w:val="font71"/>
    <w:basedOn w:val="22"/>
    <w:qFormat/>
    <w:uiPriority w:val="0"/>
    <w:rPr>
      <w:rFonts w:hint="default" w:ascii="方正兰亭黑简体" w:hAnsi="方正兰亭黑简体" w:eastAsia="方正兰亭黑简体" w:cs="方正兰亭黑简体"/>
      <w:color w:val="000000"/>
      <w:sz w:val="24"/>
      <w:szCs w:val="24"/>
      <w:u w:val="none"/>
      <w:vertAlign w:val="subscript"/>
    </w:rPr>
  </w:style>
  <w:style w:type="paragraph" w:customStyle="1" w:styleId="116">
    <w:name w:val="彩色列表 - 强调文字颜色 1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5391</Words>
  <Characters>30732</Characters>
  <Lines>256</Lines>
  <Paragraphs>72</Paragraphs>
  <TotalTime>0</TotalTime>
  <ScaleCrop>false</ScaleCrop>
  <LinksUpToDate>false</LinksUpToDate>
  <CharactersWithSpaces>36051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2019-02-22T00:38:00Z</dcterms:created>
  <dc:creator>AutoBVT</dc:creator>
  <cp:lastModifiedBy>吴锦宇的 iPhone</cp:lastModifiedBy>
  <cp:lastPrinted>2019-05-05T18:09:00Z</cp:lastPrinted>
  <dcterms:modified xsi:type="dcterms:W3CDTF">2020-11-19T09:15:00Z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2052-11.0.0</vt:lpwstr>
  </property>
</Properties>
</file>