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第三章  采购需求书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一、项目说明</w:t>
      </w:r>
    </w:p>
    <w:p>
      <w:pPr>
        <w:spacing w:before="127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1.1项目名称：1+X证书“传感网应用开发”实训设备项目采购</w:t>
      </w:r>
    </w:p>
    <w:p>
      <w:pPr>
        <w:spacing w:before="127"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2项目概况：</w:t>
      </w:r>
    </w:p>
    <w:p>
      <w:pPr>
        <w:spacing w:before="127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1.2.1采购</w:t>
      </w:r>
      <w:r>
        <w:rPr>
          <w:rFonts w:ascii="宋体" w:hAnsi="宋体"/>
          <w:sz w:val="24"/>
        </w:rPr>
        <w:t>内容：</w:t>
      </w:r>
      <w:r>
        <w:rPr>
          <w:rFonts w:hint="eastAsia" w:ascii="宋体" w:hAnsi="宋体"/>
          <w:bCs/>
          <w:sz w:val="24"/>
          <w:u w:val="single"/>
        </w:rPr>
        <w:t>详见“项目采购要求”</w:t>
      </w:r>
      <w:r>
        <w:rPr>
          <w:rFonts w:hint="eastAsia" w:ascii="宋体" w:hAnsi="宋体"/>
          <w:sz w:val="24"/>
        </w:rPr>
        <w:t>。</w:t>
      </w:r>
    </w:p>
    <w:p>
      <w:pPr>
        <w:spacing w:before="127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1.2.2项目预算：￥</w:t>
      </w:r>
      <w:r>
        <w:rPr>
          <w:rFonts w:hint="eastAsia" w:ascii="宋体" w:hAnsi="宋体"/>
          <w:sz w:val="24"/>
          <w:u w:val="single"/>
        </w:rPr>
        <w:t xml:space="preserve">241.10 </w:t>
      </w:r>
      <w:r>
        <w:rPr>
          <w:rFonts w:hint="eastAsia" w:ascii="宋体" w:hAnsi="宋体"/>
          <w:sz w:val="24"/>
        </w:rPr>
        <w:t>万元，</w:t>
      </w:r>
      <w:r>
        <w:rPr>
          <w:rFonts w:hint="eastAsia" w:ascii="宋体" w:hAnsi="宋体" w:cs="宋体"/>
          <w:sz w:val="24"/>
        </w:rPr>
        <w:t>最高限价</w:t>
      </w:r>
      <w:r>
        <w:rPr>
          <w:rFonts w:hint="eastAsia" w:ascii="宋体" w:hAnsi="宋体"/>
          <w:sz w:val="24"/>
        </w:rPr>
        <w:t>：￥</w:t>
      </w:r>
      <w:r>
        <w:rPr>
          <w:rFonts w:hint="eastAsia" w:ascii="宋体" w:hAnsi="宋体"/>
          <w:sz w:val="24"/>
          <w:u w:val="single"/>
        </w:rPr>
        <w:t xml:space="preserve">241.10 </w:t>
      </w:r>
      <w:r>
        <w:rPr>
          <w:rFonts w:hint="eastAsia" w:ascii="宋体" w:hAnsi="宋体"/>
          <w:sz w:val="24"/>
        </w:rPr>
        <w:t>万元。</w:t>
      </w:r>
    </w:p>
    <w:p>
      <w:pPr>
        <w:spacing w:before="127" w:line="360" w:lineRule="auto"/>
        <w:rPr>
          <w:rFonts w:hint="eastAsia" w:ascii="宋体" w:hAnsi="宋体"/>
          <w:bCs/>
          <w:sz w:val="24"/>
          <w:u w:val="single"/>
        </w:rPr>
      </w:pPr>
      <w:r>
        <w:rPr>
          <w:rFonts w:hint="eastAsia" w:ascii="宋体" w:hAnsi="宋体"/>
          <w:sz w:val="24"/>
        </w:rPr>
        <w:t>1.2.3</w:t>
      </w:r>
      <w:r>
        <w:rPr>
          <w:rFonts w:hint="eastAsia" w:ascii="宋体" w:hAnsi="宋体"/>
          <w:bCs/>
          <w:sz w:val="24"/>
        </w:rPr>
        <w:t>项目编号：</w:t>
      </w:r>
      <w:r>
        <w:rPr>
          <w:rFonts w:hint="eastAsia" w:ascii="宋体" w:hAnsi="宋体"/>
          <w:bCs/>
          <w:sz w:val="24"/>
          <w:u w:val="single"/>
        </w:rPr>
        <w:t>ZA-CG2020-010</w:t>
      </w:r>
    </w:p>
    <w:p>
      <w:pPr>
        <w:spacing w:before="127"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1.3供货地点：</w:t>
      </w:r>
      <w:r>
        <w:rPr>
          <w:rFonts w:hint="eastAsia" w:ascii="宋体" w:hAnsi="宋体"/>
          <w:bCs/>
          <w:sz w:val="24"/>
          <w:u w:val="single"/>
        </w:rPr>
        <w:t>海南省银行学校</w:t>
      </w:r>
      <w:r>
        <w:rPr>
          <w:rFonts w:hint="eastAsia" w:ascii="宋体" w:hAnsi="宋体"/>
          <w:sz w:val="24"/>
          <w:u w:val="single"/>
        </w:rPr>
        <w:t>。</w:t>
      </w:r>
    </w:p>
    <w:p>
      <w:pPr>
        <w:spacing w:before="127"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4供货期限：</w:t>
      </w:r>
      <w:r>
        <w:rPr>
          <w:rFonts w:hint="eastAsia" w:ascii="宋体" w:hAnsi="宋体"/>
          <w:sz w:val="24"/>
          <w:u w:val="single"/>
        </w:rPr>
        <w:t>双方在供货合同中约定。</w:t>
      </w:r>
    </w:p>
    <w:p>
      <w:pPr>
        <w:spacing w:before="127" w:line="360" w:lineRule="auto"/>
        <w:rPr>
          <w:rFonts w:ascii="宋体" w:hAnsi="宋体"/>
          <w:b/>
          <w:w w:val="95"/>
          <w:sz w:val="24"/>
        </w:rPr>
      </w:pPr>
      <w:r>
        <w:rPr>
          <w:rFonts w:ascii="宋体" w:hAnsi="宋体"/>
          <w:b/>
          <w:w w:val="95"/>
          <w:sz w:val="24"/>
        </w:rPr>
        <w:t>二、项目采购要求</w:t>
      </w:r>
    </w:p>
    <w:p>
      <w:pPr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2.1</w:t>
      </w:r>
      <w:r>
        <w:rPr>
          <w:rFonts w:hint="eastAsia" w:ascii="宋体" w:hAnsi="宋体"/>
          <w:b/>
          <w:sz w:val="24"/>
        </w:rPr>
        <w:t>采购参数表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639"/>
        <w:gridCol w:w="5165"/>
        <w:gridCol w:w="680"/>
        <w:gridCol w:w="760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设备名称</w:t>
            </w:r>
          </w:p>
        </w:tc>
        <w:tc>
          <w:tcPr>
            <w:tcW w:w="51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技术参数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数量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单位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传感网应用开发实训套件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传感网应用开发实验平台：提供实验模块供电、通讯、检测等功能；支持传感网应用开发职业技能认证培训系统；1个。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物联网云平台：集设备在线采集、远程控制、无线传输、数据处理、预警信息发布、决策支持、一体化控制等功能于一体的物联网系统；1套。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ZigBee协调器模块：用作ZigBee协调器；1个。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ZigBee模块：支持外置数字量输入通道，模拟量输入通道，数字量输入输出通道；支持多种无线网络组网模式：点对点通讯、星状通讯、树状通讯、广播通讯；3块。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CAN模块：支持ISO国际标准化的串行通信协议；通过CAN收发器接口芯片与物理总线相连；支持三种工作模式：高速、低功耗、斜率控制；2个。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RS-485模块：具备独立的RS-485通信总线，收发可控；支持32个收发器的总线连接；2个。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NB-IoT模块：内置Cortex-M3(32位）芯片；支持OLED液晶；支持SWD调试接口；支持传感器扩展接口；2套。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LoRa模块：采用LoRa调制方式，同时兼容并支持FSK, GFSK,OOK 传统调制方式；支持硬件跳频（FHSS）；支持SPI/I2C接口的OLED屏；带扩展接口，可以连接传感器小模块；4套。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蓝牙通讯模块：采用 Bluetooth4.0标准芯片；支持低功耗工作模式，外部中断可唤醒系统；2套。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Wi-Fi通讯模块：具备32 位微型 MCU；支持WEP/TKIP/AES数据加密；支持WPA/WPA-PSK、WPA2/WPA2-PSK安全机制；支持Wi-Fi Direct(P2P)连接；支持工作模式：Station/SoftAP/SoftAP+Station；2套。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移动实验盒：内置1000mAh可充电锂电池，电池充电状态通过红绿指示灯提示；具备RS-485接口；内置UART-USB2.0转换电路，实现模块与PC机的数据通信；6套。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物联网网关：内部集成了DDR2控制器 、SPI控制器接口、PCI-E控制器、TF卡等接口，硬件资源丰富，能够作为高端产品的高性能CPU使用。使用硬件加密芯片，包含EEPROM 阵列，可用于存储至少16 个密钥、证书、其他读/写、只读或密码数据、使用记录和安全配置；1个。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移动实训台：集成6组强电和2组弱电供电接口；带电涌保护功能，有SPD指示灯；支持WAN口、LAN口和WIFI功能；1个。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报警灯：LED灯，频闪速度： 90次/分钟；1个。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灯泡：标准螺口带底盒灯座；LED照明灯；1个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继电器模块：两路控制电路；2个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智能传感器：支持WiFi和RS-485通讯协议；具备电流源和DAC输出；2个。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模拟量传感模块：输出信号是电压型模拟量的传感器组合，用于光照度、气体浓度传感实验；1套。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数字量传感模块：输出信号是数字量的传感器组合，用于温度、湿度、心率等传感实验；1套。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开关量传感模块：输出信号是开关量的传感器组合，用于热释电红外、火焰、声音等传感实验；1套。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应用开发配件：包含线材、仿真器、接口转换器等配件；1套。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传感网应用开发教学资源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物联网云平台提供集设备在线采集、远程控制、无线传输、数据分析、预警信息发布、决策支持、一体化控制等功能的物联网服务。为中职、高职和本科的物联网应用技术（物联网工程）专业的学生进行设备实训时的服务平台，最终完成技术展示、动手实验和综合实训。通过平台提供的CASE-DESIGNER、API、SDK为实验、实训、项目设计、比赛、毕业设计等过程提供一套完整的设备接入与应用开发能力，使学生快速了解物联网知识，轻松学习物联网相关技术，最终达到可以通过手机、平板、计算机等信息终端，实时掌握传感设备数据，及时获取报警、预警信息，并可以手动/自动的控制设备。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传感网应用开发接口设计软件是基于智能传感器、无线传输技术、大规模数据处理与远程控制等物联网核心技术与互联网、无线通信、云计算大数据技术高度融合开发的一套物联网系统。集成RS485、CAN、zigbee、LoRa、LoRaWAN、Wi-Fi、蓝牙传输模块等功能于一体的物联网系统。用户及管理人员可以通过手机、平板、计算机等信息终端，实时掌握传感设备信息，及时获取报警、预警信息，并可以手动/自动的调整控制设备，最终实现使以上管理变的轻松简单。同时平台也是针对物联网教育、科研推出的旨在提供一个开放的物联网云服务教学平台。通过传感网系统，可以更加便捷的学习传感网相关知识、理论与实际结合。通过传感网系统相关的教材、SDK等为实验、实训、比赛、等级评定提供一套完整的软硬件环境，轻松快速了解传感网行业应用，学习传感网相关技术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收纳方案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育标准的储物柜、托盘及收纳盒规格设计收纳方案。按照不同托盘及收纳盒采用不同颜色号码标签标记，单种模块采取编号形式进行区分。从储物柜门开始由外至内，逐步细化标记放置设备名称。储物柜门粘贴柜内设备统称及总体明细，柜内每层横梁标识上方放置设备名称，快速定位各个托盘放置位置。收纳盒粘贴套数+收纳盒/托盘标签，物品上粘贴套数+收纳盒/托盘标签及物件名称，直观快速放置对应托盘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物联网智慧生活教学资源包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中职产品教学资源包：配置 NB-IoT 模块、 LoRa 模块、 LoRa 网关、 NEWLab、智慧盒、 NEWSensor、 PDA、 传感器、可执行器件。教学资源库等。含一次售后安装培训服务，含</w:t>
            </w:r>
            <w:r>
              <w:rPr>
                <w:rFonts w:hint="eastAsia" w:ascii="Times New Roman" w:hAnsi="Times New Roman"/>
              </w:rPr>
              <w:t>两</w:t>
            </w:r>
            <w:r>
              <w:rPr>
                <w:rFonts w:ascii="Times New Roman" w:hAnsi="Times New Roman"/>
              </w:rPr>
              <w:t>年质保价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物联网应用开发终端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寸屏，适用于安卓应用开发，替换 A9 实验箱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智能检测平台中心管理系统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智能检测平台中心管理系统，可对智能检测平台SOL-MONITOR、智能检测软件进行智能管理，对台式机系列、笔记本系列、显示器系列、硬盘系列等电路功能板的芯片级维修过程实现维修报告管理、维修结果自动汇总批阅、练习/考核管理、成绩管理、学生管理、教师管理等功能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智能检测软件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智能检测软件，可与智能检测平台SOL-MONITORE配合，对台式机系列、笔记本系列、显示器系列、硬盘系列等电路功能板进行高精度智能检测，快速定位、自动判断所有故障点，可与智能检测平台中心管理系统配合实现维修报告上传、维修结果自动汇总批阅功能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智能检测平台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智能检测平台，可与智能检测软件配合，对台式机系列、笔记本系列、显示器系列、硬盘系列等电路功能板进行高精度智能检测，快速定位、自动判断所有故障点，并接受智能检测平台中心管理系统的管理。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智能检测云平台中心管理系统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智能检测云平台中心管理系统，采用METRO风格界面，扁平化导航设计，可对智能检测云平台SOL-MONITOR-E、智能检测软件V2.0进行智能管理，对台式机系列、笔记本系列、显示器系列、硬盘系列等电路功能板的芯片级维修过程实现维修报告管理、维修结果自动汇总批阅、练习/考核管理、成绩管理、学生管理、教师管理等功能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智能检测软件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智能检测软件V2.0，采用METRO风格界面，扁平化导航设计，可与智能检测云平台SOL-MONITOR-E配合，对台式机系列、笔记本系列、显示器系列、硬盘系列等电路功能板进行高精度智能检测，快速定位、自动判断所有故障点，可与智能检测云平台中心管理系统配合实现维修报告上传、维修结果自动汇总批阅功能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智能检测云平台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智能检测云平台，可与智能检测软件配合，对台式机系列、笔记本系列、显示器系列、硬盘系列等电路功能板进行高精度智能检测，快速定位、自动判断所有故障点，并接受智能检测云平台中心管理系统的管理。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小计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232.7万元（投标人高于此限额的投标报价无效）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数据恢复平台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用数据恢复设备，支持多种存储介质的及数据恢复：2.5寸/3.5寸/SATA接口/IDE接口硬盘、U盘、多媒体存储卡及移动存储介质。支持单分区扫描和整盘扫描。对于对分区表不熟悉的用户可以简单的查找各个分区的数据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实训室桌椅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符合物联网实训台标准，定制（钢制材料），包含桌子和椅子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装修工程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墙面、顶部粉刷，护眼灯光6组，地面强化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布线和强电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工程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弱电布线，强电布线，含线材，网络布线须用六类线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场地清理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完工后所有涉及的地方垃圾清理和切割部分的恢复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系统集成费用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包含原厂规定的技术集成、服务集成费用，三年上门培训费用；3年内软件系统免费升级与技术服务。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小计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8.4万元（投标人高于此限额的投标报价无效）</w:t>
            </w:r>
          </w:p>
          <w:p>
            <w:pPr>
              <w:ind w:firstLine="1205" w:firstLineChars="500"/>
              <w:rPr>
                <w:rFonts w:hint="eastAsia" w:ascii="宋体" w:hAnsi="宋体" w:cs="宋体"/>
                <w:b/>
                <w:sz w:val="24"/>
                <w:u w:val="single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sz w:val="24"/>
                <w:u w:val="single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51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241.1万元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2.2商务要求</w:t>
      </w:r>
    </w:p>
    <w:p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2.2.1、售后服务（服务标准） 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（1）质量保证期：所有产品经验收合格交付使用之日起免费保修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年；提供“三包”承诺。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（2）随时提供及时、高效、优质的上门售后服务，对需返修、退换的产品，在接到通知后24小时内提供上门服务。所有返修、退换的产品必须在15日内完成。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2.2.2、验收方式及标准：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（1）中标公示期满后，</w:t>
      </w:r>
      <w:r>
        <w:rPr>
          <w:rFonts w:ascii="宋体" w:hAnsi="宋体"/>
          <w:sz w:val="24"/>
        </w:rPr>
        <w:t>签订</w:t>
      </w:r>
      <w:r>
        <w:rPr>
          <w:rFonts w:hint="eastAsia" w:ascii="宋体" w:hAnsi="宋体"/>
          <w:sz w:val="24"/>
        </w:rPr>
        <w:t>成交</w:t>
      </w:r>
      <w:r>
        <w:rPr>
          <w:rFonts w:ascii="宋体" w:hAnsi="宋体"/>
          <w:sz w:val="24"/>
        </w:rPr>
        <w:t>合同前，采购人有权要求中标人提供</w:t>
      </w:r>
      <w:r>
        <w:rPr>
          <w:rFonts w:hint="eastAsia" w:ascii="宋体" w:hAnsi="宋体"/>
          <w:sz w:val="24"/>
        </w:rPr>
        <w:t>其所投产品的</w:t>
      </w:r>
      <w:r>
        <w:rPr>
          <w:rFonts w:ascii="宋体" w:hAnsi="宋体"/>
          <w:sz w:val="24"/>
        </w:rPr>
        <w:t>样品</w:t>
      </w:r>
      <w:r>
        <w:rPr>
          <w:rFonts w:hint="eastAsia" w:ascii="宋体" w:hAnsi="宋体"/>
          <w:sz w:val="24"/>
        </w:rPr>
        <w:t>，由采购人组织相</w:t>
      </w:r>
      <w:r>
        <w:rPr>
          <w:rFonts w:ascii="宋体" w:hAnsi="宋体"/>
          <w:sz w:val="24"/>
        </w:rPr>
        <w:t>关专家进行</w:t>
      </w:r>
      <w:r>
        <w:rPr>
          <w:rFonts w:hint="eastAsia" w:ascii="宋体" w:hAnsi="宋体"/>
          <w:sz w:val="24"/>
        </w:rPr>
        <w:t>检验</w:t>
      </w:r>
      <w:r>
        <w:rPr>
          <w:rFonts w:ascii="宋体" w:hAnsi="宋体"/>
          <w:sz w:val="24"/>
        </w:rPr>
        <w:t>和测试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t>如中标人不提供样品或</w:t>
      </w:r>
      <w:r>
        <w:rPr>
          <w:rFonts w:hint="eastAsia" w:ascii="宋体" w:hAnsi="宋体"/>
          <w:sz w:val="24"/>
        </w:rPr>
        <w:t>其所提供的</w:t>
      </w:r>
      <w:r>
        <w:rPr>
          <w:rFonts w:ascii="宋体" w:hAnsi="宋体"/>
          <w:sz w:val="24"/>
        </w:rPr>
        <w:t>样品</w:t>
      </w:r>
      <w:r>
        <w:rPr>
          <w:rFonts w:hint="eastAsia" w:ascii="宋体" w:hAnsi="宋体"/>
          <w:sz w:val="24"/>
        </w:rPr>
        <w:t>检验</w:t>
      </w:r>
      <w:r>
        <w:rPr>
          <w:rFonts w:ascii="宋体" w:hAnsi="宋体"/>
          <w:sz w:val="24"/>
        </w:rPr>
        <w:t>和测试</w:t>
      </w:r>
      <w:r>
        <w:rPr>
          <w:rFonts w:hint="eastAsia" w:ascii="宋体" w:hAnsi="宋体"/>
          <w:sz w:val="24"/>
        </w:rPr>
        <w:t>的结果</w:t>
      </w:r>
      <w:r>
        <w:rPr>
          <w:rFonts w:ascii="宋体" w:hAnsi="宋体"/>
          <w:sz w:val="24"/>
        </w:rPr>
        <w:t>与</w:t>
      </w:r>
      <w:r>
        <w:rPr>
          <w:rFonts w:hint="eastAsia" w:ascii="宋体" w:hAnsi="宋体"/>
          <w:sz w:val="24"/>
        </w:rPr>
        <w:t>其投标</w:t>
      </w:r>
      <w:r>
        <w:rPr>
          <w:rFonts w:ascii="宋体" w:hAnsi="宋体"/>
          <w:sz w:val="24"/>
        </w:rPr>
        <w:t>文件</w:t>
      </w:r>
      <w:r>
        <w:rPr>
          <w:rFonts w:hint="eastAsia" w:ascii="宋体" w:hAnsi="宋体"/>
          <w:sz w:val="24"/>
        </w:rPr>
        <w:t>响应的产品</w:t>
      </w:r>
      <w:r>
        <w:rPr>
          <w:rFonts w:ascii="宋体" w:hAnsi="宋体"/>
          <w:sz w:val="24"/>
        </w:rPr>
        <w:t>不符，采购人有权拒</w:t>
      </w:r>
      <w:r>
        <w:rPr>
          <w:rFonts w:hint="eastAsia" w:ascii="宋体" w:hAnsi="宋体"/>
          <w:sz w:val="24"/>
        </w:rPr>
        <w:t>绝与其签订成交</w:t>
      </w:r>
      <w:r>
        <w:rPr>
          <w:rFonts w:ascii="宋体" w:hAnsi="宋体"/>
          <w:sz w:val="24"/>
        </w:rPr>
        <w:t>合同并</w:t>
      </w:r>
      <w:r>
        <w:rPr>
          <w:rFonts w:hint="eastAsia" w:ascii="宋体" w:hAnsi="宋体"/>
          <w:sz w:val="24"/>
        </w:rPr>
        <w:t>将情况</w:t>
      </w:r>
      <w:r>
        <w:rPr>
          <w:rFonts w:ascii="宋体" w:hAnsi="宋体"/>
          <w:sz w:val="24"/>
        </w:rPr>
        <w:t>上报</w:t>
      </w:r>
      <w:r>
        <w:rPr>
          <w:rFonts w:hint="eastAsia" w:ascii="宋体" w:hAnsi="宋体"/>
          <w:sz w:val="24"/>
        </w:rPr>
        <w:t>政府采购</w:t>
      </w:r>
      <w:r>
        <w:rPr>
          <w:rFonts w:ascii="宋体" w:hAnsi="宋体"/>
          <w:sz w:val="24"/>
        </w:rPr>
        <w:t>监管</w:t>
      </w:r>
      <w:r>
        <w:rPr>
          <w:rFonts w:hint="eastAsia" w:ascii="宋体" w:hAnsi="宋体"/>
          <w:sz w:val="24"/>
        </w:rPr>
        <w:t>部门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所产生的法律责任和后果由</w:t>
      </w:r>
      <w:r>
        <w:rPr>
          <w:rFonts w:ascii="宋体" w:hAnsi="宋体"/>
          <w:sz w:val="24"/>
        </w:rPr>
        <w:t>中标人承担。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中标人交付的产品必须符合中国法律法规、相关部门的相应产业标准及本采购需求的要求。中标人承诺向采购人提供的产品应是全新、完整、技术成熟稳定、性能质量良好的产品，产品及相关许可证明文件、技术文件、服务等均不存在瑕疵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（3）若在产品接收验收时发现产品有任何的短少、缺损、缺陷或与合同约定不符，中标人负责于10个工作日内退换，相关费用由中标人承担。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（4）验收地点：采购人单位。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2.2.3其他：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（1）安全标准：符合国家、地方和行业的相关政策、法规。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（2）项目的实质性要求：按本招标文件要求实施。 </w:t>
      </w:r>
    </w:p>
    <w:p>
      <w:pPr>
        <w:spacing w:line="360" w:lineRule="auto"/>
        <w:ind w:left="178" w:leftChars="85"/>
        <w:jc w:val="center"/>
        <w:rPr>
          <w:rFonts w:hint="eastAsia"/>
          <w:sz w:val="24"/>
        </w:rPr>
      </w:pPr>
    </w:p>
    <w:p>
      <w:pPr>
        <w:spacing w:line="440" w:lineRule="exact"/>
        <w:ind w:left="178" w:leftChars="85"/>
        <w:jc w:val="center"/>
        <w:rPr>
          <w:rFonts w:hint="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C02F7"/>
    <w:rsid w:val="7D3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2020-07-30T08:50:00Z</dcterms:created>
  <dc:creator>Administrator</dc:creator>
  <cp:lastModifiedBy>Administrator</cp:lastModifiedBy>
  <dcterms:modified xsi:type="dcterms:W3CDTF">2020-07-30T08:50:40Z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