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outlineLvl w:val="0"/>
        <w:rPr>
          <w:rFonts w:hint="eastAsia" w:ascii="宋体" w:hAnsi="宋体" w:cs="宋体"/>
          <w:b/>
          <w:sz w:val="44"/>
          <w:szCs w:val="44"/>
        </w:rPr>
      </w:pPr>
      <w:r>
        <w:rPr>
          <w:rFonts w:hint="eastAsia" w:ascii="宋体" w:hAnsi="宋体" w:cs="宋体"/>
          <w:b/>
          <w:sz w:val="44"/>
          <w:szCs w:val="44"/>
          <w:lang w:eastAsia="zh-CN"/>
        </w:rPr>
        <w:t>采购</w:t>
      </w:r>
      <w:r>
        <w:rPr>
          <w:rFonts w:hint="eastAsia" w:ascii="宋体" w:hAnsi="宋体" w:cs="宋体"/>
          <w:b/>
          <w:sz w:val="44"/>
          <w:szCs w:val="44"/>
        </w:rPr>
        <w:t>需求书</w:t>
      </w:r>
    </w:p>
    <w:p>
      <w:pPr>
        <w:spacing w:line="400" w:lineRule="exact"/>
        <w:rPr>
          <w:rFonts w:ascii="宋体" w:hAnsi="宋体" w:eastAsia="宋体"/>
          <w:b/>
          <w:bCs/>
          <w:color w:val="000000"/>
          <w:sz w:val="28"/>
          <w:szCs w:val="28"/>
        </w:rPr>
      </w:pPr>
      <w:r>
        <w:rPr>
          <w:rFonts w:hint="eastAsia" w:ascii="宋体" w:hAnsi="宋体"/>
          <w:b/>
          <w:bCs/>
          <w:color w:val="000000"/>
          <w:sz w:val="28"/>
          <w:szCs w:val="28"/>
          <w:lang w:val="en-US" w:eastAsia="zh-CN"/>
        </w:rPr>
        <w:t>一、采购</w:t>
      </w:r>
      <w:r>
        <w:rPr>
          <w:rFonts w:hint="eastAsia" w:ascii="宋体" w:hAnsi="宋体" w:eastAsia="宋体"/>
          <w:b/>
          <w:bCs/>
          <w:color w:val="000000"/>
          <w:sz w:val="28"/>
          <w:szCs w:val="28"/>
        </w:rPr>
        <w:t>内容：</w:t>
      </w:r>
    </w:p>
    <w:p>
      <w:pPr>
        <w:spacing w:line="400" w:lineRule="exact"/>
        <w:ind w:left="-424" w:leftChars="-202" w:firstLine="664" w:firstLineChars="277"/>
        <w:rPr>
          <w:rFonts w:ascii="宋体" w:hAnsi="宋体" w:eastAsia="宋体"/>
          <w:sz w:val="24"/>
          <w:szCs w:val="24"/>
        </w:rPr>
      </w:pPr>
      <w:r>
        <w:rPr>
          <w:rFonts w:hint="eastAsia" w:ascii="宋体" w:hAnsi="宋体" w:eastAsia="宋体"/>
          <w:color w:val="000000"/>
          <w:sz w:val="24"/>
          <w:szCs w:val="24"/>
        </w:rPr>
        <w:t>为所有进入陵水黎族自治县旅行的过夜游客及境外游客提供意外伤害保险保障，具体</w:t>
      </w:r>
      <w:r>
        <w:rPr>
          <w:rFonts w:hint="eastAsia" w:ascii="宋体" w:hAnsi="宋体" w:eastAsia="宋体"/>
          <w:sz w:val="24"/>
          <w:szCs w:val="24"/>
        </w:rPr>
        <w:t>如下：</w:t>
      </w:r>
    </w:p>
    <w:p>
      <w:pPr>
        <w:spacing w:line="360" w:lineRule="auto"/>
        <w:rPr>
          <w:rFonts w:ascii="宋体" w:hAnsi="宋体" w:eastAsia="宋体"/>
          <w:b/>
          <w:sz w:val="24"/>
          <w:szCs w:val="24"/>
        </w:rPr>
      </w:pPr>
      <w:r>
        <w:rPr>
          <w:rFonts w:hint="eastAsia" w:ascii="宋体" w:hAnsi="宋体" w:eastAsia="宋体"/>
          <w:b/>
          <w:sz w:val="24"/>
          <w:szCs w:val="24"/>
        </w:rPr>
        <w:t>（一）进入陵水黎族自治县旅行的过夜游客及境外游客的身份认定方式：</w:t>
      </w:r>
    </w:p>
    <w:p>
      <w:pPr>
        <w:spacing w:line="400" w:lineRule="exact"/>
        <w:rPr>
          <w:rFonts w:ascii="宋体" w:hAnsi="宋体" w:eastAsia="宋体"/>
          <w:sz w:val="24"/>
          <w:szCs w:val="24"/>
        </w:rPr>
      </w:pPr>
      <w:r>
        <w:rPr>
          <w:rFonts w:hint="eastAsia" w:ascii="宋体" w:hAnsi="宋体" w:eastAsia="宋体"/>
          <w:sz w:val="24"/>
          <w:szCs w:val="24"/>
        </w:rPr>
        <w:t>1、已办理酒店入住手续的游客；</w:t>
      </w:r>
    </w:p>
    <w:p>
      <w:pPr>
        <w:spacing w:line="400" w:lineRule="exact"/>
        <w:rPr>
          <w:rFonts w:ascii="宋体" w:hAnsi="宋体" w:eastAsia="宋体"/>
          <w:sz w:val="24"/>
          <w:szCs w:val="24"/>
        </w:rPr>
      </w:pPr>
      <w:r>
        <w:rPr>
          <w:rFonts w:hint="eastAsia" w:ascii="宋体" w:hAnsi="宋体" w:eastAsia="宋体"/>
          <w:sz w:val="24"/>
          <w:szCs w:val="24"/>
        </w:rPr>
        <w:t>2、未办理酒店入住手续，但已通过网络或旅行社预定酒店的游客；</w:t>
      </w:r>
    </w:p>
    <w:p>
      <w:pPr>
        <w:spacing w:line="400" w:lineRule="exact"/>
        <w:rPr>
          <w:rFonts w:ascii="宋体" w:hAnsi="宋体" w:eastAsia="宋体"/>
          <w:sz w:val="24"/>
          <w:szCs w:val="24"/>
        </w:rPr>
      </w:pPr>
      <w:r>
        <w:rPr>
          <w:rFonts w:hint="eastAsia" w:ascii="宋体" w:hAnsi="宋体" w:eastAsia="宋体"/>
          <w:sz w:val="24"/>
          <w:szCs w:val="24"/>
        </w:rPr>
        <w:t>3、境外游客以电子行程单的外籍人士为准。</w:t>
      </w:r>
    </w:p>
    <w:p>
      <w:pPr>
        <w:spacing w:line="360" w:lineRule="auto"/>
        <w:rPr>
          <w:rFonts w:ascii="宋体" w:hAnsi="宋体" w:eastAsia="宋体"/>
          <w:b/>
          <w:sz w:val="24"/>
          <w:szCs w:val="24"/>
        </w:rPr>
      </w:pPr>
      <w:r>
        <w:rPr>
          <w:rFonts w:hint="eastAsia" w:ascii="宋体" w:hAnsi="宋体" w:eastAsia="宋体"/>
          <w:b/>
          <w:sz w:val="24"/>
          <w:szCs w:val="24"/>
        </w:rPr>
        <w:t>（二）保障内容</w:t>
      </w:r>
    </w:p>
    <w:tbl>
      <w:tblPr>
        <w:tblStyle w:val="4"/>
        <w:tblW w:w="0" w:type="auto"/>
        <w:tblInd w:w="-885" w:type="dxa"/>
        <w:tblLayout w:type="fixed"/>
        <w:tblCellMar>
          <w:top w:w="0" w:type="dxa"/>
          <w:left w:w="108" w:type="dxa"/>
          <w:bottom w:w="0" w:type="dxa"/>
          <w:right w:w="108" w:type="dxa"/>
        </w:tblCellMar>
      </w:tblPr>
      <w:tblGrid>
        <w:gridCol w:w="1419"/>
        <w:gridCol w:w="5103"/>
        <w:gridCol w:w="4037"/>
      </w:tblGrid>
      <w:tr>
        <w:tblPrEx>
          <w:tblCellMar>
            <w:top w:w="0" w:type="dxa"/>
            <w:left w:w="108" w:type="dxa"/>
            <w:bottom w:w="0" w:type="dxa"/>
            <w:right w:w="108" w:type="dxa"/>
          </w:tblCellMar>
        </w:tblPrEx>
        <w:trPr>
          <w:trHeight w:val="428" w:hRule="atLeast"/>
        </w:trPr>
        <w:tc>
          <w:tcPr>
            <w:tcW w:w="1419"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保障项目</w:t>
            </w:r>
          </w:p>
        </w:tc>
        <w:tc>
          <w:tcPr>
            <w:tcW w:w="5103"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责任简述</w:t>
            </w:r>
          </w:p>
        </w:tc>
        <w:tc>
          <w:tcPr>
            <w:tcW w:w="4037"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保障金额</w:t>
            </w:r>
          </w:p>
        </w:tc>
      </w:tr>
      <w:tr>
        <w:tblPrEx>
          <w:tblCellMar>
            <w:top w:w="0" w:type="dxa"/>
            <w:left w:w="108" w:type="dxa"/>
            <w:bottom w:w="0" w:type="dxa"/>
            <w:right w:w="108" w:type="dxa"/>
          </w:tblCellMar>
        </w:tblPrEx>
        <w:trPr>
          <w:trHeight w:val="428" w:hRule="atLeast"/>
        </w:trPr>
        <w:tc>
          <w:tcPr>
            <w:tcW w:w="1419" w:type="dxa"/>
            <w:vMerge w:val="restart"/>
            <w:tcBorders>
              <w:top w:val="nil"/>
              <w:left w:val="single" w:color="auto" w:sz="8" w:space="0"/>
              <w:bottom w:val="nil"/>
              <w:right w:val="single" w:color="auto" w:sz="8" w:space="0"/>
            </w:tcBorders>
            <w:noWrap w:val="0"/>
            <w:vAlign w:val="center"/>
          </w:tcPr>
          <w:p>
            <w:pPr>
              <w:widowControl/>
              <w:spacing w:line="400" w:lineRule="exact"/>
              <w:jc w:val="center"/>
              <w:rPr>
                <w:rFonts w:ascii="宋体" w:hAnsi="宋体" w:eastAsia="宋体" w:cs="宋体"/>
                <w:color w:val="000000"/>
                <w:kern w:val="0"/>
                <w:sz w:val="24"/>
              </w:rPr>
            </w:pPr>
            <w:r>
              <w:rPr>
                <w:rFonts w:hint="eastAsia" w:ascii="宋体" w:hAnsi="宋体" w:eastAsia="宋体" w:cs="宋体"/>
                <w:color w:val="000000"/>
                <w:kern w:val="0"/>
                <w:sz w:val="24"/>
              </w:rPr>
              <w:t>　</w:t>
            </w:r>
            <w:r>
              <w:rPr>
                <w:rFonts w:hint="eastAsia" w:ascii="宋体" w:hAnsi="宋体" w:eastAsia="宋体"/>
                <w:color w:val="000000"/>
                <w:sz w:val="24"/>
              </w:rPr>
              <w:t>过夜及境外游客</w:t>
            </w:r>
            <w:r>
              <w:rPr>
                <w:rFonts w:hint="eastAsia" w:ascii="宋体" w:hAnsi="宋体" w:eastAsia="宋体" w:cs="宋体"/>
                <w:color w:val="000000"/>
                <w:kern w:val="0"/>
                <w:sz w:val="24"/>
              </w:rPr>
              <w:t>意外伤害保险</w:t>
            </w:r>
          </w:p>
        </w:tc>
        <w:tc>
          <w:tcPr>
            <w:tcW w:w="5103" w:type="dxa"/>
            <w:vMerge w:val="restart"/>
            <w:tcBorders>
              <w:top w:val="nil"/>
              <w:left w:val="single" w:color="auto" w:sz="8" w:space="0"/>
              <w:bottom w:val="single" w:color="000000" w:sz="8" w:space="0"/>
              <w:right w:val="single" w:color="auto" w:sz="8" w:space="0"/>
            </w:tcBorders>
            <w:noWrap w:val="0"/>
            <w:vAlign w:val="center"/>
          </w:tcPr>
          <w:p>
            <w:pPr>
              <w:widowControl/>
              <w:spacing w:line="400" w:lineRule="exact"/>
              <w:jc w:val="left"/>
              <w:rPr>
                <w:rFonts w:ascii="宋体" w:hAnsi="宋体" w:eastAsia="宋体"/>
                <w:color w:val="000000"/>
                <w:kern w:val="0"/>
                <w:sz w:val="24"/>
              </w:rPr>
            </w:pPr>
            <w:r>
              <w:rPr>
                <w:rFonts w:ascii="宋体" w:hAnsi="宋体" w:eastAsia="宋体"/>
                <w:color w:val="000000"/>
                <w:kern w:val="0"/>
                <w:sz w:val="24"/>
              </w:rPr>
              <w:t>1</w:t>
            </w:r>
            <w:r>
              <w:rPr>
                <w:rFonts w:hint="eastAsia" w:ascii="宋体" w:hAnsi="宋体" w:eastAsia="宋体"/>
                <w:color w:val="000000"/>
                <w:kern w:val="0"/>
                <w:sz w:val="24"/>
              </w:rPr>
              <w:t>、意外伤害身故</w:t>
            </w:r>
          </w:p>
        </w:tc>
        <w:tc>
          <w:tcPr>
            <w:tcW w:w="4037" w:type="dxa"/>
            <w:tcBorders>
              <w:top w:val="nil"/>
              <w:left w:val="nil"/>
              <w:bottom w:val="nil"/>
              <w:right w:val="single" w:color="auto" w:sz="8" w:space="0"/>
            </w:tcBorders>
            <w:noWrap w:val="0"/>
            <w:vAlign w:val="center"/>
          </w:tcPr>
          <w:p>
            <w:pPr>
              <w:widowControl/>
              <w:spacing w:line="400" w:lineRule="exact"/>
              <w:jc w:val="left"/>
              <w:rPr>
                <w:rFonts w:ascii="宋体" w:hAnsi="宋体" w:eastAsia="宋体"/>
                <w:color w:val="1D1B11"/>
                <w:kern w:val="0"/>
                <w:sz w:val="24"/>
              </w:rPr>
            </w:pPr>
            <w:r>
              <w:rPr>
                <w:rFonts w:ascii="宋体" w:hAnsi="宋体" w:eastAsia="宋体"/>
                <w:color w:val="1D1B11"/>
                <w:kern w:val="0"/>
                <w:sz w:val="24"/>
              </w:rPr>
              <w:t>20</w:t>
            </w:r>
            <w:r>
              <w:rPr>
                <w:rFonts w:hint="eastAsia" w:ascii="宋体" w:hAnsi="宋体" w:eastAsia="宋体"/>
                <w:color w:val="1D1B11"/>
                <w:kern w:val="0"/>
                <w:sz w:val="24"/>
              </w:rPr>
              <w:t>万元</w:t>
            </w:r>
            <w:r>
              <w:rPr>
                <w:rFonts w:ascii="宋体" w:hAnsi="宋体" w:eastAsia="宋体"/>
                <w:color w:val="1D1B11"/>
                <w:kern w:val="0"/>
                <w:sz w:val="24"/>
              </w:rPr>
              <w:t>/</w:t>
            </w:r>
            <w:r>
              <w:rPr>
                <w:rFonts w:hint="eastAsia" w:ascii="宋体" w:hAnsi="宋体" w:eastAsia="宋体"/>
                <w:color w:val="1D1B11"/>
                <w:kern w:val="0"/>
                <w:sz w:val="24"/>
              </w:rPr>
              <w:t>人</w:t>
            </w:r>
          </w:p>
        </w:tc>
      </w:tr>
      <w:tr>
        <w:tblPrEx>
          <w:tblCellMar>
            <w:top w:w="0" w:type="dxa"/>
            <w:left w:w="108" w:type="dxa"/>
            <w:bottom w:w="0" w:type="dxa"/>
            <w:right w:w="108" w:type="dxa"/>
          </w:tblCellMar>
        </w:tblPrEx>
        <w:trPr>
          <w:trHeight w:val="45" w:hRule="atLeast"/>
        </w:trPr>
        <w:tc>
          <w:tcPr>
            <w:tcW w:w="1419" w:type="dxa"/>
            <w:vMerge w:val="continue"/>
            <w:tcBorders>
              <w:top w:val="nil"/>
              <w:left w:val="single" w:color="auto" w:sz="8" w:space="0"/>
              <w:bottom w:val="nil"/>
              <w:right w:val="single" w:color="auto" w:sz="8" w:space="0"/>
            </w:tcBorders>
            <w:noWrap w:val="0"/>
            <w:vAlign w:val="center"/>
          </w:tcPr>
          <w:p>
            <w:pPr>
              <w:widowControl/>
              <w:spacing w:line="400" w:lineRule="exact"/>
              <w:jc w:val="left"/>
              <w:rPr>
                <w:rFonts w:ascii="宋体" w:hAnsi="宋体" w:eastAsia="宋体" w:cs="宋体"/>
                <w:color w:val="000000"/>
                <w:kern w:val="0"/>
                <w:sz w:val="24"/>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400" w:lineRule="exact"/>
              <w:jc w:val="left"/>
              <w:rPr>
                <w:rFonts w:ascii="宋体" w:hAnsi="宋体" w:eastAsia="宋体"/>
                <w:color w:val="000000"/>
                <w:kern w:val="0"/>
                <w:sz w:val="24"/>
              </w:rPr>
            </w:pPr>
          </w:p>
        </w:tc>
        <w:tc>
          <w:tcPr>
            <w:tcW w:w="4037" w:type="dxa"/>
            <w:tcBorders>
              <w:top w:val="nil"/>
              <w:left w:val="nil"/>
              <w:bottom w:val="single" w:color="auto" w:sz="8" w:space="0"/>
              <w:right w:val="single" w:color="auto" w:sz="8" w:space="0"/>
            </w:tcBorders>
            <w:noWrap w:val="0"/>
            <w:vAlign w:val="center"/>
          </w:tcPr>
          <w:p>
            <w:pPr>
              <w:widowControl/>
              <w:spacing w:line="400" w:lineRule="exact"/>
              <w:jc w:val="left"/>
              <w:rPr>
                <w:rFonts w:ascii="宋体" w:hAnsi="宋体" w:eastAsia="宋体" w:cs="宋体"/>
                <w:color w:val="1D1B11"/>
                <w:kern w:val="0"/>
                <w:sz w:val="24"/>
              </w:rPr>
            </w:pPr>
            <w:r>
              <w:rPr>
                <w:rFonts w:hint="eastAsia" w:ascii="宋体" w:hAnsi="宋体" w:eastAsia="宋体" w:cs="宋体"/>
                <w:color w:val="1D1B11"/>
                <w:kern w:val="0"/>
                <w:sz w:val="24"/>
              </w:rPr>
              <w:t>（</w:t>
            </w:r>
            <w:r>
              <w:rPr>
                <w:rFonts w:ascii="宋体" w:hAnsi="宋体" w:eastAsia="宋体"/>
                <w:color w:val="1D1B11"/>
                <w:kern w:val="0"/>
                <w:sz w:val="24"/>
              </w:rPr>
              <w:t>65</w:t>
            </w:r>
            <w:r>
              <w:rPr>
                <w:rFonts w:hint="eastAsia" w:ascii="宋体" w:hAnsi="宋体" w:eastAsia="宋体" w:cs="宋体"/>
                <w:color w:val="1D1B11"/>
                <w:kern w:val="0"/>
                <w:sz w:val="24"/>
              </w:rPr>
              <w:t>岁</w:t>
            </w:r>
            <w:r>
              <w:rPr>
                <w:rFonts w:ascii="宋体" w:hAnsi="宋体" w:eastAsia="宋体"/>
                <w:color w:val="1D1B11"/>
                <w:kern w:val="0"/>
                <w:sz w:val="24"/>
              </w:rPr>
              <w:t>—80</w:t>
            </w:r>
            <w:r>
              <w:rPr>
                <w:rFonts w:hint="eastAsia" w:ascii="宋体" w:hAnsi="宋体" w:eastAsia="宋体" w:cs="宋体"/>
                <w:color w:val="1D1B11"/>
                <w:kern w:val="0"/>
                <w:sz w:val="24"/>
              </w:rPr>
              <w:t>岁的为</w:t>
            </w:r>
            <w:r>
              <w:rPr>
                <w:rFonts w:ascii="宋体" w:hAnsi="宋体" w:eastAsia="宋体"/>
                <w:color w:val="1D1B11"/>
                <w:kern w:val="0"/>
                <w:sz w:val="24"/>
              </w:rPr>
              <w:t>5</w:t>
            </w:r>
            <w:r>
              <w:rPr>
                <w:rFonts w:hint="eastAsia" w:ascii="宋体" w:hAnsi="宋体" w:eastAsia="宋体" w:cs="宋体"/>
                <w:color w:val="1D1B11"/>
                <w:kern w:val="0"/>
                <w:sz w:val="24"/>
              </w:rPr>
              <w:t>万）</w:t>
            </w:r>
          </w:p>
        </w:tc>
      </w:tr>
      <w:tr>
        <w:tblPrEx>
          <w:tblCellMar>
            <w:top w:w="0" w:type="dxa"/>
            <w:left w:w="108" w:type="dxa"/>
            <w:bottom w:w="0" w:type="dxa"/>
            <w:right w:w="108" w:type="dxa"/>
          </w:tblCellMar>
        </w:tblPrEx>
        <w:trPr>
          <w:trHeight w:val="428" w:hRule="atLeast"/>
        </w:trPr>
        <w:tc>
          <w:tcPr>
            <w:tcW w:w="1419" w:type="dxa"/>
            <w:vMerge w:val="continue"/>
            <w:tcBorders>
              <w:top w:val="nil"/>
              <w:left w:val="single" w:color="auto" w:sz="8" w:space="0"/>
              <w:bottom w:val="nil"/>
              <w:right w:val="single" w:color="auto" w:sz="8" w:space="0"/>
            </w:tcBorders>
            <w:noWrap w:val="0"/>
            <w:vAlign w:val="center"/>
          </w:tcPr>
          <w:p>
            <w:pPr>
              <w:widowControl/>
              <w:spacing w:line="400" w:lineRule="exact"/>
              <w:jc w:val="left"/>
              <w:rPr>
                <w:rFonts w:ascii="宋体" w:hAnsi="宋体" w:eastAsia="宋体" w:cs="宋体"/>
                <w:color w:val="000000"/>
                <w:kern w:val="0"/>
                <w:sz w:val="24"/>
              </w:rPr>
            </w:pPr>
          </w:p>
        </w:tc>
        <w:tc>
          <w:tcPr>
            <w:tcW w:w="5103" w:type="dxa"/>
            <w:vMerge w:val="restart"/>
            <w:tcBorders>
              <w:top w:val="nil"/>
              <w:left w:val="single" w:color="auto" w:sz="8" w:space="0"/>
              <w:bottom w:val="single" w:color="000000" w:sz="8" w:space="0"/>
              <w:right w:val="single" w:color="auto" w:sz="8" w:space="0"/>
            </w:tcBorders>
            <w:noWrap w:val="0"/>
            <w:vAlign w:val="center"/>
          </w:tcPr>
          <w:p>
            <w:pPr>
              <w:widowControl/>
              <w:spacing w:line="400" w:lineRule="exact"/>
              <w:jc w:val="left"/>
              <w:rPr>
                <w:rFonts w:ascii="宋体" w:hAnsi="宋体" w:eastAsia="宋体"/>
                <w:color w:val="000000"/>
                <w:kern w:val="0"/>
                <w:sz w:val="24"/>
              </w:rPr>
            </w:pPr>
            <w:r>
              <w:rPr>
                <w:rFonts w:ascii="宋体" w:hAnsi="宋体" w:eastAsia="宋体"/>
                <w:color w:val="000000"/>
                <w:kern w:val="0"/>
                <w:sz w:val="24"/>
              </w:rPr>
              <w:t>2</w:t>
            </w:r>
            <w:r>
              <w:rPr>
                <w:rFonts w:hint="eastAsia" w:ascii="宋体" w:hAnsi="宋体" w:eastAsia="宋体"/>
                <w:color w:val="000000"/>
                <w:kern w:val="0"/>
                <w:sz w:val="24"/>
              </w:rPr>
              <w:t>、意外伤害残疾</w:t>
            </w:r>
          </w:p>
        </w:tc>
        <w:tc>
          <w:tcPr>
            <w:tcW w:w="4037" w:type="dxa"/>
            <w:tcBorders>
              <w:top w:val="nil"/>
              <w:left w:val="nil"/>
              <w:bottom w:val="nil"/>
              <w:right w:val="single" w:color="auto" w:sz="8" w:space="0"/>
            </w:tcBorders>
            <w:noWrap w:val="0"/>
            <w:vAlign w:val="center"/>
          </w:tcPr>
          <w:p>
            <w:pPr>
              <w:widowControl/>
              <w:spacing w:line="400" w:lineRule="exact"/>
              <w:jc w:val="left"/>
              <w:rPr>
                <w:rFonts w:ascii="宋体" w:hAnsi="宋体" w:eastAsia="宋体" w:cs="宋体"/>
                <w:color w:val="1D1B11"/>
                <w:kern w:val="0"/>
                <w:sz w:val="24"/>
              </w:rPr>
            </w:pPr>
            <w:r>
              <w:rPr>
                <w:rFonts w:hint="eastAsia" w:ascii="宋体" w:hAnsi="宋体" w:eastAsia="宋体" w:cs="宋体"/>
                <w:color w:val="1D1B11"/>
                <w:kern w:val="0"/>
                <w:sz w:val="24"/>
              </w:rPr>
              <w:t>按照残疾程度最高赔付</w:t>
            </w:r>
            <w:r>
              <w:rPr>
                <w:rFonts w:ascii="宋体" w:hAnsi="宋体" w:eastAsia="宋体"/>
                <w:color w:val="1D1B11"/>
                <w:kern w:val="0"/>
                <w:sz w:val="24"/>
              </w:rPr>
              <w:t>20</w:t>
            </w:r>
            <w:r>
              <w:rPr>
                <w:rFonts w:hint="eastAsia" w:ascii="宋体" w:hAnsi="宋体" w:eastAsia="宋体" w:cs="宋体"/>
                <w:color w:val="1D1B11"/>
                <w:kern w:val="0"/>
                <w:sz w:val="24"/>
              </w:rPr>
              <w:t>万元</w:t>
            </w:r>
            <w:r>
              <w:rPr>
                <w:rFonts w:ascii="宋体" w:hAnsi="宋体" w:eastAsia="宋体"/>
                <w:color w:val="1D1B11"/>
                <w:kern w:val="0"/>
                <w:sz w:val="24"/>
              </w:rPr>
              <w:t>/</w:t>
            </w:r>
            <w:r>
              <w:rPr>
                <w:rFonts w:hint="eastAsia" w:ascii="宋体" w:hAnsi="宋体" w:eastAsia="宋体" w:cs="宋体"/>
                <w:color w:val="1D1B11"/>
                <w:kern w:val="0"/>
                <w:sz w:val="24"/>
              </w:rPr>
              <w:t>人</w:t>
            </w:r>
          </w:p>
        </w:tc>
      </w:tr>
      <w:tr>
        <w:tblPrEx>
          <w:tblCellMar>
            <w:top w:w="0" w:type="dxa"/>
            <w:left w:w="108" w:type="dxa"/>
            <w:bottom w:w="0" w:type="dxa"/>
            <w:right w:w="108" w:type="dxa"/>
          </w:tblCellMar>
        </w:tblPrEx>
        <w:trPr>
          <w:trHeight w:val="104" w:hRule="atLeast"/>
        </w:trPr>
        <w:tc>
          <w:tcPr>
            <w:tcW w:w="1419" w:type="dxa"/>
            <w:vMerge w:val="continue"/>
            <w:tcBorders>
              <w:top w:val="nil"/>
              <w:left w:val="single" w:color="auto" w:sz="8" w:space="0"/>
              <w:bottom w:val="nil"/>
              <w:right w:val="single" w:color="auto" w:sz="8" w:space="0"/>
            </w:tcBorders>
            <w:noWrap w:val="0"/>
            <w:vAlign w:val="center"/>
          </w:tcPr>
          <w:p>
            <w:pPr>
              <w:widowControl/>
              <w:spacing w:line="400" w:lineRule="exact"/>
              <w:jc w:val="left"/>
              <w:rPr>
                <w:rFonts w:ascii="宋体" w:hAnsi="宋体" w:eastAsia="宋体" w:cs="宋体"/>
                <w:color w:val="000000"/>
                <w:kern w:val="0"/>
                <w:sz w:val="24"/>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400" w:lineRule="exact"/>
              <w:jc w:val="left"/>
              <w:rPr>
                <w:rFonts w:ascii="宋体" w:hAnsi="宋体" w:eastAsia="宋体"/>
                <w:color w:val="000000"/>
                <w:kern w:val="0"/>
                <w:sz w:val="24"/>
              </w:rPr>
            </w:pPr>
          </w:p>
        </w:tc>
        <w:tc>
          <w:tcPr>
            <w:tcW w:w="4037" w:type="dxa"/>
            <w:tcBorders>
              <w:top w:val="nil"/>
              <w:left w:val="nil"/>
              <w:bottom w:val="single" w:color="auto" w:sz="8" w:space="0"/>
              <w:right w:val="single" w:color="auto" w:sz="8" w:space="0"/>
            </w:tcBorders>
            <w:noWrap w:val="0"/>
            <w:vAlign w:val="center"/>
          </w:tcPr>
          <w:p>
            <w:pPr>
              <w:widowControl/>
              <w:spacing w:line="400" w:lineRule="exact"/>
              <w:jc w:val="left"/>
              <w:rPr>
                <w:rFonts w:ascii="宋体" w:hAnsi="宋体" w:eastAsia="宋体" w:cs="宋体"/>
                <w:color w:val="1D1B11"/>
                <w:kern w:val="0"/>
                <w:sz w:val="24"/>
              </w:rPr>
            </w:pPr>
            <w:r>
              <w:rPr>
                <w:rFonts w:hint="eastAsia" w:ascii="宋体" w:hAnsi="宋体" w:eastAsia="宋体" w:cs="宋体"/>
                <w:color w:val="1D1B11"/>
                <w:kern w:val="0"/>
                <w:sz w:val="24"/>
              </w:rPr>
              <w:t>（</w:t>
            </w:r>
            <w:r>
              <w:rPr>
                <w:rFonts w:ascii="宋体" w:hAnsi="宋体" w:eastAsia="宋体"/>
                <w:color w:val="1D1B11"/>
                <w:kern w:val="0"/>
                <w:sz w:val="24"/>
              </w:rPr>
              <w:t>65</w:t>
            </w:r>
            <w:r>
              <w:rPr>
                <w:rFonts w:hint="eastAsia" w:ascii="宋体" w:hAnsi="宋体" w:eastAsia="宋体" w:cs="宋体"/>
                <w:color w:val="1D1B11"/>
                <w:kern w:val="0"/>
                <w:sz w:val="24"/>
              </w:rPr>
              <w:t>岁</w:t>
            </w:r>
            <w:r>
              <w:rPr>
                <w:rFonts w:ascii="宋体" w:hAnsi="宋体" w:eastAsia="宋体"/>
                <w:color w:val="1D1B11"/>
                <w:kern w:val="0"/>
                <w:sz w:val="24"/>
              </w:rPr>
              <w:t>—80</w:t>
            </w:r>
            <w:r>
              <w:rPr>
                <w:rFonts w:hint="eastAsia" w:ascii="宋体" w:hAnsi="宋体" w:eastAsia="宋体" w:cs="宋体"/>
                <w:color w:val="1D1B11"/>
                <w:kern w:val="0"/>
                <w:sz w:val="24"/>
              </w:rPr>
              <w:t>岁的为</w:t>
            </w:r>
            <w:r>
              <w:rPr>
                <w:rFonts w:ascii="宋体" w:hAnsi="宋体" w:eastAsia="宋体"/>
                <w:color w:val="1D1B11"/>
                <w:kern w:val="0"/>
                <w:sz w:val="24"/>
              </w:rPr>
              <w:t>5</w:t>
            </w:r>
            <w:r>
              <w:rPr>
                <w:rFonts w:hint="eastAsia" w:ascii="宋体" w:hAnsi="宋体" w:eastAsia="宋体" w:cs="宋体"/>
                <w:color w:val="1D1B11"/>
                <w:kern w:val="0"/>
                <w:sz w:val="24"/>
              </w:rPr>
              <w:t>万）</w:t>
            </w:r>
          </w:p>
        </w:tc>
      </w:tr>
      <w:tr>
        <w:tblPrEx>
          <w:tblCellMar>
            <w:top w:w="0" w:type="dxa"/>
            <w:left w:w="108" w:type="dxa"/>
            <w:bottom w:w="0" w:type="dxa"/>
            <w:right w:w="108" w:type="dxa"/>
          </w:tblCellMar>
        </w:tblPrEx>
        <w:trPr>
          <w:trHeight w:val="428" w:hRule="atLeast"/>
        </w:trPr>
        <w:tc>
          <w:tcPr>
            <w:tcW w:w="1419" w:type="dxa"/>
            <w:vMerge w:val="continue"/>
            <w:tcBorders>
              <w:top w:val="nil"/>
              <w:left w:val="single" w:color="auto" w:sz="8" w:space="0"/>
              <w:bottom w:val="nil"/>
              <w:right w:val="single" w:color="auto" w:sz="8" w:space="0"/>
            </w:tcBorders>
            <w:noWrap w:val="0"/>
            <w:vAlign w:val="center"/>
          </w:tcPr>
          <w:p>
            <w:pPr>
              <w:widowControl/>
              <w:spacing w:line="400" w:lineRule="exact"/>
              <w:jc w:val="left"/>
              <w:rPr>
                <w:rFonts w:ascii="宋体" w:hAnsi="宋体" w:eastAsia="宋体" w:cs="宋体"/>
                <w:color w:val="000000"/>
                <w:kern w:val="0"/>
                <w:sz w:val="24"/>
              </w:rPr>
            </w:pPr>
          </w:p>
        </w:tc>
        <w:tc>
          <w:tcPr>
            <w:tcW w:w="5103" w:type="dxa"/>
            <w:tcBorders>
              <w:top w:val="nil"/>
              <w:left w:val="nil"/>
              <w:bottom w:val="single" w:color="auto" w:sz="8" w:space="0"/>
              <w:right w:val="single" w:color="auto" w:sz="8" w:space="0"/>
            </w:tcBorders>
            <w:noWrap w:val="0"/>
            <w:vAlign w:val="center"/>
          </w:tcPr>
          <w:p>
            <w:pPr>
              <w:widowControl/>
              <w:spacing w:line="400" w:lineRule="exact"/>
              <w:jc w:val="left"/>
              <w:rPr>
                <w:rFonts w:ascii="宋体" w:hAnsi="宋体" w:eastAsia="宋体"/>
                <w:color w:val="000000"/>
                <w:kern w:val="0"/>
                <w:sz w:val="24"/>
              </w:rPr>
            </w:pPr>
            <w:r>
              <w:rPr>
                <w:rFonts w:ascii="宋体" w:hAnsi="宋体" w:eastAsia="宋体"/>
                <w:color w:val="000000"/>
                <w:kern w:val="0"/>
                <w:sz w:val="24"/>
              </w:rPr>
              <w:t>3</w:t>
            </w:r>
            <w:r>
              <w:rPr>
                <w:rFonts w:hint="eastAsia" w:ascii="宋体" w:hAnsi="宋体" w:eastAsia="宋体"/>
                <w:color w:val="000000"/>
                <w:kern w:val="0"/>
                <w:sz w:val="24"/>
              </w:rPr>
              <w:t>、意外伤害医疗</w:t>
            </w:r>
          </w:p>
        </w:tc>
        <w:tc>
          <w:tcPr>
            <w:tcW w:w="4037" w:type="dxa"/>
            <w:tcBorders>
              <w:top w:val="nil"/>
              <w:left w:val="nil"/>
              <w:bottom w:val="single" w:color="auto" w:sz="8" w:space="0"/>
              <w:right w:val="single" w:color="auto" w:sz="8" w:space="0"/>
            </w:tcBorders>
            <w:noWrap w:val="0"/>
            <w:vAlign w:val="center"/>
          </w:tcPr>
          <w:p>
            <w:pPr>
              <w:widowControl/>
              <w:spacing w:line="400" w:lineRule="exact"/>
              <w:jc w:val="left"/>
              <w:rPr>
                <w:rFonts w:ascii="宋体" w:hAnsi="宋体" w:eastAsia="宋体"/>
                <w:color w:val="1D1B11"/>
                <w:kern w:val="0"/>
                <w:sz w:val="24"/>
              </w:rPr>
            </w:pPr>
            <w:r>
              <w:rPr>
                <w:rFonts w:ascii="宋体" w:hAnsi="宋体" w:eastAsia="宋体"/>
                <w:color w:val="1D1B11"/>
                <w:kern w:val="0"/>
                <w:sz w:val="24"/>
              </w:rPr>
              <w:t>2</w:t>
            </w:r>
            <w:r>
              <w:rPr>
                <w:rFonts w:hint="eastAsia" w:ascii="宋体" w:hAnsi="宋体" w:eastAsia="宋体"/>
                <w:color w:val="1D1B11"/>
                <w:kern w:val="0"/>
                <w:sz w:val="24"/>
              </w:rPr>
              <w:t>万元</w:t>
            </w:r>
            <w:r>
              <w:rPr>
                <w:rFonts w:ascii="宋体" w:hAnsi="宋体" w:eastAsia="宋体"/>
                <w:color w:val="1D1B11"/>
                <w:kern w:val="0"/>
                <w:sz w:val="24"/>
              </w:rPr>
              <w:t>/</w:t>
            </w:r>
            <w:r>
              <w:rPr>
                <w:rFonts w:hint="eastAsia" w:ascii="宋体" w:hAnsi="宋体" w:eastAsia="宋体"/>
                <w:color w:val="1D1B11"/>
                <w:kern w:val="0"/>
                <w:sz w:val="24"/>
              </w:rPr>
              <w:t>人</w:t>
            </w:r>
          </w:p>
        </w:tc>
      </w:tr>
      <w:tr>
        <w:tblPrEx>
          <w:tblCellMar>
            <w:top w:w="0" w:type="dxa"/>
            <w:left w:w="108" w:type="dxa"/>
            <w:bottom w:w="0" w:type="dxa"/>
            <w:right w:w="108" w:type="dxa"/>
          </w:tblCellMar>
        </w:tblPrEx>
        <w:trPr>
          <w:trHeight w:val="624" w:hRule="atLeast"/>
        </w:trPr>
        <w:tc>
          <w:tcPr>
            <w:tcW w:w="1419"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spacing w:line="400" w:lineRule="exact"/>
              <w:jc w:val="center"/>
              <w:rPr>
                <w:rFonts w:ascii="宋体" w:hAnsi="宋体" w:eastAsia="宋体" w:cs="宋体"/>
                <w:color w:val="000000"/>
                <w:kern w:val="0"/>
                <w:sz w:val="24"/>
              </w:rPr>
            </w:pPr>
            <w:r>
              <w:rPr>
                <w:rFonts w:hint="eastAsia" w:ascii="宋体" w:hAnsi="宋体" w:eastAsia="宋体" w:cs="宋体"/>
                <w:color w:val="000000"/>
                <w:kern w:val="0"/>
                <w:sz w:val="24"/>
              </w:rPr>
              <w:t>食品安全责任险</w:t>
            </w:r>
          </w:p>
        </w:tc>
        <w:tc>
          <w:tcPr>
            <w:tcW w:w="5103" w:type="dxa"/>
            <w:vMerge w:val="restart"/>
            <w:tcBorders>
              <w:top w:val="nil"/>
              <w:left w:val="single" w:color="auto" w:sz="8" w:space="0"/>
              <w:bottom w:val="single" w:color="000000" w:sz="8" w:space="0"/>
              <w:right w:val="single" w:color="auto" w:sz="8" w:space="0"/>
            </w:tcBorders>
            <w:noWrap w:val="0"/>
            <w:vAlign w:val="center"/>
          </w:tcPr>
          <w:p>
            <w:pPr>
              <w:widowControl/>
              <w:spacing w:line="400" w:lineRule="exact"/>
              <w:jc w:val="left"/>
              <w:rPr>
                <w:rFonts w:ascii="宋体" w:hAnsi="宋体" w:eastAsia="宋体"/>
                <w:color w:val="000000"/>
                <w:kern w:val="0"/>
                <w:sz w:val="24"/>
              </w:rPr>
            </w:pPr>
            <w:r>
              <w:rPr>
                <w:rFonts w:hint="eastAsia" w:ascii="宋体" w:hAnsi="宋体" w:eastAsia="宋体"/>
                <w:color w:val="000000"/>
                <w:kern w:val="0"/>
                <w:sz w:val="24"/>
              </w:rPr>
              <w:t>由于旅游服务机构的疏忽或过失，导致游客在食用其提供的食品后出现食物中毒、其他食源性疾病、因食物中混杂异物导致受伤、残疾或死亡和由此产生的法律费用，依照中华人民共和国法律，保险人按照保险合同约定负责赔偿。</w:t>
            </w:r>
          </w:p>
        </w:tc>
        <w:tc>
          <w:tcPr>
            <w:tcW w:w="4037" w:type="dxa"/>
            <w:vMerge w:val="restart"/>
            <w:tcBorders>
              <w:top w:val="nil"/>
              <w:left w:val="single" w:color="auto" w:sz="8" w:space="0"/>
              <w:bottom w:val="single" w:color="000000" w:sz="8" w:space="0"/>
              <w:right w:val="single" w:color="auto" w:sz="8" w:space="0"/>
            </w:tcBorders>
            <w:noWrap w:val="0"/>
            <w:vAlign w:val="center"/>
          </w:tcPr>
          <w:p>
            <w:pPr>
              <w:widowControl/>
              <w:spacing w:line="400" w:lineRule="exact"/>
              <w:jc w:val="left"/>
              <w:rPr>
                <w:rFonts w:ascii="宋体" w:hAnsi="宋体" w:eastAsia="宋体" w:cs="宋体"/>
                <w:color w:val="1D1B11"/>
                <w:kern w:val="0"/>
                <w:sz w:val="24"/>
              </w:rPr>
            </w:pPr>
            <w:r>
              <w:rPr>
                <w:rFonts w:hint="eastAsia" w:ascii="宋体" w:hAnsi="宋体" w:eastAsia="宋体" w:cs="宋体"/>
                <w:color w:val="1D1B11"/>
                <w:kern w:val="0"/>
                <w:sz w:val="24"/>
              </w:rPr>
              <w:t>身故、伤残保额</w:t>
            </w:r>
            <w:r>
              <w:rPr>
                <w:rFonts w:ascii="宋体" w:hAnsi="宋体" w:eastAsia="宋体"/>
                <w:color w:val="1D1B11"/>
                <w:kern w:val="0"/>
                <w:sz w:val="24"/>
              </w:rPr>
              <w:t>5</w:t>
            </w:r>
            <w:r>
              <w:rPr>
                <w:rFonts w:hint="eastAsia" w:ascii="宋体" w:hAnsi="宋体" w:eastAsia="宋体" w:cs="宋体"/>
                <w:color w:val="1D1B11"/>
                <w:kern w:val="0"/>
                <w:sz w:val="24"/>
              </w:rPr>
              <w:t>万元</w:t>
            </w:r>
            <w:r>
              <w:rPr>
                <w:rFonts w:ascii="宋体" w:hAnsi="宋体" w:eastAsia="宋体"/>
                <w:color w:val="1D1B11"/>
                <w:kern w:val="0"/>
                <w:sz w:val="24"/>
              </w:rPr>
              <w:t>/</w:t>
            </w:r>
            <w:r>
              <w:rPr>
                <w:rFonts w:hint="eastAsia" w:ascii="宋体" w:hAnsi="宋体" w:eastAsia="宋体" w:cs="宋体"/>
                <w:color w:val="1D1B11"/>
                <w:kern w:val="0"/>
                <w:sz w:val="24"/>
              </w:rPr>
              <w:t>人；医疗保额</w:t>
            </w:r>
            <w:r>
              <w:rPr>
                <w:rFonts w:ascii="宋体" w:hAnsi="宋体" w:eastAsia="宋体"/>
                <w:color w:val="1D1B11"/>
                <w:kern w:val="0"/>
                <w:sz w:val="24"/>
              </w:rPr>
              <w:t>1</w:t>
            </w:r>
            <w:r>
              <w:rPr>
                <w:rFonts w:hint="eastAsia" w:ascii="宋体" w:hAnsi="宋体" w:eastAsia="宋体" w:cs="宋体"/>
                <w:color w:val="1D1B11"/>
                <w:kern w:val="0"/>
                <w:sz w:val="24"/>
              </w:rPr>
              <w:t>万元</w:t>
            </w:r>
            <w:r>
              <w:rPr>
                <w:rFonts w:ascii="宋体" w:hAnsi="宋体" w:eastAsia="宋体"/>
                <w:color w:val="1D1B11"/>
                <w:kern w:val="0"/>
                <w:sz w:val="24"/>
              </w:rPr>
              <w:t>/</w:t>
            </w:r>
            <w:r>
              <w:rPr>
                <w:rFonts w:hint="eastAsia" w:ascii="宋体" w:hAnsi="宋体" w:eastAsia="宋体" w:cs="宋体"/>
                <w:color w:val="1D1B11"/>
                <w:kern w:val="0"/>
                <w:sz w:val="24"/>
              </w:rPr>
              <w:t>人</w:t>
            </w:r>
          </w:p>
        </w:tc>
      </w:tr>
      <w:tr>
        <w:tblPrEx>
          <w:tblCellMar>
            <w:top w:w="0" w:type="dxa"/>
            <w:left w:w="108" w:type="dxa"/>
            <w:bottom w:w="0" w:type="dxa"/>
            <w:right w:w="108" w:type="dxa"/>
          </w:tblCellMar>
        </w:tblPrEx>
        <w:trPr>
          <w:trHeight w:val="908" w:hRule="atLeast"/>
        </w:trPr>
        <w:tc>
          <w:tcPr>
            <w:tcW w:w="1419"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spacing w:line="400" w:lineRule="exact"/>
              <w:jc w:val="left"/>
              <w:rPr>
                <w:rFonts w:ascii="宋体" w:hAnsi="宋体" w:eastAsia="宋体" w:cs="宋体"/>
                <w:color w:val="000000"/>
                <w:kern w:val="0"/>
                <w:sz w:val="24"/>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400" w:lineRule="exact"/>
              <w:jc w:val="left"/>
              <w:rPr>
                <w:rFonts w:ascii="宋体" w:hAnsi="宋体" w:eastAsia="宋体"/>
                <w:color w:val="000000"/>
                <w:kern w:val="0"/>
                <w:sz w:val="24"/>
              </w:rPr>
            </w:pPr>
          </w:p>
        </w:tc>
        <w:tc>
          <w:tcPr>
            <w:tcW w:w="4037" w:type="dxa"/>
            <w:vMerge w:val="continue"/>
            <w:tcBorders>
              <w:top w:val="nil"/>
              <w:left w:val="single" w:color="auto" w:sz="8" w:space="0"/>
              <w:bottom w:val="single" w:color="000000" w:sz="8" w:space="0"/>
              <w:right w:val="single" w:color="auto" w:sz="8" w:space="0"/>
            </w:tcBorders>
            <w:noWrap w:val="0"/>
            <w:vAlign w:val="center"/>
          </w:tcPr>
          <w:p>
            <w:pPr>
              <w:widowControl/>
              <w:spacing w:line="400" w:lineRule="exact"/>
              <w:jc w:val="left"/>
              <w:rPr>
                <w:rFonts w:ascii="宋体" w:hAnsi="宋体" w:eastAsia="宋体" w:cs="宋体"/>
                <w:color w:val="1D1B11"/>
                <w:kern w:val="0"/>
                <w:sz w:val="24"/>
              </w:rPr>
            </w:pPr>
          </w:p>
        </w:tc>
      </w:tr>
      <w:tr>
        <w:tblPrEx>
          <w:tblCellMar>
            <w:top w:w="0" w:type="dxa"/>
            <w:left w:w="108" w:type="dxa"/>
            <w:bottom w:w="0" w:type="dxa"/>
            <w:right w:w="108" w:type="dxa"/>
          </w:tblCellMar>
        </w:tblPrEx>
        <w:trPr>
          <w:trHeight w:val="428" w:hRule="atLeast"/>
        </w:trPr>
        <w:tc>
          <w:tcPr>
            <w:tcW w:w="1419" w:type="dxa"/>
            <w:vMerge w:val="restart"/>
            <w:tcBorders>
              <w:top w:val="nil"/>
              <w:left w:val="single" w:color="auto" w:sz="8" w:space="0"/>
              <w:bottom w:val="single" w:color="000000" w:sz="8" w:space="0"/>
              <w:right w:val="single" w:color="auto" w:sz="8" w:space="0"/>
            </w:tcBorders>
            <w:noWrap w:val="0"/>
            <w:vAlign w:val="center"/>
          </w:tcPr>
          <w:p>
            <w:pPr>
              <w:widowControl/>
              <w:spacing w:line="400" w:lineRule="exact"/>
              <w:jc w:val="center"/>
              <w:rPr>
                <w:rFonts w:ascii="宋体" w:hAnsi="宋体" w:eastAsia="宋体" w:cs="宋体"/>
                <w:color w:val="000000"/>
                <w:kern w:val="0"/>
                <w:sz w:val="24"/>
              </w:rPr>
            </w:pPr>
            <w:r>
              <w:rPr>
                <w:rFonts w:hint="eastAsia" w:ascii="宋体" w:hAnsi="宋体" w:eastAsia="宋体" w:cs="宋体"/>
                <w:color w:val="000000"/>
                <w:kern w:val="0"/>
                <w:sz w:val="24"/>
              </w:rPr>
              <w:t>急性病身故或全残保险</w:t>
            </w:r>
          </w:p>
        </w:tc>
        <w:tc>
          <w:tcPr>
            <w:tcW w:w="5103" w:type="dxa"/>
            <w:vMerge w:val="restart"/>
            <w:tcBorders>
              <w:top w:val="nil"/>
              <w:left w:val="single" w:color="auto" w:sz="8" w:space="0"/>
              <w:bottom w:val="single" w:color="000000" w:sz="8" w:space="0"/>
              <w:right w:val="single" w:color="auto" w:sz="8" w:space="0"/>
            </w:tcBorders>
            <w:noWrap w:val="0"/>
            <w:vAlign w:val="center"/>
          </w:tcPr>
          <w:p>
            <w:pPr>
              <w:widowControl/>
              <w:spacing w:line="400" w:lineRule="exact"/>
              <w:jc w:val="left"/>
              <w:rPr>
                <w:rFonts w:ascii="宋体" w:hAnsi="宋体" w:eastAsia="宋体" w:cs="宋体"/>
                <w:color w:val="000000"/>
                <w:kern w:val="0"/>
                <w:sz w:val="24"/>
              </w:rPr>
            </w:pPr>
            <w:r>
              <w:rPr>
                <w:rFonts w:hint="eastAsia" w:ascii="宋体" w:hAnsi="宋体" w:eastAsia="宋体" w:cs="宋体"/>
                <w:color w:val="000000"/>
                <w:kern w:val="0"/>
                <w:sz w:val="24"/>
              </w:rPr>
              <w:t>急性病身故或全残</w:t>
            </w:r>
          </w:p>
        </w:tc>
        <w:tc>
          <w:tcPr>
            <w:tcW w:w="4037" w:type="dxa"/>
            <w:tcBorders>
              <w:top w:val="nil"/>
              <w:left w:val="nil"/>
              <w:bottom w:val="single" w:color="auto" w:sz="8" w:space="0"/>
              <w:right w:val="single" w:color="auto" w:sz="8" w:space="0"/>
            </w:tcBorders>
            <w:noWrap w:val="0"/>
            <w:vAlign w:val="center"/>
          </w:tcPr>
          <w:p>
            <w:pPr>
              <w:widowControl/>
              <w:spacing w:line="400" w:lineRule="exact"/>
              <w:jc w:val="left"/>
              <w:rPr>
                <w:rFonts w:ascii="宋体" w:hAnsi="宋体" w:eastAsia="宋体"/>
                <w:color w:val="000000"/>
                <w:kern w:val="0"/>
                <w:sz w:val="24"/>
              </w:rPr>
            </w:pPr>
            <w:r>
              <w:rPr>
                <w:rFonts w:ascii="宋体" w:hAnsi="宋体" w:eastAsia="宋体"/>
                <w:color w:val="000000"/>
                <w:kern w:val="0"/>
                <w:sz w:val="24"/>
              </w:rPr>
              <w:t>5</w:t>
            </w:r>
            <w:r>
              <w:rPr>
                <w:rFonts w:hint="eastAsia" w:ascii="宋体" w:hAnsi="宋体" w:eastAsia="宋体"/>
                <w:color w:val="000000"/>
                <w:kern w:val="0"/>
                <w:sz w:val="24"/>
              </w:rPr>
              <w:t>万元</w:t>
            </w:r>
            <w:r>
              <w:rPr>
                <w:rFonts w:ascii="宋体" w:hAnsi="宋体" w:eastAsia="宋体"/>
                <w:color w:val="000000"/>
                <w:kern w:val="0"/>
                <w:sz w:val="24"/>
              </w:rPr>
              <w:t>/</w:t>
            </w:r>
            <w:r>
              <w:rPr>
                <w:rFonts w:hint="eastAsia" w:ascii="宋体" w:hAnsi="宋体" w:eastAsia="宋体"/>
                <w:color w:val="000000"/>
                <w:kern w:val="0"/>
                <w:sz w:val="24"/>
              </w:rPr>
              <w:t>人</w:t>
            </w:r>
          </w:p>
        </w:tc>
      </w:tr>
      <w:tr>
        <w:tblPrEx>
          <w:tblCellMar>
            <w:top w:w="0" w:type="dxa"/>
            <w:left w:w="108" w:type="dxa"/>
            <w:bottom w:w="0" w:type="dxa"/>
            <w:right w:w="108" w:type="dxa"/>
          </w:tblCellMar>
        </w:tblPrEx>
        <w:trPr>
          <w:trHeight w:val="216" w:hRule="atLeast"/>
        </w:trPr>
        <w:tc>
          <w:tcPr>
            <w:tcW w:w="1419" w:type="dxa"/>
            <w:vMerge w:val="continue"/>
            <w:tcBorders>
              <w:top w:val="nil"/>
              <w:left w:val="single" w:color="auto" w:sz="8" w:space="0"/>
              <w:bottom w:val="single" w:color="000000" w:sz="8" w:space="0"/>
              <w:right w:val="single" w:color="auto" w:sz="8" w:space="0"/>
            </w:tcBorders>
            <w:noWrap w:val="0"/>
            <w:vAlign w:val="center"/>
          </w:tcPr>
          <w:p>
            <w:pPr>
              <w:widowControl/>
              <w:spacing w:line="400" w:lineRule="exact"/>
              <w:jc w:val="left"/>
              <w:rPr>
                <w:rFonts w:ascii="宋体" w:hAnsi="宋体" w:eastAsia="宋体" w:cs="宋体"/>
                <w:color w:val="000000"/>
                <w:kern w:val="0"/>
                <w:sz w:val="24"/>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400" w:lineRule="exact"/>
              <w:jc w:val="left"/>
              <w:rPr>
                <w:rFonts w:ascii="宋体" w:hAnsi="宋体" w:eastAsia="宋体" w:cs="宋体"/>
                <w:color w:val="000000"/>
                <w:kern w:val="0"/>
                <w:sz w:val="24"/>
              </w:rPr>
            </w:pPr>
          </w:p>
        </w:tc>
        <w:tc>
          <w:tcPr>
            <w:tcW w:w="4037" w:type="dxa"/>
            <w:tcBorders>
              <w:top w:val="nil"/>
              <w:left w:val="nil"/>
              <w:bottom w:val="single" w:color="auto" w:sz="8" w:space="0"/>
              <w:right w:val="single" w:color="auto" w:sz="8" w:space="0"/>
            </w:tcBorders>
            <w:noWrap w:val="0"/>
            <w:vAlign w:val="center"/>
          </w:tcPr>
          <w:p>
            <w:pPr>
              <w:widowControl/>
              <w:spacing w:line="400" w:lineRule="exact"/>
              <w:jc w:val="left"/>
              <w:rPr>
                <w:rFonts w:ascii="宋体" w:hAnsi="宋体" w:eastAsia="宋体" w:cs="宋体"/>
                <w:color w:val="1D1B11"/>
                <w:kern w:val="0"/>
                <w:sz w:val="24"/>
              </w:rPr>
            </w:pPr>
            <w:r>
              <w:rPr>
                <w:rFonts w:hint="eastAsia" w:ascii="宋体" w:hAnsi="宋体" w:eastAsia="宋体" w:cs="宋体"/>
                <w:color w:val="1D1B11"/>
                <w:kern w:val="0"/>
                <w:sz w:val="24"/>
              </w:rPr>
              <w:t>按照残疾程度最高赔付</w:t>
            </w:r>
            <w:r>
              <w:rPr>
                <w:rFonts w:ascii="宋体" w:hAnsi="宋体" w:eastAsia="宋体"/>
                <w:color w:val="1D1B11"/>
                <w:kern w:val="0"/>
                <w:sz w:val="24"/>
              </w:rPr>
              <w:t>5</w:t>
            </w:r>
            <w:r>
              <w:rPr>
                <w:rFonts w:hint="eastAsia" w:ascii="宋体" w:hAnsi="宋体" w:eastAsia="宋体" w:cs="宋体"/>
                <w:color w:val="1D1B11"/>
                <w:kern w:val="0"/>
                <w:sz w:val="24"/>
              </w:rPr>
              <w:t>万元</w:t>
            </w:r>
            <w:r>
              <w:rPr>
                <w:rFonts w:ascii="宋体" w:hAnsi="宋体" w:eastAsia="宋体"/>
                <w:color w:val="1D1B11"/>
                <w:kern w:val="0"/>
                <w:sz w:val="24"/>
              </w:rPr>
              <w:t>/</w:t>
            </w:r>
            <w:r>
              <w:rPr>
                <w:rFonts w:hint="eastAsia" w:ascii="宋体" w:hAnsi="宋体" w:eastAsia="宋体" w:cs="宋体"/>
                <w:color w:val="1D1B11"/>
                <w:kern w:val="0"/>
                <w:sz w:val="24"/>
              </w:rPr>
              <w:t>人</w:t>
            </w:r>
          </w:p>
        </w:tc>
      </w:tr>
      <w:tr>
        <w:tblPrEx>
          <w:tblCellMar>
            <w:top w:w="0" w:type="dxa"/>
            <w:left w:w="108" w:type="dxa"/>
            <w:bottom w:w="0" w:type="dxa"/>
            <w:right w:w="108" w:type="dxa"/>
          </w:tblCellMar>
        </w:tblPrEx>
        <w:trPr>
          <w:trHeight w:val="512" w:hRule="atLeast"/>
        </w:trPr>
        <w:tc>
          <w:tcPr>
            <w:tcW w:w="1419" w:type="dxa"/>
            <w:tcBorders>
              <w:top w:val="nil"/>
              <w:left w:val="single" w:color="auto" w:sz="8" w:space="0"/>
              <w:bottom w:val="single" w:color="auto" w:sz="4" w:space="0"/>
              <w:right w:val="single" w:color="auto" w:sz="8" w:space="0"/>
            </w:tcBorders>
            <w:noWrap w:val="0"/>
            <w:vAlign w:val="center"/>
          </w:tcPr>
          <w:p>
            <w:pPr>
              <w:widowControl/>
              <w:spacing w:line="400" w:lineRule="exact"/>
              <w:jc w:val="center"/>
              <w:rPr>
                <w:rFonts w:ascii="宋体" w:hAnsi="宋体" w:eastAsia="宋体" w:cs="宋体"/>
                <w:color w:val="000000"/>
                <w:kern w:val="0"/>
                <w:sz w:val="24"/>
              </w:rPr>
            </w:pPr>
            <w:r>
              <w:rPr>
                <w:rFonts w:hint="eastAsia" w:ascii="宋体" w:hAnsi="宋体" w:eastAsia="宋体" w:cs="宋体"/>
                <w:color w:val="000000"/>
                <w:kern w:val="0"/>
                <w:sz w:val="24"/>
              </w:rPr>
              <w:t>旅行附加行李物品和旅行证件损失保险　</w:t>
            </w:r>
          </w:p>
        </w:tc>
        <w:tc>
          <w:tcPr>
            <w:tcW w:w="5103" w:type="dxa"/>
            <w:tcBorders>
              <w:top w:val="nil"/>
              <w:left w:val="nil"/>
              <w:bottom w:val="single" w:color="auto" w:sz="4" w:space="0"/>
              <w:right w:val="single" w:color="auto" w:sz="8" w:space="0"/>
            </w:tcBorders>
            <w:noWrap w:val="0"/>
            <w:vAlign w:val="center"/>
          </w:tcPr>
          <w:p>
            <w:pPr>
              <w:widowControl/>
              <w:spacing w:line="400" w:lineRule="exact"/>
              <w:jc w:val="left"/>
              <w:rPr>
                <w:rFonts w:ascii="宋体" w:hAnsi="宋体" w:eastAsia="宋体" w:cs="宋体"/>
                <w:color w:val="000000"/>
                <w:kern w:val="0"/>
                <w:sz w:val="24"/>
              </w:rPr>
            </w:pPr>
            <w:r>
              <w:rPr>
                <w:rFonts w:hint="eastAsia" w:ascii="宋体" w:hAnsi="宋体" w:eastAsia="宋体" w:cs="宋体"/>
                <w:color w:val="000000"/>
                <w:kern w:val="0"/>
                <w:sz w:val="24"/>
              </w:rPr>
              <w:t>被保险人随身携带的行李物品或旅行证件被盗窃、抢劫而致损坏、灭失或遗失。</w:t>
            </w:r>
          </w:p>
        </w:tc>
        <w:tc>
          <w:tcPr>
            <w:tcW w:w="4037" w:type="dxa"/>
            <w:tcBorders>
              <w:top w:val="nil"/>
              <w:left w:val="nil"/>
              <w:bottom w:val="single" w:color="auto" w:sz="4" w:space="0"/>
              <w:right w:val="single" w:color="auto" w:sz="8" w:space="0"/>
            </w:tcBorders>
            <w:noWrap w:val="0"/>
            <w:vAlign w:val="center"/>
          </w:tcPr>
          <w:p>
            <w:pPr>
              <w:widowControl/>
              <w:spacing w:line="400" w:lineRule="exact"/>
              <w:jc w:val="left"/>
              <w:rPr>
                <w:rFonts w:ascii="宋体" w:hAnsi="宋体" w:eastAsia="宋体"/>
                <w:color w:val="000000"/>
                <w:kern w:val="0"/>
                <w:sz w:val="24"/>
              </w:rPr>
            </w:pPr>
            <w:r>
              <w:rPr>
                <w:rFonts w:ascii="宋体" w:hAnsi="宋体" w:eastAsia="宋体"/>
                <w:color w:val="000000"/>
                <w:kern w:val="0"/>
                <w:sz w:val="24"/>
              </w:rPr>
              <w:t>1000</w:t>
            </w:r>
            <w:r>
              <w:rPr>
                <w:rFonts w:hint="eastAsia" w:ascii="宋体" w:hAnsi="宋体" w:eastAsia="宋体"/>
                <w:color w:val="000000"/>
                <w:kern w:val="0"/>
                <w:sz w:val="24"/>
              </w:rPr>
              <w:t>元</w:t>
            </w:r>
            <w:r>
              <w:rPr>
                <w:rFonts w:ascii="宋体" w:hAnsi="宋体" w:eastAsia="宋体"/>
                <w:color w:val="000000"/>
                <w:kern w:val="0"/>
                <w:sz w:val="24"/>
              </w:rPr>
              <w:t>/</w:t>
            </w:r>
            <w:r>
              <w:rPr>
                <w:rFonts w:hint="eastAsia" w:ascii="宋体" w:hAnsi="宋体" w:eastAsia="宋体"/>
                <w:color w:val="000000"/>
                <w:kern w:val="0"/>
                <w:sz w:val="24"/>
              </w:rPr>
              <w:t>人（每次事故每一单件物品免赔额</w:t>
            </w:r>
            <w:r>
              <w:rPr>
                <w:rFonts w:ascii="宋体" w:hAnsi="宋体" w:eastAsia="宋体"/>
                <w:color w:val="000000"/>
                <w:kern w:val="0"/>
                <w:sz w:val="24"/>
              </w:rPr>
              <w:t>100</w:t>
            </w:r>
            <w:r>
              <w:rPr>
                <w:rFonts w:hint="eastAsia" w:ascii="宋体" w:hAnsi="宋体" w:eastAsia="宋体"/>
                <w:color w:val="000000"/>
                <w:kern w:val="0"/>
                <w:sz w:val="24"/>
              </w:rPr>
              <w:t>元）</w:t>
            </w:r>
          </w:p>
        </w:tc>
      </w:tr>
      <w:tr>
        <w:tblPrEx>
          <w:tblCellMar>
            <w:top w:w="0" w:type="dxa"/>
            <w:left w:w="108" w:type="dxa"/>
            <w:bottom w:w="0" w:type="dxa"/>
            <w:right w:w="108" w:type="dxa"/>
          </w:tblCellMar>
        </w:tblPrEx>
        <w:trPr>
          <w:trHeight w:val="428" w:hRule="atLeast"/>
        </w:trPr>
        <w:tc>
          <w:tcPr>
            <w:tcW w:w="1419" w:type="dxa"/>
            <w:vMerge w:val="restart"/>
            <w:tcBorders>
              <w:top w:val="single" w:color="auto" w:sz="4" w:space="0"/>
              <w:left w:val="single" w:color="auto" w:sz="8" w:space="0"/>
              <w:bottom w:val="single" w:color="000000" w:sz="8" w:space="0"/>
              <w:right w:val="single" w:color="auto" w:sz="8" w:space="0"/>
            </w:tcBorders>
            <w:noWrap w:val="0"/>
            <w:vAlign w:val="center"/>
          </w:tcPr>
          <w:p>
            <w:pPr>
              <w:widowControl/>
              <w:spacing w:line="400" w:lineRule="exact"/>
              <w:jc w:val="center"/>
              <w:rPr>
                <w:rFonts w:ascii="宋体" w:hAnsi="宋体" w:eastAsia="宋体" w:cs="宋体"/>
                <w:color w:val="000000"/>
                <w:kern w:val="0"/>
                <w:sz w:val="24"/>
              </w:rPr>
            </w:pPr>
            <w:r>
              <w:rPr>
                <w:rFonts w:hint="eastAsia" w:ascii="宋体" w:hAnsi="宋体" w:eastAsia="宋体" w:cs="宋体"/>
                <w:color w:val="000000"/>
                <w:kern w:val="0"/>
                <w:sz w:val="24"/>
              </w:rPr>
              <w:t>旅行附加个人责任保险</w:t>
            </w:r>
          </w:p>
        </w:tc>
        <w:tc>
          <w:tcPr>
            <w:tcW w:w="5103" w:type="dxa"/>
            <w:vMerge w:val="restart"/>
            <w:tcBorders>
              <w:top w:val="single" w:color="auto" w:sz="4" w:space="0"/>
              <w:left w:val="single" w:color="auto" w:sz="8" w:space="0"/>
              <w:bottom w:val="single" w:color="000000" w:sz="8" w:space="0"/>
              <w:right w:val="single" w:color="auto" w:sz="8" w:space="0"/>
            </w:tcBorders>
            <w:noWrap w:val="0"/>
            <w:vAlign w:val="center"/>
          </w:tcPr>
          <w:p>
            <w:pPr>
              <w:widowControl/>
              <w:spacing w:line="400" w:lineRule="exact"/>
              <w:jc w:val="left"/>
              <w:rPr>
                <w:rFonts w:ascii="宋体" w:hAnsi="宋体" w:eastAsia="宋体" w:cs="宋体"/>
                <w:color w:val="000000"/>
                <w:kern w:val="0"/>
                <w:sz w:val="24"/>
              </w:rPr>
            </w:pPr>
            <w:r>
              <w:rPr>
                <w:rFonts w:hint="eastAsia" w:ascii="宋体" w:hAnsi="宋体" w:eastAsia="宋体" w:cs="宋体"/>
                <w:color w:val="000000"/>
                <w:kern w:val="0"/>
                <w:sz w:val="24"/>
              </w:rPr>
              <w:t>被保险人在旅行的过程中，因过失造成意外事故的发生而导致第三方的人身伤亡或直接财产损毁，对于依法应由被保险人承担的经济赔偿责任，保险人根据合同约定内负责赔偿。　</w:t>
            </w:r>
          </w:p>
        </w:tc>
        <w:tc>
          <w:tcPr>
            <w:tcW w:w="4037" w:type="dxa"/>
            <w:tcBorders>
              <w:top w:val="single" w:color="auto" w:sz="4" w:space="0"/>
              <w:left w:val="nil"/>
              <w:bottom w:val="nil"/>
              <w:right w:val="single" w:color="auto" w:sz="8" w:space="0"/>
            </w:tcBorders>
            <w:noWrap w:val="0"/>
            <w:vAlign w:val="center"/>
          </w:tcPr>
          <w:p>
            <w:pPr>
              <w:widowControl/>
              <w:spacing w:line="400" w:lineRule="exact"/>
              <w:jc w:val="left"/>
              <w:rPr>
                <w:rFonts w:ascii="宋体" w:hAnsi="宋体" w:eastAsia="宋体" w:cs="宋体"/>
                <w:color w:val="000000"/>
                <w:kern w:val="0"/>
                <w:sz w:val="24"/>
              </w:rPr>
            </w:pPr>
            <w:r>
              <w:rPr>
                <w:rFonts w:hint="eastAsia" w:ascii="宋体" w:hAnsi="宋体" w:eastAsia="宋体" w:cs="宋体"/>
                <w:color w:val="000000"/>
                <w:kern w:val="0"/>
                <w:sz w:val="24"/>
              </w:rPr>
              <w:t>人身伤亡赔偿限额</w:t>
            </w:r>
            <w:r>
              <w:rPr>
                <w:rFonts w:ascii="宋体" w:hAnsi="宋体" w:eastAsia="宋体"/>
                <w:color w:val="000000"/>
                <w:kern w:val="0"/>
                <w:sz w:val="24"/>
              </w:rPr>
              <w:t>10</w:t>
            </w:r>
            <w:r>
              <w:rPr>
                <w:rFonts w:hint="eastAsia" w:ascii="宋体" w:hAnsi="宋体" w:eastAsia="宋体" w:cs="宋体"/>
                <w:color w:val="000000"/>
                <w:kern w:val="0"/>
                <w:sz w:val="24"/>
              </w:rPr>
              <w:t>万元</w:t>
            </w:r>
          </w:p>
        </w:tc>
      </w:tr>
      <w:tr>
        <w:tblPrEx>
          <w:tblCellMar>
            <w:top w:w="0" w:type="dxa"/>
            <w:left w:w="108" w:type="dxa"/>
            <w:bottom w:w="0" w:type="dxa"/>
            <w:right w:w="108" w:type="dxa"/>
          </w:tblCellMar>
        </w:tblPrEx>
        <w:trPr>
          <w:trHeight w:val="428" w:hRule="atLeast"/>
        </w:trPr>
        <w:tc>
          <w:tcPr>
            <w:tcW w:w="1419" w:type="dxa"/>
            <w:vMerge w:val="continue"/>
            <w:tcBorders>
              <w:top w:val="nil"/>
              <w:left w:val="single" w:color="auto" w:sz="8" w:space="0"/>
              <w:bottom w:val="single" w:color="000000" w:sz="8" w:space="0"/>
              <w:right w:val="single" w:color="auto" w:sz="8" w:space="0"/>
            </w:tcBorders>
            <w:noWrap w:val="0"/>
            <w:vAlign w:val="center"/>
          </w:tcPr>
          <w:p>
            <w:pPr>
              <w:widowControl/>
              <w:spacing w:line="400" w:lineRule="exact"/>
              <w:jc w:val="left"/>
              <w:rPr>
                <w:rFonts w:ascii="宋体" w:hAnsi="宋体" w:eastAsia="宋体" w:cs="宋体"/>
                <w:color w:val="000000"/>
                <w:kern w:val="0"/>
                <w:sz w:val="24"/>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400" w:lineRule="exact"/>
              <w:jc w:val="left"/>
              <w:rPr>
                <w:rFonts w:ascii="宋体" w:hAnsi="宋体" w:eastAsia="宋体" w:cs="宋体"/>
                <w:color w:val="000000"/>
                <w:kern w:val="0"/>
                <w:sz w:val="24"/>
              </w:rPr>
            </w:pPr>
          </w:p>
        </w:tc>
        <w:tc>
          <w:tcPr>
            <w:tcW w:w="4037" w:type="dxa"/>
            <w:tcBorders>
              <w:top w:val="nil"/>
              <w:left w:val="nil"/>
              <w:bottom w:val="single" w:color="auto" w:sz="8" w:space="0"/>
              <w:right w:val="single" w:color="auto" w:sz="8" w:space="0"/>
            </w:tcBorders>
            <w:noWrap w:val="0"/>
            <w:vAlign w:val="center"/>
          </w:tcPr>
          <w:p>
            <w:pPr>
              <w:widowControl/>
              <w:spacing w:line="400" w:lineRule="exact"/>
              <w:jc w:val="left"/>
              <w:rPr>
                <w:rFonts w:ascii="宋体" w:hAnsi="宋体" w:eastAsia="宋体" w:cs="宋体"/>
                <w:color w:val="000000"/>
                <w:kern w:val="0"/>
                <w:sz w:val="24"/>
              </w:rPr>
            </w:pPr>
            <w:r>
              <w:rPr>
                <w:rFonts w:hint="eastAsia" w:ascii="宋体" w:hAnsi="宋体" w:eastAsia="宋体" w:cs="宋体"/>
                <w:color w:val="000000"/>
                <w:kern w:val="0"/>
                <w:sz w:val="24"/>
              </w:rPr>
              <w:t>财产损失赔偿限额</w:t>
            </w:r>
            <w:r>
              <w:rPr>
                <w:rFonts w:ascii="宋体" w:hAnsi="宋体" w:eastAsia="宋体"/>
                <w:color w:val="000000"/>
                <w:kern w:val="0"/>
                <w:sz w:val="24"/>
              </w:rPr>
              <w:t>5000</w:t>
            </w:r>
            <w:r>
              <w:rPr>
                <w:rFonts w:hint="eastAsia" w:ascii="宋体" w:hAnsi="宋体" w:eastAsia="宋体" w:cs="宋体"/>
                <w:color w:val="000000"/>
                <w:kern w:val="0"/>
                <w:sz w:val="24"/>
              </w:rPr>
              <w:t>元（每次事故免赔额</w:t>
            </w:r>
            <w:r>
              <w:rPr>
                <w:rFonts w:ascii="宋体" w:hAnsi="宋体" w:eastAsia="宋体"/>
                <w:color w:val="000000"/>
                <w:kern w:val="0"/>
                <w:sz w:val="24"/>
              </w:rPr>
              <w:t>2000</w:t>
            </w:r>
            <w:r>
              <w:rPr>
                <w:rFonts w:hint="eastAsia" w:ascii="宋体" w:hAnsi="宋体" w:eastAsia="宋体" w:cs="宋体"/>
                <w:color w:val="000000"/>
                <w:kern w:val="0"/>
                <w:sz w:val="24"/>
              </w:rPr>
              <w:t>元）</w:t>
            </w:r>
          </w:p>
        </w:tc>
      </w:tr>
    </w:tbl>
    <w:p>
      <w:pPr>
        <w:spacing w:line="400" w:lineRule="exact"/>
        <w:rPr>
          <w:rFonts w:ascii="宋体" w:hAnsi="宋体" w:eastAsia="宋体"/>
          <w:b/>
          <w:sz w:val="28"/>
          <w:szCs w:val="28"/>
        </w:rPr>
      </w:pPr>
    </w:p>
    <w:p>
      <w:pPr>
        <w:spacing w:line="360" w:lineRule="auto"/>
        <w:ind w:left="482"/>
        <w:rPr>
          <w:rFonts w:ascii="宋体" w:hAnsi="宋体" w:eastAsia="宋体"/>
          <w:b/>
          <w:sz w:val="24"/>
          <w:szCs w:val="24"/>
        </w:rPr>
      </w:pPr>
      <w:r>
        <w:rPr>
          <w:rFonts w:hint="eastAsia" w:ascii="宋体" w:hAnsi="宋体" w:eastAsia="宋体"/>
          <w:b/>
          <w:sz w:val="24"/>
          <w:szCs w:val="24"/>
        </w:rPr>
        <w:t>(三)保险责任说明</w:t>
      </w:r>
    </w:p>
    <w:p>
      <w:pPr>
        <w:spacing w:line="400" w:lineRule="exact"/>
        <w:ind w:firstLine="482" w:firstLineChars="200"/>
        <w:rPr>
          <w:rFonts w:ascii="宋体" w:hAnsi="宋体" w:eastAsia="宋体"/>
          <w:b/>
          <w:sz w:val="24"/>
          <w:szCs w:val="24"/>
        </w:rPr>
      </w:pPr>
      <w:r>
        <w:rPr>
          <w:rFonts w:hint="eastAsia" w:ascii="宋体" w:hAnsi="宋体" w:eastAsia="宋体"/>
          <w:b/>
          <w:sz w:val="24"/>
          <w:szCs w:val="24"/>
        </w:rPr>
        <w:t>1、意外伤害身故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责任简述：在保险期间内，被保险人在旅行期间遭受意外伤害事故，并自事故发生之日起180日内因该事故身故的，保险人按意外伤害保险金额给付身故保险金，对被保险人的保险责任终止。</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2、意外伤害残疾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责任简述：在保险期间内，被保险人在旅行期间遭受意外伤害事故，并自该事故发生之日起180日内因该事故造成本保险合同所附《人身保险伤残评定标准（行业标准）》（简称《伤残评定标准》）所列伤残之一的，保险人按该表所列给付比例乘以意外伤害保险金额给付伤残保险金。如第180日治疗仍未结束的，按当日的身体情况进行伤残鉴定，并据此给付伤残保险金。</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3、意外伤害医疗</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责任简述：在保险期间内，被保险人在旅行期间遭受意外伤害事故，并在医院进行治疗，保险人就被保险人自事故发生之日起180日内实际支出的按照当地社会医疗保险主管部门规定可报销的、必要的、合理的医疗费用超过人民币100元的部分，给付医疗保险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被保险人无论一次或多次遭受意外伤害事故，保险人均按上述规定分别给付医疗保险金，但累计给付金额以被保险人的意外伤害医疗保险金额为限，累计给付金额达到意外伤害医疗保险金额时，对被保险人保险责任终止。</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被保险人如果已从其他途径获得补偿，则保险人只承担合理医疗费用剩余部分的保险责任。</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4、食品安全责任险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责任简述：由于旅游服务机构的疏忽或过失，导致游客在食用其提供的食品后出现食物中毒、其他食源性疾病、因食物中混杂异物导致受伤、残疾或死亡和由此产生的法律费用，依照中华人民共和国法律，保险人按照保险合同约定负责赔偿。</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5、急性病身故或全残保险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责任简述：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（1）急性病身故保险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在保险期间内，被保险人旅行期间突发急性病，并在该疾病发生后一百八十日内因该急性病身故的，保险人按本附加险保险金额一次性给付身故保险金，对该被保险人的保险责任终止。</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（2）急性病全残保险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保险期间内，被保险人旅行期间突发急性病，并在该疾病发生后一百八十日内造成主保险合同所附《人身保险伤残评定标准（行业标准）》（简称《伤残评定标准》）所列伤残程度第一级之一者，保险人按本附加险保险金额一次性给付全残保险金，对该被保险人的保险责任终止。</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6、旅行附加行李物品和旅行证件损失保险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责任简述：在保险期间内，被保险人在旅行的过程中发生下列损失，保险人负责按本合同的约定赔偿：</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一）被保险人随身携带的行李物品或旅行证件遭受交通事故、自然灾害或第三方的盗窃、抢劫而致损坏、灭失或遗失。被保险人发现行李物品或旅行证件被盗窃、抢劫后，应当在24小时内向当地警方报告并向保险人提供警方出具的书面证明文件。</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（二）处于合法经营的第三方承运人或酒店控制、保管下的行李物品或旅行证件遭受损坏、灭失、遗失，且能提供该承运人或酒店对事实的书面证明文件。</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三）处于停泊状态、无人看管的机动车辆或其带锁后备箱内的行李物品和旅行证件被盗窃，但前提条件是：（1）该机动车辆和后备箱均已上锁；（2）有明显暴力痕迹；（3）被盗窃的时间是在当地时间上午6时至晚上10时之间。被保险人发现行李物品或旅行证件被盗窃后，应当在24小时内向当地警方报告并向保险人提供警方出具的书面证明文件。</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损失的计算方式：</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（一）行李物品的损失为实际修复费用和实际价值之较小者，且不超过本合同约定的保险金额。磁带、光碟、磁盘或类似载体的损失为重新购买相同该载体的材料成本。</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（二）旅行证件的损失为重新补办相同证件所花费的材料成本和服务手续费，且不超过本合同约定的保险金额。</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以上不含行李箱破损责任</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7、个人责任保险金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责任简述：在保险期间内，被保险人在旅行的过程中，因过失造成意外事故的发生而导致第三方的人身伤亡或直接财产损毁，第三方在保险期间内向被保险人提出索赔的，对于依法应由被保险人承担的经济赔偿责任，保险人根据本附加保险合同的约定内负责赔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发生保险事故后，对于被保险人所支付的事先经保险人书面同意的合理必要的诉讼费、律师费、调查取证费等相关法律费用，保险人负责赔偿。</w:t>
      </w:r>
    </w:p>
    <w:p>
      <w:pPr>
        <w:spacing w:line="360" w:lineRule="auto"/>
        <w:ind w:left="482"/>
        <w:rPr>
          <w:rFonts w:ascii="宋体" w:hAnsi="宋体" w:eastAsia="宋体"/>
          <w:b/>
          <w:sz w:val="24"/>
          <w:szCs w:val="24"/>
        </w:rPr>
      </w:pPr>
      <w:r>
        <w:rPr>
          <w:rFonts w:hint="eastAsia" w:ascii="宋体" w:hAnsi="宋体" w:eastAsia="宋体"/>
          <w:b/>
          <w:sz w:val="24"/>
          <w:szCs w:val="24"/>
        </w:rPr>
        <w:t>（四）采购预算</w:t>
      </w:r>
    </w:p>
    <w:p>
      <w:pPr>
        <w:spacing w:line="360" w:lineRule="auto"/>
        <w:ind w:firstLine="505"/>
        <w:rPr>
          <w:rFonts w:ascii="宋体" w:hAnsi="宋体" w:eastAsia="宋体"/>
          <w:color w:val="000000"/>
          <w:sz w:val="24"/>
          <w:szCs w:val="24"/>
        </w:rPr>
      </w:pPr>
      <w:r>
        <w:rPr>
          <w:rFonts w:hint="eastAsia" w:ascii="宋体" w:hAnsi="宋体" w:eastAsia="宋体"/>
          <w:color w:val="000000"/>
          <w:sz w:val="24"/>
          <w:szCs w:val="24"/>
        </w:rPr>
        <w:t>1、本项目采购预算价为</w:t>
      </w:r>
      <w:r>
        <w:rPr>
          <w:rFonts w:hint="eastAsia" w:ascii="宋体" w:hAnsi="宋体"/>
          <w:color w:val="000000"/>
          <w:sz w:val="24"/>
          <w:szCs w:val="24"/>
          <w:lang w:val="en-US" w:eastAsia="zh-CN"/>
        </w:rPr>
        <w:t>543620</w:t>
      </w:r>
      <w:r>
        <w:rPr>
          <w:rFonts w:hint="eastAsia" w:ascii="宋体" w:hAnsi="宋体" w:eastAsia="宋体"/>
          <w:color w:val="000000"/>
          <w:sz w:val="24"/>
          <w:szCs w:val="24"/>
        </w:rPr>
        <w:t>.00元，投标人报价不得高于预算价，高于预算价按废标处理。</w:t>
      </w:r>
    </w:p>
    <w:p>
      <w:pPr>
        <w:spacing w:line="360" w:lineRule="auto"/>
        <w:ind w:firstLine="505"/>
        <w:rPr>
          <w:rFonts w:ascii="宋体" w:hAnsi="宋体" w:eastAsia="宋体"/>
          <w:color w:val="000000"/>
          <w:sz w:val="24"/>
          <w:szCs w:val="24"/>
        </w:rPr>
      </w:pPr>
      <w:r>
        <w:rPr>
          <w:rFonts w:hint="eastAsia" w:ascii="宋体" w:hAnsi="宋体" w:eastAsia="宋体"/>
          <w:color w:val="000000"/>
          <w:sz w:val="24"/>
          <w:szCs w:val="24"/>
        </w:rPr>
        <w:t>2、报价要求：以人民币报价，总价高于采购预算的供应商将被否绝；为避免出现供应商为达到成交目的而刻意削价竞争，可能影响产品质量或者不能诚信履约。为此当供应商报价低于预算金额的90%(含)，则签订合同时采购人有权要求供应商提供成交金额的10%作为履约保证金, 并且合同不再设定预付款项；如供应商报价低于预算金额的80%(含)或评审小组认为供应商的报价明显低于其他通过资格审查的供应商报价的, 则供应商应当在评标现场的合理时间内提供相关低价竞标的佐证依据,该等佐证文件将作为响应文件的组成部分并获得评审小组审核通过,若供应商不按时提供或提供的佐证文件未能通过评审小组评审,均作为无效报价处理。任何多方案的报价，将不予接受。</w:t>
      </w:r>
    </w:p>
    <w:p>
      <w:pPr>
        <w:spacing w:line="360" w:lineRule="auto"/>
        <w:ind w:left="482"/>
        <w:rPr>
          <w:rFonts w:ascii="宋体" w:hAnsi="宋体" w:eastAsia="宋体"/>
          <w:b/>
          <w:sz w:val="24"/>
          <w:szCs w:val="24"/>
        </w:rPr>
      </w:pPr>
      <w:r>
        <w:rPr>
          <w:rFonts w:hint="eastAsia" w:ascii="宋体" w:hAnsi="宋体" w:eastAsia="宋体"/>
          <w:b/>
          <w:sz w:val="24"/>
          <w:szCs w:val="24"/>
        </w:rPr>
        <w:t>（五）保险期限</w:t>
      </w:r>
    </w:p>
    <w:p>
      <w:pPr>
        <w:spacing w:line="360" w:lineRule="auto"/>
        <w:ind w:firstLine="505"/>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本项目保险期限为</w:t>
      </w:r>
      <w:r>
        <w:rPr>
          <w:rFonts w:hint="eastAsia" w:ascii="宋体" w:hAnsi="宋体"/>
          <w:color w:val="000000" w:themeColor="text1"/>
          <w:sz w:val="24"/>
          <w:szCs w:val="24"/>
          <w:lang w:val="en-US" w:eastAsia="zh-CN"/>
          <w14:textFill>
            <w14:solidFill>
              <w14:schemeClr w14:val="tx1"/>
            </w14:solidFill>
          </w14:textFill>
        </w:rPr>
        <w:t>2019年10月1日至12月30日</w:t>
      </w:r>
      <w:r>
        <w:rPr>
          <w:rFonts w:hint="eastAsia" w:ascii="宋体" w:hAnsi="宋体" w:eastAsia="宋体"/>
          <w:color w:val="000000" w:themeColor="text1"/>
          <w:sz w:val="24"/>
          <w:szCs w:val="24"/>
          <w14:textFill>
            <w14:solidFill>
              <w14:schemeClr w14:val="tx1"/>
            </w14:solidFill>
          </w14:textFill>
        </w:rPr>
        <w:t>。</w:t>
      </w:r>
    </w:p>
    <w:p>
      <w:pPr>
        <w:spacing w:line="360" w:lineRule="auto"/>
        <w:ind w:firstLine="505"/>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单个游客的保险期限自游客进入陵水县域旅游时起至离开陵水县域时止，最长不超过15天。</w:t>
      </w:r>
    </w:p>
    <w:p>
      <w:pPr>
        <w:spacing w:beforeLines="50" w:line="360" w:lineRule="auto"/>
        <w:ind w:firstLine="482" w:firstLineChars="200"/>
        <w:rPr>
          <w:rFonts w:ascii="宋体" w:hAnsi="宋体" w:eastAsia="宋体"/>
          <w:b/>
          <w:color w:val="000000" w:themeColor="text1"/>
          <w:sz w:val="24"/>
          <w:szCs w:val="24"/>
          <w14:textFill>
            <w14:solidFill>
              <w14:schemeClr w14:val="tx1"/>
            </w14:solidFill>
          </w14:textFill>
        </w:rPr>
      </w:pPr>
      <w:r>
        <w:rPr>
          <w:rFonts w:hint="eastAsia" w:ascii="宋体" w:hAnsi="宋体"/>
          <w:b/>
          <w:color w:val="000000" w:themeColor="text1"/>
          <w:sz w:val="24"/>
          <w:szCs w:val="24"/>
          <w:lang w:val="en-US" w:eastAsia="zh-CN"/>
          <w14:textFill>
            <w14:solidFill>
              <w14:schemeClr w14:val="tx1"/>
            </w14:solidFill>
          </w14:textFill>
        </w:rPr>
        <w:t>二</w:t>
      </w:r>
      <w:r>
        <w:rPr>
          <w:rFonts w:hint="eastAsia" w:ascii="宋体" w:hAnsi="宋体" w:eastAsia="宋体"/>
          <w:b/>
          <w:color w:val="000000" w:themeColor="text1"/>
          <w:sz w:val="24"/>
          <w:szCs w:val="24"/>
          <w14:textFill>
            <w14:solidFill>
              <w14:schemeClr w14:val="tx1"/>
            </w14:solidFill>
          </w14:textFill>
        </w:rPr>
        <w:t>、项目服务要求：</w:t>
      </w:r>
      <w:bookmarkStart w:id="0" w:name="_GoBack"/>
      <w:bookmarkEnd w:id="0"/>
    </w:p>
    <w:p>
      <w:pPr>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 投保手续：</w:t>
      </w:r>
    </w:p>
    <w:p>
      <w:pPr>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投保人按照规定流程向</w:t>
      </w:r>
      <w:r>
        <w:rPr>
          <w:rFonts w:hint="eastAsia" w:ascii="宋体" w:hAnsi="宋体"/>
          <w:color w:val="000000" w:themeColor="text1"/>
          <w:sz w:val="24"/>
          <w:szCs w:val="24"/>
          <w:lang w:val="en-US" w:eastAsia="zh-CN"/>
          <w14:textFill>
            <w14:solidFill>
              <w14:schemeClr w14:val="tx1"/>
            </w14:solidFill>
          </w14:textFill>
        </w:rPr>
        <w:t>成交</w:t>
      </w:r>
      <w:r>
        <w:rPr>
          <w:rFonts w:hint="eastAsia" w:ascii="宋体" w:hAnsi="宋体" w:eastAsia="宋体"/>
          <w:color w:val="000000" w:themeColor="text1"/>
          <w:sz w:val="24"/>
          <w:szCs w:val="24"/>
          <w14:textFill>
            <w14:solidFill>
              <w14:schemeClr w14:val="tx1"/>
            </w14:solidFill>
          </w14:textFill>
        </w:rPr>
        <w:t>人办理投保手续；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2、保险服务及宣传：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保险人应协助采购人做好投保工作，共同做好对保险对象的宣传和培训工作；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3、统一的报案理赔服务：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（1）事故的报案：被保险人发生保险事故，应在24小时内向风险管理顾问和保险人驻当地分支机构报案。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（2）保险人服务职责：应设立报案咨询服务电话，并对本项目报案进行登记备案，进行现场查勘，指导被保险人准备理赔相关材料，提供理赔跟踪服务。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（3）保险人及所属分支机构应成立专门的理赔服务机构，开展理赔服务工作：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1）由有经验的专业理赔人员负责理赔服务工作，并配备相应的办公设备及查勘车辆；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2）设立热线电话，负责受理保险的事故报案、咨询、疑难解答和投诉处理，对于事故报案和客户投诉，保险人应在3个工作日内作出明确答复；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对收到的索赔材料进行审核，并在3个工作日内向投保人反馈是否立案以及是否需要补充提供证明材料，对决定拒赔或者不予立案的，出具正式的书面意见。对索赔材料齐全的案件，在立案后的5个工作日内开具赔款通知书；对重大疑难案件应在立案后不超过10个工作日内结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4）对被保险人异地出险的，制定异地理赔服务机制；</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4、成立重大事故应对机制，以游客的人身安全和有利社会稳定为首要考虑，妥善处理重大事故所遇到的各类问题。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D63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firstLine="420" w:firstLineChars="200"/>
    </w:pPr>
    <w:rPr>
      <w:szCs w:val="24"/>
    </w:rPr>
  </w:style>
  <w:style w:type="paragraph" w:styleId="3">
    <w:name w:val="Body Text Indent"/>
    <w:basedOn w:val="1"/>
    <w:qFormat/>
    <w:uiPriority w:val="0"/>
    <w:pPr>
      <w:spacing w:after="120" w:line="360" w:lineRule="auto"/>
      <w:ind w:left="420" w:leftChars="200" w:firstLine="425"/>
    </w:pPr>
    <w:rPr>
      <w:rFonts w:ascii="宋体" w:hAnsi="宋体"/>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2020-07-16T08:00:39Z</dcterms:created>
  <dc:creator>Administrator</dc:creator>
  <cp:lastModifiedBy>关官</cp:lastModifiedBy>
  <dcterms:modified xsi:type="dcterms:W3CDTF">2020-07-16T08:00:55Z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