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djustRightInd w:val="0"/>
        <w:spacing w:before="0" w:beforeLines="0" w:after="0" w:afterLines="0" w:line="578" w:lineRule="auto"/>
        <w:jc w:val="center"/>
        <w:outlineLvl w:val="0"/>
        <w:rPr>
          <w:rFonts w:ascii="Calibri" w:hAnsi="Calibri" w:eastAsia="宋体" w:cs="Times New Roman"/>
          <w:b/>
          <w:bCs/>
          <w:color w:val="auto"/>
          <w:kern w:val="44"/>
          <w:sz w:val="32"/>
          <w:szCs w:val="32"/>
          <w:lang w:val="en-US" w:eastAsia="zh-CN" w:bidi="ar-SA"/>
        </w:rPr>
      </w:pPr>
      <w:bookmarkStart w:id="0" w:name="_Toc498419130"/>
      <w:r>
        <w:rPr>
          <w:rFonts w:ascii="Calibri" w:hAnsi="Calibri" w:eastAsia="宋体" w:cs="Times New Roman"/>
          <w:b/>
          <w:bCs/>
          <w:color w:val="auto"/>
          <w:kern w:val="44"/>
          <w:sz w:val="32"/>
          <w:szCs w:val="32"/>
          <w:lang w:val="en-US" w:eastAsia="zh-CN" w:bidi="ar-SA"/>
        </w:rPr>
        <w:t>第三部分</w:t>
      </w:r>
      <w:r>
        <w:rPr>
          <w:rFonts w:hint="eastAsia" w:ascii="Calibri" w:hAnsi="Calibri" w:eastAsia="宋体" w:cs="Times New Roman"/>
          <w:b/>
          <w:bCs/>
          <w:color w:val="auto"/>
          <w:kern w:val="44"/>
          <w:sz w:val="32"/>
          <w:szCs w:val="32"/>
          <w:lang w:val="en-US" w:eastAsia="zh-CN" w:bidi="ar-SA"/>
        </w:rPr>
        <w:t xml:space="preserve">   </w:t>
      </w:r>
      <w:r>
        <w:rPr>
          <w:rFonts w:ascii="Calibri" w:hAnsi="Calibri" w:eastAsia="宋体" w:cs="Times New Roman"/>
          <w:b/>
          <w:bCs/>
          <w:color w:val="auto"/>
          <w:kern w:val="44"/>
          <w:sz w:val="32"/>
          <w:szCs w:val="32"/>
          <w:lang w:val="en-US" w:eastAsia="zh-CN" w:bidi="ar-SA"/>
        </w:rPr>
        <w:t>用户需求书</w:t>
      </w:r>
      <w:bookmarkEnd w:id="0"/>
    </w:p>
    <w:p>
      <w:pPr>
        <w:widowControl/>
        <w:spacing w:line="360" w:lineRule="auto"/>
        <w:jc w:val="left"/>
        <w:rPr>
          <w:rFonts w:hint="eastAsia" w:ascii="Calibri" w:hAnsi="宋体" w:eastAsia="宋体" w:cs="Times New Roman"/>
          <w:b/>
          <w:bCs/>
          <w:color w:val="auto"/>
          <w:kern w:val="0"/>
          <w:sz w:val="24"/>
          <w:szCs w:val="24"/>
        </w:rPr>
      </w:pPr>
      <w:r>
        <w:rPr>
          <w:rFonts w:hint="eastAsia" w:ascii="Calibri" w:hAnsi="宋体" w:eastAsia="宋体" w:cs="Times New Roman"/>
          <w:b/>
          <w:bCs/>
          <w:color w:val="auto"/>
          <w:kern w:val="0"/>
          <w:sz w:val="24"/>
          <w:szCs w:val="24"/>
        </w:rPr>
        <w:t>一、项目内容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项目名称：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校园湖安全防护栈道工程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Calibri" w:hAnsi="宋体" w:eastAsia="宋体" w:cs="Times New Roman"/>
          <w:color w:val="auto"/>
          <w:kern w:val="0"/>
          <w:szCs w:val="21"/>
        </w:rPr>
      </w:pPr>
      <w:r>
        <w:rPr>
          <w:rFonts w:hint="eastAsia" w:ascii="Calibri" w:hAnsi="宋体" w:eastAsia="宋体" w:cs="Times New Roman"/>
          <w:color w:val="auto"/>
          <w:kern w:val="0"/>
          <w:szCs w:val="21"/>
        </w:rPr>
        <w:t>项目建设地点：</w:t>
      </w:r>
      <w:r>
        <w:rPr>
          <w:rFonts w:hint="eastAsia" w:ascii="宋体" w:hAnsi="宋体" w:eastAsia="宋体" w:cs="Times New Roman"/>
          <w:color w:val="auto"/>
          <w:kern w:val="0"/>
          <w:szCs w:val="21"/>
          <w:lang w:val="en-US" w:eastAsia="zh-CN"/>
        </w:rPr>
        <w:t>临高县中等职业技术学校</w:t>
      </w:r>
      <w:r>
        <w:rPr>
          <w:rFonts w:hint="eastAsia" w:ascii="Calibri" w:hAnsi="宋体" w:eastAsia="宋体" w:cs="Times New Roman"/>
          <w:color w:val="auto"/>
          <w:kern w:val="0"/>
          <w:szCs w:val="21"/>
        </w:rPr>
        <w:t>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color w:val="auto"/>
          <w:kern w:val="0"/>
          <w:szCs w:val="21"/>
        </w:rPr>
      </w:pPr>
      <w:r>
        <w:rPr>
          <w:rFonts w:hint="eastAsia" w:ascii="Calibri" w:hAnsi="宋体" w:eastAsia="宋体" w:cs="Times New Roman"/>
          <w:color w:val="auto"/>
          <w:kern w:val="0"/>
          <w:szCs w:val="21"/>
        </w:rPr>
        <w:t>项目建设主要内容：</w:t>
      </w:r>
      <w:r>
        <w:rPr>
          <w:rFonts w:hint="eastAsia" w:ascii="宋体" w:hAnsi="宋体" w:eastAsia="宋体" w:cs="Times New Roman"/>
          <w:color w:val="auto"/>
          <w:kern w:val="0"/>
          <w:szCs w:val="21"/>
          <w:lang w:val="en-US" w:eastAsia="zh-CN"/>
        </w:rPr>
        <w:t>临高县中等职业技术学校校园湖安全防护栈道工程</w:t>
      </w:r>
      <w:r>
        <w:rPr>
          <w:rFonts w:hint="eastAsia" w:ascii="宋体" w:hAnsi="宋体" w:eastAsia="宋体" w:cs="Times New Roman"/>
          <w:color w:val="auto"/>
          <w:kern w:val="0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Calibri" w:hAnsi="宋体" w:eastAsia="宋体" w:cs="Times New Roman"/>
          <w:color w:val="auto"/>
          <w:kern w:val="0"/>
          <w:szCs w:val="21"/>
        </w:rPr>
      </w:pPr>
      <w:r>
        <w:rPr>
          <w:rFonts w:hint="eastAsia" w:ascii="Calibri" w:hAnsi="宋体" w:eastAsia="宋体" w:cs="Times New Roman"/>
          <w:color w:val="auto"/>
          <w:kern w:val="0"/>
          <w:szCs w:val="21"/>
        </w:rPr>
        <w:t>招标范围：施工总承包（具体内容详见工程量清单及施工图）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Calibri" w:hAnsi="宋体" w:eastAsia="宋体" w:cs="Times New Roman"/>
          <w:color w:val="auto"/>
          <w:kern w:val="0"/>
          <w:szCs w:val="21"/>
        </w:rPr>
      </w:pPr>
      <w:r>
        <w:rPr>
          <w:rFonts w:hint="eastAsia" w:ascii="Calibri" w:hAnsi="宋体" w:eastAsia="宋体" w:cs="Times New Roman"/>
          <w:color w:val="auto"/>
          <w:kern w:val="0"/>
          <w:szCs w:val="21"/>
        </w:rPr>
        <w:t>计划工期：</w:t>
      </w:r>
      <w:r>
        <w:rPr>
          <w:rFonts w:hint="eastAsia" w:ascii="Calibri" w:hAnsi="宋体" w:eastAsia="宋体" w:cs="Times New Roman"/>
          <w:color w:val="auto"/>
          <w:kern w:val="0"/>
          <w:szCs w:val="21"/>
          <w:lang w:val="en-US" w:eastAsia="zh-CN"/>
        </w:rPr>
        <w:t>40</w:t>
      </w:r>
      <w:r>
        <w:rPr>
          <w:rFonts w:hint="eastAsia" w:ascii="Calibri" w:hAnsi="宋体" w:eastAsia="宋体" w:cs="Times New Roman"/>
          <w:color w:val="auto"/>
          <w:kern w:val="0"/>
          <w:szCs w:val="21"/>
        </w:rPr>
        <w:t>日历天；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Calibri" w:hAnsi="宋体" w:eastAsia="宋体" w:cs="Times New Roman"/>
          <w:color w:val="auto"/>
          <w:kern w:val="0"/>
          <w:szCs w:val="21"/>
        </w:rPr>
      </w:pPr>
      <w:r>
        <w:rPr>
          <w:rFonts w:hint="eastAsia" w:ascii="Calibri" w:hAnsi="宋体" w:eastAsia="宋体" w:cs="Times New Roman"/>
          <w:color w:val="auto"/>
          <w:kern w:val="0"/>
          <w:szCs w:val="21"/>
        </w:rPr>
        <w:t>质量标准：合格。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Calibri" w:hAnsi="宋体" w:eastAsia="宋体" w:cs="Times New Roman"/>
          <w:color w:val="auto"/>
          <w:kern w:val="0"/>
          <w:szCs w:val="21"/>
        </w:rPr>
      </w:pPr>
      <w:r>
        <w:rPr>
          <w:rFonts w:hint="eastAsia" w:ascii="Calibri" w:hAnsi="宋体" w:eastAsia="宋体" w:cs="Times New Roman"/>
          <w:color w:val="auto"/>
          <w:kern w:val="0"/>
          <w:szCs w:val="21"/>
        </w:rPr>
        <w:t>招标控制价</w:t>
      </w:r>
      <w:r>
        <w:rPr>
          <w:rFonts w:hint="eastAsia" w:ascii="宋体" w:hAnsi="宋体" w:eastAsia="宋体" w:cs="宋体"/>
          <w:color w:val="auto"/>
          <w:kern w:val="0"/>
          <w:szCs w:val="22"/>
          <w:u w:val="single"/>
          <w:lang w:val="en-US" w:eastAsia="zh-CN"/>
        </w:rPr>
        <w:t>1726412.68</w:t>
      </w:r>
      <w:r>
        <w:rPr>
          <w:rFonts w:hint="eastAsia" w:ascii="宋体" w:hAnsi="宋体" w:eastAsia="宋体" w:cs="宋体"/>
          <w:color w:val="auto"/>
          <w:kern w:val="0"/>
          <w:szCs w:val="22"/>
          <w:u w:val="single"/>
        </w:rPr>
        <w:t>元</w:t>
      </w:r>
      <w:r>
        <w:rPr>
          <w:rFonts w:hint="eastAsia" w:ascii="宋体" w:hAnsi="宋体" w:eastAsia="宋体" w:cs="宋体"/>
          <w:color w:val="auto"/>
          <w:kern w:val="0"/>
          <w:szCs w:val="20"/>
          <w:u w:val="single"/>
        </w:rPr>
        <w:t>(最终工程费以审计部门审核为准)</w:t>
      </w:r>
      <w:r>
        <w:rPr>
          <w:rFonts w:hint="eastAsia" w:ascii="Calibri" w:hAnsi="宋体" w:eastAsia="宋体" w:cs="Times New Roman"/>
          <w:color w:val="auto"/>
          <w:kern w:val="0"/>
          <w:szCs w:val="21"/>
        </w:rPr>
        <w:t>。投标人报价不得超出此招标控制价，否则按废标处理。本项目采购预算已经由有关部门核准，为保证工程质量，投标人不能低于成本价恶意报价，如果评标委员会发现投标人的报价明显低于其他投标人报价，使得其投标报价可能低于其个别成本的，将要求该投标人作书面说明并提供相关证明材料。投标人不能合理说明或不能提供相关证明材料的，评标委员会将认定该投标人以低于成本报价恶意竞标，其投标作无效投标处理。</w:t>
      </w:r>
    </w:p>
    <w:p>
      <w:pPr>
        <w:widowControl/>
        <w:spacing w:line="360" w:lineRule="auto"/>
        <w:jc w:val="left"/>
        <w:rPr>
          <w:rFonts w:hint="eastAsia" w:ascii="Calibri" w:hAnsi="宋体" w:eastAsia="宋体" w:cs="Times New Roman"/>
          <w:b/>
          <w:bCs/>
          <w:color w:val="auto"/>
          <w:kern w:val="0"/>
          <w:sz w:val="24"/>
          <w:szCs w:val="24"/>
        </w:rPr>
      </w:pPr>
      <w:r>
        <w:rPr>
          <w:rFonts w:hint="eastAsia" w:ascii="Calibri" w:hAnsi="宋体" w:eastAsia="宋体" w:cs="Times New Roman"/>
          <w:b/>
          <w:bCs/>
          <w:color w:val="auto"/>
          <w:kern w:val="0"/>
          <w:sz w:val="24"/>
          <w:szCs w:val="24"/>
        </w:rPr>
        <w:t>二、工程量清单</w:t>
      </w:r>
    </w:p>
    <w:p>
      <w:pPr>
        <w:widowControl/>
        <w:jc w:val="center"/>
        <w:rPr>
          <w:rFonts w:hint="eastAsia" w:ascii="Calibri" w:hAnsi="Calibri" w:eastAsia="宋体" w:cs="Times New Roman"/>
          <w:color w:val="auto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Calibri" w:hAnsi="Calibri" w:eastAsia="宋体" w:cs="Times New Roman"/>
          <w:color w:val="auto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Calibri" w:hAnsi="Calibri" w:eastAsia="宋体" w:cs="Times New Roman"/>
          <w:color w:val="auto"/>
          <w:kern w:val="0"/>
          <w:sz w:val="32"/>
          <w:szCs w:val="32"/>
        </w:rPr>
      </w:pPr>
    </w:p>
    <w:p>
      <w:pPr>
        <w:jc w:val="center"/>
        <w:rPr>
          <w:color w:val="auto"/>
          <w:sz w:val="32"/>
          <w:szCs w:val="32"/>
        </w:rPr>
        <w:sectPr>
          <w:pgSz w:w="11906" w:h="16838"/>
          <w:pgMar w:top="1418" w:right="1555" w:bottom="1418" w:left="153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31"/>
        <w:gridCol w:w="66"/>
        <w:gridCol w:w="121"/>
        <w:gridCol w:w="636"/>
        <w:gridCol w:w="159"/>
        <w:gridCol w:w="71"/>
        <w:gridCol w:w="423"/>
        <w:gridCol w:w="858"/>
        <w:gridCol w:w="88"/>
        <w:gridCol w:w="163"/>
        <w:gridCol w:w="548"/>
        <w:gridCol w:w="123"/>
        <w:gridCol w:w="360"/>
        <w:gridCol w:w="87"/>
        <w:gridCol w:w="678"/>
        <w:gridCol w:w="128"/>
        <w:gridCol w:w="179"/>
        <w:gridCol w:w="1449"/>
        <w:gridCol w:w="37"/>
        <w:gridCol w:w="134"/>
        <w:gridCol w:w="266"/>
        <w:gridCol w:w="754"/>
        <w:gridCol w:w="263"/>
        <w:gridCol w:w="149"/>
        <w:gridCol w:w="105"/>
        <w:gridCol w:w="208"/>
        <w:gridCol w:w="185"/>
        <w:gridCol w:w="24"/>
        <w:gridCol w:w="346"/>
        <w:gridCol w:w="98"/>
        <w:gridCol w:w="244"/>
        <w:gridCol w:w="535"/>
        <w:gridCol w:w="2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单位工程费汇总表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工程名称：校园湖安全防护栈道工程</w:t>
            </w:r>
          </w:p>
        </w:tc>
        <w:tc>
          <w:tcPr>
            <w:tcW w:w="31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共2页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行号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34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24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取费说明</w:t>
            </w:r>
          </w:p>
        </w:tc>
        <w:tc>
          <w:tcPr>
            <w:tcW w:w="86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</w:tc>
        <w:tc>
          <w:tcPr>
            <w:tcW w:w="1109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分部分项项目费用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分部分项合计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分部分项人工费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措施项目合计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技术措施项目人工费+组织措施人工费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施工技术措施项目费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技术措施项目合计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施工组织措施项目费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组织措施项目合计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其中：安全文明施工费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安全施工基本费+安全文明施工费浮动部分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其中：临时设施费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临时设施费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其中：雨季施工增加费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雨季施工费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其中：夜间施工增加费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夜间施工费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其他项目合计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其中：垃圾处置费+其中：社保费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(工日合计+技术措施项目工日合计)*56.03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</w:t>
            </w: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价差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人工价差+材料价差+机械价差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人工价差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人工价差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材料价差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材料价差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机械价差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机械价差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不含税工程造价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分部分项项目费用+措施项目费+其他项目费+规费+价差+独立费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税金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不含税工程造价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含税工程造价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不含税工程造价+税金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工程设计费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含税工程造价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含税工程造价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工程预算费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含税工程造价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</w:t>
            </w: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工程结算审核费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含税工程造价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</w:t>
            </w: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工程预算审核费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含税工程造价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单位工程费汇总表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工程名称：校园湖安全防护栈道工程</w:t>
            </w:r>
          </w:p>
        </w:tc>
        <w:tc>
          <w:tcPr>
            <w:tcW w:w="31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第2页 共2页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行号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34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24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取费说明</w:t>
            </w:r>
          </w:p>
        </w:tc>
        <w:tc>
          <w:tcPr>
            <w:tcW w:w="86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</w:tc>
        <w:tc>
          <w:tcPr>
            <w:tcW w:w="1109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</w:t>
            </w: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工程总造价</w:t>
            </w: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含税工程造价+工程设计费+工程监理费+工程预算费+工程结算审核费</w:t>
            </w: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41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单位工程预(结)算表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工程名称:校园湖安全防护栈道工程</w:t>
            </w:r>
          </w:p>
        </w:tc>
        <w:tc>
          <w:tcPr>
            <w:tcW w:w="5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总3页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4" w:type="dxa"/>
            <w:gridSpan w:val="6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080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7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082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综合单价分析</w:t>
            </w:r>
          </w:p>
        </w:tc>
        <w:tc>
          <w:tcPr>
            <w:tcW w:w="671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主材含量</w:t>
            </w:r>
          </w:p>
        </w:tc>
        <w:tc>
          <w:tcPr>
            <w:tcW w:w="145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综合合价分析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gridSpan w:val="6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主材单价</w:t>
            </w:r>
          </w:p>
        </w:tc>
        <w:tc>
          <w:tcPr>
            <w:tcW w:w="671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综合合价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主材合价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绿化部分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7-54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回填种植土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种植土 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11-103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整理绿化地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11-196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栽植 乔木 土球直径40cm以内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100株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黄花风铃木Φ8cmH300-350cmH杆200-2500cm 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11-243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单一品种成片栽植 木本花卉 10cm营养袋(钵)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黄馨梅H20cm 木本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2467.5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11-243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单一品种成片栽植 木本花卉 10cm营养袋(钵)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红变叶木H25cm 木本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11-243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单一品种成片栽植 木本花卉 10cm营养袋(钵)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红背桂H25cm 木本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3202.5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11-243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单一品种成片栽植 木本花卉 10cm营养袋(钵)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小叶龙船花H25cm 木本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11-243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单一品种成片栽植 木本花卉 10cm营养袋(钵)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红朱蕉H30cm 木本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1417.5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11-243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单一品种成片栽植 木本花卉 10cm营养袋(钵)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鸭脚木H25cm 木本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11-246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单一品种成片栽植 草本花卉 10cm营养袋(钵)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蜘蛛兰H25cm 草本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11-479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 栽植 千屈菜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100株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千屈菜H35cm 草本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391.68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11-479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栽植 芦苇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100株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13.44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芦苇H35cm 草本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1370.88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11-479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栽植 荷花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100株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荷花H40cm 草本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1101.6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11-479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栽植 水葱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100株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水葱H100-120cm 草本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767.04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11-285 *2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道路绿化成活保养三个月 乔木 胸径10cm以内子目*2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100株/月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11-333 *2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道路绿化成活保养三个月 露地花坛 木本子目*2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100m2/月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单位工程预(结)算表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工程名称:校园湖安全防护栈道工程</w:t>
            </w:r>
          </w:p>
        </w:tc>
        <w:tc>
          <w:tcPr>
            <w:tcW w:w="5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第2页 总3页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4" w:type="dxa"/>
            <w:gridSpan w:val="6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080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7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082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综合单价分析</w:t>
            </w:r>
          </w:p>
        </w:tc>
        <w:tc>
          <w:tcPr>
            <w:tcW w:w="671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主材含量</w:t>
            </w:r>
          </w:p>
        </w:tc>
        <w:tc>
          <w:tcPr>
            <w:tcW w:w="145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综合合价分析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gridSpan w:val="6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主材单价</w:t>
            </w:r>
          </w:p>
        </w:tc>
        <w:tc>
          <w:tcPr>
            <w:tcW w:w="671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综合合价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主材合价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11-345 *3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道路绿化保存保养三个月 乔木 胸径10cm以内子目*3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100株/月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11-393 *3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道路绿化保存保养三个月 露地花坛 木本子目*3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100m2/月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木栈桥景观工程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补充001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六角亭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5-128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木栈道龙骨70*70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5-126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大栈道 厚5cm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补充002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芬兰防腐木栏杆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5-144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博古架 宽度30cm内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5-128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木栈道龙骨50*40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5-126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大栈道 厚5cm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8-56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各种墙面 水泥石灰砂浆底 水泥砂浆面 15+5mm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3-19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标准砖墙 墙体厚度 1砖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8-111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200*100*20机切面芝麻白花岗岩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8-111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600*400*30机切面芝麻黑花岗岩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8-111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600*300*30机切面芝麻黑花岗岩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4-7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现浇C20混凝土40石 基础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4-1换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普通混凝土 垫层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12-6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基础垫层模板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4-91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 螺纹钢φ12内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2.17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地梁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4-12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现浇C25混凝土梁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12-15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梁模板制安 基础梁模板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4-87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 钢筋φ8内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4-91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 螺纹钢φ16内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柱子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4-9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现浇C25混凝土 矩形柱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12-8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矩形柱模板 周长1.2m内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4-91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 螺纹钢φ16内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4-90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 钢筋φ内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单位工程预(结)算表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工程名称:校园湖安全防护栈道工程</w:t>
            </w:r>
          </w:p>
        </w:tc>
        <w:tc>
          <w:tcPr>
            <w:tcW w:w="5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第3页 总3页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4" w:type="dxa"/>
            <w:gridSpan w:val="6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080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7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082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综合单价分析</w:t>
            </w:r>
          </w:p>
        </w:tc>
        <w:tc>
          <w:tcPr>
            <w:tcW w:w="671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主材含量</w:t>
            </w:r>
          </w:p>
        </w:tc>
        <w:tc>
          <w:tcPr>
            <w:tcW w:w="145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综合合价分析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gridSpan w:val="6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主材单价</w:t>
            </w:r>
          </w:p>
        </w:tc>
        <w:tc>
          <w:tcPr>
            <w:tcW w:w="671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综合合价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主材合价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4-12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现浇C25混凝土梁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12-15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梁模板制安 基础梁模板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4-87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 钢筋φ8内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4-91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 螺纹钢φ16内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4-19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现浇C25混凝土 板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12-23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板模板制安 无梁板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10m2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4-87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 钢筋φ8内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1-73 + 1-76 * 6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挖土机挖土 自卸汽车运土 一、二类土 运距 1km内实际运距(km):7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100m3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600" w:hRule="atLeast"/>
        </w:trPr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措施项目表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300" w:hRule="atLeast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工程名称:校园湖安全防护栈道工程</w:t>
            </w: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3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330" w:hRule="atLeast"/>
        </w:trPr>
        <w:tc>
          <w:tcPr>
            <w:tcW w:w="5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行号</w:t>
            </w:r>
          </w:p>
        </w:tc>
        <w:tc>
          <w:tcPr>
            <w:tcW w:w="7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793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7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2640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计算基数</w:t>
            </w:r>
          </w:p>
        </w:tc>
        <w:tc>
          <w:tcPr>
            <w:tcW w:w="910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费率</w:t>
            </w:r>
          </w:p>
        </w:tc>
        <w:tc>
          <w:tcPr>
            <w:tcW w:w="124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300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垂直运输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300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模板工程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300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脚手架工程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300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围堰工程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52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安全施工基本费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FBFXHJ+JSCSHJ</w:t>
            </w: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1.22</w:t>
            </w: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300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安全施工费（浮动部分）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AQSGJBF</w:t>
            </w: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52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临时设施费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FBFXHJ+JSCSHJ</w:t>
            </w: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</w:t>
            </w: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750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RGF+JSCS_RGF+JSRGF+JSCS_JSRGF</w:t>
            </w: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750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雨季施工增加费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RGF+JSCS_RGF+JSRGF+JSCS_JSRGF</w:t>
            </w: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</w:t>
            </w: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28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28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28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28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28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28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28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285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2" w:type="dxa"/>
          <w:trHeight w:val="300" w:hRule="atLeast"/>
        </w:trPr>
        <w:tc>
          <w:tcPr>
            <w:tcW w:w="53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单位工程人材机价差表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工程名称：校园湖安全防护栈道工程</w:t>
            </w:r>
          </w:p>
        </w:tc>
        <w:tc>
          <w:tcPr>
            <w:tcW w:w="31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10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67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材料量</w:t>
            </w:r>
          </w:p>
        </w:tc>
        <w:tc>
          <w:tcPr>
            <w:tcW w:w="192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预算价</w:t>
            </w:r>
          </w:p>
        </w:tc>
        <w:tc>
          <w:tcPr>
            <w:tcW w:w="153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市场价</w:t>
            </w:r>
          </w:p>
        </w:tc>
        <w:tc>
          <w:tcPr>
            <w:tcW w:w="861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价差</w:t>
            </w:r>
          </w:p>
        </w:tc>
        <w:tc>
          <w:tcPr>
            <w:tcW w:w="101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价差合计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综合人工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工日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2824.97983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474.23698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中砂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177.34311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松杂木枋材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周转材、综合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19.8948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碎石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40mm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67.9131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标准砖240*115*53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千块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芬兰防腐木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32.5(R)水泥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117.35189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碎石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20mm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165.04799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工日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72.85652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475.8967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69.54974</w:t>
            </w: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bookmarkStart w:id="1" w:name="_GoBack"/>
            <w:bookmarkEnd w:id="1"/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34" w:right="1417" w:bottom="1134" w:left="1417" w:header="907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15390" cy="17399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35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 页 共3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3.7pt;width:95.7pt;mso-position-horizontal:center;mso-position-horizontal-relative:margin;mso-position-vertical:top;z-index:251658240;mso-width-relative:page;mso-height-relative:page;" filled="f" stroked="f" coordsize="21600,21600" o:gfxdata="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gCzxNYAAAAEAQAADwAAAAAAAAABACAAAAAiAAAAZHJz&#10;L2Rvd25yZXYueG1sUEsBAhQAFAAAAAgAh07iQFnEPfyUAQAAFwMAAA4AAAAAAAAAAQAgAAAAJ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Cs w:val="21"/>
                      </w:rPr>
                      <w:t>35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 页 共3</w:t>
                    </w:r>
                    <w:r>
                      <w:rPr>
                        <w:rFonts w:hint="eastAsia" w:ascii="宋体" w:hAnsi="宋体" w:cs="宋体"/>
                        <w:szCs w:val="21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  <w:r>
      <w:drawing>
        <wp:inline distT="0" distB="0" distL="114300" distR="114300">
          <wp:extent cx="1524635" cy="532130"/>
          <wp:effectExtent l="0" t="0" r="18415" b="1270"/>
          <wp:docPr id="2" name="图片 1" descr="和信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和信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3B3D"/>
    <w:multiLevelType w:val="multilevel"/>
    <w:tmpl w:val="77EE3B3D"/>
    <w:lvl w:ilvl="0" w:tentative="0">
      <w:start w:val="1"/>
      <w:numFmt w:val="decimal"/>
      <w:pStyle w:val="3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b/>
        <w:lang w:val="en-US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</w:rPr>
    </w:lvl>
    <w:lvl w:ilvl="3" w:tentative="0">
      <w:start w:val="1"/>
      <w:numFmt w:val="decimal"/>
      <w:pStyle w:val="4"/>
      <w:lvlText w:val="%1.%2.%3.%4."/>
      <w:lvlJc w:val="left"/>
      <w:pPr>
        <w:tabs>
          <w:tab w:val="left" w:pos="1844"/>
        </w:tabs>
        <w:ind w:left="1844" w:hanging="851"/>
      </w:pPr>
      <w:rPr>
        <w:rFonts w:hint="default"/>
        <w:lang w:val="en-US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58F2"/>
    <w:rsid w:val="0DB67A58"/>
    <w:rsid w:val="13046498"/>
    <w:rsid w:val="13A72D06"/>
    <w:rsid w:val="19F05C7C"/>
    <w:rsid w:val="1D3B1DF3"/>
    <w:rsid w:val="25FC16A5"/>
    <w:rsid w:val="26F26FCC"/>
    <w:rsid w:val="361B2518"/>
    <w:rsid w:val="382A28EE"/>
    <w:rsid w:val="3883163D"/>
    <w:rsid w:val="449F6062"/>
    <w:rsid w:val="5AC14DFF"/>
    <w:rsid w:val="60144222"/>
    <w:rsid w:val="6FCB7C0D"/>
    <w:rsid w:val="71BD53E5"/>
    <w:rsid w:val="72D7795D"/>
    <w:rsid w:val="740322A3"/>
    <w:rsid w:val="7B9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142"/>
        <w:tab w:val="left" w:pos="5670"/>
      </w:tabs>
      <w:spacing w:before="0" w:after="0"/>
      <w:outlineLvl w:val="0"/>
    </w:pPr>
    <w:rPr>
      <w:rFonts w:ascii="仿宋" w:hAnsi="仿宋" w:cs="Times New Roman"/>
      <w:iCs/>
      <w:smallCaps/>
      <w:kern w:val="44"/>
      <w:sz w:val="32"/>
      <w:szCs w:val="28"/>
      <w:lang w:val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5"/>
    <w:next w:val="5"/>
    <w:qFormat/>
    <w:uiPriority w:val="0"/>
    <w:pPr>
      <w:keepNext/>
      <w:keepLines/>
      <w:numPr>
        <w:ilvl w:val="3"/>
        <w:numId w:val="1"/>
      </w:numPr>
      <w:kinsoku w:val="0"/>
      <w:spacing w:line="360" w:lineRule="auto"/>
      <w:ind w:leftChars="0"/>
      <w:jc w:val="left"/>
      <w:outlineLvl w:val="3"/>
    </w:pPr>
    <w:rPr>
      <w:rFonts w:ascii="黑体" w:hAnsi="黑体" w:eastAsia="仿宋" w:cs="Times New Roman"/>
      <w:bCs/>
      <w:sz w:val="28"/>
      <w:szCs w:val="28"/>
      <w:lang w:val="zh-CN" w:eastAsia="zh-CN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6">
    <w:name w:val="Body Text"/>
    <w:basedOn w:val="1"/>
    <w:next w:val="1"/>
    <w:qFormat/>
    <w:uiPriority w:val="0"/>
    <w:pPr>
      <w:spacing w:after="120" w:afterLines="0"/>
    </w:pPr>
  </w:style>
  <w:style w:type="paragraph" w:styleId="7">
    <w:name w:val="Plain Text"/>
    <w:basedOn w:val="1"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39"/>
    <w:pPr>
      <w:spacing w:before="120" w:after="120" w:line="360" w:lineRule="auto"/>
      <w:ind w:firstLine="420"/>
      <w:jc w:val="left"/>
    </w:pPr>
    <w:rPr>
      <w:rFonts w:ascii="Calibri" w:hAnsi="Calibri" w:eastAsia="仿宋" w:cs="Calibri"/>
      <w:b/>
      <w:bCs/>
      <w:caps/>
      <w:sz w:val="20"/>
      <w:szCs w:val="20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4">
    <w:name w:val="列出段落1"/>
    <w:basedOn w:val="1"/>
    <w:qFormat/>
    <w:uiPriority w:val="0"/>
    <w:pPr>
      <w:ind w:firstLine="420" w:firstLineChars="200"/>
      <w:contextualSpacing/>
    </w:pPr>
    <w:rPr>
      <w:rFonts w:eastAsia="仿宋"/>
      <w:szCs w:val="22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my正文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18">
    <w:name w:val="font01"/>
    <w:basedOn w:val="13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9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"/>
    <w:basedOn w:val="13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1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2">
    <w:name w:val="newstyle16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标题 1 字符"/>
    <w:qFormat/>
    <w:uiPriority w:val="0"/>
    <w:rPr>
      <w:rFonts w:ascii="宋体" w:hAnsi="宋体" w:eastAsia="黑体"/>
      <w:b/>
      <w:bCs/>
      <w:iCs/>
      <w:kern w:val="44"/>
      <w:sz w:val="36"/>
    </w:rPr>
  </w:style>
  <w:style w:type="paragraph" w:customStyle="1" w:styleId="24">
    <w:name w:val="GW-正文"/>
    <w:basedOn w:val="1"/>
    <w:qFormat/>
    <w:uiPriority w:val="0"/>
    <w:pPr>
      <w:spacing w:line="360" w:lineRule="auto"/>
      <w:ind w:firstLine="200" w:firstLineChars="200"/>
      <w:contextualSpacing/>
    </w:pPr>
    <w:rPr>
      <w:rFonts w:ascii="Times New Roman" w:hAnsi="Times New Roman" w:eastAsia="仿宋" w:cs="Times New Roman"/>
      <w:sz w:val="28"/>
      <w:szCs w:val="24"/>
      <w:lang w:val="zh-CN" w:eastAsia="zh-CN"/>
    </w:rPr>
  </w:style>
  <w:style w:type="paragraph" w:customStyle="1" w:styleId="25">
    <w:name w:val="*正文"/>
    <w:basedOn w:val="1"/>
    <w:qFormat/>
    <w:uiPriority w:val="0"/>
    <w:pPr>
      <w:spacing w:line="360" w:lineRule="auto"/>
      <w:ind w:firstLine="560" w:firstLineChars="200"/>
      <w:jc w:val="left"/>
    </w:pPr>
    <w:rPr>
      <w:rFonts w:ascii="仿宋_GB2312" w:hAnsi="宋体" w:eastAsia="仿宋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2020-07-15T07:06:00Z</dcterms:created>
  <dc:creator>Administrator</dc:creator>
  <cp:lastModifiedBy>Administrator</cp:lastModifiedBy>
  <dcterms:modified xsi:type="dcterms:W3CDTF">2020-07-16T02:18:09Z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