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156" w:afterLines="50" w:line="360" w:lineRule="auto"/>
        <w:jc w:val="center"/>
        <w:rPr>
          <w:rFonts w:hint="eastAsia" w:ascii="宋体" w:hAnsi="宋体" w:cs="宋体"/>
          <w:b/>
          <w:color w:val="auto"/>
          <w:sz w:val="44"/>
          <w:szCs w:val="44"/>
          <w:highlight w:val="none"/>
        </w:rPr>
      </w:pPr>
      <w:r>
        <w:rPr>
          <w:rFonts w:hint="eastAsia" w:ascii="宋体" w:hAnsi="宋体" w:cs="宋体"/>
          <w:b/>
          <w:color w:val="auto"/>
          <w:sz w:val="44"/>
          <w:szCs w:val="44"/>
          <w:highlight w:val="none"/>
        </w:rPr>
        <w:t>第五部分  用户需求书</w:t>
      </w:r>
    </w:p>
    <w:p>
      <w:pPr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auto"/>
          <w:sz w:val="28"/>
          <w:szCs w:val="28"/>
        </w:rPr>
      </w:pPr>
      <w:r>
        <w:rPr>
          <w:rFonts w:hint="eastAsia" w:ascii="宋体" w:hAnsi="宋体" w:cs="宋体"/>
          <w:b/>
          <w:color w:val="auto"/>
          <w:sz w:val="28"/>
          <w:szCs w:val="28"/>
          <w:highlight w:val="none"/>
          <w:lang w:val="en-GB"/>
        </w:rPr>
        <w:t>一、</w:t>
      </w:r>
      <w:bookmarkStart w:id="0" w:name="_Toc275954508"/>
      <w:bookmarkStart w:id="1" w:name="_Toc275871429"/>
      <w:bookmarkStart w:id="2" w:name="_Toc275770741"/>
      <w:bookmarkStart w:id="3" w:name="_Toc275871494"/>
      <w:r>
        <w:rPr>
          <w:rFonts w:hint="eastAsia" w:ascii="宋体" w:hAnsi="宋体" w:cs="宋体"/>
          <w:b/>
          <w:color w:val="auto"/>
          <w:sz w:val="28"/>
          <w:szCs w:val="28"/>
        </w:rPr>
        <w:t>购需求一览表</w:t>
      </w:r>
    </w:p>
    <w:tbl>
      <w:tblPr>
        <w:tblStyle w:val="14"/>
        <w:tblW w:w="0" w:type="auto"/>
        <w:tblInd w:w="-55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665"/>
        <w:gridCol w:w="5224"/>
        <w:gridCol w:w="784"/>
        <w:gridCol w:w="869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20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1665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采购货物名称</w:t>
            </w:r>
          </w:p>
        </w:tc>
        <w:tc>
          <w:tcPr>
            <w:tcW w:w="522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参考规格及技术参数</w:t>
            </w:r>
          </w:p>
        </w:tc>
        <w:tc>
          <w:tcPr>
            <w:tcW w:w="784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数量</w:t>
            </w:r>
          </w:p>
        </w:tc>
        <w:tc>
          <w:tcPr>
            <w:tcW w:w="869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148" w:type="dxa"/>
            <w:shd w:val="clear" w:color="auto" w:fill="D9D9D9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平板电脑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1、操作系统：Android 8.0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2、用户界面：EMUI 8.0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3、CPU型号：海思麒麟659（4*A53@2.36GHz+4*A53@1.7GHz）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4、CPU核数：八核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5、屏幕尺寸：10.1英寸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6、屏幕色彩：1600万色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7、分辨率：1920×1200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8、亮度：400 nits（典型值）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9、扩展支持：microSD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10、可扩展容量：256GB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11、电池容量：7500mAh（典型值）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12、主摄像头：800万像素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13、副摄像头：800万像素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14、其他参数：WIFI/蓝牙4.2/GPS、GLONASS、北斗/重力传感器、环境光传感器、距离传感器、指纹传感器、霍尔传感器、状态指示灯、指南针/预置Microsoft Office套件/工信部信息安全一级/精致轻薄外观设计，正面2.5D弧面玻璃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15、售后服务：本产品全国联保，享受三包服务，质保期为：一年质保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笔记本电脑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1、处理器：英特尔处理器，主频大于2.8GHz，缓存不小于4M；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2、内存：4G DDR4 2133MHz 内存，预留扩展内存槽位；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3、硬盘：500G 7200rpm SATA硬盘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4、显示屏：15.6”LED 高清防眩光超液晶显示屏（1920*1080），配置合金转轴，屏幕180度平放，更加牢固、美观、耐用；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5、显卡：配置2G独立显卡，支持双显卡切换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6、光驱：内置DVD-RW刻录光驱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7、网卡：千兆网卡以及802.11 AC无线网卡，支持5.0G频段（集成BT4.0）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8、声卡：High Definition Audio声卡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9、键盘：全新浮岛式键盘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10、定位设备：全尺寸多点触控板，按键与触控板分离，方便使用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11、摄像头：720P高清摄像头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12、接口：4个USB(至少2个USB 3.0)接口、HDMI、VGA接口、耳机输出/麦克输出combo接口、电脑安全锁孔、网口、读卡器；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13、电池：4芯电池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14、体积：重量≤2.1Kg（含电池）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15、操作系统：配置 Windows 10操作系统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16、系统安全：原厂同品牌一键恢复操作系统（非Windows自带功能）， 可保留出厂备份和用户自定义备份；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17、配件：笔记本电脑包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18、售后服务：原厂一年保修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1、产品类型: 商用分体台式电脑；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2、显示器：18.5"LED显示器，分辨率1366 x 768，屏幕比例 16：9，至少1个VGA接口；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3、CPU：双核处理器，主频≥3.8GHz；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4、主板：300系列及以上芯片组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5、内存：≥4G内存,支持DDR4 2666MHz，2个内存插槽；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6、硬盘：≥1000G SATA3 硬盘,支持双硬盘；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7、显卡：集显；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8、网卡：集成10/100/1000M以太网卡；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9、声卡：集成HD Audio，≥3个音频接口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10、光驱：DVD 光驱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11、键盘鼠标：有线键盘、有线光电鼠标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12、接口：8个USB接口（前置4个USB 3.1 Gen1接口） 、1组PS/2接口、1个串口，主板集成2个视频接口（其中至少1个非转接VGA接口）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13、机箱：标准ATX机箱，机箱体积不小于15升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14、电源：≤210W电源；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15、操作系统：支持Windows 7 操作系统。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16、MTBF值：平均无故障运行时间（MTBF）大于100万小时</w:t>
            </w:r>
          </w:p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17、售后服务：本产品全国联保，享受三包服务，质保期为：台式主机主要部件（不含显示器）3年保修、显示器15个月保修；提供本产品厂家售后服务承若函（加盖厂家公章）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1、CPU ：Intel Corei3-6100处理器（主频≥3.7GHz，缓存≥3M）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2、主板：Intel B250及以上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3、内存：配置 4G DDR4 2133MHz 内存，最大支持32G内存容量；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4、显卡：集成显卡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5、声卡：集成HD Audio，支持5.1声道（提供前2后3共5个音频接口）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6、硬盘：1000G SATA3硬盘，支持PCIe NMVE固态硬盘；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7、网卡：集成10/100/1000M以太网卡；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8、光驱：DVD-RW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9、扩展槽：1个PCI-E*16、2个PCI-E*1、1个PCI槽位；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10、显示器：19.5寸LED显示器，分辨率1600x900（16：9），亮度不低于250，对比度不低于600:1，响应时间5ms，VGA接口，显示器具有低蓝光护眼功能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11、键盘、鼠标：防水键盘、抗菌鼠标；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12、接口：6个USB 3.1 Gen 1接口(前置4个USB 3.1 Gen 1)、PS/2接口、 串口 、VGA+HDMI视频接口；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13、电源：110/220V 180W85%节能电源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14、安全特性：USB屏蔽技术，仅识别USB键盘、鼠标，无法识别其他USB读取设备，有效防止数据泄露；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15、机箱：标准MATX立式机箱，采用蜂窝结构，散热更为有效，顶置电源开关键、顶置提手方便提拿，机箱体积小巧，不大于16L。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16、售后服务：本产品全国联保，享受三包服务，质保期为：三年有限质保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1、CPU类型：酷睿 i3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2、CPU型号：i3-7100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3、CPU速度/主频：≥3.9GHZ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4、CPU核心数：双核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5、内存：配置 4GB DDR4 2133MHz内存，最大支持32G内存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6、光驱类型：DVD光驱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7、硬盘类型：机械硬盘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8、声卡：集成HD Audio,支持5.1声道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9、机械硬盘容量：500G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10、键盘鼠标：防水键盘、抗菌鼠标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11、操作系统：可装 Windows 7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12、显示器尺寸：21.5英寸 分辨率1920x1080（16：9），亮度不低于250，对比度不低于600:1，响应时间5ms，VGA接口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13、电源：110/220V 180W85%节能电源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14、显卡类型：集成显卡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15、显存容量：共享显存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16、售后服务：本产品全国联保，享受三包服务，质保期为：三年有限质保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台式计算机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1、CPU类型：酷睿 i3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2、CPU型号：i3-7100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3、CPU速度/主频：≥3.9GHZ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4、CPU核心数：双核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5、内存容量：≥4GB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6、内存速度：DDR4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7、硬盘类型：机械硬盘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8、固态硬盘容量：无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9、机械硬盘容量：≥500G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10、光驱类型：DVD光驱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11、键盘鼠标：有线键盘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12、操作系统：可装 Windows 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13、显示器尺寸：≥21.5英寸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14、显卡类型：集成显卡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15、显存容量：共享内存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16、售后服务：本产品全国联保，享受三包服务，质保期为：三年有限质保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单反相机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1、产品类型：单反相机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2、传感器尺寸：APS-C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3、像素：2000-2999万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4、屏幕尺寸：2.5-3.0英寸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5、变焦：15倍以下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6、存储卡介质：SD卡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7、套头：单镜头套机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8、镜头：18-135MM镜头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9、配套：64G内存卡x1、相机包x1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10、售后服务：全国联保一年 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彩色复印机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1、纸张最大幅面：A3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2、色彩：彩色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3、速度说明：20ppm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4、进纸方式：自动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5、进纸盒数量：双纸盒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6、网络功能：有线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7、分辨率说明：600*600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8、双面输稿器：有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9、折叠功能:无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10、装订功能:无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11、工作台:原装工作台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12、涵盖功能:扫描 / 复印 / 打印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13、连续打印页数:999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14、售后服务:本产品全国联保，享受三包服务，质保一年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黑白激光多功能一体机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1、内存：256MB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2、显示屏：5行中英文显示屏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3、预热时间：从电源开启到就绪状态（开机后）：约15秒或更少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4、从睡眠模式：约1.6秒或更少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5、自动输稿器：单面35页（A4）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6、供纸容量：纸盒: 250页(80 g/m² 或 64 g/m²)、多功能托盘: 1页(80 g/m² 或 64 g/m²)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7、纸张输出：(面朝下)*2 约100页(68 g/m²)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8、纸张尺寸：A4、B5、A5*3 、A6*4 、16K、LTR、LGL、EXEC、STMT、自定义尺寸*5 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9、月打印负荷 (A4)： 30000页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10、耗材及打印量：墨粉盒051:1700页、大容量墨粉盒051H：4100页、感光鼓051:23000页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11、耗电量：最大耗电量：约1180W或更少、睡眠模式耗电量：约0.8W（有线/USB）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12、能效等级/典型能耗值：1级 /0.99kW·h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13、体积 (W×D×H)（不安装话柄）≤390 x 405 x 375 毫米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14、重量：约12.4kg（不包含墨粉盒和感光鼓）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15、接口：100BASE-TX/10BASE-T/USB1.1全速/USB2.0高速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16、复印速度：28页/分钟 (A4)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17、复印分辨率：300dpi×600dpi（默认速度下）600dpi×600dpi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18、首页复印时间：约8.2秒或更少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19、特殊复印功能：双面复印/缩放复印/分套复印/2合1&amp;4合1复印/ID卡复印/护照复印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20、打印速度：28页/分钟 (A4)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21、打印分辨率：600dpi×600dpi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22、首张打印时间：约5.2秒或更少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23、打印语言：UFR II-LT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24、特殊打印功能：双面打印*11/移动打印/Mopria/AirPrint/缩放打印等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25、扫描分辨率：600 dpi x 600 dpi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26、扫描尺寸：最大约216 mm x 356 mm（从自动输稿器）、最大约215.9 mm x 297.0 mm（从稿台）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27、售后服务：本产品全国联保，享受三包服务，质保期为：一年质保；提供本产品厂家售后服务承若函（加盖厂家公章）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黑白激光打印机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1、纸张幅面：A4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2、适用耗材型号：一体式硒鼓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3、网络功能：无线 / 有线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4、打印速度(页/分钟 ppm)：38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5、打印类型：黑白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6、双面功能：自动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7、打印分辨率（水平）：600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8、打印分辨率（垂直）：600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9、适用耗材类型：硒鼓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10、能效等级： 2级 /1.43kW·h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11、售后服务：全国联保，享受三包服务，质保期一年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彩色激光打印机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1、纸张幅面：A4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2、适用耗材型号：一体式硒鼓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3、网络功能：无线 / 有线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4、彩色打印速度(页/分钟 ppm)：27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5、打印类型：黑白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6、双面功能：自动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7、打印分辨率（水平）：600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8、打印分辨率（垂直）：600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9、适用耗材类型：硒鼓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10、售后服务：全国联保，享受三包服务，质保期一年 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碎纸机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1、碎纸宽度：220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2、粉碎方式：粒状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3、连续粉碎时间：31-60分钟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4、碎纸张数：6-10张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5、纸箱容量：10升到20升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6、其它可碎物品：光盘 / 书钉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7、保密等级（DIN66399国际标准）：5级保密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8、机身尺寸：≥350X262X580mm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9、碎纸效果：2x6mm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10、售后服务：本产品全国联保，享受三包服务，质保期为：一年质保 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传真机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1、涵盖功能：传真 / 复印 / 打印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2、幅面：A4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3、产品类型：激光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4、纸张类型：普通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5、网络功能：无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6、传输速度：9.6KBPS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7、传真速度：约2.5秒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8、售后服务：全国联保，质保一年 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处理器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1、CPU类型：英特尔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内存条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1、传输类型: DDR4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2、4内存容量：4G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固态硬盘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1、硬盘容量240G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机械硬盘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1、硬盘容量：1T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显示器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1、屏幕尺寸：24寸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2、屏幕比例: 16:9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3、接口类型: HDMI VGA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4、面板类型: IPS-ADS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5、分辨率: 1920*1080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主板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1、内存类型: DDR4内存通道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2、双通道最大内存容量：62019-8-54GB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3、接口类型: USB 3.0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光驱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1、光驱类型：DVD刻录光驱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显卡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1、核心频率：810MHz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2、显存频率：1000MHz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3、显存容量：2GB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4、输出接口: DVI HDMI VGA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电源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1、功率：270W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机箱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1、机箱类型: 台式机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2、机箱结构: Micro ATX/ATX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鼠键套装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1、连接方式：有线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2、接口：USB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1、基材：优质高密度环保中纤板，经过防虫、防腐等化学处理，各项技术均达到国家标准，所有木材干燥至低于9%的含水率；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2、桌面：0.6mm级优质胡桃木皮；胡桃木实木封边；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3、油漆：采用环保油漆，流平性好、透明度高、耐磨性好、颜色均匀；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4、五金配件：优质五金配件，道轨，内铰，抽屉，抽拉，所有五金配件全部经过防锈，防腐处理；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5、规格：2000mm*1000mm*760mm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办公桌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1、基材：优质高密度环保中纤板，经过防虫、防腐等化学处理，各项技术均达到国家标准，所有木材干燥至低于9%的含水率；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2、桌面：0.6mm级优质胡桃木皮；胡桃木实木封边；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3、油漆：采用环保油漆，流平性好、透明度高、耐磨性好、颜色均匀；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4、五金配件：优质五金配件，道轨，内铰，抽屉，抽拉，所有五金配件全部经过防锈，防腐处理；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5、规格：1600mm*800mm*760mm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办公椅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1、材料：表面使用优质西皮，厚度≥1.2mm；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2、基材：实木框架曲木板材采用1.5MM夹板捌层垫压成型，成型板约12MM,板材承受压力达300KG；软质聚氨酯泡沫，采用55#高密度、高弹性海绵。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3、配件：各连接件间不允许有裂缝、脱层、连接平滑；工程塑料件牢固光滑、无气泡、无裂口及明显杂质、颜色均匀；软包件及缝纫应无破损、外形饱满、圆滑一致、缝纫线迹均匀、嵌线圆滑挺直；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4、规格：600mm*650mm*980mm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720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360" w:lineRule="auto"/>
              <w:jc w:val="center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28</w:t>
            </w:r>
          </w:p>
        </w:tc>
        <w:tc>
          <w:tcPr>
            <w:tcW w:w="166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针式票据打印机</w:t>
            </w:r>
          </w:p>
        </w:tc>
        <w:tc>
          <w:tcPr>
            <w:tcW w:w="522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60" w:lineRule="auto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1、打印方式：24针阵打印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2、打印速度(常规)：中文(6.7cpi)：220汉字/秒、英文(10cpi)：440字符/秒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3、纸张宽度：单张纸90-304.8mm、连续纸101.6-304.8mm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4、纸张厚度：0.065-3.6mm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5、纸张种类：单页纸、单页拷贝纸、连续纸(单页纸和多页纸)、信封、明信片、带标签的连续纸、卷纸、存折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6、进纸方式：摩擦进纸（前部、后部进纸）、拖纸器进纸（后部进纸）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7、复写能力：7份(1份原件+6份拷贝)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8、打印头寿命：4亿次/针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9、打印总量：4,000万行(打印头除外)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10、平均无故障时间（MTBF）：20,000小时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11、色带寿命：1,000万字符（在信函质量，10cpi，48点/字符下）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12、缓冲区：128KB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13、接口：一个双向并行接口（支持带IEEE-1284轻咬模式)一个USB2.0(全速)接口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14、噪声：约57分贝（ISO 7779模式） 、约55分贝（低噪音模式）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15、外观尺寸宽×深×高：约480×370×221mm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16、重量：约7.7公斤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17、售后服务：全国联保，享受三包服务，质保期一年</w:t>
            </w:r>
          </w:p>
        </w:tc>
        <w:tc>
          <w:tcPr>
            <w:tcW w:w="7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69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148" w:type="dxa"/>
            <w:noWrap w:val="0"/>
            <w:vAlign w:val="center"/>
          </w:tcPr>
          <w:p>
            <w:pPr>
              <w:adjustRightInd w:val="0"/>
              <w:snapToGrid w:val="0"/>
              <w:spacing w:before="93" w:beforeLines="30" w:after="93" w:afterLines="30" w:line="440" w:lineRule="exact"/>
              <w:jc w:val="center"/>
              <w:rPr>
                <w:rFonts w:hint="eastAsia" w:ascii="宋体" w:hAnsi="宋体" w:eastAsia="宋体" w:cs="宋体"/>
                <w:color w:val="auto"/>
                <w:sz w:val="24"/>
                <w:szCs w:val="24"/>
              </w:rPr>
            </w:pPr>
          </w:p>
        </w:tc>
      </w:tr>
      <w:bookmarkEnd w:id="0"/>
      <w:bookmarkEnd w:id="1"/>
      <w:bookmarkEnd w:id="2"/>
      <w:bookmarkEnd w:id="3"/>
    </w:tbl>
    <w:p>
      <w:pPr>
        <w:tabs>
          <w:tab w:val="left" w:pos="2730"/>
          <w:tab w:val="left" w:pos="2835"/>
        </w:tabs>
        <w:adjustRightInd w:val="0"/>
        <w:snapToGrid w:val="0"/>
        <w:spacing w:before="156" w:beforeLines="50" w:after="156" w:afterLines="50" w:line="440" w:lineRule="exact"/>
        <w:rPr>
          <w:rFonts w:hint="eastAsia" w:ascii="宋体" w:hAnsi="宋体" w:cs="宋体"/>
          <w:b/>
          <w:color w:val="auto"/>
          <w:sz w:val="28"/>
          <w:szCs w:val="28"/>
          <w:highlight w:val="none"/>
        </w:rPr>
      </w:pP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  <w:lang w:val="en-US" w:eastAsia="zh-CN"/>
        </w:rPr>
        <w:t>二</w:t>
      </w:r>
      <w:r>
        <w:rPr>
          <w:rFonts w:hint="eastAsia" w:ascii="宋体" w:hAnsi="宋体" w:cs="宋体"/>
          <w:b/>
          <w:bCs/>
          <w:color w:val="auto"/>
          <w:sz w:val="28"/>
          <w:szCs w:val="28"/>
          <w:highlight w:val="none"/>
        </w:rPr>
        <w:t>、</w:t>
      </w:r>
      <w:r>
        <w:rPr>
          <w:rFonts w:hint="eastAsia" w:ascii="宋体" w:hAnsi="宋体" w:cs="宋体"/>
          <w:b/>
          <w:color w:val="auto"/>
          <w:sz w:val="28"/>
          <w:szCs w:val="28"/>
          <w:highlight w:val="none"/>
        </w:rPr>
        <w:t>验收标准和要求：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1、交付时间：合同签订生效之日起</w:t>
      </w:r>
      <w:r>
        <w:rPr>
          <w:rFonts w:hint="eastAsia" w:ascii="宋体" w:hAnsi="宋体" w:cs="宋体"/>
          <w:color w:val="auto"/>
          <w:sz w:val="24"/>
          <w:highlight w:val="none"/>
          <w:lang w:val="en-US" w:eastAsia="zh-CN"/>
        </w:rPr>
        <w:t>30</w:t>
      </w:r>
      <w:r>
        <w:rPr>
          <w:rFonts w:hint="eastAsia" w:ascii="宋体" w:hAnsi="宋体" w:cs="宋体"/>
          <w:color w:val="auto"/>
          <w:sz w:val="24"/>
          <w:highlight w:val="none"/>
        </w:rPr>
        <w:t>天内。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 xml:space="preserve">2、交付地点：用户指定地点。 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3、付款条件：采购双方签订合同时另行约定。</w:t>
      </w:r>
    </w:p>
    <w:p>
      <w:pPr>
        <w:spacing w:line="440" w:lineRule="exact"/>
        <w:ind w:firstLine="480" w:firstLineChars="200"/>
        <w:rPr>
          <w:rFonts w:hint="eastAsia" w:ascii="宋体" w:hAnsi="宋体" w:cs="宋体"/>
          <w:color w:val="auto"/>
          <w:sz w:val="24"/>
          <w:highlight w:val="none"/>
        </w:rPr>
      </w:pPr>
      <w:r>
        <w:rPr>
          <w:rFonts w:hint="eastAsia" w:ascii="宋体" w:hAnsi="宋体" w:cs="宋体"/>
          <w:color w:val="auto"/>
          <w:sz w:val="24"/>
          <w:highlight w:val="none"/>
        </w:rPr>
        <w:t>4、验收要求：按谈判文件技术参数进行验收。</w:t>
      </w:r>
    </w:p>
    <w:p>
      <w:pPr>
        <w:rPr>
          <w:rFonts w:hint="eastAsia"/>
          <w:lang w:val="en-US" w:eastAsia="zh-CN"/>
        </w:rPr>
      </w:pPr>
      <w:bookmarkStart w:id="4" w:name="_GoBack"/>
      <w:bookmarkEnd w:id="4"/>
    </w:p>
    <w:sectPr>
      <w:footerReference r:id="rId3" w:type="default"/>
      <w:pgSz w:w="11906" w:h="16838"/>
      <w:pgMar w:top="1134" w:right="1417" w:bottom="1134" w:left="1417" w:header="907" w:footer="907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215390" cy="173990"/>
              <wp:effectExtent l="0" t="0" r="0" b="0"/>
              <wp:wrapNone/>
              <wp:docPr id="1" name="矩形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1539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cs="宋体"/>
                              <w:szCs w:val="21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第 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Cs w:val="21"/>
                            </w:rPr>
                            <w:t>35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 xml:space="preserve"> 页 共3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  <w:lang w:val="en-US" w:eastAsia="zh-CN"/>
                            </w:rPr>
                            <w:t>4</w:t>
                          </w:r>
                          <w:r>
                            <w:rPr>
                              <w:rFonts w:hint="eastAsia" w:ascii="宋体" w:hAnsi="宋体" w:cs="宋体"/>
                              <w:szCs w:val="21"/>
                            </w:rPr>
                            <w:t>页</w:t>
                          </w:r>
                        </w:p>
                      </w:txbxContent>
                    </wps:txbx>
                    <wps:bodyPr lIns="0" tIns="0" rIns="0" bIns="0" upright="0"/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height:13.7pt;width:95.7pt;mso-position-horizontal:center;mso-position-horizontal-relative:margin;mso-position-vertical:top;z-index:251658240;mso-width-relative:page;mso-height-relative:page;" filled="f" stroked="f" coordsize="21600,21600" o:gfxdata="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TgCzxNYAAAAEAQAADwAAAAAAAAABACAAAAAiAAAAZHJz&#10;L2Rvd25yZXYueG1sUEsBAhQAFAAAAAgAh07iQFnEPfyUAQAAFwMAAA4AAAAAAAAAAQAgAAAAJQEA&#10;AGRycy9lMm9Eb2MueG1sUEsFBgAAAAAGAAYAWQEAACs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napToGrid w:val="0"/>
                      <w:rPr>
                        <w:rFonts w:hint="eastAsia" w:ascii="宋体" w:hAnsi="宋体" w:cs="宋体"/>
                        <w:szCs w:val="21"/>
                      </w:rPr>
                    </w:pP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第 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Cs w:val="21"/>
                      </w:rPr>
                      <w:t>35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 xml:space="preserve"> 页 共3</w:t>
                    </w:r>
                    <w:r>
                      <w:rPr>
                        <w:rFonts w:hint="eastAsia" w:ascii="宋体" w:hAnsi="宋体" w:cs="宋体"/>
                        <w:szCs w:val="21"/>
                        <w:lang w:val="en-US" w:eastAsia="zh-CN"/>
                      </w:rPr>
                      <w:t>4</w:t>
                    </w:r>
                    <w:r>
                      <w:rPr>
                        <w:rFonts w:hint="eastAsia" w:ascii="宋体" w:hAnsi="宋体" w:cs="宋体"/>
                        <w:szCs w:val="21"/>
                      </w:rPr>
                      <w:t>页</w:t>
                    </w:r>
                  </w:p>
                </w:txbxContent>
              </v:textbox>
            </v:rect>
          </w:pict>
        </mc:Fallback>
      </mc:AlternateContent>
    </w:r>
    <w:r>
      <w:drawing>
        <wp:inline distT="0" distB="0" distL="114300" distR="114300">
          <wp:extent cx="1524635" cy="532130"/>
          <wp:effectExtent l="0" t="0" r="18415" b="1270"/>
          <wp:docPr id="2" name="图片 1" descr="和信源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1" descr="和信源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63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 w:tentative="0">
      <w:start w:val="1"/>
      <w:numFmt w:val="decimal"/>
      <w:pStyle w:val="31"/>
      <w:lvlText w:val="%1）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77EE3B3D"/>
    <w:multiLevelType w:val="multilevel"/>
    <w:tmpl w:val="77EE3B3D"/>
    <w:lvl w:ilvl="0" w:tentative="0">
      <w:start w:val="1"/>
      <w:numFmt w:val="decimal"/>
      <w:pStyle w:val="3"/>
      <w:lvlText w:val="%1."/>
      <w:lvlJc w:val="left"/>
      <w:pPr>
        <w:tabs>
          <w:tab w:val="left" w:pos="709"/>
        </w:tabs>
        <w:ind w:left="709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tabs>
          <w:tab w:val="left" w:pos="567"/>
        </w:tabs>
        <w:ind w:left="567" w:hanging="567"/>
      </w:pPr>
      <w:rPr>
        <w:rFonts w:hint="default"/>
        <w:b/>
        <w:lang w:val="en-US"/>
      </w:rPr>
    </w:lvl>
    <w:lvl w:ilvl="2" w:tentative="0">
      <w:start w:val="1"/>
      <w:numFmt w:val="decimal"/>
      <w:lvlText w:val="%1.%2.%3."/>
      <w:lvlJc w:val="left"/>
      <w:pPr>
        <w:tabs>
          <w:tab w:val="left" w:pos="709"/>
        </w:tabs>
        <w:ind w:left="709" w:hanging="709"/>
      </w:pPr>
      <w:rPr>
        <w:rFonts w:hint="eastAsia"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lang w:val="en-US"/>
      </w:rPr>
    </w:lvl>
    <w:lvl w:ilvl="3" w:tentative="0">
      <w:start w:val="1"/>
      <w:numFmt w:val="decimal"/>
      <w:pStyle w:val="5"/>
      <w:lvlText w:val="%1.%2.%3.%4."/>
      <w:lvlJc w:val="left"/>
      <w:pPr>
        <w:tabs>
          <w:tab w:val="left" w:pos="1844"/>
        </w:tabs>
        <w:ind w:left="1844" w:hanging="851"/>
      </w:pPr>
      <w:rPr>
        <w:rFonts w:hint="default"/>
        <w:lang w:val="en-US"/>
      </w:rPr>
    </w:lvl>
    <w:lvl w:ilvl="4" w:tentative="0">
      <w:start w:val="1"/>
      <w:numFmt w:val="decimal"/>
      <w:lvlText w:val="%1.%2.%3.%4.%5."/>
      <w:lvlJc w:val="left"/>
      <w:pPr>
        <w:tabs>
          <w:tab w:val="left" w:pos="992"/>
        </w:tabs>
        <w:ind w:left="992" w:hanging="992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tabs>
          <w:tab w:val="left" w:pos="1134"/>
        </w:tabs>
        <w:ind w:left="1134" w:hanging="1134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tabs>
          <w:tab w:val="left" w:pos="1276"/>
        </w:tabs>
        <w:ind w:left="1276" w:hanging="1276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tabs>
          <w:tab w:val="left" w:pos="1418"/>
        </w:tabs>
        <w:ind w:left="14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tabs>
          <w:tab w:val="left" w:pos="1559"/>
        </w:tabs>
        <w:ind w:left="1559" w:hanging="155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9C3E7F"/>
    <w:rsid w:val="07B53275"/>
    <w:rsid w:val="0D6E58F2"/>
    <w:rsid w:val="0DB67A58"/>
    <w:rsid w:val="13046498"/>
    <w:rsid w:val="13A72D06"/>
    <w:rsid w:val="16CB213F"/>
    <w:rsid w:val="196E6D15"/>
    <w:rsid w:val="19F05C7C"/>
    <w:rsid w:val="21242022"/>
    <w:rsid w:val="25FC16A5"/>
    <w:rsid w:val="26F26FCC"/>
    <w:rsid w:val="324D44D4"/>
    <w:rsid w:val="361B2518"/>
    <w:rsid w:val="382A28EE"/>
    <w:rsid w:val="390D176B"/>
    <w:rsid w:val="391C1126"/>
    <w:rsid w:val="422678D0"/>
    <w:rsid w:val="50240D13"/>
    <w:rsid w:val="55EF1E0E"/>
    <w:rsid w:val="578F7BC8"/>
    <w:rsid w:val="5AC14DFF"/>
    <w:rsid w:val="5CA53E18"/>
    <w:rsid w:val="60144222"/>
    <w:rsid w:val="64657718"/>
    <w:rsid w:val="6FCB7C0D"/>
    <w:rsid w:val="71BD53E5"/>
    <w:rsid w:val="740322A3"/>
    <w:rsid w:val="7B92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qFormat="1" w:uiPriority="39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4"/>
    <w:next w:val="4"/>
    <w:qFormat/>
    <w:uiPriority w:val="0"/>
    <w:pPr>
      <w:keepNext/>
      <w:keepLines/>
      <w:numPr>
        <w:ilvl w:val="0"/>
        <w:numId w:val="1"/>
      </w:numPr>
      <w:tabs>
        <w:tab w:val="left" w:pos="142"/>
        <w:tab w:val="left" w:pos="5670"/>
      </w:tabs>
      <w:spacing w:before="0" w:after="0"/>
      <w:outlineLvl w:val="0"/>
    </w:pPr>
    <w:rPr>
      <w:rFonts w:ascii="仿宋" w:hAnsi="仿宋" w:cs="Times New Roman"/>
      <w:bCs w:val="0"/>
      <w:iCs/>
      <w:smallCaps/>
      <w:kern w:val="44"/>
      <w:sz w:val="32"/>
      <w:szCs w:val="28"/>
      <w:lang w:val="zh-CN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styleId="5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kinsoku w:val="0"/>
      <w:spacing w:line="360" w:lineRule="auto"/>
      <w:ind w:leftChars="0"/>
      <w:jc w:val="left"/>
      <w:outlineLvl w:val="3"/>
    </w:pPr>
    <w:rPr>
      <w:rFonts w:ascii="黑体" w:hAnsi="黑体" w:eastAsia="仿宋" w:cs="Times New Roman"/>
      <w:bCs/>
      <w:sz w:val="28"/>
      <w:szCs w:val="28"/>
      <w:lang w:val="zh-CN" w:eastAsia="zh-CN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oc 1"/>
    <w:basedOn w:val="1"/>
    <w:next w:val="1"/>
    <w:qFormat/>
    <w:uiPriority w:val="39"/>
    <w:pPr>
      <w:spacing w:before="120" w:after="120" w:line="360" w:lineRule="auto"/>
      <w:ind w:firstLine="420"/>
      <w:jc w:val="left"/>
    </w:pPr>
    <w:rPr>
      <w:rFonts w:ascii="Calibri" w:hAnsi="Calibri" w:eastAsia="仿宋" w:cs="Calibri"/>
      <w:b/>
      <w:bCs/>
      <w:caps/>
      <w:sz w:val="20"/>
      <w:szCs w:val="20"/>
    </w:rPr>
  </w:style>
  <w:style w:type="paragraph" w:styleId="6">
    <w:name w:val="Body Text"/>
    <w:basedOn w:val="1"/>
    <w:next w:val="1"/>
    <w:qFormat/>
    <w:uiPriority w:val="0"/>
    <w:pPr>
      <w:spacing w:after="120" w:afterLines="0"/>
    </w:pPr>
  </w:style>
  <w:style w:type="paragraph" w:styleId="7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8">
    <w:name w:val="Plain Text"/>
    <w:basedOn w:val="1"/>
    <w:qFormat/>
    <w:uiPriority w:val="0"/>
    <w:rPr>
      <w:rFonts w:ascii="宋体" w:hAnsi="Courier New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1">
    <w:name w:val="toc 4"/>
    <w:basedOn w:val="1"/>
    <w:next w:val="1"/>
    <w:unhideWhenUsed/>
    <w:qFormat/>
    <w:uiPriority w:val="39"/>
    <w:pPr>
      <w:ind w:left="1260" w:leftChars="600"/>
    </w:pPr>
  </w:style>
  <w:style w:type="paragraph" w:styleId="1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13">
    <w:name w:val="Body Text First Indent 2"/>
    <w:basedOn w:val="7"/>
    <w:qFormat/>
    <w:uiPriority w:val="0"/>
    <w:pPr>
      <w:widowControl w:val="0"/>
      <w:adjustRightInd/>
      <w:snapToGrid/>
      <w:ind w:firstLine="420" w:firstLineChars="200"/>
      <w:jc w:val="both"/>
    </w:pPr>
    <w:rPr>
      <w:rFonts w:ascii="宋体" w:hAnsi="宋体" w:eastAsia="宋体"/>
      <w:kern w:val="2"/>
      <w:sz w:val="21"/>
      <w:szCs w:val="24"/>
    </w:rPr>
  </w:style>
  <w:style w:type="table" w:styleId="15">
    <w:name w:val="Table Grid"/>
    <w:basedOn w:val="1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qFormat/>
    <w:uiPriority w:val="22"/>
    <w:rPr>
      <w:b/>
      <w:bCs/>
      <w:kern w:val="2"/>
      <w:szCs w:val="24"/>
    </w:rPr>
  </w:style>
  <w:style w:type="paragraph" w:customStyle="1" w:styleId="18">
    <w:name w:val="列出段落1"/>
    <w:basedOn w:val="1"/>
    <w:qFormat/>
    <w:uiPriority w:val="0"/>
    <w:pPr>
      <w:ind w:firstLine="420" w:firstLineChars="200"/>
      <w:contextualSpacing/>
    </w:pPr>
    <w:rPr>
      <w:rFonts w:eastAsia="仿宋"/>
      <w:szCs w:val="22"/>
    </w:rPr>
  </w:style>
  <w:style w:type="paragraph" w:customStyle="1" w:styleId="19">
    <w:name w:val="List Paragraph1"/>
    <w:basedOn w:val="1"/>
    <w:qFormat/>
    <w:uiPriority w:val="99"/>
    <w:pPr>
      <w:ind w:firstLine="420" w:firstLineChars="200"/>
    </w:pPr>
  </w:style>
  <w:style w:type="paragraph" w:styleId="20">
    <w:name w:val="List Paragraph"/>
    <w:basedOn w:val="1"/>
    <w:qFormat/>
    <w:uiPriority w:val="99"/>
    <w:pPr>
      <w:ind w:firstLine="420" w:firstLineChars="200"/>
    </w:pPr>
    <w:rPr>
      <w:rFonts w:ascii="Calibri" w:hAnsi="Calibri"/>
      <w:szCs w:val="22"/>
    </w:rPr>
  </w:style>
  <w:style w:type="paragraph" w:customStyle="1" w:styleId="21">
    <w:name w:val="my正文"/>
    <w:basedOn w:val="1"/>
    <w:qFormat/>
    <w:uiPriority w:val="0"/>
    <w:pPr>
      <w:spacing w:line="360" w:lineRule="auto"/>
      <w:ind w:firstLine="480" w:firstLineChars="200"/>
    </w:pPr>
    <w:rPr>
      <w:sz w:val="24"/>
    </w:rPr>
  </w:style>
  <w:style w:type="character" w:customStyle="1" w:styleId="22">
    <w:name w:val="font0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3">
    <w:name w:val="font3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4">
    <w:name w:val="font11"/>
    <w:basedOn w:val="16"/>
    <w:qFormat/>
    <w:uiPriority w:val="0"/>
    <w:rPr>
      <w:rFonts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25">
    <w:name w:val="font21"/>
    <w:basedOn w:val="1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paragraph" w:customStyle="1" w:styleId="26">
    <w:name w:val="newstyle16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27">
    <w:name w:val="标题 1 字符"/>
    <w:qFormat/>
    <w:uiPriority w:val="0"/>
    <w:rPr>
      <w:rFonts w:ascii="宋体" w:hAnsi="宋体" w:eastAsia="黑体"/>
      <w:b/>
      <w:bCs/>
      <w:iCs/>
      <w:kern w:val="44"/>
      <w:sz w:val="36"/>
    </w:rPr>
  </w:style>
  <w:style w:type="paragraph" w:customStyle="1" w:styleId="28">
    <w:name w:val="GW-正文"/>
    <w:basedOn w:val="1"/>
    <w:qFormat/>
    <w:uiPriority w:val="0"/>
    <w:pPr>
      <w:spacing w:line="360" w:lineRule="auto"/>
      <w:ind w:firstLine="200" w:firstLineChars="200"/>
      <w:contextualSpacing/>
    </w:pPr>
    <w:rPr>
      <w:rFonts w:ascii="Times New Roman" w:hAnsi="Times New Roman" w:eastAsia="仿宋" w:cs="Times New Roman"/>
      <w:sz w:val="28"/>
      <w:szCs w:val="24"/>
      <w:lang w:val="zh-CN" w:eastAsia="zh-CN"/>
    </w:rPr>
  </w:style>
  <w:style w:type="paragraph" w:customStyle="1" w:styleId="29">
    <w:name w:val="*正文"/>
    <w:basedOn w:val="1"/>
    <w:qFormat/>
    <w:uiPriority w:val="0"/>
    <w:pPr>
      <w:spacing w:line="360" w:lineRule="auto"/>
      <w:ind w:firstLine="560" w:firstLineChars="200"/>
      <w:jc w:val="left"/>
    </w:pPr>
    <w:rPr>
      <w:rFonts w:ascii="仿宋_GB2312" w:hAnsi="宋体" w:eastAsia="仿宋" w:cs="宋体"/>
      <w:color w:val="000000"/>
      <w:kern w:val="0"/>
      <w:sz w:val="28"/>
      <w:szCs w:val="28"/>
    </w:rPr>
  </w:style>
  <w:style w:type="paragraph" w:customStyle="1" w:styleId="30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31">
    <w:name w:val="注："/>
    <w:next w:val="32"/>
    <w:qFormat/>
    <w:uiPriority w:val="0"/>
    <w:pPr>
      <w:widowControl w:val="0"/>
      <w:numPr>
        <w:ilvl w:val="0"/>
        <w:numId w:val="2"/>
      </w:numPr>
      <w:autoSpaceDE w:val="0"/>
      <w:autoSpaceDN w:val="0"/>
      <w:jc w:val="both"/>
    </w:pPr>
    <w:rPr>
      <w:rFonts w:ascii="宋体" w:hAnsi="Times New Roman" w:eastAsia="宋体" w:cs="Times New Roman"/>
      <w:sz w:val="18"/>
      <w:szCs w:val="18"/>
      <w:lang w:val="en-US" w:eastAsia="zh-CN" w:bidi="ar-SA"/>
    </w:rPr>
  </w:style>
  <w:style w:type="paragraph" w:customStyle="1" w:styleId="32">
    <w:name w:val="段"/>
    <w:qFormat/>
    <w:uiPriority w:val="0"/>
    <w:pPr>
      <w:tabs>
        <w:tab w:val="center" w:pos="4201"/>
        <w:tab w:val="right" w:leader="dot" w:pos="9298"/>
      </w:tabs>
      <w:autoSpaceDE w:val="0"/>
      <w:autoSpaceDN w:val="0"/>
      <w:ind w:firstLine="420" w:firstLineChars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  <w:style w:type="paragraph" w:customStyle="1" w:styleId="33">
    <w:name w:val="正文首行缩进两字符"/>
    <w:basedOn w:val="1"/>
    <w:qFormat/>
    <w:uiPriority w:val="0"/>
    <w:pPr>
      <w:spacing w:line="360" w:lineRule="auto"/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2020-07-15T07:06:00Z</dcterms:created>
  <dc:creator>Administrator</dc:creator>
  <cp:lastModifiedBy>Administrator</cp:lastModifiedBy>
  <dcterms:modified xsi:type="dcterms:W3CDTF">2020-07-16T02:07:23Z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