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Lines="0" w:after="0" w:afterLines="0" w:line="360" w:lineRule="auto"/>
        <w:rPr>
          <w:color w:val="auto"/>
          <w:sz w:val="36"/>
          <w:szCs w:val="36"/>
        </w:rPr>
      </w:pPr>
      <w:r>
        <w:rPr>
          <w:rFonts w:hint="eastAsia"/>
          <w:color w:val="auto"/>
          <w:sz w:val="36"/>
          <w:szCs w:val="36"/>
          <w:lang w:eastAsia="zh-CN"/>
        </w:rPr>
        <w:t>采购</w:t>
      </w:r>
      <w:r>
        <w:rPr>
          <w:rFonts w:hint="eastAsia"/>
          <w:color w:val="auto"/>
          <w:sz w:val="36"/>
          <w:szCs w:val="36"/>
        </w:rPr>
        <w:t>需求</w:t>
      </w:r>
    </w:p>
    <w:p>
      <w:pPr>
        <w:spacing w:line="640" w:lineRule="exact"/>
        <w:ind w:firstLine="420" w:firstLineChars="200"/>
        <w:rPr>
          <w:rFonts w:hint="eastAsia" w:eastAsia="宋体"/>
          <w:color w:val="auto"/>
          <w:sz w:val="21"/>
          <w:szCs w:val="21"/>
          <w:lang w:eastAsia="zh-CN"/>
        </w:rPr>
      </w:pPr>
      <w:r>
        <w:rPr>
          <w:rFonts w:hint="eastAsia" w:ascii="宋体" w:hAnsi="宋体"/>
          <w:b/>
          <w:color w:val="auto"/>
          <w:sz w:val="21"/>
          <w:szCs w:val="21"/>
        </w:rPr>
        <w:t>一、</w:t>
      </w:r>
      <w:r>
        <w:rPr>
          <w:rFonts w:hint="eastAsia" w:ascii="宋体" w:hAnsi="宋体"/>
          <w:b/>
          <w:color w:val="auto"/>
          <w:sz w:val="21"/>
          <w:szCs w:val="21"/>
          <w:lang w:eastAsia="zh-CN"/>
        </w:rPr>
        <w:t>采购对象需实现的功能或者目标</w:t>
      </w:r>
    </w:p>
    <w:p>
      <w:pPr>
        <w:spacing w:line="360" w:lineRule="auto"/>
        <w:ind w:firstLine="420" w:firstLineChars="200"/>
        <w:jc w:val="left"/>
        <w:rPr>
          <w:rFonts w:hint="eastAsia"/>
          <w:color w:val="auto"/>
          <w:sz w:val="21"/>
          <w:szCs w:val="21"/>
        </w:rPr>
      </w:pPr>
      <w:r>
        <w:rPr>
          <w:rFonts w:hint="eastAsia"/>
          <w:color w:val="auto"/>
          <w:sz w:val="21"/>
          <w:szCs w:val="21"/>
          <w:lang w:eastAsia="zh-CN"/>
        </w:rPr>
        <w:t>本项目的采购应当有助于，实现国家的经济和社会发展政策目标，支持本国产品采购，</w:t>
      </w:r>
      <w:r>
        <w:rPr>
          <w:rFonts w:hint="eastAsia"/>
          <w:color w:val="auto"/>
          <w:sz w:val="21"/>
          <w:szCs w:val="21"/>
        </w:rPr>
        <w:t>促进中小企业发展</w:t>
      </w:r>
      <w:r>
        <w:rPr>
          <w:rFonts w:hint="eastAsia"/>
          <w:color w:val="auto"/>
          <w:sz w:val="21"/>
          <w:szCs w:val="21"/>
          <w:lang w:eastAsia="zh-CN"/>
        </w:rPr>
        <w:t>，优先采购节能环保产品，扶持监狱企业和残疾人福利性单位等。本项目的</w:t>
      </w:r>
      <w:r>
        <w:rPr>
          <w:rFonts w:hint="eastAsia"/>
          <w:color w:val="auto"/>
          <w:sz w:val="21"/>
          <w:szCs w:val="21"/>
        </w:rPr>
        <w:t>采购需求要符合国家法律法规规定，执行国家相关标准、行业标准、地方标准等规范。</w:t>
      </w:r>
    </w:p>
    <w:p>
      <w:pPr>
        <w:spacing w:line="640" w:lineRule="exact"/>
        <w:ind w:firstLine="420" w:firstLineChars="200"/>
        <w:rPr>
          <w:rFonts w:hint="eastAsia" w:ascii="宋体" w:hAnsi="宋体"/>
          <w:b/>
          <w:color w:val="auto"/>
          <w:sz w:val="21"/>
          <w:szCs w:val="21"/>
          <w:lang w:eastAsia="zh-CN"/>
        </w:rPr>
      </w:pPr>
      <w:r>
        <w:rPr>
          <w:rFonts w:hint="eastAsia" w:ascii="宋体" w:hAnsi="宋体"/>
          <w:b/>
          <w:color w:val="auto"/>
          <w:sz w:val="21"/>
          <w:szCs w:val="21"/>
        </w:rPr>
        <w:t>二</w:t>
      </w:r>
      <w:r>
        <w:rPr>
          <w:rFonts w:ascii="宋体" w:hAnsi="宋体"/>
          <w:b/>
          <w:color w:val="auto"/>
          <w:sz w:val="21"/>
          <w:szCs w:val="21"/>
        </w:rPr>
        <w:t>、</w:t>
      </w:r>
      <w:r>
        <w:rPr>
          <w:rFonts w:hint="eastAsia" w:ascii="宋体" w:hAnsi="宋体"/>
          <w:b/>
          <w:color w:val="auto"/>
          <w:sz w:val="21"/>
          <w:szCs w:val="21"/>
          <w:lang w:eastAsia="zh-CN"/>
        </w:rPr>
        <w:t>满足项目需要的技术、服务、安全等要求</w:t>
      </w:r>
    </w:p>
    <w:tbl>
      <w:tblPr>
        <w:tblStyle w:val="4"/>
        <w:tblW w:w="8527" w:type="dxa"/>
        <w:tblInd w:w="0" w:type="dxa"/>
        <w:shd w:val="clear" w:color="auto" w:fill="auto"/>
        <w:tblLayout w:type="autofit"/>
        <w:tblCellMar>
          <w:top w:w="0" w:type="dxa"/>
          <w:left w:w="0" w:type="dxa"/>
          <w:bottom w:w="0" w:type="dxa"/>
          <w:right w:w="0" w:type="dxa"/>
        </w:tblCellMar>
      </w:tblPr>
      <w:tblGrid>
        <w:gridCol w:w="690"/>
        <w:gridCol w:w="1740"/>
        <w:gridCol w:w="4267"/>
        <w:gridCol w:w="882"/>
        <w:gridCol w:w="948"/>
      </w:tblGrid>
      <w:tr>
        <w:tblPrEx>
          <w:shd w:val="clear" w:color="auto" w:fill="auto"/>
          <w:tblCellMar>
            <w:top w:w="0" w:type="dxa"/>
            <w:left w:w="0" w:type="dxa"/>
            <w:bottom w:w="0" w:type="dxa"/>
            <w:right w:w="0" w:type="dxa"/>
          </w:tblCellMar>
        </w:tblPrEx>
        <w:trPr>
          <w:trHeight w:val="5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bookmarkStart w:id="0" w:name="_Toc282026962"/>
            <w:r>
              <w:rPr>
                <w:rFonts w:hint="eastAsia" w:ascii="宋体" w:hAnsi="宋体" w:eastAsia="宋体" w:cs="宋体"/>
                <w:b/>
                <w:i w:val="0"/>
                <w:color w:val="auto"/>
                <w:kern w:val="0"/>
                <w:sz w:val="22"/>
                <w:szCs w:val="22"/>
                <w:u w:val="none"/>
                <w:lang w:val="en-US" w:eastAsia="zh-CN" w:bidi="ar"/>
              </w:rPr>
              <w:t>序号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采购品目名称</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参考规格型号和配置技术参数</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单位</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数量</w:t>
            </w:r>
          </w:p>
        </w:tc>
      </w:tr>
      <w:tr>
        <w:tblPrEx>
          <w:tblCellMar>
            <w:top w:w="0" w:type="dxa"/>
            <w:left w:w="0" w:type="dxa"/>
            <w:bottom w:w="0" w:type="dxa"/>
            <w:right w:w="0" w:type="dxa"/>
          </w:tblCellMar>
        </w:tblPrEx>
        <w:trPr>
          <w:trHeight w:val="11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网络传输链路及运输服务</w:t>
            </w:r>
          </w:p>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（一年）</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定制技术服务；2018年已建成的每所学校20M宽带专线接入服务及日常运维服务，平台管理一点</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条</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47 </w:t>
            </w:r>
          </w:p>
        </w:tc>
      </w:tr>
      <w:tr>
        <w:tblPrEx>
          <w:tblCellMar>
            <w:top w:w="0" w:type="dxa"/>
            <w:left w:w="0" w:type="dxa"/>
            <w:bottom w:w="0" w:type="dxa"/>
            <w:right w:w="0" w:type="dxa"/>
          </w:tblCellMar>
        </w:tblPrEx>
        <w:trPr>
          <w:trHeight w:val="10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网络传输链路及运输服务</w:t>
            </w:r>
          </w:p>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（一年）</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定制技术服务；本次拟建设的每所学校20M宽带专线接入服务及日常运维服务，平台管理一点</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条</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20 </w:t>
            </w:r>
          </w:p>
        </w:tc>
      </w:tr>
      <w:tr>
        <w:tblPrEx>
          <w:tblCellMar>
            <w:top w:w="0" w:type="dxa"/>
            <w:left w:w="0" w:type="dxa"/>
            <w:bottom w:w="0" w:type="dxa"/>
            <w:right w:w="0" w:type="dxa"/>
          </w:tblCellMar>
        </w:tblPrEx>
        <w:trPr>
          <w:trHeight w:val="31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3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紧急报警柱</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一键式紧急报警柱一体机</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（备注：可在配置流程更换标配球机，标配球机参数200万7寸红外，支持采用H.265、H.264视频编码标准)；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一键报警，200w像素视频采集，支持红外补光，支持语音对讲、广播；支持公网传输ehome； 支持双网口,内置8口交换机； IP65</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尺寸(mm)：400（W）*400（D）*4500（H）</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p>
        </w:tc>
      </w:tr>
      <w:tr>
        <w:tblPrEx>
          <w:tblCellMar>
            <w:top w:w="0" w:type="dxa"/>
            <w:left w:w="0" w:type="dxa"/>
            <w:bottom w:w="0" w:type="dxa"/>
            <w:right w:w="0" w:type="dxa"/>
          </w:tblCellMar>
        </w:tblPrEx>
        <w:trPr>
          <w:trHeight w:val="6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4 </w:t>
            </w:r>
          </w:p>
        </w:tc>
        <w:tc>
          <w:tcPr>
            <w:tcW w:w="174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可视对讲系统</w:t>
            </w:r>
          </w:p>
        </w:tc>
        <w:tc>
          <w:tcPr>
            <w:tcW w:w="426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可视对讲系统平台通道扩展</w:t>
            </w:r>
          </w:p>
        </w:tc>
        <w:tc>
          <w:tcPr>
            <w:tcW w:w="882"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路</w:t>
            </w:r>
          </w:p>
        </w:tc>
        <w:tc>
          <w:tcPr>
            <w:tcW w:w="94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p>
        </w:tc>
      </w:tr>
      <w:tr>
        <w:tblPrEx>
          <w:tblCellMar>
            <w:top w:w="0" w:type="dxa"/>
            <w:left w:w="0" w:type="dxa"/>
            <w:bottom w:w="0" w:type="dxa"/>
            <w:right w:w="0" w:type="dxa"/>
          </w:tblCellMar>
        </w:tblPrEx>
        <w:trPr>
          <w:trHeight w:val="6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5 </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基础管理平台</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基础管理平台通道扩展</w:t>
            </w:r>
          </w:p>
        </w:tc>
        <w:tc>
          <w:tcPr>
            <w:tcW w:w="882"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路</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p>
        </w:tc>
      </w:tr>
      <w:tr>
        <w:tblPrEx>
          <w:tblCellMar>
            <w:top w:w="0" w:type="dxa"/>
            <w:left w:w="0" w:type="dxa"/>
            <w:bottom w:w="0" w:type="dxa"/>
            <w:right w:w="0" w:type="dxa"/>
          </w:tblCellMar>
        </w:tblPrEx>
        <w:trPr>
          <w:trHeight w:val="76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6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西部数据企业级硬盘</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3.5英寸 6000G 7200 128M SATA3 6Gb/S</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个</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r>
      <w:tr>
        <w:tblPrEx>
          <w:tblCellMar>
            <w:top w:w="0" w:type="dxa"/>
            <w:left w:w="0" w:type="dxa"/>
            <w:bottom w:w="0" w:type="dxa"/>
            <w:right w:w="0" w:type="dxa"/>
          </w:tblCellMar>
        </w:tblPrEx>
        <w:trPr>
          <w:trHeight w:val="4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7 </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电源线</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安防专用线，无氧纯</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米</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1200</w:t>
            </w:r>
          </w:p>
        </w:tc>
      </w:tr>
      <w:tr>
        <w:tblPrEx>
          <w:tblCellMar>
            <w:top w:w="0" w:type="dxa"/>
            <w:left w:w="0" w:type="dxa"/>
            <w:bottom w:w="0" w:type="dxa"/>
            <w:right w:w="0" w:type="dxa"/>
          </w:tblCellMar>
        </w:tblPrEx>
        <w:trPr>
          <w:trHeight w:val="4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8 </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网络信号线</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安防专用线，无氧纯</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米</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1200</w:t>
            </w:r>
          </w:p>
        </w:tc>
      </w:tr>
      <w:tr>
        <w:tblPrEx>
          <w:tblCellMar>
            <w:top w:w="0" w:type="dxa"/>
            <w:left w:w="0" w:type="dxa"/>
            <w:bottom w:w="0" w:type="dxa"/>
            <w:right w:w="0" w:type="dxa"/>
          </w:tblCellMar>
        </w:tblPrEx>
        <w:trPr>
          <w:trHeight w:val="4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9 </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设备箱</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监控视频专用</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个</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p>
        </w:tc>
      </w:tr>
      <w:tr>
        <w:tblPrEx>
          <w:tblCellMar>
            <w:top w:w="0" w:type="dxa"/>
            <w:left w:w="0" w:type="dxa"/>
            <w:bottom w:w="0" w:type="dxa"/>
            <w:right w:w="0" w:type="dxa"/>
          </w:tblCellMar>
        </w:tblPrEx>
        <w:trPr>
          <w:trHeight w:val="4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10 </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PVC线管</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PVC25线管</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米</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600</w:t>
            </w:r>
          </w:p>
        </w:tc>
      </w:tr>
      <w:tr>
        <w:tblPrEx>
          <w:tblCellMar>
            <w:top w:w="0" w:type="dxa"/>
            <w:left w:w="0" w:type="dxa"/>
            <w:bottom w:w="0" w:type="dxa"/>
            <w:right w:w="0" w:type="dxa"/>
          </w:tblCellMar>
        </w:tblPrEx>
        <w:trPr>
          <w:trHeight w:val="4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11 </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PVC线管直通</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PVC25直通头</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个</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140</w:t>
            </w:r>
          </w:p>
        </w:tc>
      </w:tr>
      <w:tr>
        <w:tblPrEx>
          <w:tblCellMar>
            <w:top w:w="0" w:type="dxa"/>
            <w:left w:w="0" w:type="dxa"/>
            <w:bottom w:w="0" w:type="dxa"/>
            <w:right w:w="0" w:type="dxa"/>
          </w:tblCellMar>
        </w:tblPrEx>
        <w:trPr>
          <w:trHeight w:val="4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12 </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PVC线管弯头</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PVC25线管弯头</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个</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300</w:t>
            </w:r>
          </w:p>
        </w:tc>
      </w:tr>
      <w:tr>
        <w:tblPrEx>
          <w:tblCellMar>
            <w:top w:w="0" w:type="dxa"/>
            <w:left w:w="0" w:type="dxa"/>
            <w:bottom w:w="0" w:type="dxa"/>
            <w:right w:w="0" w:type="dxa"/>
          </w:tblCellMar>
        </w:tblPrEx>
        <w:trPr>
          <w:trHeight w:val="4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13 </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PVC线管管卡</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PVC25线管管卡</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个</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400</w:t>
            </w:r>
          </w:p>
        </w:tc>
      </w:tr>
      <w:tr>
        <w:tblPrEx>
          <w:tblCellMar>
            <w:top w:w="0" w:type="dxa"/>
            <w:left w:w="0" w:type="dxa"/>
            <w:bottom w:w="0" w:type="dxa"/>
            <w:right w:w="0" w:type="dxa"/>
          </w:tblCellMar>
        </w:tblPrEx>
        <w:trPr>
          <w:trHeight w:val="4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14 </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报警柱地笼</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kern w:val="0"/>
                <w:sz w:val="22"/>
                <w:szCs w:val="22"/>
                <w:u w:val="none"/>
                <w:lang w:val="en-US" w:eastAsia="zh-CN" w:bidi="ar"/>
              </w:rPr>
              <w:t>0.38m*0.38m*0.75m</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个</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p>
        </w:tc>
      </w:tr>
      <w:tr>
        <w:tblPrEx>
          <w:tblCellMar>
            <w:top w:w="0" w:type="dxa"/>
            <w:left w:w="0" w:type="dxa"/>
            <w:bottom w:w="0" w:type="dxa"/>
            <w:right w:w="0" w:type="dxa"/>
          </w:tblCellMar>
        </w:tblPrEx>
        <w:trPr>
          <w:trHeight w:val="4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15 </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挖方</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挖土0.5m*0.5m*1.0m与复原</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个</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p>
        </w:tc>
      </w:tr>
      <w:tr>
        <w:tblPrEx>
          <w:tblCellMar>
            <w:top w:w="0" w:type="dxa"/>
            <w:left w:w="0" w:type="dxa"/>
            <w:bottom w:w="0" w:type="dxa"/>
            <w:right w:w="0" w:type="dxa"/>
          </w:tblCellMar>
        </w:tblPrEx>
        <w:trPr>
          <w:trHeight w:val="4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16 </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路面挖沟</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挖沟、割路面与复原</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米</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510</w:t>
            </w:r>
          </w:p>
        </w:tc>
      </w:tr>
      <w:tr>
        <w:tblPrEx>
          <w:tblCellMar>
            <w:top w:w="0" w:type="dxa"/>
            <w:left w:w="0" w:type="dxa"/>
            <w:bottom w:w="0" w:type="dxa"/>
            <w:right w:w="0" w:type="dxa"/>
          </w:tblCellMar>
        </w:tblPrEx>
        <w:trPr>
          <w:trHeight w:val="4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系统集成</w:t>
            </w:r>
          </w:p>
        </w:tc>
        <w:tc>
          <w:tcPr>
            <w:tcW w:w="4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设备安装与平台互联调试</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点</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20 </w:t>
            </w:r>
          </w:p>
        </w:tc>
      </w:tr>
    </w:tbl>
    <w:p>
      <w:pPr>
        <w:spacing w:line="360" w:lineRule="auto"/>
        <w:ind w:firstLine="420" w:firstLineChars="200"/>
        <w:jc w:val="both"/>
        <w:rPr>
          <w:rFonts w:hint="eastAsia" w:ascii="Times New Roman" w:hAnsi="Times New Roman" w:eastAsia="宋体" w:cs="Times New Roman"/>
          <w:i w:val="0"/>
          <w:color w:val="auto"/>
          <w:kern w:val="2"/>
          <w:sz w:val="21"/>
          <w:szCs w:val="21"/>
          <w:lang w:val="en-US" w:eastAsia="zh-CN" w:bidi="ar-SA"/>
        </w:rPr>
      </w:pPr>
      <w:r>
        <w:rPr>
          <w:rFonts w:hint="eastAsia" w:ascii="Times New Roman" w:hAnsi="Times New Roman" w:eastAsia="宋体" w:cs="Times New Roman"/>
          <w:i w:val="0"/>
          <w:color w:val="auto"/>
          <w:kern w:val="2"/>
          <w:sz w:val="21"/>
          <w:szCs w:val="21"/>
          <w:lang w:val="en-US" w:eastAsia="zh-CN" w:bidi="ar-SA"/>
        </w:rPr>
        <w:t>特别说明：</w:t>
      </w:r>
    </w:p>
    <w:p>
      <w:pPr>
        <w:spacing w:line="360" w:lineRule="auto"/>
        <w:ind w:firstLine="420" w:firstLineChars="200"/>
        <w:jc w:val="both"/>
        <w:rPr>
          <w:rFonts w:hint="eastAsia" w:ascii="Times New Roman" w:hAnsi="Times New Roman" w:eastAsia="宋体" w:cs="Times New Roman"/>
          <w:i w:val="0"/>
          <w:color w:val="auto"/>
          <w:kern w:val="2"/>
          <w:sz w:val="21"/>
          <w:szCs w:val="21"/>
          <w:lang w:val="en-US" w:eastAsia="zh-CN" w:bidi="ar-SA"/>
        </w:rPr>
      </w:pPr>
      <w:r>
        <w:rPr>
          <w:rFonts w:hint="eastAsia" w:ascii="Times New Roman" w:hAnsi="Times New Roman" w:eastAsia="宋体" w:cs="Times New Roman"/>
          <w:i w:val="0"/>
          <w:color w:val="auto"/>
          <w:kern w:val="2"/>
          <w:sz w:val="21"/>
          <w:szCs w:val="21"/>
          <w:lang w:val="en-US" w:eastAsia="zh-CN" w:bidi="ar-SA"/>
        </w:rPr>
        <w:t>1、以上采购清单中所列明的规格或技术要求，涉及的供应商或产品并非特定供应商或是特定产品，而是参照或相当于这些供应商或产品的技术标准和要求。</w:t>
      </w:r>
    </w:p>
    <w:p>
      <w:pPr>
        <w:spacing w:line="360" w:lineRule="auto"/>
        <w:ind w:firstLine="420" w:firstLineChars="200"/>
        <w:jc w:val="both"/>
        <w:rPr>
          <w:rFonts w:ascii="宋体" w:hAnsi="宋体"/>
          <w:color w:val="auto"/>
          <w:sz w:val="21"/>
          <w:szCs w:val="21"/>
        </w:rPr>
      </w:pPr>
      <w:r>
        <w:rPr>
          <w:rFonts w:hint="eastAsia" w:ascii="Times New Roman" w:hAnsi="Times New Roman" w:eastAsia="宋体" w:cs="Times New Roman"/>
          <w:i w:val="0"/>
          <w:color w:val="auto"/>
          <w:kern w:val="2"/>
          <w:sz w:val="21"/>
          <w:szCs w:val="21"/>
          <w:lang w:val="en-US" w:eastAsia="zh-CN" w:bidi="ar-SA"/>
        </w:rPr>
        <w:t>2、以上采购清单中所列明的技术参数并非固定值，而是相当于或者优于该技术参数。</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color w:val="auto"/>
          <w:kern w:val="0"/>
          <w:sz w:val="21"/>
          <w:szCs w:val="21"/>
          <w:lang w:eastAsia="zh-CN"/>
        </w:rPr>
      </w:pPr>
      <w:r>
        <w:rPr>
          <w:rFonts w:hint="eastAsia" w:ascii="宋体" w:hAnsi="宋体" w:cs="宋体"/>
          <w:b/>
          <w:color w:val="auto"/>
          <w:kern w:val="0"/>
          <w:sz w:val="21"/>
          <w:szCs w:val="21"/>
          <w:lang w:eastAsia="zh-CN"/>
        </w:rPr>
        <w:t>三、采购对象实施的时间和地点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lang w:eastAsia="zh-CN"/>
        </w:rPr>
      </w:pPr>
      <w:r>
        <w:rPr>
          <w:rFonts w:hint="eastAsia" w:ascii="宋体" w:hAnsi="宋体" w:eastAsia="宋体" w:cs="宋体"/>
          <w:b w:val="0"/>
          <w:bCs/>
          <w:color w:val="auto"/>
          <w:kern w:val="0"/>
          <w:sz w:val="21"/>
          <w:szCs w:val="21"/>
          <w:lang w:eastAsia="zh-CN"/>
        </w:rPr>
        <w:t>交付时间：合同签订生效之日起60天内</w:t>
      </w:r>
    </w:p>
    <w:p>
      <w:pPr>
        <w:numPr>
          <w:ilvl w:val="0"/>
          <w:numId w:val="1"/>
        </w:numPr>
        <w:spacing w:line="360" w:lineRule="auto"/>
        <w:ind w:firstLine="420" w:firstLineChars="200"/>
        <w:rPr>
          <w:rFonts w:hint="eastAsia" w:ascii="宋体" w:hAnsi="宋体" w:eastAsia="宋体" w:cs="宋体"/>
          <w:b w:val="0"/>
          <w:bCs/>
          <w:color w:val="auto"/>
          <w:kern w:val="0"/>
          <w:sz w:val="21"/>
          <w:szCs w:val="21"/>
          <w:lang w:eastAsia="zh-CN"/>
        </w:rPr>
      </w:pPr>
      <w:r>
        <w:rPr>
          <w:rFonts w:hint="eastAsia" w:ascii="宋体" w:hAnsi="宋体" w:eastAsia="宋体" w:cs="宋体"/>
          <w:b w:val="0"/>
          <w:bCs/>
          <w:color w:val="auto"/>
          <w:kern w:val="0"/>
          <w:sz w:val="21"/>
          <w:szCs w:val="21"/>
          <w:lang w:eastAsia="zh-CN"/>
        </w:rPr>
        <w:t>付款方式：签订合同时双方另行约定</w:t>
      </w:r>
      <w:bookmarkStart w:id="1" w:name="_GoBack"/>
      <w:bookmarkEnd w:id="1"/>
    </w:p>
    <w:p>
      <w:pPr>
        <w:numPr>
          <w:ilvl w:val="0"/>
          <w:numId w:val="0"/>
        </w:numPr>
        <w:spacing w:line="360" w:lineRule="auto"/>
        <w:ind w:firstLine="420" w:firstLineChars="200"/>
        <w:rPr>
          <w:rFonts w:hint="eastAsia" w:ascii="宋体" w:hAnsi="宋体" w:eastAsia="宋体" w:cs="宋体"/>
          <w:b w:val="0"/>
          <w:bCs/>
          <w:color w:val="auto"/>
          <w:kern w:val="0"/>
          <w:sz w:val="21"/>
          <w:szCs w:val="21"/>
          <w:lang w:eastAsia="zh-CN"/>
        </w:rPr>
      </w:pPr>
      <w:r>
        <w:rPr>
          <w:rFonts w:hint="eastAsia" w:ascii="宋体" w:hAnsi="宋体" w:eastAsia="宋体" w:cs="宋体"/>
          <w:b w:val="0"/>
          <w:bCs/>
          <w:color w:val="auto"/>
          <w:kern w:val="0"/>
          <w:sz w:val="21"/>
          <w:szCs w:val="21"/>
          <w:lang w:eastAsia="zh-CN"/>
        </w:rPr>
        <w:t>（三）交付地点：采购人指定地点</w:t>
      </w:r>
    </w:p>
    <w:p>
      <w:pPr>
        <w:numPr>
          <w:ilvl w:val="0"/>
          <w:numId w:val="0"/>
        </w:numPr>
        <w:spacing w:line="360" w:lineRule="auto"/>
        <w:ind w:firstLine="420" w:firstLineChars="200"/>
        <w:rPr>
          <w:rFonts w:hint="eastAsia" w:ascii="宋体" w:hAnsi="宋体" w:cs="宋体"/>
          <w:b/>
          <w:color w:val="auto"/>
          <w:kern w:val="0"/>
          <w:sz w:val="21"/>
          <w:szCs w:val="21"/>
          <w:lang w:eastAsia="zh-CN"/>
        </w:rPr>
      </w:pPr>
      <w:r>
        <w:rPr>
          <w:rFonts w:hint="eastAsia" w:ascii="宋体" w:hAnsi="宋体" w:cs="宋体"/>
          <w:b/>
          <w:color w:val="auto"/>
          <w:kern w:val="0"/>
          <w:sz w:val="21"/>
          <w:szCs w:val="21"/>
          <w:lang w:eastAsia="zh-CN"/>
        </w:rPr>
        <w:t>四、采购对象的验收标准</w:t>
      </w:r>
    </w:p>
    <w:p>
      <w:pPr>
        <w:numPr>
          <w:ilvl w:val="0"/>
          <w:numId w:val="0"/>
        </w:numPr>
        <w:spacing w:line="360" w:lineRule="auto"/>
        <w:ind w:firstLine="420" w:firstLineChars="200"/>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本项目由采购人自行组织验收。</w:t>
      </w:r>
    </w:p>
    <w:p>
      <w:pPr>
        <w:numPr>
          <w:ilvl w:val="0"/>
          <w:numId w:val="0"/>
        </w:numPr>
        <w:spacing w:line="360" w:lineRule="auto"/>
        <w:ind w:firstLine="420" w:firstLineChars="200"/>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（一）完整细化编制验收方案。采购人根据项目特点编制验收方案，明确履约验收的时间、方式、程序等内容。</w:t>
      </w:r>
    </w:p>
    <w:p>
      <w:pPr>
        <w:numPr>
          <w:ilvl w:val="0"/>
          <w:numId w:val="0"/>
        </w:numPr>
        <w:spacing w:line="360" w:lineRule="auto"/>
        <w:ind w:firstLine="420" w:firstLineChars="200"/>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（二）本项目可以邀请参加本项目的其他供应商或第三方专业机构及专家参与验收，相关验收意见作为验收书的参考材料。</w:t>
      </w:r>
    </w:p>
    <w:p>
      <w:pPr>
        <w:numPr>
          <w:ilvl w:val="0"/>
          <w:numId w:val="0"/>
        </w:numPr>
        <w:spacing w:line="360" w:lineRule="auto"/>
        <w:ind w:firstLine="420" w:firstLineChars="200"/>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三）严格按照采购合同展开履约验收。采购人成立验收小组，按照采购合同的约定对每一项技术、服务、安全标准的履约情况进行确认。验收结束后，出具验收书，列明各项标准的验收情况及项目总体评价，由验收双方共同签署。验收结果与采购合同约定的资金支付及履约保证金返还条件相挂钩，履约验收的各项资料应当由采购人存档备查。</w:t>
      </w:r>
    </w:p>
    <w:p>
      <w:pPr>
        <w:numPr>
          <w:ilvl w:val="0"/>
          <w:numId w:val="0"/>
        </w:numPr>
        <w:spacing w:line="360" w:lineRule="auto"/>
        <w:ind w:firstLine="420" w:firstLineChars="200"/>
        <w:rPr>
          <w:rFonts w:hint="default" w:ascii="宋体" w:hAnsi="宋体" w:eastAsia="宋体" w:cs="宋体"/>
          <w:b w:val="0"/>
          <w:bCs/>
          <w:color w:val="auto"/>
          <w:kern w:val="0"/>
          <w:sz w:val="21"/>
          <w:szCs w:val="21"/>
          <w:lang w:val="en-US" w:eastAsia="zh-CN"/>
        </w:rPr>
      </w:pPr>
      <w:r>
        <w:rPr>
          <w:rFonts w:hint="eastAsia" w:ascii="宋体" w:hAnsi="宋体" w:eastAsia="宋体" w:cs="宋体"/>
          <w:b w:val="0"/>
          <w:bCs/>
          <w:color w:val="auto"/>
          <w:kern w:val="0"/>
          <w:sz w:val="21"/>
          <w:szCs w:val="21"/>
          <w:lang w:val="en-US" w:eastAsia="zh-CN"/>
        </w:rPr>
        <w:t>（四）严格落实履约验收责任。验收合格的项目，采购人应当根据采购合同的约定及时向供应商支付采购资金，退还履约保证金，验收不合格的，采购人依法及时处理。采购合同的履行、违约责任和解决争议的方式等适用《中华人民共和国合同法》，供应商在履约过程中有政府采购法律法规规定的违法违规情形的，采购人及时报告本级政府财政部门。</w:t>
      </w:r>
    </w:p>
    <w:p>
      <w:pPr>
        <w:numPr>
          <w:ilvl w:val="0"/>
          <w:numId w:val="0"/>
        </w:numPr>
        <w:spacing w:line="360" w:lineRule="auto"/>
        <w:ind w:firstLine="420" w:firstLineChars="200"/>
        <w:rPr>
          <w:rFonts w:hint="eastAsia" w:ascii="宋体" w:hAnsi="宋体" w:eastAsia="宋体" w:cs="宋体"/>
          <w:b w:val="0"/>
          <w:bCs/>
          <w:color w:val="auto"/>
          <w:kern w:val="0"/>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83F044"/>
    <w:multiLevelType w:val="singleLevel"/>
    <w:tmpl w:val="FB83F04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D28CB"/>
    <w:rsid w:val="029D598D"/>
    <w:rsid w:val="1F392A88"/>
    <w:rsid w:val="21D70A09"/>
    <w:rsid w:val="2EFD28CB"/>
    <w:rsid w:val="35B4284D"/>
    <w:rsid w:val="50003377"/>
    <w:rsid w:val="618109CF"/>
    <w:rsid w:val="62A7054B"/>
    <w:rsid w:val="6778665D"/>
    <w:rsid w:val="69607BF7"/>
    <w:rsid w:val="696F4486"/>
    <w:rsid w:val="70B32E6E"/>
    <w:rsid w:val="716D3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itle"/>
    <w:basedOn w:val="1"/>
    <w:next w:val="1"/>
    <w:qFormat/>
    <w:uiPriority w:val="0"/>
    <w:pPr>
      <w:spacing w:before="240" w:beforeLines="0" w:after="60" w:afterLines="0"/>
      <w:jc w:val="center"/>
      <w:outlineLvl w:val="0"/>
    </w:pPr>
    <w:rPr>
      <w:rFonts w:ascii="Cambria" w:hAnsi="Cambria" w:eastAsia="宋体" w:cs="Times New Roman"/>
      <w:b/>
      <w:bCs/>
      <w:sz w:val="32"/>
      <w:szCs w:val="32"/>
    </w:rPr>
  </w:style>
  <w:style w:type="paragraph" w:customStyle="1" w:styleId="6">
    <w:name w:val="Table Paragraph"/>
    <w:basedOn w:val="1"/>
    <w:qFormat/>
    <w:uiPriority w:val="0"/>
    <w:rPr>
      <w:rFonts w:ascii="宋体" w:hAnsi="宋体" w:eastAsia="宋体" w:cs="宋体"/>
      <w:lang w:val="zh-CN" w:eastAsia="zh-CN" w:bidi="zh-CN"/>
    </w:rPr>
  </w:style>
  <w:style w:type="paragraph" w:customStyle="1" w:styleId="7">
    <w:name w:val="说明"/>
    <w:basedOn w:val="1"/>
    <w:next w:val="1"/>
    <w:qFormat/>
    <w:uiPriority w:val="0"/>
    <w:pPr>
      <w:tabs>
        <w:tab w:val="left" w:pos="945"/>
      </w:tabs>
      <w:spacing w:after="120"/>
      <w:ind w:left="450" w:leftChars="450"/>
    </w:pPr>
    <w:rPr>
      <w:rFonts w:ascii="Times New Roman" w:hAnsi="Times New Roman" w:eastAsia="宋体" w:cs="Times New Roman"/>
      <w:i/>
      <w:color w:val="000080"/>
    </w:rPr>
  </w:style>
  <w:style w:type="paragraph" w:styleId="8">
    <w:name w:val="List Paragraph"/>
    <w:basedOn w:val="1"/>
    <w:unhideWhenUsed/>
    <w:qFormat/>
    <w:uiPriority w:val="34"/>
    <w:pPr>
      <w:ind w:firstLine="420" w:firstLineChars="200"/>
    </w:pPr>
  </w:style>
  <w:style w:type="paragraph" w:customStyle="1" w:styleId="9">
    <w:name w:val="无间隔1"/>
    <w:qFormat/>
    <w:uiPriority w:val="1"/>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2020-02-25T01:21:00Z</dcterms:created>
  <dc:creator>Double.F</dc:creator>
  <cp:lastModifiedBy>Double.F</cp:lastModifiedBy>
  <dcterms:modified xsi:type="dcterms:W3CDTF">2020-03-27T09:06:49Z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