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45"/>
        </w:tabs>
        <w:spacing w:line="360" w:lineRule="auto"/>
        <w:jc w:val="both"/>
        <w:rPr>
          <w:rFonts w:ascii="宋体" w:hAnsi="宋体"/>
          <w:b/>
          <w:bCs/>
          <w:kern w:val="0"/>
          <w:sz w:val="72"/>
          <w:szCs w:val="72"/>
          <w:lang w:val="en-GB"/>
        </w:rPr>
      </w:pPr>
    </w:p>
    <w:p>
      <w:pPr>
        <w:pStyle w:val="6"/>
        <w:spacing w:line="360" w:lineRule="auto"/>
        <w:ind w:firstLine="0" w:firstLineChars="0"/>
        <w:jc w:val="center"/>
        <w:rPr>
          <w:rFonts w:hint="eastAsia" w:ascii="宋体" w:hAnsi="宋体"/>
          <w:b/>
          <w:bCs/>
          <w:kern w:val="0"/>
          <w:sz w:val="84"/>
          <w:szCs w:val="84"/>
          <w:lang w:val="en-GB" w:eastAsia="zh-CN"/>
        </w:rPr>
      </w:pPr>
      <w:r>
        <w:rPr>
          <w:rFonts w:hint="eastAsia" w:ascii="宋体" w:hAnsi="宋体"/>
          <w:b/>
          <w:bCs/>
          <w:kern w:val="0"/>
          <w:sz w:val="72"/>
          <w:szCs w:val="72"/>
          <w:lang w:val="en-US" w:eastAsia="zh-CN"/>
        </w:rPr>
        <w:t>万宁市移动式水冲公厕项目</w:t>
      </w:r>
    </w:p>
    <w:p>
      <w:pPr>
        <w:pStyle w:val="6"/>
        <w:spacing w:line="360" w:lineRule="auto"/>
        <w:ind w:firstLine="0" w:firstLineChars="0"/>
        <w:jc w:val="center"/>
        <w:rPr>
          <w:rFonts w:hint="eastAsia" w:ascii="宋体" w:hAnsi="宋体"/>
          <w:b/>
          <w:bCs/>
          <w:kern w:val="0"/>
          <w:sz w:val="84"/>
          <w:szCs w:val="84"/>
          <w:lang w:val="en-GB" w:eastAsia="zh-CN"/>
        </w:rPr>
      </w:pPr>
      <w:r>
        <w:rPr>
          <w:rFonts w:hint="eastAsia" w:ascii="宋体" w:hAnsi="宋体"/>
          <w:b/>
          <w:bCs/>
          <w:kern w:val="0"/>
          <w:sz w:val="84"/>
          <w:szCs w:val="84"/>
          <w:lang w:val="en-GB" w:eastAsia="zh-CN"/>
        </w:rPr>
        <w:t>招</w:t>
      </w:r>
    </w:p>
    <w:p>
      <w:pPr>
        <w:pStyle w:val="6"/>
        <w:spacing w:line="360" w:lineRule="auto"/>
        <w:ind w:firstLine="0" w:firstLineChars="0"/>
        <w:jc w:val="center"/>
        <w:rPr>
          <w:rFonts w:hint="eastAsia" w:ascii="宋体" w:hAnsi="宋体"/>
          <w:b/>
          <w:bCs/>
          <w:kern w:val="0"/>
          <w:sz w:val="84"/>
          <w:szCs w:val="84"/>
          <w:lang w:val="en-GB" w:eastAsia="zh-CN"/>
        </w:rPr>
      </w:pPr>
      <w:r>
        <w:rPr>
          <w:rFonts w:hint="eastAsia" w:ascii="宋体" w:hAnsi="宋体"/>
          <w:b/>
          <w:bCs/>
          <w:kern w:val="0"/>
          <w:sz w:val="84"/>
          <w:szCs w:val="84"/>
          <w:lang w:val="en-GB" w:eastAsia="zh-CN"/>
        </w:rPr>
        <w:t>标</w:t>
      </w:r>
    </w:p>
    <w:p>
      <w:pPr>
        <w:pStyle w:val="6"/>
        <w:spacing w:line="360" w:lineRule="auto"/>
        <w:ind w:firstLine="0" w:firstLineChars="0"/>
        <w:jc w:val="center"/>
        <w:rPr>
          <w:rFonts w:hint="eastAsia" w:ascii="宋体" w:hAnsi="宋体"/>
          <w:b/>
          <w:bCs/>
          <w:kern w:val="0"/>
          <w:sz w:val="84"/>
          <w:szCs w:val="84"/>
          <w:lang w:val="en-GB" w:eastAsia="zh-CN"/>
        </w:rPr>
      </w:pPr>
      <w:r>
        <w:rPr>
          <w:rFonts w:hint="eastAsia" w:ascii="宋体" w:hAnsi="宋体"/>
          <w:b/>
          <w:bCs/>
          <w:kern w:val="0"/>
          <w:sz w:val="84"/>
          <w:szCs w:val="84"/>
          <w:lang w:val="en-GB" w:eastAsia="zh-CN"/>
        </w:rPr>
        <w:t>文</w:t>
      </w:r>
    </w:p>
    <w:p>
      <w:pPr>
        <w:pStyle w:val="6"/>
        <w:spacing w:line="360" w:lineRule="auto"/>
        <w:ind w:firstLine="0" w:firstLineChars="0"/>
        <w:jc w:val="center"/>
        <w:rPr>
          <w:rStyle w:val="19"/>
          <w:rFonts w:hint="eastAsia" w:ascii="宋体" w:hAnsi="宋体" w:cs="宋体"/>
          <w:b/>
          <w:sz w:val="30"/>
          <w:szCs w:val="30"/>
          <w:lang w:val="en-US"/>
        </w:rPr>
      </w:pPr>
      <w:r>
        <w:rPr>
          <w:rFonts w:hint="eastAsia" w:ascii="宋体" w:hAnsi="宋体"/>
          <w:b/>
          <w:bCs/>
          <w:kern w:val="0"/>
          <w:sz w:val="84"/>
          <w:szCs w:val="84"/>
          <w:lang w:val="en-GB" w:eastAsia="zh-CN"/>
        </w:rPr>
        <w:t>件</w:t>
      </w:r>
    </w:p>
    <w:p>
      <w:pPr>
        <w:adjustRightInd w:val="0"/>
        <w:snapToGrid w:val="0"/>
        <w:spacing w:line="360" w:lineRule="auto"/>
        <w:ind w:firstLine="1807" w:firstLineChars="600"/>
        <w:jc w:val="both"/>
        <w:rPr>
          <w:rStyle w:val="20"/>
          <w:rFonts w:ascii="宋体" w:hAnsi="宋体" w:cs="宋体"/>
          <w:b/>
          <w:sz w:val="30"/>
          <w:szCs w:val="30"/>
        </w:rPr>
      </w:pPr>
      <w:r>
        <w:rPr>
          <w:rStyle w:val="20"/>
          <w:rFonts w:hint="eastAsia" w:ascii="宋体" w:hAnsi="宋体" w:cs="宋体"/>
          <w:b/>
          <w:sz w:val="30"/>
          <w:szCs w:val="30"/>
        </w:rPr>
        <w:t>项目编号：</w:t>
      </w:r>
      <w:r>
        <w:rPr>
          <w:rFonts w:hint="eastAsia" w:ascii="宋体" w:hAnsi="宋体"/>
          <w:b/>
          <w:bCs/>
          <w:kern w:val="0"/>
          <w:sz w:val="30"/>
          <w:szCs w:val="30"/>
        </w:rPr>
        <w:t>ZTSJ-HN201901</w:t>
      </w:r>
      <w:r>
        <w:rPr>
          <w:rFonts w:hint="eastAsia" w:ascii="宋体" w:hAnsi="宋体"/>
          <w:b/>
          <w:bCs/>
          <w:kern w:val="0"/>
          <w:sz w:val="30"/>
          <w:szCs w:val="30"/>
          <w:lang w:val="en-US" w:eastAsia="zh-CN"/>
        </w:rPr>
        <w:t>4</w:t>
      </w:r>
    </w:p>
    <w:p>
      <w:pPr>
        <w:adjustRightInd w:val="0"/>
        <w:snapToGrid w:val="0"/>
        <w:spacing w:line="360" w:lineRule="auto"/>
        <w:ind w:firstLine="1807" w:firstLineChars="600"/>
        <w:jc w:val="both"/>
        <w:rPr>
          <w:rStyle w:val="20"/>
          <w:rFonts w:hint="eastAsia" w:ascii="宋体" w:hAnsi="宋体" w:cs="宋体"/>
          <w:b/>
          <w:sz w:val="30"/>
          <w:szCs w:val="30"/>
        </w:rPr>
      </w:pPr>
      <w:r>
        <w:rPr>
          <w:rStyle w:val="20"/>
          <w:rFonts w:hint="eastAsia" w:ascii="宋体" w:hAnsi="宋体" w:cs="宋体"/>
          <w:b/>
          <w:sz w:val="30"/>
          <w:szCs w:val="30"/>
        </w:rPr>
        <w:t>采购单位：万宁市环卫园林局</w:t>
      </w:r>
    </w:p>
    <w:p>
      <w:pPr>
        <w:adjustRightInd w:val="0"/>
        <w:snapToGrid w:val="0"/>
        <w:spacing w:line="360" w:lineRule="auto"/>
        <w:ind w:firstLine="1807" w:firstLineChars="600"/>
        <w:jc w:val="both"/>
        <w:rPr>
          <w:rStyle w:val="20"/>
          <w:rFonts w:hint="eastAsia" w:ascii="宋体" w:hAnsi="宋体" w:cs="宋体"/>
          <w:b/>
          <w:sz w:val="30"/>
          <w:szCs w:val="30"/>
          <w:lang w:val="en-GB"/>
        </w:rPr>
      </w:pPr>
      <w:r>
        <w:rPr>
          <w:rStyle w:val="20"/>
          <w:rFonts w:hint="eastAsia" w:ascii="宋体" w:hAnsi="宋体" w:cs="宋体"/>
          <w:b/>
          <w:sz w:val="30"/>
          <w:szCs w:val="30"/>
        </w:rPr>
        <w:t>代理单位：</w:t>
      </w:r>
      <w:r>
        <w:rPr>
          <w:rStyle w:val="19"/>
          <w:rFonts w:hint="eastAsia" w:ascii="宋体" w:hAnsi="宋体" w:cs="宋体"/>
          <w:b/>
          <w:sz w:val="30"/>
          <w:szCs w:val="30"/>
        </w:rPr>
        <w:t>中天世纪国际招标有限公司</w:t>
      </w:r>
    </w:p>
    <w:p>
      <w:pPr>
        <w:adjustRightInd w:val="0"/>
        <w:snapToGrid w:val="0"/>
        <w:spacing w:line="360" w:lineRule="auto"/>
        <w:rPr>
          <w:rFonts w:ascii="宋体" w:hAnsi="宋体"/>
          <w:b/>
          <w:bCs/>
          <w:kern w:val="0"/>
          <w:sz w:val="30"/>
          <w:szCs w:val="30"/>
          <w:lang w:val="en-GB"/>
        </w:rPr>
      </w:pPr>
    </w:p>
    <w:p>
      <w:pPr>
        <w:adjustRightInd w:val="0"/>
        <w:snapToGrid w:val="0"/>
        <w:spacing w:line="360" w:lineRule="auto"/>
        <w:jc w:val="center"/>
        <w:rPr>
          <w:rFonts w:ascii="宋体" w:hAnsi="宋体"/>
          <w:b/>
          <w:bCs/>
          <w:kern w:val="0"/>
          <w:sz w:val="30"/>
          <w:szCs w:val="30"/>
          <w:lang w:val="en-GB"/>
        </w:rPr>
      </w:pPr>
    </w:p>
    <w:p>
      <w:pPr>
        <w:adjustRightInd w:val="0"/>
        <w:snapToGrid w:val="0"/>
        <w:spacing w:line="360" w:lineRule="auto"/>
        <w:ind w:firstLine="3915" w:firstLineChars="1300"/>
        <w:jc w:val="both"/>
        <w:rPr>
          <w:rStyle w:val="19"/>
          <w:rFonts w:hint="eastAsia" w:ascii="宋体" w:hAnsi="宋体" w:cs="宋体"/>
          <w:b/>
          <w:sz w:val="30"/>
          <w:szCs w:val="30"/>
        </w:rPr>
      </w:pPr>
      <w:r>
        <w:rPr>
          <w:rStyle w:val="19"/>
          <w:rFonts w:hint="eastAsia" w:ascii="宋体" w:hAnsi="宋体" w:cs="宋体"/>
          <w:b/>
          <w:sz w:val="30"/>
          <w:szCs w:val="30"/>
          <w:lang w:eastAsia="zh-CN"/>
        </w:rPr>
        <w:t>二零一九</w:t>
      </w:r>
      <w:r>
        <w:rPr>
          <w:rStyle w:val="19"/>
          <w:rFonts w:hint="eastAsia" w:ascii="宋体" w:hAnsi="宋体" w:cs="宋体"/>
          <w:b/>
          <w:sz w:val="30"/>
          <w:szCs w:val="30"/>
        </w:rPr>
        <w:t>年</w:t>
      </w:r>
      <w:r>
        <w:rPr>
          <w:rStyle w:val="19"/>
          <w:rFonts w:hint="eastAsia" w:ascii="宋体" w:hAnsi="宋体" w:cs="宋体"/>
          <w:b/>
          <w:sz w:val="30"/>
          <w:szCs w:val="30"/>
          <w:lang w:eastAsia="zh-CN"/>
        </w:rPr>
        <w:t>八</w:t>
      </w:r>
      <w:r>
        <w:rPr>
          <w:rStyle w:val="19"/>
          <w:rFonts w:hint="eastAsia" w:ascii="宋体" w:hAnsi="宋体" w:cs="宋体"/>
          <w:b/>
          <w:sz w:val="30"/>
          <w:szCs w:val="30"/>
        </w:rPr>
        <w:t>月</w:t>
      </w:r>
    </w:p>
    <w:p>
      <w:pPr>
        <w:tabs>
          <w:tab w:val="left" w:leader="dot" w:pos="8400"/>
        </w:tabs>
        <w:spacing w:line="360" w:lineRule="auto"/>
        <w:jc w:val="center"/>
        <w:rPr>
          <w:rFonts w:ascii="宋体" w:hAnsi="宋体"/>
          <w:b/>
          <w:sz w:val="44"/>
          <w:szCs w:val="44"/>
        </w:rPr>
      </w:pPr>
    </w:p>
    <w:p>
      <w:pPr>
        <w:tabs>
          <w:tab w:val="left" w:leader="dot" w:pos="8400"/>
        </w:tabs>
        <w:spacing w:line="360" w:lineRule="auto"/>
        <w:jc w:val="both"/>
        <w:rPr>
          <w:rFonts w:hint="eastAsia" w:ascii="宋体" w:hAnsi="宋体"/>
          <w:b/>
          <w:sz w:val="44"/>
          <w:szCs w:val="44"/>
        </w:rPr>
      </w:pPr>
    </w:p>
    <w:p>
      <w:pPr>
        <w:spacing w:before="0" w:beforeLines="0" w:after="0" w:afterLines="0" w:line="240" w:lineRule="auto"/>
        <w:ind w:left="0" w:leftChars="0" w:right="0" w:rightChars="0" w:firstLine="0" w:firstLineChars="0"/>
        <w:jc w:val="center"/>
        <w:rPr>
          <w:rFonts w:ascii="宋体" w:hAnsi="宋体" w:eastAsia="宋体" w:cs="宋体"/>
          <w:kern w:val="2"/>
          <w:sz w:val="21"/>
          <w:szCs w:val="24"/>
          <w:lang w:val="en-US" w:eastAsia="zh-CN" w:bidi="ar-SA"/>
        </w:rPr>
        <w:sectPr>
          <w:pgSz w:w="11910" w:h="16840"/>
          <w:pgMar w:top="1340" w:right="800" w:bottom="1180" w:left="840" w:header="872" w:footer="992" w:gutter="0"/>
          <w:pgBorders>
            <w:top w:val="none" w:sz="0" w:space="0"/>
            <w:left w:val="none" w:sz="0" w:space="0"/>
            <w:bottom w:val="none" w:sz="0" w:space="0"/>
            <w:right w:val="none" w:sz="0" w:space="0"/>
          </w:pgBorders>
          <w:pgNumType w:fmt="decimal"/>
          <w:cols w:space="720" w:num="1"/>
        </w:sectPr>
      </w:pPr>
    </w:p>
    <w:sdt>
      <w:sdtPr>
        <w:rPr>
          <w:rFonts w:ascii="宋体" w:hAnsi="宋体" w:eastAsia="宋体" w:cs="宋体"/>
          <w:kern w:val="2"/>
          <w:sz w:val="21"/>
          <w:szCs w:val="24"/>
          <w:lang w:val="en-US" w:eastAsia="zh-CN" w:bidi="ar-SA"/>
        </w:rPr>
        <w:id w:val="147468306"/>
        <w15:color w:val="DBDBDB"/>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28591_WPSOffice_Type2"/>
          <w:r>
            <w:rPr>
              <w:rFonts w:hint="eastAsia" w:ascii="宋体" w:hAnsi="宋体" w:cs="宋体"/>
              <w:kern w:val="2"/>
              <w:sz w:val="21"/>
              <w:szCs w:val="24"/>
              <w:lang w:val="en-US" w:eastAsia="zh-CN" w:bidi="ar-SA"/>
            </w:rPr>
            <w:t xml:space="preserve"> </w:t>
          </w:r>
          <w:r>
            <w:rPr>
              <w:rFonts w:ascii="宋体" w:hAnsi="宋体" w:eastAsia="宋体"/>
              <w:sz w:val="21"/>
            </w:rPr>
            <w:t>目</w:t>
          </w:r>
          <w:bookmarkStart w:id="152" w:name="_GoBack"/>
          <w:bookmarkEnd w:id="152"/>
          <w:r>
            <w:rPr>
              <w:rFonts w:ascii="宋体" w:hAnsi="宋体" w:eastAsia="宋体"/>
              <w:sz w:val="21"/>
            </w:rPr>
            <w:t>录</w:t>
          </w:r>
        </w:p>
        <w:p>
          <w:pPr>
            <w:pStyle w:val="21"/>
            <w:tabs>
              <w:tab w:val="right" w:leader="dot" w:pos="10270"/>
            </w:tabs>
          </w:pPr>
          <w:r>
            <w:rPr>
              <w:b/>
              <w:bCs/>
            </w:rPr>
            <w:fldChar w:fldCharType="begin"/>
          </w:r>
          <w:r>
            <w:instrText xml:space="preserve"> HYPERLINK \l _Toc9275_WPSOffice_Level1 </w:instrText>
          </w:r>
          <w:r>
            <w:rPr>
              <w:b/>
              <w:bCs/>
            </w:rPr>
            <w:fldChar w:fldCharType="separate"/>
          </w:r>
          <w:sdt>
            <w:sdtPr>
              <w:rPr>
                <w:rFonts w:ascii="Calibri" w:hAnsi="Calibri" w:eastAsia="宋体" w:cs="宋体"/>
                <w:b/>
                <w:bCs/>
                <w:kern w:val="2"/>
                <w:sz w:val="21"/>
                <w:szCs w:val="24"/>
                <w:lang w:val="en-US" w:eastAsia="zh-CN" w:bidi="ar-SA"/>
              </w:rPr>
              <w:id w:val="147468306"/>
              <w:placeholder>
                <w:docPart w:val="{8cdefd30-a10a-412a-9db6-4c16ca06de69}"/>
              </w:placeholder>
              <w15:color w:val="509DF3"/>
            </w:sdtPr>
            <w:sdtEndPr>
              <w:rPr>
                <w:rFonts w:ascii="Calibri" w:hAnsi="Calibri" w:eastAsia="宋体" w:cs="宋体"/>
                <w:b/>
                <w:bCs/>
                <w:kern w:val="2"/>
                <w:sz w:val="21"/>
                <w:szCs w:val="24"/>
                <w:lang w:val="en-US" w:eastAsia="zh-CN" w:bidi="ar-SA"/>
              </w:rPr>
            </w:sdtEndPr>
            <w:sdtContent>
              <w:r>
                <w:rPr>
                  <w:rFonts w:hint="eastAsia" w:ascii="Arial" w:hAnsi="Arial" w:eastAsia="宋体" w:cs="Arial"/>
                  <w:b/>
                  <w:bCs/>
                </w:rPr>
                <w:t>第一部分 谈判邀请函</w:t>
              </w:r>
            </w:sdtContent>
          </w:sdt>
          <w:r>
            <w:rPr>
              <w:b/>
              <w:bCs/>
            </w:rPr>
            <w:tab/>
          </w:r>
          <w:bookmarkStart w:id="1" w:name="_Toc9275_WPSOffice_Level1Page"/>
          <w:r>
            <w:rPr>
              <w:b/>
              <w:bCs/>
            </w:rPr>
            <w:t>2</w:t>
          </w:r>
          <w:bookmarkEnd w:id="1"/>
          <w:r>
            <w:rPr>
              <w:b/>
              <w:bCs/>
            </w:rPr>
            <w:fldChar w:fldCharType="end"/>
          </w:r>
        </w:p>
        <w:p>
          <w:pPr>
            <w:pStyle w:val="22"/>
            <w:tabs>
              <w:tab w:val="right" w:leader="dot" w:pos="10270"/>
            </w:tabs>
          </w:pPr>
          <w:r>
            <w:fldChar w:fldCharType="begin"/>
          </w:r>
          <w:r>
            <w:instrText xml:space="preserve"> HYPERLINK \l _Toc28591_WPSOffice_Level2 </w:instrText>
          </w:r>
          <w:r>
            <w:fldChar w:fldCharType="separate"/>
          </w:r>
          <w:sdt>
            <w:sdtPr>
              <w:rPr>
                <w:rFonts w:ascii="Calibri" w:hAnsi="Calibri" w:eastAsia="宋体" w:cs="宋体"/>
                <w:kern w:val="2"/>
                <w:sz w:val="21"/>
                <w:szCs w:val="24"/>
                <w:lang w:val="en-US" w:eastAsia="zh-CN" w:bidi="ar-SA"/>
              </w:rPr>
              <w:id w:val="147468306"/>
              <w:placeholder>
                <w:docPart w:val="{2541f13c-7d27-4864-9319-809f20b14847}"/>
              </w:placeholder>
              <w15:color w:val="509DF3"/>
            </w:sdtPr>
            <w:sdtEndPr>
              <w:rPr>
                <w:rFonts w:ascii="Calibri" w:hAnsi="Calibri" w:eastAsia="宋体" w:cs="宋体"/>
                <w:kern w:val="2"/>
                <w:sz w:val="21"/>
                <w:szCs w:val="24"/>
                <w:lang w:val="en-US" w:eastAsia="zh-CN" w:bidi="ar-SA"/>
              </w:rPr>
            </w:sdtEndPr>
            <w:sdtContent>
              <w:r>
                <w:rPr>
                  <w:rFonts w:hint="eastAsia" w:asciiTheme="majorEastAsia" w:hAnsiTheme="majorEastAsia" w:eastAsiaTheme="majorEastAsia" w:cstheme="majorEastAsia"/>
                </w:rPr>
                <w:t>一、采购内容</w:t>
              </w:r>
            </w:sdtContent>
          </w:sdt>
          <w:r>
            <w:tab/>
          </w:r>
          <w:bookmarkStart w:id="2" w:name="_Toc28591_WPSOffice_Level2Page"/>
          <w:r>
            <w:t>2</w:t>
          </w:r>
          <w:bookmarkEnd w:id="2"/>
          <w:r>
            <w:fldChar w:fldCharType="end"/>
          </w:r>
        </w:p>
        <w:p>
          <w:pPr>
            <w:pStyle w:val="22"/>
            <w:tabs>
              <w:tab w:val="right" w:leader="dot" w:pos="10270"/>
            </w:tabs>
          </w:pPr>
          <w:r>
            <w:fldChar w:fldCharType="begin"/>
          </w:r>
          <w:r>
            <w:instrText xml:space="preserve"> HYPERLINK \l _Toc20331_WPSOffice_Level2 </w:instrText>
          </w:r>
          <w:r>
            <w:fldChar w:fldCharType="separate"/>
          </w:r>
          <w:sdt>
            <w:sdtPr>
              <w:rPr>
                <w:rFonts w:ascii="Calibri" w:hAnsi="Calibri" w:eastAsia="宋体" w:cs="宋体"/>
                <w:kern w:val="2"/>
                <w:sz w:val="21"/>
                <w:szCs w:val="24"/>
                <w:lang w:val="en-US" w:eastAsia="zh-CN" w:bidi="ar-SA"/>
              </w:rPr>
              <w:id w:val="147468306"/>
              <w:placeholder>
                <w:docPart w:val="{76d81b87-9cc9-4114-a6ba-74efc96774df}"/>
              </w:placeholder>
              <w15:color w:val="509DF3"/>
            </w:sdtPr>
            <w:sdtEndPr>
              <w:rPr>
                <w:rFonts w:ascii="Calibri" w:hAnsi="Calibri" w:eastAsia="宋体" w:cs="宋体"/>
                <w:kern w:val="2"/>
                <w:sz w:val="21"/>
                <w:szCs w:val="24"/>
                <w:lang w:val="en-US" w:eastAsia="zh-CN" w:bidi="ar-SA"/>
              </w:rPr>
            </w:sdtEndPr>
            <w:sdtContent>
              <w:r>
                <w:rPr>
                  <w:rFonts w:hint="eastAsia" w:asciiTheme="majorEastAsia" w:hAnsiTheme="majorEastAsia" w:eastAsiaTheme="majorEastAsia" w:cstheme="majorEastAsia"/>
                </w:rPr>
                <w:t>二、供应商资格要求：（供应商必须具备以下条件并提交相关证明资料）</w:t>
              </w:r>
            </w:sdtContent>
          </w:sdt>
          <w:r>
            <w:tab/>
          </w:r>
          <w:bookmarkStart w:id="3" w:name="_Toc20331_WPSOffice_Level2Page"/>
          <w:r>
            <w:t>2</w:t>
          </w:r>
          <w:bookmarkEnd w:id="3"/>
          <w:r>
            <w:fldChar w:fldCharType="end"/>
          </w:r>
        </w:p>
        <w:p>
          <w:pPr>
            <w:pStyle w:val="22"/>
            <w:tabs>
              <w:tab w:val="right" w:leader="dot" w:pos="10270"/>
            </w:tabs>
          </w:pPr>
          <w:r>
            <w:fldChar w:fldCharType="begin"/>
          </w:r>
          <w:r>
            <w:instrText xml:space="preserve"> HYPERLINK \l _Toc16923_WPSOffice_Level2 </w:instrText>
          </w:r>
          <w:r>
            <w:fldChar w:fldCharType="separate"/>
          </w:r>
          <w:sdt>
            <w:sdtPr>
              <w:rPr>
                <w:rFonts w:ascii="Calibri" w:hAnsi="Calibri" w:eastAsia="宋体" w:cs="宋体"/>
                <w:kern w:val="2"/>
                <w:sz w:val="21"/>
                <w:szCs w:val="24"/>
                <w:lang w:val="en-US" w:eastAsia="zh-CN" w:bidi="ar-SA"/>
              </w:rPr>
              <w:id w:val="147468306"/>
              <w:placeholder>
                <w:docPart w:val="{a92867a3-d638-4f7d-83be-32688ec5a1b9}"/>
              </w:placeholder>
              <w15:color w:val="509DF3"/>
            </w:sdtPr>
            <w:sdtEndPr>
              <w:rPr>
                <w:rFonts w:ascii="Calibri" w:hAnsi="Calibri" w:eastAsia="宋体" w:cs="宋体"/>
                <w:kern w:val="2"/>
                <w:sz w:val="21"/>
                <w:szCs w:val="24"/>
                <w:lang w:val="en-US" w:eastAsia="zh-CN" w:bidi="ar-SA"/>
              </w:rPr>
            </w:sdtEndPr>
            <w:sdtContent>
              <w:r>
                <w:rPr>
                  <w:rFonts w:hint="eastAsia" w:asciiTheme="majorEastAsia" w:hAnsiTheme="majorEastAsia" w:eastAsiaTheme="majorEastAsia" w:cstheme="majorEastAsia"/>
                </w:rPr>
                <w:t>三、谈判文件的获取：</w:t>
              </w:r>
            </w:sdtContent>
          </w:sdt>
          <w:r>
            <w:tab/>
          </w:r>
          <w:bookmarkStart w:id="4" w:name="_Toc16923_WPSOffice_Level2Page"/>
          <w:r>
            <w:t>2</w:t>
          </w:r>
          <w:bookmarkEnd w:id="4"/>
          <w:r>
            <w:fldChar w:fldCharType="end"/>
          </w:r>
        </w:p>
        <w:p>
          <w:pPr>
            <w:pStyle w:val="22"/>
            <w:tabs>
              <w:tab w:val="right" w:leader="dot" w:pos="10270"/>
            </w:tabs>
          </w:pPr>
          <w:r>
            <w:fldChar w:fldCharType="begin"/>
          </w:r>
          <w:r>
            <w:instrText xml:space="preserve"> HYPERLINK \l _Toc27536_WPSOffice_Level2 </w:instrText>
          </w:r>
          <w:r>
            <w:fldChar w:fldCharType="separate"/>
          </w:r>
          <w:sdt>
            <w:sdtPr>
              <w:rPr>
                <w:rFonts w:ascii="Calibri" w:hAnsi="Calibri" w:eastAsia="宋体" w:cs="宋体"/>
                <w:kern w:val="2"/>
                <w:sz w:val="21"/>
                <w:szCs w:val="24"/>
                <w:lang w:val="en-US" w:eastAsia="zh-CN" w:bidi="ar-SA"/>
              </w:rPr>
              <w:id w:val="147468306"/>
              <w:placeholder>
                <w:docPart w:val="{37976a3b-28e3-4127-82f3-a61fe2f3a19a}"/>
              </w:placeholder>
              <w15:color w:val="509DF3"/>
            </w:sdtPr>
            <w:sdtEndPr>
              <w:rPr>
                <w:rFonts w:ascii="Calibri" w:hAnsi="Calibri" w:eastAsia="宋体" w:cs="宋体"/>
                <w:kern w:val="2"/>
                <w:sz w:val="21"/>
                <w:szCs w:val="24"/>
                <w:lang w:val="en-US" w:eastAsia="zh-CN" w:bidi="ar-SA"/>
              </w:rPr>
            </w:sdtEndPr>
            <w:sdtContent>
              <w:r>
                <w:rPr>
                  <w:rFonts w:hint="eastAsia" w:asciiTheme="majorEastAsia" w:hAnsiTheme="majorEastAsia" w:eastAsiaTheme="majorEastAsia" w:cstheme="majorEastAsia"/>
                </w:rPr>
                <w:t>四、响应文件递交截止时间、开启时间及地点：</w:t>
              </w:r>
            </w:sdtContent>
          </w:sdt>
          <w:r>
            <w:tab/>
          </w:r>
          <w:bookmarkStart w:id="5" w:name="_Toc27536_WPSOffice_Level2Page"/>
          <w:r>
            <w:t>3</w:t>
          </w:r>
          <w:bookmarkEnd w:id="5"/>
          <w:r>
            <w:fldChar w:fldCharType="end"/>
          </w:r>
        </w:p>
        <w:p>
          <w:pPr>
            <w:pStyle w:val="22"/>
            <w:tabs>
              <w:tab w:val="right" w:leader="dot" w:pos="10270"/>
            </w:tabs>
          </w:pPr>
          <w:r>
            <w:fldChar w:fldCharType="begin"/>
          </w:r>
          <w:r>
            <w:instrText xml:space="preserve"> HYPERLINK \l _Toc1300_WPSOffice_Level2 </w:instrText>
          </w:r>
          <w:r>
            <w:fldChar w:fldCharType="separate"/>
          </w:r>
          <w:sdt>
            <w:sdtPr>
              <w:rPr>
                <w:rFonts w:ascii="Calibri" w:hAnsi="Calibri" w:eastAsia="宋体" w:cs="宋体"/>
                <w:kern w:val="2"/>
                <w:sz w:val="21"/>
                <w:szCs w:val="24"/>
                <w:lang w:val="en-US" w:eastAsia="zh-CN" w:bidi="ar-SA"/>
              </w:rPr>
              <w:id w:val="147468306"/>
              <w:placeholder>
                <w:docPart w:val="{03fa72c4-a75c-4339-9727-430ef021536d}"/>
              </w:placeholder>
              <w15:color w:val="509DF3"/>
            </w:sdtPr>
            <w:sdtEndPr>
              <w:rPr>
                <w:rFonts w:ascii="Calibri" w:hAnsi="Calibri" w:eastAsia="宋体" w:cs="宋体"/>
                <w:kern w:val="2"/>
                <w:sz w:val="21"/>
                <w:szCs w:val="24"/>
                <w:lang w:val="en-US" w:eastAsia="zh-CN" w:bidi="ar-SA"/>
              </w:rPr>
            </w:sdtEndPr>
            <w:sdtContent>
              <w:r>
                <w:rPr>
                  <w:rFonts w:hint="eastAsia" w:asciiTheme="majorEastAsia" w:hAnsiTheme="majorEastAsia" w:eastAsiaTheme="majorEastAsia" w:cstheme="majorEastAsia"/>
                </w:rPr>
                <w:t>五、谈判保证金及标前答疑</w:t>
              </w:r>
            </w:sdtContent>
          </w:sdt>
          <w:r>
            <w:tab/>
          </w:r>
          <w:bookmarkStart w:id="6" w:name="_Toc1300_WPSOffice_Level2Page"/>
          <w:r>
            <w:t>3</w:t>
          </w:r>
          <w:bookmarkEnd w:id="6"/>
          <w:r>
            <w:fldChar w:fldCharType="end"/>
          </w:r>
        </w:p>
        <w:p>
          <w:pPr>
            <w:pStyle w:val="22"/>
            <w:tabs>
              <w:tab w:val="right" w:leader="dot" w:pos="10270"/>
            </w:tabs>
          </w:pPr>
          <w:r>
            <w:fldChar w:fldCharType="begin"/>
          </w:r>
          <w:r>
            <w:instrText xml:space="preserve"> HYPERLINK \l _Toc26507_WPSOffice_Level2 </w:instrText>
          </w:r>
          <w:r>
            <w:fldChar w:fldCharType="separate"/>
          </w:r>
          <w:sdt>
            <w:sdtPr>
              <w:rPr>
                <w:rFonts w:ascii="Calibri" w:hAnsi="Calibri" w:eastAsia="宋体" w:cs="宋体"/>
                <w:kern w:val="2"/>
                <w:sz w:val="21"/>
                <w:szCs w:val="24"/>
                <w:lang w:val="en-US" w:eastAsia="zh-CN" w:bidi="ar-SA"/>
              </w:rPr>
              <w:id w:val="147468306"/>
              <w:placeholder>
                <w:docPart w:val="{3236b60a-fffd-479d-8dfc-60b195e8117f}"/>
              </w:placeholder>
              <w15:color w:val="509DF3"/>
            </w:sdtPr>
            <w:sdtEndPr>
              <w:rPr>
                <w:rFonts w:ascii="Calibri" w:hAnsi="Calibri" w:eastAsia="宋体" w:cs="宋体"/>
                <w:kern w:val="2"/>
                <w:sz w:val="21"/>
                <w:szCs w:val="24"/>
                <w:lang w:val="en-US" w:eastAsia="zh-CN" w:bidi="ar-SA"/>
              </w:rPr>
            </w:sdtEndPr>
            <w:sdtContent>
              <w:r>
                <w:rPr>
                  <w:rFonts w:hint="eastAsia" w:asciiTheme="majorEastAsia" w:hAnsiTheme="majorEastAsia" w:eastAsiaTheme="majorEastAsia" w:cstheme="majorEastAsia"/>
                </w:rPr>
                <w:t>六、联系方式</w:t>
              </w:r>
            </w:sdtContent>
          </w:sdt>
          <w:r>
            <w:tab/>
          </w:r>
          <w:bookmarkStart w:id="7" w:name="_Toc26507_WPSOffice_Level2Page"/>
          <w:r>
            <w:t>3</w:t>
          </w:r>
          <w:bookmarkEnd w:id="7"/>
          <w:r>
            <w:fldChar w:fldCharType="end"/>
          </w:r>
        </w:p>
        <w:p>
          <w:pPr>
            <w:pStyle w:val="21"/>
            <w:tabs>
              <w:tab w:val="right" w:leader="dot" w:pos="10270"/>
            </w:tabs>
          </w:pPr>
          <w:r>
            <w:rPr>
              <w:b/>
              <w:bCs/>
            </w:rPr>
            <w:fldChar w:fldCharType="begin"/>
          </w:r>
          <w:r>
            <w:instrText xml:space="preserve"> HYPERLINK \l _Toc28591_WPSOffice_Level1 </w:instrText>
          </w:r>
          <w:r>
            <w:rPr>
              <w:b/>
              <w:bCs/>
            </w:rPr>
            <w:fldChar w:fldCharType="separate"/>
          </w:r>
          <w:sdt>
            <w:sdtPr>
              <w:rPr>
                <w:rFonts w:ascii="Calibri" w:hAnsi="Calibri" w:eastAsia="宋体" w:cs="宋体"/>
                <w:b/>
                <w:bCs/>
                <w:kern w:val="2"/>
                <w:sz w:val="21"/>
                <w:szCs w:val="24"/>
                <w:lang w:val="en-US" w:eastAsia="zh-CN" w:bidi="ar-SA"/>
              </w:rPr>
              <w:id w:val="147468306"/>
              <w:placeholder>
                <w:docPart w:val="{857424af-199a-4e30-982c-3d3ea8dfda09}"/>
              </w:placeholder>
              <w15:color w:val="509DF3"/>
            </w:sdtPr>
            <w:sdtEndPr>
              <w:rPr>
                <w:rFonts w:ascii="Calibri" w:hAnsi="Calibri" w:eastAsia="宋体" w:cs="宋体"/>
                <w:b/>
                <w:bCs/>
                <w:kern w:val="2"/>
                <w:sz w:val="21"/>
                <w:szCs w:val="24"/>
                <w:lang w:val="en-US" w:eastAsia="zh-CN" w:bidi="ar-SA"/>
              </w:rPr>
            </w:sdtEndPr>
            <w:sdtContent>
              <w:r>
                <w:rPr>
                  <w:rFonts w:hint="eastAsia" w:ascii="Calibri" w:hAnsi="Calibri" w:eastAsia="宋体" w:cs="宋体"/>
                  <w:b/>
                  <w:bCs/>
                </w:rPr>
                <w:t>第二部分  供应商须知</w:t>
              </w:r>
            </w:sdtContent>
          </w:sdt>
          <w:r>
            <w:rPr>
              <w:b/>
              <w:bCs/>
            </w:rPr>
            <w:tab/>
          </w:r>
          <w:bookmarkStart w:id="8" w:name="_Toc28591_WPSOffice_Level1Page"/>
          <w:r>
            <w:rPr>
              <w:b/>
              <w:bCs/>
            </w:rPr>
            <w:t>4</w:t>
          </w:r>
          <w:bookmarkEnd w:id="8"/>
          <w:r>
            <w:rPr>
              <w:b/>
              <w:bCs/>
            </w:rPr>
            <w:fldChar w:fldCharType="end"/>
          </w:r>
        </w:p>
        <w:p>
          <w:pPr>
            <w:pStyle w:val="22"/>
            <w:tabs>
              <w:tab w:val="right" w:leader="dot" w:pos="10270"/>
            </w:tabs>
          </w:pPr>
          <w:r>
            <w:fldChar w:fldCharType="begin"/>
          </w:r>
          <w:r>
            <w:instrText xml:space="preserve"> HYPERLINK \l _Toc8463_WPSOffice_Level2 </w:instrText>
          </w:r>
          <w:r>
            <w:fldChar w:fldCharType="separate"/>
          </w:r>
          <w:sdt>
            <w:sdtPr>
              <w:rPr>
                <w:rFonts w:ascii="Calibri" w:hAnsi="Calibri" w:eastAsia="宋体" w:cs="宋体"/>
                <w:kern w:val="2"/>
                <w:sz w:val="21"/>
                <w:szCs w:val="24"/>
                <w:lang w:val="en-US" w:eastAsia="zh-CN" w:bidi="ar-SA"/>
              </w:rPr>
              <w:id w:val="147468306"/>
              <w:placeholder>
                <w:docPart w:val="{d625d4ee-989a-4254-bd3c-03383b11938f}"/>
              </w:placeholder>
              <w15:color w:val="509DF3"/>
            </w:sdtPr>
            <w:sdtEndPr>
              <w:rPr>
                <w:rFonts w:ascii="Calibri" w:hAnsi="Calibri" w:eastAsia="宋体" w:cs="宋体"/>
                <w:kern w:val="2"/>
                <w:sz w:val="21"/>
                <w:szCs w:val="24"/>
                <w:lang w:val="en-US" w:eastAsia="zh-CN" w:bidi="ar-SA"/>
              </w:rPr>
            </w:sdtEndPr>
            <w:sdtContent>
              <w:r>
                <w:rPr>
                  <w:rFonts w:hint="eastAsia" w:asciiTheme="majorEastAsia" w:hAnsiTheme="majorEastAsia" w:eastAsiaTheme="majorEastAsia" w:cstheme="majorEastAsia"/>
                </w:rPr>
                <w:t>一、总则</w:t>
              </w:r>
            </w:sdtContent>
          </w:sdt>
          <w:r>
            <w:tab/>
          </w:r>
          <w:bookmarkStart w:id="9" w:name="_Toc8463_WPSOffice_Level2Page"/>
          <w:r>
            <w:t>4</w:t>
          </w:r>
          <w:bookmarkEnd w:id="9"/>
          <w:r>
            <w:fldChar w:fldCharType="end"/>
          </w:r>
        </w:p>
        <w:p>
          <w:pPr>
            <w:pStyle w:val="22"/>
            <w:tabs>
              <w:tab w:val="right" w:leader="dot" w:pos="10270"/>
            </w:tabs>
          </w:pPr>
          <w:r>
            <w:fldChar w:fldCharType="begin"/>
          </w:r>
          <w:r>
            <w:instrText xml:space="preserve"> HYPERLINK \l _Toc18428_WPSOffice_Level2 </w:instrText>
          </w:r>
          <w:r>
            <w:fldChar w:fldCharType="separate"/>
          </w:r>
          <w:sdt>
            <w:sdtPr>
              <w:rPr>
                <w:rFonts w:ascii="Calibri" w:hAnsi="Calibri" w:eastAsia="宋体" w:cs="宋体"/>
                <w:kern w:val="2"/>
                <w:sz w:val="21"/>
                <w:szCs w:val="24"/>
                <w:lang w:val="en-US" w:eastAsia="zh-CN" w:bidi="ar-SA"/>
              </w:rPr>
              <w:id w:val="147468306"/>
              <w:placeholder>
                <w:docPart w:val="{fa0eb786-1615-49fd-b874-75974666a814}"/>
              </w:placeholder>
              <w15:color w:val="509DF3"/>
            </w:sdtPr>
            <w:sdtEndPr>
              <w:rPr>
                <w:rFonts w:ascii="Calibri" w:hAnsi="Calibri" w:eastAsia="宋体" w:cs="宋体"/>
                <w:kern w:val="2"/>
                <w:sz w:val="21"/>
                <w:szCs w:val="24"/>
                <w:lang w:val="en-US" w:eastAsia="zh-CN" w:bidi="ar-SA"/>
              </w:rPr>
            </w:sdtEndPr>
            <w:sdtContent>
              <w:r>
                <w:rPr>
                  <w:rFonts w:hint="eastAsia" w:asciiTheme="majorEastAsia" w:hAnsiTheme="majorEastAsia" w:eastAsiaTheme="majorEastAsia" w:cstheme="majorEastAsia"/>
                </w:rPr>
                <w:t>二、谈判文件</w:t>
              </w:r>
            </w:sdtContent>
          </w:sdt>
          <w:r>
            <w:tab/>
          </w:r>
          <w:bookmarkStart w:id="10" w:name="_Toc18428_WPSOffice_Level2Page"/>
          <w:r>
            <w:t>6</w:t>
          </w:r>
          <w:bookmarkEnd w:id="10"/>
          <w:r>
            <w:fldChar w:fldCharType="end"/>
          </w:r>
        </w:p>
        <w:p>
          <w:pPr>
            <w:pStyle w:val="22"/>
            <w:tabs>
              <w:tab w:val="right" w:leader="dot" w:pos="10270"/>
            </w:tabs>
          </w:pPr>
          <w:r>
            <w:fldChar w:fldCharType="begin"/>
          </w:r>
          <w:r>
            <w:instrText xml:space="preserve"> HYPERLINK \l _Toc13883_WPSOffice_Level2 </w:instrText>
          </w:r>
          <w:r>
            <w:fldChar w:fldCharType="separate"/>
          </w:r>
          <w:sdt>
            <w:sdtPr>
              <w:rPr>
                <w:rFonts w:ascii="Calibri" w:hAnsi="Calibri" w:eastAsia="宋体" w:cs="宋体"/>
                <w:kern w:val="2"/>
                <w:sz w:val="21"/>
                <w:szCs w:val="24"/>
                <w:lang w:val="en-US" w:eastAsia="zh-CN" w:bidi="ar-SA"/>
              </w:rPr>
              <w:id w:val="147468306"/>
              <w:placeholder>
                <w:docPart w:val="{cb11ea30-af8b-49fe-91d8-9e99fb9c7dba}"/>
              </w:placeholder>
              <w15:color w:val="509DF3"/>
            </w:sdtPr>
            <w:sdtEndPr>
              <w:rPr>
                <w:rFonts w:ascii="Calibri" w:hAnsi="Calibri" w:eastAsia="宋体" w:cs="宋体"/>
                <w:kern w:val="2"/>
                <w:sz w:val="21"/>
                <w:szCs w:val="24"/>
                <w:lang w:val="en-US" w:eastAsia="zh-CN" w:bidi="ar-SA"/>
              </w:rPr>
            </w:sdtEndPr>
            <w:sdtContent>
              <w:r>
                <w:rPr>
                  <w:rFonts w:hint="eastAsia" w:asciiTheme="majorEastAsia" w:hAnsiTheme="majorEastAsia" w:eastAsiaTheme="majorEastAsia" w:cstheme="majorEastAsia"/>
                </w:rPr>
                <w:t>三、响应文件的编制和数量</w:t>
              </w:r>
            </w:sdtContent>
          </w:sdt>
          <w:r>
            <w:tab/>
          </w:r>
          <w:bookmarkStart w:id="11" w:name="_Toc13883_WPSOffice_Level2Page"/>
          <w:r>
            <w:t>7</w:t>
          </w:r>
          <w:bookmarkEnd w:id="11"/>
          <w:r>
            <w:fldChar w:fldCharType="end"/>
          </w:r>
        </w:p>
        <w:p>
          <w:pPr>
            <w:pStyle w:val="22"/>
            <w:tabs>
              <w:tab w:val="right" w:leader="dot" w:pos="10270"/>
            </w:tabs>
          </w:pPr>
          <w:r>
            <w:fldChar w:fldCharType="begin"/>
          </w:r>
          <w:r>
            <w:instrText xml:space="preserve"> HYPERLINK \l _Toc27162_WPSOffice_Level2 </w:instrText>
          </w:r>
          <w:r>
            <w:fldChar w:fldCharType="separate"/>
          </w:r>
          <w:sdt>
            <w:sdtPr>
              <w:rPr>
                <w:rFonts w:ascii="Calibri" w:hAnsi="Calibri" w:eastAsia="宋体" w:cs="宋体"/>
                <w:kern w:val="2"/>
                <w:sz w:val="21"/>
                <w:szCs w:val="24"/>
                <w:lang w:val="en-US" w:eastAsia="zh-CN" w:bidi="ar-SA"/>
              </w:rPr>
              <w:id w:val="147468306"/>
              <w:placeholder>
                <w:docPart w:val="{45febae2-2203-4227-9ad3-6da85da25d8c}"/>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四、响应文件的递交</w:t>
              </w:r>
            </w:sdtContent>
          </w:sdt>
          <w:r>
            <w:tab/>
          </w:r>
          <w:bookmarkStart w:id="12" w:name="_Toc27162_WPSOffice_Level2Page"/>
          <w:r>
            <w:t>9</w:t>
          </w:r>
          <w:bookmarkEnd w:id="12"/>
          <w:r>
            <w:fldChar w:fldCharType="end"/>
          </w:r>
        </w:p>
        <w:p>
          <w:pPr>
            <w:pStyle w:val="22"/>
            <w:tabs>
              <w:tab w:val="right" w:leader="dot" w:pos="10270"/>
            </w:tabs>
          </w:pPr>
          <w:r>
            <w:fldChar w:fldCharType="begin"/>
          </w:r>
          <w:r>
            <w:instrText xml:space="preserve"> HYPERLINK \l _Toc7062_WPSOffice_Level2 </w:instrText>
          </w:r>
          <w:r>
            <w:fldChar w:fldCharType="separate"/>
          </w:r>
          <w:sdt>
            <w:sdtPr>
              <w:rPr>
                <w:rFonts w:ascii="Calibri" w:hAnsi="Calibri" w:eastAsia="宋体" w:cs="宋体"/>
                <w:kern w:val="2"/>
                <w:sz w:val="21"/>
                <w:szCs w:val="24"/>
                <w:lang w:val="en-US" w:eastAsia="zh-CN" w:bidi="ar-SA"/>
              </w:rPr>
              <w:id w:val="147468306"/>
              <w:placeholder>
                <w:docPart w:val="{7d8c6f21-6f7e-4cf0-a674-36d2c44274f9}"/>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五、谈判</w:t>
              </w:r>
            </w:sdtContent>
          </w:sdt>
          <w:r>
            <w:tab/>
          </w:r>
          <w:bookmarkStart w:id="13" w:name="_Toc7062_WPSOffice_Level2Page"/>
          <w:r>
            <w:t>10</w:t>
          </w:r>
          <w:bookmarkEnd w:id="13"/>
          <w:r>
            <w:fldChar w:fldCharType="end"/>
          </w:r>
        </w:p>
        <w:p>
          <w:pPr>
            <w:pStyle w:val="22"/>
            <w:tabs>
              <w:tab w:val="right" w:leader="dot" w:pos="10270"/>
            </w:tabs>
          </w:pPr>
          <w:r>
            <w:fldChar w:fldCharType="begin"/>
          </w:r>
          <w:r>
            <w:instrText xml:space="preserve"> HYPERLINK \l _Toc1291_WPSOffice_Level2 </w:instrText>
          </w:r>
          <w:r>
            <w:fldChar w:fldCharType="separate"/>
          </w:r>
          <w:sdt>
            <w:sdtPr>
              <w:rPr>
                <w:rFonts w:ascii="Calibri" w:hAnsi="Calibri" w:eastAsia="宋体" w:cs="宋体"/>
                <w:kern w:val="2"/>
                <w:sz w:val="21"/>
                <w:szCs w:val="24"/>
                <w:lang w:val="en-US" w:eastAsia="zh-CN" w:bidi="ar-SA"/>
              </w:rPr>
              <w:id w:val="147468306"/>
              <w:placeholder>
                <w:docPart w:val="{90555d17-43de-4e06-ac34-48d06f7f092c}"/>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六、谈判程序</w:t>
              </w:r>
            </w:sdtContent>
          </w:sdt>
          <w:r>
            <w:tab/>
          </w:r>
          <w:bookmarkStart w:id="14" w:name="_Toc1291_WPSOffice_Level2Page"/>
          <w:r>
            <w:t>10</w:t>
          </w:r>
          <w:bookmarkEnd w:id="14"/>
          <w:r>
            <w:fldChar w:fldCharType="end"/>
          </w:r>
        </w:p>
        <w:p>
          <w:pPr>
            <w:pStyle w:val="22"/>
            <w:tabs>
              <w:tab w:val="right" w:leader="dot" w:pos="10270"/>
            </w:tabs>
          </w:pPr>
          <w:r>
            <w:fldChar w:fldCharType="begin"/>
          </w:r>
          <w:r>
            <w:instrText xml:space="preserve"> HYPERLINK \l _Toc24417_WPSOffice_Level2 </w:instrText>
          </w:r>
          <w:r>
            <w:fldChar w:fldCharType="separate"/>
          </w:r>
          <w:sdt>
            <w:sdtPr>
              <w:rPr>
                <w:rFonts w:ascii="Calibri" w:hAnsi="Calibri" w:eastAsia="宋体" w:cs="宋体"/>
                <w:kern w:val="2"/>
                <w:sz w:val="21"/>
                <w:szCs w:val="24"/>
                <w:lang w:val="en-US" w:eastAsia="zh-CN" w:bidi="ar-SA"/>
              </w:rPr>
              <w:id w:val="147468306"/>
              <w:placeholder>
                <w:docPart w:val="{5110d64f-195a-410c-8b90-78b924346751}"/>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七、确定成交供应商</w:t>
              </w:r>
            </w:sdtContent>
          </w:sdt>
          <w:r>
            <w:tab/>
          </w:r>
          <w:bookmarkStart w:id="15" w:name="_Toc24417_WPSOffice_Level2Page"/>
          <w:r>
            <w:t>15</w:t>
          </w:r>
          <w:bookmarkEnd w:id="15"/>
          <w:r>
            <w:fldChar w:fldCharType="end"/>
          </w:r>
        </w:p>
        <w:p>
          <w:pPr>
            <w:pStyle w:val="22"/>
            <w:tabs>
              <w:tab w:val="right" w:leader="dot" w:pos="10270"/>
            </w:tabs>
          </w:pPr>
          <w:r>
            <w:fldChar w:fldCharType="begin"/>
          </w:r>
          <w:r>
            <w:instrText xml:space="preserve"> HYPERLINK \l _Toc6897_WPSOffice_Level2 </w:instrText>
          </w:r>
          <w:r>
            <w:fldChar w:fldCharType="separate"/>
          </w:r>
          <w:sdt>
            <w:sdtPr>
              <w:rPr>
                <w:rFonts w:ascii="Calibri" w:hAnsi="Calibri" w:eastAsia="宋体" w:cs="宋体"/>
                <w:kern w:val="2"/>
                <w:sz w:val="21"/>
                <w:szCs w:val="24"/>
                <w:lang w:val="en-US" w:eastAsia="zh-CN" w:bidi="ar-SA"/>
              </w:rPr>
              <w:id w:val="147468306"/>
              <w:placeholder>
                <w:docPart w:val="{35bbd720-ca68-4e4a-a731-3c2da97fec6d}"/>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八、合同</w:t>
              </w:r>
            </w:sdtContent>
          </w:sdt>
          <w:r>
            <w:tab/>
          </w:r>
          <w:bookmarkStart w:id="16" w:name="_Toc6897_WPSOffice_Level2Page"/>
          <w:r>
            <w:t>16</w:t>
          </w:r>
          <w:bookmarkEnd w:id="16"/>
          <w:r>
            <w:fldChar w:fldCharType="end"/>
          </w:r>
        </w:p>
        <w:p>
          <w:pPr>
            <w:pStyle w:val="21"/>
            <w:tabs>
              <w:tab w:val="right" w:leader="dot" w:pos="10270"/>
            </w:tabs>
          </w:pPr>
          <w:r>
            <w:rPr>
              <w:b/>
              <w:bCs/>
            </w:rPr>
            <w:fldChar w:fldCharType="begin"/>
          </w:r>
          <w:r>
            <w:instrText xml:space="preserve"> HYPERLINK \l _Toc20331_WPSOffice_Level1 </w:instrText>
          </w:r>
          <w:r>
            <w:rPr>
              <w:b/>
              <w:bCs/>
            </w:rPr>
            <w:fldChar w:fldCharType="separate"/>
          </w:r>
          <w:sdt>
            <w:sdtPr>
              <w:rPr>
                <w:rFonts w:ascii="Calibri" w:hAnsi="Calibri" w:eastAsia="宋体" w:cs="宋体"/>
                <w:b/>
                <w:bCs/>
                <w:kern w:val="2"/>
                <w:sz w:val="21"/>
                <w:szCs w:val="24"/>
                <w:lang w:val="en-US" w:eastAsia="zh-CN" w:bidi="ar-SA"/>
              </w:rPr>
              <w:id w:val="147468306"/>
              <w:placeholder>
                <w:docPart w:val="{d6e44395-1e45-4702-9587-7c942bffe843}"/>
              </w:placeholder>
              <w15:color w:val="509DF3"/>
            </w:sdtPr>
            <w:sdtEndPr>
              <w:rPr>
                <w:rFonts w:ascii="Calibri" w:hAnsi="Calibri" w:eastAsia="宋体" w:cs="宋体"/>
                <w:b/>
                <w:bCs/>
                <w:kern w:val="2"/>
                <w:sz w:val="21"/>
                <w:szCs w:val="24"/>
                <w:lang w:val="en-US" w:eastAsia="zh-CN" w:bidi="ar-SA"/>
              </w:rPr>
            </w:sdtEndPr>
            <w:sdtContent>
              <w:r>
                <w:rPr>
                  <w:rFonts w:hint="eastAsia" w:ascii="Calibri" w:hAnsi="Calibri" w:eastAsia="宋体" w:cs="宋体"/>
                  <w:b/>
                  <w:bCs/>
                </w:rPr>
                <w:t>第三部分 合同条款及格式</w:t>
              </w:r>
            </w:sdtContent>
          </w:sdt>
          <w:r>
            <w:rPr>
              <w:b/>
              <w:bCs/>
            </w:rPr>
            <w:tab/>
          </w:r>
          <w:bookmarkStart w:id="17" w:name="_Toc20331_WPSOffice_Level1Page"/>
          <w:r>
            <w:rPr>
              <w:b/>
              <w:bCs/>
            </w:rPr>
            <w:t>17</w:t>
          </w:r>
          <w:bookmarkEnd w:id="17"/>
          <w:r>
            <w:rPr>
              <w:b/>
              <w:bCs/>
            </w:rPr>
            <w:fldChar w:fldCharType="end"/>
          </w:r>
        </w:p>
        <w:p>
          <w:pPr>
            <w:pStyle w:val="22"/>
            <w:tabs>
              <w:tab w:val="right" w:leader="dot" w:pos="10270"/>
            </w:tabs>
          </w:pPr>
          <w:r>
            <w:fldChar w:fldCharType="begin"/>
          </w:r>
          <w:r>
            <w:instrText xml:space="preserve"> HYPERLINK \l _Toc7285_WPSOffice_Level2 </w:instrText>
          </w:r>
          <w:r>
            <w:fldChar w:fldCharType="separate"/>
          </w:r>
          <w:sdt>
            <w:sdtPr>
              <w:rPr>
                <w:rFonts w:ascii="Calibri" w:hAnsi="Calibri" w:eastAsia="宋体" w:cs="宋体"/>
                <w:kern w:val="2"/>
                <w:sz w:val="21"/>
                <w:szCs w:val="24"/>
                <w:lang w:val="en-US" w:eastAsia="zh-CN" w:bidi="ar-SA"/>
              </w:rPr>
              <w:id w:val="147468306"/>
              <w:placeholder>
                <w:docPart w:val="{d21847fd-892c-49b4-b337-0cf3e598a220}"/>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一、合同标的及金额等（详见附件清单）</w:t>
              </w:r>
            </w:sdtContent>
          </w:sdt>
          <w:r>
            <w:tab/>
          </w:r>
          <w:bookmarkStart w:id="18" w:name="_Toc7285_WPSOffice_Level2Page"/>
          <w:r>
            <w:t>18</w:t>
          </w:r>
          <w:bookmarkEnd w:id="18"/>
          <w:r>
            <w:fldChar w:fldCharType="end"/>
          </w:r>
        </w:p>
        <w:p>
          <w:pPr>
            <w:pStyle w:val="22"/>
            <w:tabs>
              <w:tab w:val="right" w:leader="dot" w:pos="10270"/>
            </w:tabs>
          </w:pPr>
          <w:r>
            <w:fldChar w:fldCharType="begin"/>
          </w:r>
          <w:r>
            <w:instrText xml:space="preserve"> HYPERLINK \l _Toc32641_WPSOffice_Level2 </w:instrText>
          </w:r>
          <w:r>
            <w:fldChar w:fldCharType="separate"/>
          </w:r>
          <w:sdt>
            <w:sdtPr>
              <w:rPr>
                <w:rFonts w:ascii="Calibri" w:hAnsi="Calibri" w:eastAsia="宋体" w:cs="宋体"/>
                <w:kern w:val="2"/>
                <w:sz w:val="21"/>
                <w:szCs w:val="24"/>
                <w:lang w:val="en-US" w:eastAsia="zh-CN" w:bidi="ar-SA"/>
              </w:rPr>
              <w:id w:val="147468306"/>
              <w:placeholder>
                <w:docPart w:val="{dfdaa978-f1b6-4b70-88c6-d8ea7661c481}"/>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二、付款</w:t>
              </w:r>
            </w:sdtContent>
          </w:sdt>
          <w:r>
            <w:tab/>
          </w:r>
          <w:bookmarkStart w:id="19" w:name="_Toc32641_WPSOffice_Level2Page"/>
          <w:r>
            <w:t>18</w:t>
          </w:r>
          <w:bookmarkEnd w:id="19"/>
          <w:r>
            <w:fldChar w:fldCharType="end"/>
          </w:r>
        </w:p>
        <w:p>
          <w:pPr>
            <w:pStyle w:val="22"/>
            <w:tabs>
              <w:tab w:val="right" w:leader="dot" w:pos="10270"/>
            </w:tabs>
          </w:pPr>
          <w:r>
            <w:fldChar w:fldCharType="begin"/>
          </w:r>
          <w:r>
            <w:instrText xml:space="preserve"> HYPERLINK \l _Toc21258_WPSOffice_Level2 </w:instrText>
          </w:r>
          <w:r>
            <w:fldChar w:fldCharType="separate"/>
          </w:r>
          <w:sdt>
            <w:sdtPr>
              <w:rPr>
                <w:rFonts w:ascii="Calibri" w:hAnsi="Calibri" w:eastAsia="宋体" w:cs="宋体"/>
                <w:kern w:val="2"/>
                <w:sz w:val="21"/>
                <w:szCs w:val="24"/>
                <w:lang w:val="en-US" w:eastAsia="zh-CN" w:bidi="ar-SA"/>
              </w:rPr>
              <w:id w:val="147468306"/>
              <w:placeholder>
                <w:docPart w:val="{d7805f65-1d1a-4399-955f-14c5bd45978a}"/>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三、交货</w:t>
              </w:r>
            </w:sdtContent>
          </w:sdt>
          <w:r>
            <w:tab/>
          </w:r>
          <w:bookmarkStart w:id="20" w:name="_Toc21258_WPSOffice_Level2Page"/>
          <w:r>
            <w:t>18</w:t>
          </w:r>
          <w:bookmarkEnd w:id="20"/>
          <w:r>
            <w:fldChar w:fldCharType="end"/>
          </w:r>
        </w:p>
        <w:p>
          <w:pPr>
            <w:pStyle w:val="22"/>
            <w:tabs>
              <w:tab w:val="right" w:leader="dot" w:pos="10270"/>
            </w:tabs>
          </w:pPr>
          <w:r>
            <w:fldChar w:fldCharType="begin"/>
          </w:r>
          <w:r>
            <w:instrText xml:space="preserve"> HYPERLINK \l _Toc2069_WPSOffice_Level2 </w:instrText>
          </w:r>
          <w:r>
            <w:fldChar w:fldCharType="separate"/>
          </w:r>
          <w:sdt>
            <w:sdtPr>
              <w:rPr>
                <w:rFonts w:ascii="Calibri" w:hAnsi="Calibri" w:eastAsia="宋体" w:cs="宋体"/>
                <w:kern w:val="2"/>
                <w:sz w:val="21"/>
                <w:szCs w:val="24"/>
                <w:lang w:val="en-US" w:eastAsia="zh-CN" w:bidi="ar-SA"/>
              </w:rPr>
              <w:id w:val="147468306"/>
              <w:placeholder>
                <w:docPart w:val="{25bd1824-65ee-4347-81bd-9d2bb2bd36e0}"/>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四、货物验收、保修和技术服务</w:t>
              </w:r>
            </w:sdtContent>
          </w:sdt>
          <w:r>
            <w:tab/>
          </w:r>
          <w:bookmarkStart w:id="21" w:name="_Toc2069_WPSOffice_Level2Page"/>
          <w:r>
            <w:t>19</w:t>
          </w:r>
          <w:bookmarkEnd w:id="21"/>
          <w:r>
            <w:fldChar w:fldCharType="end"/>
          </w:r>
        </w:p>
        <w:p>
          <w:pPr>
            <w:pStyle w:val="22"/>
            <w:tabs>
              <w:tab w:val="right" w:leader="dot" w:pos="10270"/>
            </w:tabs>
          </w:pPr>
          <w:r>
            <w:fldChar w:fldCharType="begin"/>
          </w:r>
          <w:r>
            <w:instrText xml:space="preserve"> HYPERLINK \l _Toc10480_WPSOffice_Level2 </w:instrText>
          </w:r>
          <w:r>
            <w:fldChar w:fldCharType="separate"/>
          </w:r>
          <w:sdt>
            <w:sdtPr>
              <w:rPr>
                <w:rFonts w:ascii="Calibri" w:hAnsi="Calibri" w:eastAsia="宋体" w:cs="宋体"/>
                <w:kern w:val="2"/>
                <w:sz w:val="21"/>
                <w:szCs w:val="24"/>
                <w:lang w:val="en-US" w:eastAsia="zh-CN" w:bidi="ar-SA"/>
              </w:rPr>
              <w:id w:val="147468306"/>
              <w:placeholder>
                <w:docPart w:val="{1ca06fa1-e52f-445a-a8c2-122a22491ec2}"/>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五、违约责任及侵权处理</w:t>
              </w:r>
            </w:sdtContent>
          </w:sdt>
          <w:r>
            <w:tab/>
          </w:r>
          <w:bookmarkStart w:id="22" w:name="_Toc10480_WPSOffice_Level2Page"/>
          <w:r>
            <w:t>19</w:t>
          </w:r>
          <w:bookmarkEnd w:id="22"/>
          <w:r>
            <w:fldChar w:fldCharType="end"/>
          </w:r>
        </w:p>
        <w:p>
          <w:pPr>
            <w:pStyle w:val="22"/>
            <w:tabs>
              <w:tab w:val="right" w:leader="dot" w:pos="10270"/>
            </w:tabs>
          </w:pPr>
          <w:r>
            <w:fldChar w:fldCharType="begin"/>
          </w:r>
          <w:r>
            <w:instrText xml:space="preserve"> HYPERLINK \l _Toc22942_WPSOffice_Level2 </w:instrText>
          </w:r>
          <w:r>
            <w:fldChar w:fldCharType="separate"/>
          </w:r>
          <w:sdt>
            <w:sdtPr>
              <w:rPr>
                <w:rFonts w:ascii="Calibri" w:hAnsi="Calibri" w:eastAsia="宋体" w:cs="宋体"/>
                <w:kern w:val="2"/>
                <w:sz w:val="21"/>
                <w:szCs w:val="24"/>
                <w:lang w:val="en-US" w:eastAsia="zh-CN" w:bidi="ar-SA"/>
              </w:rPr>
              <w:id w:val="147468306"/>
              <w:placeholder>
                <w:docPart w:val="{fc05e19b-006d-4069-a29f-e42e1f3b4ecc}"/>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六、不可抗力</w:t>
              </w:r>
            </w:sdtContent>
          </w:sdt>
          <w:r>
            <w:tab/>
          </w:r>
          <w:bookmarkStart w:id="23" w:name="_Toc22942_WPSOffice_Level2Page"/>
          <w:r>
            <w:t>20</w:t>
          </w:r>
          <w:bookmarkEnd w:id="23"/>
          <w:r>
            <w:fldChar w:fldCharType="end"/>
          </w:r>
        </w:p>
        <w:p>
          <w:pPr>
            <w:pStyle w:val="22"/>
            <w:tabs>
              <w:tab w:val="right" w:leader="dot" w:pos="10270"/>
            </w:tabs>
          </w:pPr>
          <w:r>
            <w:fldChar w:fldCharType="begin"/>
          </w:r>
          <w:r>
            <w:instrText xml:space="preserve"> HYPERLINK \l _Toc21573_WPSOffice_Level2 </w:instrText>
          </w:r>
          <w:r>
            <w:fldChar w:fldCharType="separate"/>
          </w:r>
          <w:sdt>
            <w:sdtPr>
              <w:rPr>
                <w:rFonts w:ascii="Calibri" w:hAnsi="Calibri" w:eastAsia="宋体" w:cs="宋体"/>
                <w:kern w:val="2"/>
                <w:sz w:val="21"/>
                <w:szCs w:val="24"/>
                <w:lang w:val="en-US" w:eastAsia="zh-CN" w:bidi="ar-SA"/>
              </w:rPr>
              <w:id w:val="147468306"/>
              <w:placeholder>
                <w:docPart w:val="{bf735af8-8d57-40a1-b5a4-88023e94515e}"/>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七、合同纠纷处理</w:t>
              </w:r>
            </w:sdtContent>
          </w:sdt>
          <w:r>
            <w:tab/>
          </w:r>
          <w:bookmarkStart w:id="24" w:name="_Toc21573_WPSOffice_Level2Page"/>
          <w:r>
            <w:t>20</w:t>
          </w:r>
          <w:bookmarkEnd w:id="24"/>
          <w:r>
            <w:fldChar w:fldCharType="end"/>
          </w:r>
        </w:p>
        <w:p>
          <w:pPr>
            <w:pStyle w:val="22"/>
            <w:tabs>
              <w:tab w:val="right" w:leader="dot" w:pos="10270"/>
            </w:tabs>
          </w:pPr>
          <w:r>
            <w:fldChar w:fldCharType="begin"/>
          </w:r>
          <w:r>
            <w:instrText xml:space="preserve"> HYPERLINK \l _Toc10982_WPSOffice_Level2 </w:instrText>
          </w:r>
          <w:r>
            <w:fldChar w:fldCharType="separate"/>
          </w:r>
          <w:sdt>
            <w:sdtPr>
              <w:rPr>
                <w:rFonts w:ascii="Calibri" w:hAnsi="Calibri" w:eastAsia="宋体" w:cs="宋体"/>
                <w:kern w:val="2"/>
                <w:sz w:val="21"/>
                <w:szCs w:val="24"/>
                <w:lang w:val="en-US" w:eastAsia="zh-CN" w:bidi="ar-SA"/>
              </w:rPr>
              <w:id w:val="147468306"/>
              <w:placeholder>
                <w:docPart w:val="{a38eda76-3a7c-4a21-af0c-bcb29b2612cf}"/>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八、合同生效</w:t>
              </w:r>
            </w:sdtContent>
          </w:sdt>
          <w:r>
            <w:tab/>
          </w:r>
          <w:bookmarkStart w:id="25" w:name="_Toc10982_WPSOffice_Level2Page"/>
          <w:r>
            <w:t>20</w:t>
          </w:r>
          <w:bookmarkEnd w:id="25"/>
          <w:r>
            <w:fldChar w:fldCharType="end"/>
          </w:r>
        </w:p>
        <w:p>
          <w:pPr>
            <w:pStyle w:val="22"/>
            <w:tabs>
              <w:tab w:val="right" w:leader="dot" w:pos="10270"/>
            </w:tabs>
          </w:pPr>
          <w:r>
            <w:fldChar w:fldCharType="begin"/>
          </w:r>
          <w:r>
            <w:instrText xml:space="preserve"> HYPERLINK \l _Toc19761_WPSOffice_Level2 </w:instrText>
          </w:r>
          <w:r>
            <w:fldChar w:fldCharType="separate"/>
          </w:r>
          <w:sdt>
            <w:sdtPr>
              <w:rPr>
                <w:rFonts w:ascii="Calibri" w:hAnsi="Calibri" w:eastAsia="宋体" w:cs="宋体"/>
                <w:kern w:val="2"/>
                <w:sz w:val="21"/>
                <w:szCs w:val="24"/>
                <w:lang w:val="en-US" w:eastAsia="zh-CN" w:bidi="ar-SA"/>
              </w:rPr>
              <w:id w:val="147468306"/>
              <w:placeholder>
                <w:docPart w:val="{2ec9218d-12da-45a9-9bf7-3371ee0436df}"/>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九、合同鉴证</w:t>
              </w:r>
            </w:sdtContent>
          </w:sdt>
          <w:r>
            <w:tab/>
          </w:r>
          <w:bookmarkStart w:id="26" w:name="_Toc19761_WPSOffice_Level2Page"/>
          <w:r>
            <w:t>20</w:t>
          </w:r>
          <w:bookmarkEnd w:id="26"/>
          <w:r>
            <w:fldChar w:fldCharType="end"/>
          </w:r>
        </w:p>
        <w:p>
          <w:pPr>
            <w:pStyle w:val="22"/>
            <w:tabs>
              <w:tab w:val="right" w:leader="dot" w:pos="10270"/>
            </w:tabs>
          </w:pPr>
          <w:r>
            <w:fldChar w:fldCharType="begin"/>
          </w:r>
          <w:r>
            <w:instrText xml:space="preserve"> HYPERLINK \l _Toc17908_WPSOffice_Level2 </w:instrText>
          </w:r>
          <w:r>
            <w:fldChar w:fldCharType="separate"/>
          </w:r>
          <w:sdt>
            <w:sdtPr>
              <w:rPr>
                <w:rFonts w:ascii="Calibri" w:hAnsi="Calibri" w:eastAsia="宋体" w:cs="宋体"/>
                <w:kern w:val="2"/>
                <w:sz w:val="21"/>
                <w:szCs w:val="24"/>
                <w:lang w:val="en-US" w:eastAsia="zh-CN" w:bidi="ar-SA"/>
              </w:rPr>
              <w:id w:val="147468306"/>
              <w:placeholder>
                <w:docPart w:val="{6533ab6d-d1d6-4377-be66-badaef0b3a46}"/>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十、组成本合同的文件包括：</w:t>
              </w:r>
            </w:sdtContent>
          </w:sdt>
          <w:r>
            <w:tab/>
          </w:r>
          <w:bookmarkStart w:id="27" w:name="_Toc17908_WPSOffice_Level2Page"/>
          <w:r>
            <w:t>20</w:t>
          </w:r>
          <w:bookmarkEnd w:id="27"/>
          <w:r>
            <w:fldChar w:fldCharType="end"/>
          </w:r>
        </w:p>
        <w:p>
          <w:pPr>
            <w:pStyle w:val="22"/>
            <w:tabs>
              <w:tab w:val="right" w:leader="dot" w:pos="10270"/>
            </w:tabs>
          </w:pPr>
          <w:r>
            <w:fldChar w:fldCharType="begin"/>
          </w:r>
          <w:r>
            <w:instrText xml:space="preserve"> HYPERLINK \l _Toc1585_WPSOffice_Level2 </w:instrText>
          </w:r>
          <w:r>
            <w:fldChar w:fldCharType="separate"/>
          </w:r>
          <w:sdt>
            <w:sdtPr>
              <w:rPr>
                <w:rFonts w:ascii="Calibri" w:hAnsi="Calibri" w:eastAsia="宋体" w:cs="宋体"/>
                <w:kern w:val="2"/>
                <w:sz w:val="21"/>
                <w:szCs w:val="24"/>
                <w:lang w:val="en-US" w:eastAsia="zh-CN" w:bidi="ar-SA"/>
              </w:rPr>
              <w:id w:val="147468306"/>
              <w:placeholder>
                <w:docPart w:val="{3eab810a-dcdd-405a-9770-9919ad370dca}"/>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十一、合同备案</w:t>
              </w:r>
            </w:sdtContent>
          </w:sdt>
          <w:r>
            <w:tab/>
          </w:r>
          <w:bookmarkStart w:id="28" w:name="_Toc1585_WPSOffice_Level2Page"/>
          <w:r>
            <w:t>21</w:t>
          </w:r>
          <w:bookmarkEnd w:id="28"/>
          <w:r>
            <w:fldChar w:fldCharType="end"/>
          </w:r>
        </w:p>
        <w:p>
          <w:pPr>
            <w:pStyle w:val="22"/>
            <w:tabs>
              <w:tab w:val="right" w:leader="dot" w:pos="10270"/>
            </w:tabs>
          </w:pPr>
          <w:r>
            <w:fldChar w:fldCharType="begin"/>
          </w:r>
          <w:r>
            <w:instrText xml:space="preserve"> HYPERLINK \l _Toc10650_WPSOffice_Level2 </w:instrText>
          </w:r>
          <w:r>
            <w:fldChar w:fldCharType="separate"/>
          </w:r>
          <w:sdt>
            <w:sdtPr>
              <w:rPr>
                <w:rFonts w:ascii="Calibri" w:hAnsi="Calibri" w:eastAsia="宋体" w:cs="宋体"/>
                <w:kern w:val="2"/>
                <w:sz w:val="21"/>
                <w:szCs w:val="24"/>
                <w:lang w:val="en-US" w:eastAsia="zh-CN" w:bidi="ar-SA"/>
              </w:rPr>
              <w:id w:val="147468306"/>
              <w:placeholder>
                <w:docPart w:val="{1ccd49cf-fed1-4e0e-8545-03d0c702d195}"/>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十二、合同转让和分包</w:t>
              </w:r>
            </w:sdtContent>
          </w:sdt>
          <w:r>
            <w:tab/>
          </w:r>
          <w:bookmarkStart w:id="29" w:name="_Toc10650_WPSOffice_Level2Page"/>
          <w:r>
            <w:t>21</w:t>
          </w:r>
          <w:bookmarkEnd w:id="29"/>
          <w:r>
            <w:fldChar w:fldCharType="end"/>
          </w:r>
        </w:p>
        <w:p>
          <w:pPr>
            <w:pStyle w:val="21"/>
            <w:tabs>
              <w:tab w:val="right" w:leader="dot" w:pos="10270"/>
            </w:tabs>
          </w:pPr>
          <w:r>
            <w:rPr>
              <w:b/>
              <w:bCs/>
            </w:rPr>
            <w:fldChar w:fldCharType="begin"/>
          </w:r>
          <w:r>
            <w:instrText xml:space="preserve"> HYPERLINK \l _Toc16923_WPSOffice_Level1 </w:instrText>
          </w:r>
          <w:r>
            <w:rPr>
              <w:b/>
              <w:bCs/>
            </w:rPr>
            <w:fldChar w:fldCharType="separate"/>
          </w:r>
          <w:sdt>
            <w:sdtPr>
              <w:rPr>
                <w:rFonts w:ascii="Calibri" w:hAnsi="Calibri" w:eastAsia="宋体" w:cs="宋体"/>
                <w:b/>
                <w:bCs/>
                <w:kern w:val="2"/>
                <w:sz w:val="21"/>
                <w:szCs w:val="24"/>
                <w:lang w:val="en-US" w:eastAsia="zh-CN" w:bidi="ar-SA"/>
              </w:rPr>
              <w:id w:val="147468306"/>
              <w:placeholder>
                <w:docPart w:val="{6e87758d-b0df-427e-a57f-b9c5f9ca7bcb}"/>
              </w:placeholder>
              <w15:color w:val="509DF3"/>
            </w:sdtPr>
            <w:sdtEndPr>
              <w:rPr>
                <w:rFonts w:ascii="Calibri" w:hAnsi="Calibri" w:eastAsia="宋体" w:cs="宋体"/>
                <w:b/>
                <w:bCs/>
                <w:kern w:val="2"/>
                <w:sz w:val="21"/>
                <w:szCs w:val="24"/>
                <w:lang w:val="en-US" w:eastAsia="zh-CN" w:bidi="ar-SA"/>
              </w:rPr>
            </w:sdtEndPr>
            <w:sdtContent>
              <w:r>
                <w:rPr>
                  <w:rFonts w:hint="eastAsia" w:ascii="Calibri" w:hAnsi="Calibri" w:eastAsia="宋体" w:cs="宋体"/>
                  <w:b/>
                  <w:bCs/>
                </w:rPr>
                <w:t>第四部分  采购需求及技术参数</w:t>
              </w:r>
            </w:sdtContent>
          </w:sdt>
          <w:r>
            <w:rPr>
              <w:b/>
              <w:bCs/>
            </w:rPr>
            <w:tab/>
          </w:r>
          <w:bookmarkStart w:id="30" w:name="_Toc16923_WPSOffice_Level1Page"/>
          <w:r>
            <w:rPr>
              <w:b/>
              <w:bCs/>
            </w:rPr>
            <w:t>22</w:t>
          </w:r>
          <w:bookmarkEnd w:id="30"/>
          <w:r>
            <w:rPr>
              <w:b/>
              <w:bCs/>
            </w:rPr>
            <w:fldChar w:fldCharType="end"/>
          </w:r>
        </w:p>
        <w:p>
          <w:pPr>
            <w:pStyle w:val="22"/>
            <w:tabs>
              <w:tab w:val="right" w:leader="dot" w:pos="10270"/>
            </w:tabs>
          </w:pPr>
          <w:r>
            <w:fldChar w:fldCharType="begin"/>
          </w:r>
          <w:r>
            <w:instrText xml:space="preserve"> HYPERLINK \l _Toc10222_WPSOffice_Level2 </w:instrText>
          </w:r>
          <w:r>
            <w:fldChar w:fldCharType="separate"/>
          </w:r>
          <w:sdt>
            <w:sdtPr>
              <w:rPr>
                <w:rFonts w:ascii="Calibri" w:hAnsi="Calibri" w:eastAsia="宋体" w:cs="宋体"/>
                <w:kern w:val="2"/>
                <w:sz w:val="21"/>
                <w:szCs w:val="24"/>
                <w:lang w:val="en-US" w:eastAsia="zh-CN" w:bidi="ar-SA"/>
              </w:rPr>
              <w:id w:val="147468306"/>
              <w:placeholder>
                <w:docPart w:val="{1becdcb7-b0b3-4321-9860-fd884603bfbb}"/>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一、采购需求</w:t>
              </w:r>
            </w:sdtContent>
          </w:sdt>
          <w:r>
            <w:tab/>
          </w:r>
          <w:bookmarkStart w:id="31" w:name="_Toc10222_WPSOffice_Level2Page"/>
          <w:r>
            <w:t>22</w:t>
          </w:r>
          <w:bookmarkEnd w:id="31"/>
          <w:r>
            <w:fldChar w:fldCharType="end"/>
          </w:r>
        </w:p>
        <w:p>
          <w:pPr>
            <w:pStyle w:val="22"/>
            <w:tabs>
              <w:tab w:val="right" w:leader="dot" w:pos="10270"/>
            </w:tabs>
          </w:pPr>
          <w:r>
            <w:fldChar w:fldCharType="begin"/>
          </w:r>
          <w:r>
            <w:instrText xml:space="preserve"> HYPERLINK \l _Toc29815_WPSOffice_Level2 </w:instrText>
          </w:r>
          <w:r>
            <w:fldChar w:fldCharType="separate"/>
          </w:r>
          <w:sdt>
            <w:sdtPr>
              <w:rPr>
                <w:rFonts w:ascii="Calibri" w:hAnsi="Calibri" w:eastAsia="宋体" w:cs="宋体"/>
                <w:kern w:val="2"/>
                <w:sz w:val="21"/>
                <w:szCs w:val="24"/>
                <w:lang w:val="en-US" w:eastAsia="zh-CN" w:bidi="ar-SA"/>
              </w:rPr>
              <w:id w:val="147468306"/>
              <w:placeholder>
                <w:docPart w:val="{2564fbcf-154a-4feb-9a02-eede81fd322b}"/>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二、技术参数</w:t>
              </w:r>
            </w:sdtContent>
          </w:sdt>
          <w:r>
            <w:tab/>
          </w:r>
          <w:bookmarkStart w:id="32" w:name="_Toc29815_WPSOffice_Level2Page"/>
          <w:r>
            <w:t>22</w:t>
          </w:r>
          <w:bookmarkEnd w:id="32"/>
          <w:r>
            <w:fldChar w:fldCharType="end"/>
          </w:r>
        </w:p>
        <w:p>
          <w:pPr>
            <w:pStyle w:val="22"/>
            <w:tabs>
              <w:tab w:val="right" w:leader="dot" w:pos="10270"/>
            </w:tabs>
          </w:pPr>
          <w:r>
            <w:fldChar w:fldCharType="begin"/>
          </w:r>
          <w:r>
            <w:instrText xml:space="preserve"> HYPERLINK \l _Toc29888_WPSOffice_Level2 </w:instrText>
          </w:r>
          <w:r>
            <w:fldChar w:fldCharType="separate"/>
          </w:r>
          <w:sdt>
            <w:sdtPr>
              <w:rPr>
                <w:rFonts w:ascii="Calibri" w:hAnsi="Calibri" w:eastAsia="宋体" w:cs="宋体"/>
                <w:kern w:val="2"/>
                <w:sz w:val="21"/>
                <w:szCs w:val="24"/>
                <w:lang w:val="en-US" w:eastAsia="zh-CN" w:bidi="ar-SA"/>
              </w:rPr>
              <w:id w:val="147468306"/>
              <w:placeholder>
                <w:docPart w:val="{11e57c9a-5a2f-4add-b6be-1ed998418054}"/>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三、货物配置</w:t>
              </w:r>
            </w:sdtContent>
          </w:sdt>
          <w:r>
            <w:tab/>
          </w:r>
          <w:bookmarkStart w:id="33" w:name="_Toc29888_WPSOffice_Level2Page"/>
          <w:r>
            <w:t>22</w:t>
          </w:r>
          <w:bookmarkEnd w:id="33"/>
          <w:r>
            <w:fldChar w:fldCharType="end"/>
          </w:r>
        </w:p>
        <w:p>
          <w:pPr>
            <w:pStyle w:val="22"/>
            <w:tabs>
              <w:tab w:val="right" w:leader="dot" w:pos="10270"/>
            </w:tabs>
          </w:pPr>
          <w:r>
            <w:fldChar w:fldCharType="begin"/>
          </w:r>
          <w:r>
            <w:instrText xml:space="preserve"> HYPERLINK \l _Toc19690_WPSOffice_Level2 </w:instrText>
          </w:r>
          <w:r>
            <w:fldChar w:fldCharType="separate"/>
          </w:r>
          <w:sdt>
            <w:sdtPr>
              <w:rPr>
                <w:rFonts w:ascii="Calibri" w:hAnsi="Calibri" w:eastAsia="宋体" w:cs="宋体"/>
                <w:kern w:val="2"/>
                <w:sz w:val="21"/>
                <w:szCs w:val="24"/>
                <w:lang w:val="en-US" w:eastAsia="zh-CN" w:bidi="ar-SA"/>
              </w:rPr>
              <w:id w:val="147468306"/>
              <w:placeholder>
                <w:docPart w:val="{aac54ce1-26bb-4c85-bd14-4d0138a2e4e5}"/>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四、钢架结构及基座</w:t>
              </w:r>
            </w:sdtContent>
          </w:sdt>
          <w:r>
            <w:tab/>
          </w:r>
          <w:bookmarkStart w:id="34" w:name="_Toc19690_WPSOffice_Level2Page"/>
          <w:r>
            <w:t>23</w:t>
          </w:r>
          <w:bookmarkEnd w:id="34"/>
          <w:r>
            <w:fldChar w:fldCharType="end"/>
          </w:r>
        </w:p>
        <w:p>
          <w:pPr>
            <w:pStyle w:val="22"/>
            <w:tabs>
              <w:tab w:val="right" w:leader="dot" w:pos="10270"/>
            </w:tabs>
          </w:pPr>
          <w:r>
            <w:fldChar w:fldCharType="begin"/>
          </w:r>
          <w:r>
            <w:instrText xml:space="preserve"> HYPERLINK \l _Toc22855_WPSOffice_Level2 </w:instrText>
          </w:r>
          <w:r>
            <w:fldChar w:fldCharType="separate"/>
          </w:r>
          <w:sdt>
            <w:sdtPr>
              <w:rPr>
                <w:rFonts w:ascii="Calibri" w:hAnsi="Calibri" w:eastAsia="宋体" w:cs="宋体"/>
                <w:kern w:val="2"/>
                <w:sz w:val="21"/>
                <w:szCs w:val="24"/>
                <w:lang w:val="en-US" w:eastAsia="zh-CN" w:bidi="ar-SA"/>
              </w:rPr>
              <w:id w:val="147468306"/>
              <w:placeholder>
                <w:docPart w:val="{b115f096-2253-4a71-a978-c96be6ae8838}"/>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五、装饰用材</w:t>
              </w:r>
            </w:sdtContent>
          </w:sdt>
          <w:r>
            <w:tab/>
          </w:r>
          <w:bookmarkStart w:id="35" w:name="_Toc22855_WPSOffice_Level2Page"/>
          <w:r>
            <w:t>23</w:t>
          </w:r>
          <w:bookmarkEnd w:id="35"/>
          <w:r>
            <w:fldChar w:fldCharType="end"/>
          </w:r>
        </w:p>
        <w:p>
          <w:pPr>
            <w:pStyle w:val="21"/>
            <w:tabs>
              <w:tab w:val="right" w:leader="dot" w:pos="10270"/>
            </w:tabs>
          </w:pPr>
          <w:r>
            <w:rPr>
              <w:b/>
              <w:bCs/>
            </w:rPr>
            <w:fldChar w:fldCharType="begin"/>
          </w:r>
          <w:r>
            <w:instrText xml:space="preserve"> HYPERLINK \l _Toc27536_WPSOffice_Level1 </w:instrText>
          </w:r>
          <w:r>
            <w:rPr>
              <w:b/>
              <w:bCs/>
            </w:rPr>
            <w:fldChar w:fldCharType="separate"/>
          </w:r>
          <w:sdt>
            <w:sdtPr>
              <w:rPr>
                <w:rFonts w:ascii="Calibri" w:hAnsi="Calibri" w:eastAsia="宋体" w:cs="宋体"/>
                <w:b/>
                <w:bCs/>
                <w:kern w:val="2"/>
                <w:sz w:val="21"/>
                <w:szCs w:val="24"/>
                <w:lang w:val="en-US" w:eastAsia="zh-CN" w:bidi="ar-SA"/>
              </w:rPr>
              <w:id w:val="147468306"/>
              <w:placeholder>
                <w:docPart w:val="{f8c2302c-858a-4358-8507-d08f20e9e5be}"/>
              </w:placeholder>
              <w15:color w:val="509DF3"/>
            </w:sdtPr>
            <w:sdtEndPr>
              <w:rPr>
                <w:rFonts w:ascii="Calibri" w:hAnsi="Calibri" w:eastAsia="宋体" w:cs="宋体"/>
                <w:b/>
                <w:bCs/>
                <w:kern w:val="2"/>
                <w:sz w:val="21"/>
                <w:szCs w:val="24"/>
                <w:lang w:val="en-US" w:eastAsia="zh-CN" w:bidi="ar-SA"/>
              </w:rPr>
            </w:sdtEndPr>
            <w:sdtContent>
              <w:r>
                <w:rPr>
                  <w:rFonts w:hint="eastAsia" w:ascii="Calibri" w:hAnsi="Calibri" w:eastAsia="宋体" w:cs="宋体"/>
                  <w:b/>
                  <w:bCs/>
                </w:rPr>
                <w:t>第五部分  响应文件内容及格式</w:t>
              </w:r>
            </w:sdtContent>
          </w:sdt>
          <w:r>
            <w:rPr>
              <w:b/>
              <w:bCs/>
            </w:rPr>
            <w:tab/>
          </w:r>
          <w:bookmarkStart w:id="36" w:name="_Toc27536_WPSOffice_Level1Page"/>
          <w:r>
            <w:rPr>
              <w:b/>
              <w:bCs/>
            </w:rPr>
            <w:t>24</w:t>
          </w:r>
          <w:bookmarkEnd w:id="36"/>
          <w:r>
            <w:rPr>
              <w:b/>
              <w:bCs/>
            </w:rPr>
            <w:fldChar w:fldCharType="end"/>
          </w:r>
        </w:p>
        <w:p>
          <w:pPr>
            <w:pStyle w:val="22"/>
            <w:tabs>
              <w:tab w:val="right" w:leader="dot" w:pos="10270"/>
            </w:tabs>
          </w:pPr>
          <w:r>
            <w:fldChar w:fldCharType="begin"/>
          </w:r>
          <w:r>
            <w:instrText xml:space="preserve"> HYPERLINK \l _Toc21971_WPSOffice_Level2 </w:instrText>
          </w:r>
          <w:r>
            <w:fldChar w:fldCharType="separate"/>
          </w:r>
          <w:sdt>
            <w:sdtPr>
              <w:rPr>
                <w:rFonts w:ascii="Calibri" w:hAnsi="Calibri" w:eastAsia="宋体" w:cs="宋体"/>
                <w:kern w:val="2"/>
                <w:sz w:val="21"/>
                <w:szCs w:val="24"/>
                <w:lang w:val="en-US" w:eastAsia="zh-CN" w:bidi="ar-SA"/>
              </w:rPr>
              <w:id w:val="147468306"/>
              <w:placeholder>
                <w:docPart w:val="{0dd1e917-9f7a-4895-aca5-bcc808383478}"/>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1、响应承诺函</w:t>
              </w:r>
            </w:sdtContent>
          </w:sdt>
          <w:r>
            <w:tab/>
          </w:r>
          <w:bookmarkStart w:id="37" w:name="_Toc21971_WPSOffice_Level2Page"/>
          <w:r>
            <w:t>25</w:t>
          </w:r>
          <w:bookmarkEnd w:id="37"/>
          <w:r>
            <w:fldChar w:fldCharType="end"/>
          </w:r>
        </w:p>
        <w:p>
          <w:pPr>
            <w:pStyle w:val="22"/>
            <w:tabs>
              <w:tab w:val="right" w:leader="dot" w:pos="10270"/>
            </w:tabs>
          </w:pPr>
          <w:r>
            <w:fldChar w:fldCharType="begin"/>
          </w:r>
          <w:r>
            <w:instrText xml:space="preserve"> HYPERLINK \l _Toc6843_WPSOffice_Level2 </w:instrText>
          </w:r>
          <w:r>
            <w:fldChar w:fldCharType="separate"/>
          </w:r>
          <w:sdt>
            <w:sdtPr>
              <w:rPr>
                <w:rFonts w:ascii="Calibri" w:hAnsi="Calibri" w:eastAsia="宋体" w:cs="宋体"/>
                <w:kern w:val="2"/>
                <w:sz w:val="21"/>
                <w:szCs w:val="24"/>
                <w:lang w:val="en-US" w:eastAsia="zh-CN" w:bidi="ar-SA"/>
              </w:rPr>
              <w:id w:val="147468306"/>
              <w:placeholder>
                <w:docPart w:val="{b2e10322-636b-4983-92eb-4ad86b2ce6cf}"/>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2、法定代表人授权委托书</w:t>
              </w:r>
            </w:sdtContent>
          </w:sdt>
          <w:r>
            <w:tab/>
          </w:r>
          <w:bookmarkStart w:id="38" w:name="_Toc6843_WPSOffice_Level2Page"/>
          <w:r>
            <w:t>26</w:t>
          </w:r>
          <w:bookmarkEnd w:id="38"/>
          <w:r>
            <w:fldChar w:fldCharType="end"/>
          </w:r>
        </w:p>
        <w:p>
          <w:pPr>
            <w:pStyle w:val="22"/>
            <w:tabs>
              <w:tab w:val="right" w:leader="dot" w:pos="10270"/>
            </w:tabs>
          </w:pPr>
          <w:r>
            <w:fldChar w:fldCharType="begin"/>
          </w:r>
          <w:r>
            <w:instrText xml:space="preserve"> HYPERLINK \l _Toc32267_WPSOffice_Level2 </w:instrText>
          </w:r>
          <w:r>
            <w:fldChar w:fldCharType="separate"/>
          </w:r>
          <w:sdt>
            <w:sdtPr>
              <w:rPr>
                <w:rFonts w:ascii="Calibri" w:hAnsi="Calibri" w:eastAsia="宋体" w:cs="宋体"/>
                <w:kern w:val="2"/>
                <w:sz w:val="21"/>
                <w:szCs w:val="24"/>
                <w:lang w:val="en-US" w:eastAsia="zh-CN" w:bidi="ar-SA"/>
              </w:rPr>
              <w:id w:val="147468306"/>
              <w:placeholder>
                <w:docPart w:val="{ac900409-187b-4cea-9737-ae901237e8c7}"/>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3、资格声明函</w:t>
              </w:r>
            </w:sdtContent>
          </w:sdt>
          <w:r>
            <w:tab/>
          </w:r>
          <w:bookmarkStart w:id="39" w:name="_Toc32267_WPSOffice_Level2Page"/>
          <w:r>
            <w:t>27</w:t>
          </w:r>
          <w:bookmarkEnd w:id="39"/>
          <w:r>
            <w:fldChar w:fldCharType="end"/>
          </w:r>
        </w:p>
        <w:p>
          <w:pPr>
            <w:pStyle w:val="22"/>
            <w:tabs>
              <w:tab w:val="right" w:leader="dot" w:pos="10270"/>
            </w:tabs>
          </w:pPr>
          <w:r>
            <w:fldChar w:fldCharType="begin"/>
          </w:r>
          <w:r>
            <w:instrText xml:space="preserve"> HYPERLINK \l _Toc22765_WPSOffice_Level2 </w:instrText>
          </w:r>
          <w:r>
            <w:fldChar w:fldCharType="separate"/>
          </w:r>
          <w:sdt>
            <w:sdtPr>
              <w:rPr>
                <w:rFonts w:ascii="Calibri" w:hAnsi="Calibri" w:eastAsia="宋体" w:cs="宋体"/>
                <w:kern w:val="2"/>
                <w:sz w:val="21"/>
                <w:szCs w:val="24"/>
                <w:lang w:val="en-US" w:eastAsia="zh-CN" w:bidi="ar-SA"/>
              </w:rPr>
              <w:id w:val="147468306"/>
              <w:placeholder>
                <w:docPart w:val="{4f7a66b5-f366-4748-a574-eb886abd4a98}"/>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4、报价一览表</w:t>
              </w:r>
            </w:sdtContent>
          </w:sdt>
          <w:r>
            <w:tab/>
          </w:r>
          <w:bookmarkStart w:id="40" w:name="_Toc22765_WPSOffice_Level2Page"/>
          <w:r>
            <w:t>28</w:t>
          </w:r>
          <w:bookmarkEnd w:id="40"/>
          <w:r>
            <w:fldChar w:fldCharType="end"/>
          </w:r>
        </w:p>
        <w:p>
          <w:pPr>
            <w:pStyle w:val="22"/>
            <w:tabs>
              <w:tab w:val="right" w:leader="dot" w:pos="10270"/>
            </w:tabs>
          </w:pPr>
          <w:r>
            <w:fldChar w:fldCharType="begin"/>
          </w:r>
          <w:r>
            <w:instrText xml:space="preserve"> HYPERLINK \l _Toc10498_WPSOffice_Level2 </w:instrText>
          </w:r>
          <w:r>
            <w:fldChar w:fldCharType="separate"/>
          </w:r>
          <w:sdt>
            <w:sdtPr>
              <w:rPr>
                <w:rFonts w:ascii="Calibri" w:hAnsi="Calibri" w:eastAsia="宋体" w:cs="宋体"/>
                <w:kern w:val="2"/>
                <w:sz w:val="21"/>
                <w:szCs w:val="24"/>
                <w:lang w:val="en-US" w:eastAsia="zh-CN" w:bidi="ar-SA"/>
              </w:rPr>
              <w:id w:val="147468306"/>
              <w:placeholder>
                <w:docPart w:val="{b03cc61c-6cf1-4f1d-88cb-823761b5414b}"/>
              </w:placeholder>
              <w15:color w:val="509DF3"/>
            </w:sdtPr>
            <w:sdtEndPr>
              <w:rPr>
                <w:rFonts w:ascii="Calibri" w:hAnsi="Calibri" w:eastAsia="宋体" w:cs="宋体"/>
                <w:kern w:val="2"/>
                <w:sz w:val="21"/>
                <w:szCs w:val="24"/>
                <w:lang w:val="en-US" w:eastAsia="zh-CN" w:bidi="ar-SA"/>
              </w:rPr>
            </w:sdtEndPr>
            <w:sdtContent>
              <w:r>
                <w:rPr>
                  <w:rFonts w:hint="eastAsia" w:ascii="Calibri" w:hAnsi="Calibri" w:eastAsia="宋体" w:cs="宋体"/>
                </w:rPr>
                <w:t>5、万宁市移动式水冲公厕项目（二次报价表）</w:t>
              </w:r>
            </w:sdtContent>
          </w:sdt>
          <w:r>
            <w:tab/>
          </w:r>
          <w:bookmarkStart w:id="41" w:name="_Toc10498_WPSOffice_Level2Page"/>
          <w:r>
            <w:t>29</w:t>
          </w:r>
          <w:bookmarkEnd w:id="41"/>
          <w:r>
            <w:fldChar w:fldCharType="end"/>
          </w:r>
        </w:p>
        <w:p>
          <w:pPr>
            <w:pStyle w:val="22"/>
            <w:tabs>
              <w:tab w:val="right" w:leader="dot" w:pos="10270"/>
            </w:tabs>
          </w:pPr>
          <w:r>
            <w:fldChar w:fldCharType="begin"/>
          </w:r>
          <w:r>
            <w:instrText xml:space="preserve"> HYPERLINK \l _Toc2311_WPSOffice_Level2 </w:instrText>
          </w:r>
          <w:r>
            <w:fldChar w:fldCharType="separate"/>
          </w:r>
          <w:sdt>
            <w:sdtPr>
              <w:rPr>
                <w:rFonts w:ascii="Calibri" w:hAnsi="Calibri" w:eastAsia="宋体" w:cs="宋体"/>
                <w:kern w:val="2"/>
                <w:sz w:val="21"/>
                <w:szCs w:val="24"/>
                <w:lang w:val="en-US" w:eastAsia="zh-CN" w:bidi="ar-SA"/>
              </w:rPr>
              <w:id w:val="147468306"/>
              <w:placeholder>
                <w:docPart w:val="{9defd3e0-ddc2-4790-9a0e-9f86c65b935c}"/>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6、报价明细表</w:t>
              </w:r>
            </w:sdtContent>
          </w:sdt>
          <w:r>
            <w:tab/>
          </w:r>
          <w:bookmarkStart w:id="42" w:name="_Toc2311_WPSOffice_Level2Page"/>
          <w:r>
            <w:t>30</w:t>
          </w:r>
          <w:bookmarkEnd w:id="42"/>
          <w:r>
            <w:fldChar w:fldCharType="end"/>
          </w:r>
        </w:p>
        <w:p>
          <w:pPr>
            <w:pStyle w:val="22"/>
            <w:tabs>
              <w:tab w:val="right" w:leader="dot" w:pos="10270"/>
            </w:tabs>
          </w:pPr>
          <w:r>
            <w:fldChar w:fldCharType="begin"/>
          </w:r>
          <w:r>
            <w:instrText xml:space="preserve"> HYPERLINK \l _Toc24800_WPSOffice_Level2 </w:instrText>
          </w:r>
          <w:r>
            <w:fldChar w:fldCharType="separate"/>
          </w:r>
          <w:sdt>
            <w:sdtPr>
              <w:rPr>
                <w:rFonts w:ascii="Calibri" w:hAnsi="Calibri" w:eastAsia="宋体" w:cs="宋体"/>
                <w:kern w:val="2"/>
                <w:sz w:val="21"/>
                <w:szCs w:val="24"/>
                <w:lang w:val="en-US" w:eastAsia="zh-CN" w:bidi="ar-SA"/>
              </w:rPr>
              <w:id w:val="147468306"/>
              <w:placeholder>
                <w:docPart w:val="{6ab432e5-9763-4f17-b6af-a2888d40a016}"/>
              </w:placeholder>
              <w15:color w:val="509DF3"/>
            </w:sdtPr>
            <w:sdtEndPr>
              <w:rPr>
                <w:rFonts w:ascii="Calibri" w:hAnsi="Calibri" w:eastAsia="宋体" w:cs="宋体"/>
                <w:kern w:val="2"/>
                <w:sz w:val="21"/>
                <w:szCs w:val="24"/>
                <w:lang w:val="en-US" w:eastAsia="zh-CN" w:bidi="ar-SA"/>
              </w:rPr>
            </w:sdtEndPr>
            <w:sdtContent>
              <w:r>
                <w:rPr>
                  <w:rFonts w:hint="eastAsia" w:ascii="Calibri" w:hAnsi="Calibri" w:eastAsia="宋体" w:cs="宋体"/>
                </w:rPr>
                <w:t>7、技术要求响应表</w:t>
              </w:r>
            </w:sdtContent>
          </w:sdt>
          <w:r>
            <w:tab/>
          </w:r>
          <w:bookmarkStart w:id="43" w:name="_Toc24800_WPSOffice_Level2Page"/>
          <w:r>
            <w:t>31</w:t>
          </w:r>
          <w:bookmarkEnd w:id="43"/>
          <w:r>
            <w:fldChar w:fldCharType="end"/>
          </w:r>
        </w:p>
        <w:p>
          <w:pPr>
            <w:pStyle w:val="22"/>
            <w:tabs>
              <w:tab w:val="right" w:leader="dot" w:pos="10270"/>
            </w:tabs>
          </w:pPr>
          <w:r>
            <w:fldChar w:fldCharType="begin"/>
          </w:r>
          <w:r>
            <w:instrText xml:space="preserve"> HYPERLINK \l _Toc30601_WPSOffice_Level2 </w:instrText>
          </w:r>
          <w:r>
            <w:fldChar w:fldCharType="separate"/>
          </w:r>
          <w:sdt>
            <w:sdtPr>
              <w:rPr>
                <w:rFonts w:ascii="Calibri" w:hAnsi="Calibri" w:eastAsia="宋体" w:cs="宋体"/>
                <w:kern w:val="2"/>
                <w:sz w:val="21"/>
                <w:szCs w:val="24"/>
                <w:lang w:val="en-US" w:eastAsia="zh-CN" w:bidi="ar-SA"/>
              </w:rPr>
              <w:id w:val="147468306"/>
              <w:placeholder>
                <w:docPart w:val="{c7a8dab0-fcc9-42df-b3fc-fb47c829fa84}"/>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8、中小企业声明函</w:t>
              </w:r>
            </w:sdtContent>
          </w:sdt>
          <w:r>
            <w:tab/>
          </w:r>
          <w:bookmarkStart w:id="44" w:name="_Toc30601_WPSOffice_Level2Page"/>
          <w:r>
            <w:t>32</w:t>
          </w:r>
          <w:bookmarkEnd w:id="44"/>
          <w:r>
            <w:fldChar w:fldCharType="end"/>
          </w:r>
        </w:p>
        <w:p>
          <w:pPr>
            <w:pStyle w:val="22"/>
            <w:tabs>
              <w:tab w:val="right" w:leader="dot" w:pos="10270"/>
            </w:tabs>
          </w:pPr>
          <w:r>
            <w:fldChar w:fldCharType="begin"/>
          </w:r>
          <w:r>
            <w:instrText xml:space="preserve"> HYPERLINK \l _Toc1821_WPSOffice_Level2 </w:instrText>
          </w:r>
          <w:r>
            <w:fldChar w:fldCharType="separate"/>
          </w:r>
          <w:sdt>
            <w:sdtPr>
              <w:rPr>
                <w:rFonts w:ascii="Calibri" w:hAnsi="Calibri" w:eastAsia="宋体" w:cs="宋体"/>
                <w:kern w:val="2"/>
                <w:sz w:val="21"/>
                <w:szCs w:val="24"/>
                <w:lang w:val="en-US" w:eastAsia="zh-CN" w:bidi="ar-SA"/>
              </w:rPr>
              <w:id w:val="147468306"/>
              <w:placeholder>
                <w:docPart w:val="{b0bab88e-d001-4a94-811f-a8b76dd102d9}"/>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9、</w:t>
              </w:r>
              <w:r>
                <w:rPr>
                  <w:rFonts w:hint="eastAsia" w:ascii="宋体" w:hAnsi="宋体" w:eastAsia="宋体" w:cs="宋体"/>
                </w:rPr>
                <w:t>售后服务承诺</w:t>
              </w:r>
            </w:sdtContent>
          </w:sdt>
          <w:r>
            <w:tab/>
          </w:r>
          <w:bookmarkStart w:id="45" w:name="_Toc1821_WPSOffice_Level2Page"/>
          <w:r>
            <w:t>33</w:t>
          </w:r>
          <w:bookmarkEnd w:id="45"/>
          <w:r>
            <w:fldChar w:fldCharType="end"/>
          </w:r>
        </w:p>
        <w:p>
          <w:pPr>
            <w:pStyle w:val="22"/>
            <w:tabs>
              <w:tab w:val="right" w:leader="dot" w:pos="10270"/>
            </w:tabs>
          </w:pPr>
          <w:r>
            <w:fldChar w:fldCharType="begin"/>
          </w:r>
          <w:r>
            <w:instrText xml:space="preserve"> HYPERLINK \l _Toc4902_WPSOffice_Level2 </w:instrText>
          </w:r>
          <w:r>
            <w:fldChar w:fldCharType="separate"/>
          </w:r>
          <w:sdt>
            <w:sdtPr>
              <w:rPr>
                <w:rFonts w:ascii="Calibri" w:hAnsi="Calibri" w:eastAsia="宋体" w:cs="宋体"/>
                <w:kern w:val="2"/>
                <w:sz w:val="21"/>
                <w:szCs w:val="24"/>
                <w:lang w:val="en-US" w:eastAsia="zh-CN" w:bidi="ar-SA"/>
              </w:rPr>
              <w:id w:val="147468306"/>
              <w:placeholder>
                <w:docPart w:val="{16024b7e-92f4-4828-870d-a4ba26a8c8d6}"/>
              </w:placeholder>
              <w15:color w:val="509DF3"/>
            </w:sdtPr>
            <w:sdtEndPr>
              <w:rPr>
                <w:rFonts w:ascii="Calibri" w:hAnsi="Calibri" w:eastAsia="宋体" w:cs="宋体"/>
                <w:kern w:val="2"/>
                <w:sz w:val="21"/>
                <w:szCs w:val="24"/>
                <w:lang w:val="en-US" w:eastAsia="zh-CN" w:bidi="ar-SA"/>
              </w:rPr>
            </w:sdtEndPr>
            <w:sdtContent>
              <w:r>
                <w:rPr>
                  <w:rFonts w:hint="eastAsia" w:ascii="Arial" w:hAnsi="Arial" w:eastAsia="宋体" w:cs="宋体"/>
                </w:rPr>
                <w:t>10、供应商基本信息表</w:t>
              </w:r>
            </w:sdtContent>
          </w:sdt>
          <w:r>
            <w:tab/>
          </w:r>
          <w:bookmarkStart w:id="46" w:name="_Toc4902_WPSOffice_Level2Page"/>
          <w:r>
            <w:t>34</w:t>
          </w:r>
          <w:bookmarkEnd w:id="46"/>
          <w:r>
            <w:fldChar w:fldCharType="end"/>
          </w:r>
          <w:bookmarkEnd w:id="0"/>
        </w:p>
      </w:sdtContent>
    </w:sdt>
    <w:p>
      <w:pPr>
        <w:spacing w:beforeLines="50" w:afterLines="50" w:line="360" w:lineRule="auto"/>
        <w:jc w:val="center"/>
        <w:outlineLvl w:val="0"/>
        <w:rPr>
          <w:rStyle w:val="19"/>
          <w:rFonts w:hint="eastAsia"/>
          <w:b/>
          <w:bCs w:val="0"/>
          <w:sz w:val="48"/>
          <w:szCs w:val="48"/>
        </w:rPr>
      </w:pPr>
    </w:p>
    <w:p>
      <w:pPr>
        <w:spacing w:beforeLines="50" w:afterLines="50" w:line="360" w:lineRule="auto"/>
        <w:jc w:val="center"/>
        <w:outlineLvl w:val="0"/>
        <w:rPr>
          <w:rStyle w:val="19"/>
          <w:rFonts w:hint="eastAsia"/>
          <w:b/>
          <w:bCs w:val="0"/>
          <w:sz w:val="48"/>
          <w:szCs w:val="48"/>
        </w:rPr>
      </w:pPr>
    </w:p>
    <w:p>
      <w:pPr>
        <w:spacing w:beforeLines="50" w:afterLines="50" w:line="360" w:lineRule="auto"/>
        <w:jc w:val="center"/>
        <w:outlineLvl w:val="0"/>
        <w:rPr>
          <w:rStyle w:val="19"/>
          <w:rFonts w:hint="default"/>
          <w:b/>
          <w:bCs w:val="0"/>
          <w:sz w:val="48"/>
          <w:szCs w:val="48"/>
          <w:lang w:val="en-US"/>
        </w:rPr>
      </w:pPr>
      <w:bookmarkStart w:id="47" w:name="_Toc9275_WPSOffice_Level1"/>
      <w:r>
        <w:rPr>
          <w:rStyle w:val="19"/>
          <w:rFonts w:hint="eastAsia"/>
          <w:b/>
          <w:bCs w:val="0"/>
          <w:sz w:val="48"/>
          <w:szCs w:val="48"/>
        </w:rPr>
        <w:t>第一部分</w:t>
      </w:r>
      <w:r>
        <w:rPr>
          <w:rStyle w:val="19"/>
          <w:rFonts w:hint="eastAsia"/>
          <w:b/>
          <w:bCs w:val="0"/>
          <w:sz w:val="48"/>
          <w:szCs w:val="48"/>
          <w:lang w:val="en-US"/>
        </w:rPr>
        <w:t xml:space="preserve"> </w:t>
      </w:r>
      <w:r>
        <w:rPr>
          <w:rStyle w:val="19"/>
          <w:rFonts w:hint="eastAsia"/>
          <w:b/>
          <w:bCs w:val="0"/>
          <w:sz w:val="48"/>
          <w:szCs w:val="48"/>
        </w:rPr>
        <w:t>谈判邀请函</w:t>
      </w:r>
      <w:bookmarkEnd w:id="47"/>
      <w:r>
        <w:rPr>
          <w:rStyle w:val="19"/>
          <w:rFonts w:hint="eastAsia"/>
          <w:b/>
          <w:bCs w:val="0"/>
          <w:sz w:val="48"/>
          <w:szCs w:val="48"/>
          <w:lang w:val="en-US"/>
        </w:rPr>
        <w:t xml:space="preserve"> </w:t>
      </w:r>
    </w:p>
    <w:p>
      <w:pPr>
        <w:pStyle w:val="23"/>
        <w:spacing w:line="400" w:lineRule="exact"/>
        <w:ind w:firstLine="480"/>
        <w:rPr>
          <w:rFonts w:hint="eastAsia" w:ascii="宋体" w:hAnsi="宋体"/>
          <w:sz w:val="24"/>
          <w:lang w:val="en-GB"/>
        </w:rPr>
      </w:pPr>
      <w:r>
        <w:rPr>
          <w:rFonts w:hint="eastAsia" w:ascii="宋体" w:hAnsi="宋体"/>
          <w:sz w:val="24"/>
          <w:lang w:val="en-GB" w:eastAsia="zh-CN"/>
        </w:rPr>
        <w:t>中天世纪国际招标有限公司（以下简称“招标代理机构”） 受万宁市环卫园林局（以下简称“采购人”）委托，对万宁市移动式水冲公厕项目进行竞争性谈判采购，现邀请国内合格的供应商前来投标。有关事项如下：</w:t>
      </w:r>
    </w:p>
    <w:p>
      <w:pPr>
        <w:autoSpaceDE w:val="0"/>
        <w:autoSpaceDN w:val="0"/>
        <w:adjustRightInd w:val="0"/>
        <w:snapToGrid w:val="0"/>
        <w:spacing w:beforeLines="50" w:afterLines="50" w:line="440" w:lineRule="exact"/>
        <w:rPr>
          <w:rStyle w:val="28"/>
          <w:rFonts w:hint="eastAsia" w:asciiTheme="majorEastAsia" w:hAnsiTheme="majorEastAsia" w:eastAsiaTheme="majorEastAsia" w:cstheme="majorEastAsia"/>
          <w:sz w:val="28"/>
          <w:szCs w:val="28"/>
          <w:lang w:val="zh-CN"/>
        </w:rPr>
      </w:pPr>
      <w:bookmarkStart w:id="48" w:name="_Toc28591_WPSOffice_Level2"/>
      <w:r>
        <w:rPr>
          <w:rStyle w:val="28"/>
          <w:rFonts w:hint="eastAsia" w:asciiTheme="majorEastAsia" w:hAnsiTheme="majorEastAsia" w:eastAsiaTheme="majorEastAsia" w:cstheme="majorEastAsia"/>
          <w:sz w:val="28"/>
          <w:szCs w:val="28"/>
          <w:lang w:val="zh-CN" w:eastAsia="zh-CN"/>
        </w:rPr>
        <w:t>一</w:t>
      </w:r>
      <w:r>
        <w:rPr>
          <w:rStyle w:val="28"/>
          <w:rFonts w:hint="eastAsia" w:asciiTheme="majorEastAsia" w:hAnsiTheme="majorEastAsia" w:eastAsiaTheme="majorEastAsia" w:cstheme="majorEastAsia"/>
          <w:sz w:val="28"/>
          <w:szCs w:val="28"/>
          <w:lang w:val="zh-CN"/>
        </w:rPr>
        <w:t>、采购内容</w:t>
      </w:r>
      <w:bookmarkEnd w:id="48"/>
    </w:p>
    <w:p>
      <w:pPr>
        <w:pStyle w:val="23"/>
        <w:spacing w:line="440" w:lineRule="exact"/>
        <w:ind w:firstLine="480"/>
        <w:rPr>
          <w:rFonts w:hint="eastAsia" w:ascii="宋体" w:hAnsi="宋体"/>
          <w:sz w:val="24"/>
          <w:lang w:val="en-GB" w:eastAsia="zh-CN"/>
        </w:rPr>
      </w:pPr>
      <w:bookmarkStart w:id="49" w:name="_Toc23948_WPSOffice_Level3"/>
      <w:r>
        <w:rPr>
          <w:rFonts w:hint="eastAsia" w:ascii="宋体" w:hAnsi="宋体"/>
          <w:sz w:val="24"/>
        </w:rPr>
        <w:t>1、</w:t>
      </w:r>
      <w:r>
        <w:rPr>
          <w:rFonts w:hint="eastAsia" w:ascii="宋体" w:hAnsi="宋体"/>
          <w:sz w:val="24"/>
          <w:lang w:val="zh-CN"/>
        </w:rPr>
        <w:t>项目名称：</w:t>
      </w:r>
      <w:bookmarkEnd w:id="49"/>
      <w:r>
        <w:rPr>
          <w:rFonts w:hint="eastAsia" w:ascii="宋体" w:hAnsi="宋体"/>
          <w:sz w:val="24"/>
          <w:lang w:val="en-GB" w:eastAsia="zh-CN"/>
        </w:rPr>
        <w:t>万宁市移动式水冲公厕项目</w:t>
      </w:r>
    </w:p>
    <w:p>
      <w:pPr>
        <w:pStyle w:val="23"/>
        <w:spacing w:line="440" w:lineRule="exact"/>
        <w:ind w:firstLine="480"/>
        <w:rPr>
          <w:rFonts w:hint="eastAsia" w:ascii="宋体" w:hAnsi="宋体"/>
          <w:sz w:val="24"/>
          <w:lang w:val="en-GB" w:eastAsia="zh-CN"/>
        </w:rPr>
      </w:pPr>
      <w:r>
        <w:rPr>
          <w:rFonts w:hint="eastAsia" w:ascii="宋体" w:hAnsi="宋体"/>
          <w:sz w:val="24"/>
          <w:lang w:val="en-US" w:eastAsia="zh-CN"/>
        </w:rPr>
        <w:t>2、</w:t>
      </w:r>
      <w:r>
        <w:rPr>
          <w:rFonts w:hint="eastAsia" w:ascii="宋体" w:hAnsi="宋体"/>
          <w:sz w:val="24"/>
          <w:lang w:val="en-GB" w:eastAsia="zh-CN"/>
        </w:rPr>
        <w:t>项目编号：</w:t>
      </w:r>
      <w:r>
        <w:rPr>
          <w:rFonts w:hint="eastAsia" w:ascii="宋体" w:hAnsi="宋体"/>
          <w:sz w:val="24"/>
          <w:lang w:val="en-GB"/>
        </w:rPr>
        <w:t>ZTSJ-HN2019014</w:t>
      </w:r>
    </w:p>
    <w:p>
      <w:pPr>
        <w:pStyle w:val="23"/>
        <w:spacing w:line="440" w:lineRule="exact"/>
        <w:ind w:firstLine="480"/>
        <w:rPr>
          <w:rFonts w:hint="eastAsia" w:ascii="宋体" w:hAnsi="宋体"/>
          <w:sz w:val="24"/>
          <w:lang w:val="en-GB"/>
        </w:rPr>
      </w:pPr>
      <w:bookmarkStart w:id="50" w:name="_Toc3109_WPSOffice_Level3"/>
      <w:r>
        <w:rPr>
          <w:rFonts w:hint="eastAsia" w:ascii="宋体" w:hAnsi="宋体"/>
          <w:sz w:val="24"/>
          <w:lang w:val="en-US" w:eastAsia="zh-CN"/>
        </w:rPr>
        <w:t>3</w:t>
      </w:r>
      <w:r>
        <w:rPr>
          <w:rFonts w:hint="eastAsia" w:ascii="宋体" w:hAnsi="宋体"/>
          <w:sz w:val="24"/>
          <w:lang w:val="zh-CN"/>
        </w:rPr>
        <w:t>、</w:t>
      </w:r>
      <w:r>
        <w:rPr>
          <w:rFonts w:hint="eastAsia" w:ascii="宋体" w:hAnsi="宋体"/>
          <w:sz w:val="24"/>
          <w:lang w:val="en-GB"/>
        </w:rPr>
        <w:t>项目预算：￥</w:t>
      </w:r>
      <w:r>
        <w:rPr>
          <w:rFonts w:hint="eastAsia" w:ascii="宋体" w:hAnsi="宋体"/>
          <w:sz w:val="24"/>
          <w:lang w:val="en-US" w:eastAsia="zh-CN"/>
        </w:rPr>
        <w:t>1241000.00</w:t>
      </w:r>
      <w:r>
        <w:rPr>
          <w:rFonts w:hint="eastAsia" w:ascii="宋体" w:hAnsi="宋体"/>
          <w:sz w:val="24"/>
          <w:lang w:val="zh-CN"/>
        </w:rPr>
        <w:t>元</w:t>
      </w:r>
      <w:r>
        <w:rPr>
          <w:rFonts w:hint="eastAsia" w:ascii="宋体" w:hAnsi="宋体"/>
          <w:sz w:val="24"/>
          <w:lang w:val="en-GB"/>
        </w:rPr>
        <w:t>（超出采购预算金额的投标按无效投标处理）</w:t>
      </w:r>
      <w:bookmarkEnd w:id="50"/>
    </w:p>
    <w:p>
      <w:pPr>
        <w:pStyle w:val="23"/>
        <w:spacing w:line="400" w:lineRule="exact"/>
        <w:ind w:firstLine="480"/>
        <w:rPr>
          <w:rFonts w:hint="eastAsia" w:ascii="宋体" w:hAnsi="宋体"/>
          <w:bCs/>
          <w:kern w:val="0"/>
          <w:sz w:val="24"/>
          <w:lang w:val="en-US" w:eastAsia="zh-CN"/>
        </w:rPr>
      </w:pPr>
      <w:bookmarkStart w:id="51" w:name="_Toc7901_WPSOffice_Level3"/>
      <w:r>
        <w:rPr>
          <w:rFonts w:hint="eastAsia" w:ascii="宋体" w:hAnsi="宋体"/>
          <w:bCs/>
          <w:kern w:val="0"/>
          <w:sz w:val="24"/>
          <w:lang w:val="en-US" w:eastAsia="zh-CN"/>
        </w:rPr>
        <w:t>4</w:t>
      </w:r>
      <w:r>
        <w:rPr>
          <w:rFonts w:hint="eastAsia" w:ascii="宋体" w:hAnsi="宋体"/>
          <w:bCs/>
          <w:kern w:val="0"/>
          <w:sz w:val="24"/>
        </w:rPr>
        <w:t>、</w:t>
      </w:r>
      <w:bookmarkEnd w:id="51"/>
      <w:r>
        <w:rPr>
          <w:rFonts w:hint="eastAsia" w:ascii="宋体" w:hAnsi="宋体"/>
          <w:bCs/>
          <w:kern w:val="0"/>
          <w:sz w:val="24"/>
          <w:lang w:eastAsia="zh-CN"/>
        </w:rPr>
        <w:t>交货期：签订合同后</w:t>
      </w:r>
      <w:r>
        <w:rPr>
          <w:rFonts w:hint="eastAsia" w:ascii="宋体" w:hAnsi="宋体"/>
          <w:bCs/>
          <w:kern w:val="0"/>
          <w:sz w:val="24"/>
          <w:lang w:val="en-US" w:eastAsia="zh-CN"/>
        </w:rPr>
        <w:t>3天</w:t>
      </w:r>
    </w:p>
    <w:p>
      <w:pPr>
        <w:pStyle w:val="23"/>
        <w:spacing w:line="400" w:lineRule="exact"/>
        <w:ind w:firstLine="480"/>
        <w:rPr>
          <w:rFonts w:hint="default" w:ascii="宋体" w:hAnsi="宋体"/>
          <w:bCs/>
          <w:kern w:val="0"/>
          <w:sz w:val="24"/>
          <w:lang w:val="en-US" w:eastAsia="zh-CN"/>
        </w:rPr>
      </w:pPr>
      <w:r>
        <w:rPr>
          <w:rFonts w:hint="eastAsia" w:ascii="宋体" w:hAnsi="宋体"/>
          <w:bCs/>
          <w:kern w:val="0"/>
          <w:sz w:val="24"/>
          <w:lang w:val="en-US" w:eastAsia="zh-CN"/>
        </w:rPr>
        <w:t>5、项目地点：采购人指定地点</w:t>
      </w:r>
    </w:p>
    <w:p>
      <w:pPr>
        <w:pStyle w:val="23"/>
        <w:spacing w:line="400" w:lineRule="exact"/>
        <w:ind w:left="0" w:leftChars="0" w:firstLine="480" w:firstLineChars="200"/>
        <w:rPr>
          <w:rFonts w:hint="default" w:ascii="宋体" w:hAnsi="宋体" w:eastAsia="宋体"/>
          <w:sz w:val="24"/>
          <w:lang w:val="en-US" w:eastAsia="zh-CN"/>
        </w:rPr>
      </w:pPr>
      <w:bookmarkStart w:id="52" w:name="_Toc1928_WPSOffice_Level3"/>
      <w:r>
        <w:rPr>
          <w:rFonts w:hint="eastAsia" w:ascii="宋体" w:hAnsi="宋体"/>
          <w:sz w:val="24"/>
          <w:lang w:val="en-US" w:eastAsia="zh-CN"/>
        </w:rPr>
        <w:t>6、服务期限：</w:t>
      </w:r>
      <w:bookmarkEnd w:id="52"/>
      <w:r>
        <w:rPr>
          <w:rFonts w:hint="eastAsia" w:ascii="宋体" w:hAnsi="宋体"/>
          <w:sz w:val="24"/>
          <w:lang w:val="en-US" w:eastAsia="zh-CN"/>
        </w:rPr>
        <w:t>自合同签订之日起至验收合格</w:t>
      </w:r>
    </w:p>
    <w:p>
      <w:pPr>
        <w:autoSpaceDE w:val="0"/>
        <w:autoSpaceDN w:val="0"/>
        <w:adjustRightInd w:val="0"/>
        <w:snapToGrid w:val="0"/>
        <w:spacing w:beforeLines="50" w:afterLines="50" w:line="440" w:lineRule="exact"/>
        <w:rPr>
          <w:rFonts w:ascii="宋体" w:hAnsi="宋体"/>
          <w:b/>
          <w:bCs/>
          <w:sz w:val="28"/>
          <w:szCs w:val="28"/>
          <w:lang w:val="zh-CN"/>
        </w:rPr>
      </w:pPr>
      <w:bookmarkStart w:id="53" w:name="_Toc20331_WPSOffice_Level2"/>
      <w:r>
        <w:rPr>
          <w:rStyle w:val="28"/>
          <w:rFonts w:hint="eastAsia" w:asciiTheme="majorEastAsia" w:hAnsiTheme="majorEastAsia" w:eastAsiaTheme="majorEastAsia" w:cstheme="majorEastAsia"/>
          <w:sz w:val="28"/>
          <w:szCs w:val="28"/>
          <w:lang w:val="zh-CN" w:eastAsia="zh-CN"/>
        </w:rPr>
        <w:t>二、供应商资格要求：（供应商必须具备以下条件并提交相关证明资料）</w:t>
      </w:r>
      <w:bookmarkEnd w:id="53"/>
      <w:r>
        <w:rPr>
          <w:rFonts w:hint="eastAsia" w:ascii="宋体" w:hAnsi="宋体"/>
          <w:b/>
          <w:bCs/>
          <w:sz w:val="28"/>
          <w:szCs w:val="28"/>
          <w:lang w:val="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kern w:val="10"/>
          <w:sz w:val="24"/>
          <w:szCs w:val="24"/>
        </w:rPr>
      </w:pPr>
      <w:r>
        <w:rPr>
          <w:rFonts w:hint="eastAsia"/>
          <w:kern w:val="10"/>
          <w:sz w:val="24"/>
        </w:rPr>
        <w:t>（</w:t>
      </w:r>
      <w:r>
        <w:rPr>
          <w:rFonts w:hint="eastAsia"/>
          <w:kern w:val="10"/>
          <w:sz w:val="24"/>
          <w:lang w:val="en-US" w:eastAsia="zh-CN"/>
        </w:rPr>
        <w:t>1</w:t>
      </w:r>
      <w:r>
        <w:rPr>
          <w:rFonts w:hint="eastAsia"/>
          <w:kern w:val="10"/>
          <w:sz w:val="24"/>
          <w:szCs w:val="24"/>
        </w:rPr>
        <w:t>）具有独立承担民事责任能力的在中华人民共和国境内注册的企业；</w:t>
      </w:r>
      <w:r>
        <w:rPr>
          <w:rFonts w:hint="eastAsia"/>
          <w:kern w:val="10"/>
          <w:sz w:val="24"/>
          <w:szCs w:val="24"/>
          <w:lang w:eastAsia="zh-CN"/>
        </w:rPr>
        <w:t>投标人须提供</w:t>
      </w:r>
      <w:r>
        <w:rPr>
          <w:rFonts w:hint="eastAsia"/>
          <w:kern w:val="10"/>
          <w:sz w:val="24"/>
          <w:szCs w:val="24"/>
        </w:rPr>
        <w:t>企业营业执照、组织机构代码证、税务登记证或三证合一营业执照合法有效（营业执照副本复印件加盖公章）；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kern w:val="10"/>
          <w:sz w:val="24"/>
          <w:szCs w:val="24"/>
        </w:rPr>
      </w:pPr>
      <w:r>
        <w:rPr>
          <w:rFonts w:hint="eastAsia"/>
          <w:kern w:val="10"/>
          <w:sz w:val="24"/>
          <w:szCs w:val="24"/>
        </w:rPr>
        <w:t>（</w:t>
      </w:r>
      <w:r>
        <w:rPr>
          <w:rFonts w:hint="eastAsia"/>
          <w:kern w:val="10"/>
          <w:sz w:val="24"/>
          <w:szCs w:val="24"/>
          <w:lang w:val="en-US" w:eastAsia="zh-CN"/>
        </w:rPr>
        <w:t>2</w:t>
      </w:r>
      <w:r>
        <w:rPr>
          <w:rFonts w:hint="eastAsia"/>
          <w:kern w:val="10"/>
          <w:sz w:val="24"/>
          <w:szCs w:val="24"/>
        </w:rPr>
        <w:t>）具有良好的商业信誉和健全的财务会计制度，（提供</w:t>
      </w:r>
      <w:r>
        <w:rPr>
          <w:rFonts w:hint="eastAsia"/>
          <w:kern w:val="10"/>
          <w:sz w:val="24"/>
          <w:szCs w:val="24"/>
          <w:lang w:val="en-US" w:eastAsia="zh-CN"/>
        </w:rPr>
        <w:t>2018年下半年至2019年上半年任意3个月</w:t>
      </w:r>
      <w:r>
        <w:rPr>
          <w:rFonts w:hint="eastAsia"/>
          <w:kern w:val="10"/>
          <w:sz w:val="24"/>
          <w:szCs w:val="24"/>
        </w:rPr>
        <w:t>企业财务报表（资产负债表、</w:t>
      </w:r>
      <w:r>
        <w:rPr>
          <w:rFonts w:hint="eastAsia"/>
          <w:kern w:val="10"/>
          <w:sz w:val="24"/>
          <w:szCs w:val="24"/>
          <w:lang w:eastAsia="zh-CN"/>
        </w:rPr>
        <w:t>利润</w:t>
      </w:r>
      <w:r>
        <w:rPr>
          <w:rFonts w:hint="eastAsia"/>
          <w:kern w:val="10"/>
          <w:sz w:val="24"/>
          <w:szCs w:val="24"/>
        </w:rPr>
        <w:t>表、现金流量表）或201</w:t>
      </w:r>
      <w:r>
        <w:rPr>
          <w:rFonts w:hint="eastAsia"/>
          <w:kern w:val="10"/>
          <w:sz w:val="24"/>
          <w:szCs w:val="24"/>
          <w:lang w:val="en-US" w:eastAsia="zh-CN"/>
        </w:rPr>
        <w:t>8</w:t>
      </w:r>
      <w:r>
        <w:rPr>
          <w:rFonts w:hint="eastAsia"/>
          <w:kern w:val="10"/>
          <w:sz w:val="24"/>
          <w:szCs w:val="24"/>
        </w:rPr>
        <w:t>年度会计事务所出具的财务审计报告（复印件加盖公章）。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kern w:val="10"/>
          <w:sz w:val="24"/>
          <w:szCs w:val="24"/>
        </w:rPr>
      </w:pPr>
      <w:r>
        <w:rPr>
          <w:rFonts w:hint="eastAsia"/>
          <w:kern w:val="10"/>
          <w:sz w:val="24"/>
          <w:szCs w:val="24"/>
        </w:rPr>
        <w:t>（</w:t>
      </w:r>
      <w:r>
        <w:rPr>
          <w:rFonts w:hint="eastAsia"/>
          <w:kern w:val="10"/>
          <w:sz w:val="24"/>
          <w:szCs w:val="24"/>
          <w:lang w:val="en-US" w:eastAsia="zh-CN"/>
        </w:rPr>
        <w:t>3</w:t>
      </w:r>
      <w:r>
        <w:rPr>
          <w:rFonts w:hint="eastAsia"/>
          <w:kern w:val="10"/>
          <w:sz w:val="24"/>
          <w:szCs w:val="24"/>
        </w:rPr>
        <w:t>）有依法缴纳税收和社会保障资金的良好记录，需提供</w:t>
      </w:r>
      <w:r>
        <w:rPr>
          <w:rFonts w:hint="eastAsia"/>
          <w:kern w:val="10"/>
          <w:sz w:val="24"/>
          <w:szCs w:val="24"/>
          <w:lang w:val="en-US" w:eastAsia="zh-CN"/>
        </w:rPr>
        <w:t>2018年下半年至2019年上半年任意3个月</w:t>
      </w:r>
      <w:r>
        <w:rPr>
          <w:rFonts w:hint="eastAsia"/>
          <w:kern w:val="10"/>
          <w:sz w:val="24"/>
          <w:szCs w:val="24"/>
        </w:rPr>
        <w:t>的完税证明及社会保障金缴纳证明（复印件加盖公章）。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kern w:val="10"/>
          <w:sz w:val="24"/>
          <w:szCs w:val="24"/>
        </w:rPr>
      </w:pPr>
      <w:r>
        <w:rPr>
          <w:rFonts w:hint="eastAsia"/>
          <w:kern w:val="10"/>
          <w:sz w:val="24"/>
          <w:szCs w:val="24"/>
        </w:rPr>
        <w:t>（</w:t>
      </w:r>
      <w:r>
        <w:rPr>
          <w:rFonts w:hint="eastAsia"/>
          <w:kern w:val="10"/>
          <w:sz w:val="24"/>
          <w:szCs w:val="24"/>
          <w:lang w:val="en-US" w:eastAsia="zh-CN"/>
        </w:rPr>
        <w:t>4</w:t>
      </w:r>
      <w:r>
        <w:rPr>
          <w:rFonts w:hint="eastAsia"/>
          <w:kern w:val="10"/>
          <w:sz w:val="24"/>
          <w:szCs w:val="24"/>
        </w:rPr>
        <w:t>）参加政府采购活动前三年内，在经营活动中没有重大违法记录。（提供书面声明）</w:t>
      </w:r>
    </w:p>
    <w:p>
      <w:pPr>
        <w:keepNext w:val="0"/>
        <w:keepLines w:val="0"/>
        <w:pageBreakBefore w:val="0"/>
        <w:widowControl w:val="0"/>
        <w:kinsoku/>
        <w:wordWrap/>
        <w:overflowPunct/>
        <w:topLinePunct w:val="0"/>
        <w:bidi w:val="0"/>
        <w:adjustRightInd/>
        <w:snapToGrid/>
        <w:spacing w:line="500" w:lineRule="exact"/>
        <w:ind w:left="0" w:leftChars="0" w:right="-334" w:rightChars="-159" w:firstLine="480" w:firstLineChars="200"/>
        <w:jc w:val="left"/>
        <w:textAlignment w:val="auto"/>
        <w:rPr>
          <w:rFonts w:hint="eastAsia"/>
          <w:kern w:val="10"/>
          <w:sz w:val="24"/>
          <w:szCs w:val="24"/>
          <w:lang w:eastAsia="zh-CN"/>
        </w:rPr>
      </w:pPr>
      <w:r>
        <w:rPr>
          <w:rFonts w:hint="eastAsia"/>
          <w:kern w:val="10"/>
          <w:sz w:val="24"/>
          <w:szCs w:val="24"/>
        </w:rPr>
        <w:t>（</w:t>
      </w:r>
      <w:r>
        <w:rPr>
          <w:rFonts w:hint="eastAsia"/>
          <w:kern w:val="10"/>
          <w:sz w:val="24"/>
          <w:szCs w:val="24"/>
          <w:lang w:val="en-US" w:eastAsia="zh-CN"/>
        </w:rPr>
        <w:t>5</w:t>
      </w:r>
      <w:r>
        <w:rPr>
          <w:rFonts w:hint="eastAsia"/>
          <w:kern w:val="10"/>
          <w:sz w:val="24"/>
          <w:szCs w:val="24"/>
        </w:rPr>
        <w:t>）</w:t>
      </w:r>
      <w:r>
        <w:rPr>
          <w:rFonts w:hint="eastAsia"/>
          <w:kern w:val="10"/>
          <w:sz w:val="24"/>
          <w:szCs w:val="24"/>
          <w:lang w:eastAsia="zh-CN"/>
        </w:rPr>
        <w:t>投标人需</w:t>
      </w:r>
      <w:r>
        <w:rPr>
          <w:rFonts w:hint="eastAsia"/>
          <w:kern w:val="10"/>
          <w:sz w:val="24"/>
          <w:szCs w:val="24"/>
        </w:rPr>
        <w:t>提供无不良信用记录查询结果</w:t>
      </w:r>
      <w:r>
        <w:rPr>
          <w:rFonts w:hint="eastAsia"/>
          <w:kern w:val="10"/>
          <w:sz w:val="24"/>
          <w:szCs w:val="24"/>
          <w:lang w:eastAsia="zh-CN"/>
        </w:rPr>
        <w:t>。（信用中国：</w:t>
      </w:r>
      <w:r>
        <w:rPr>
          <w:rFonts w:hint="eastAsia"/>
          <w:kern w:val="10"/>
          <w:sz w:val="24"/>
          <w:szCs w:val="24"/>
          <w:lang w:val="en-US" w:eastAsia="zh-CN"/>
        </w:rPr>
        <w:fldChar w:fldCharType="begin"/>
      </w:r>
      <w:r>
        <w:rPr>
          <w:rFonts w:hint="eastAsia"/>
          <w:kern w:val="10"/>
          <w:sz w:val="24"/>
          <w:szCs w:val="24"/>
          <w:lang w:val="en-US" w:eastAsia="zh-CN"/>
        </w:rPr>
        <w:instrText xml:space="preserve"> HYPERLINK "http://www.creditchina.gov.cn）" </w:instrText>
      </w:r>
      <w:r>
        <w:rPr>
          <w:rFonts w:hint="eastAsia"/>
          <w:kern w:val="10"/>
          <w:sz w:val="24"/>
          <w:szCs w:val="24"/>
          <w:lang w:val="en-US" w:eastAsia="zh-CN"/>
        </w:rPr>
        <w:fldChar w:fldCharType="separate"/>
      </w:r>
      <w:r>
        <w:rPr>
          <w:rStyle w:val="18"/>
          <w:rFonts w:hint="eastAsia"/>
          <w:kern w:val="10"/>
          <w:sz w:val="24"/>
          <w:szCs w:val="24"/>
          <w:lang w:val="en-US" w:eastAsia="zh-CN"/>
        </w:rPr>
        <w:t>www.creditchina.gov.cn</w:t>
      </w:r>
      <w:r>
        <w:rPr>
          <w:rStyle w:val="18"/>
          <w:rFonts w:hint="eastAsia"/>
          <w:kern w:val="10"/>
          <w:sz w:val="24"/>
          <w:szCs w:val="24"/>
          <w:lang w:eastAsia="zh-CN"/>
        </w:rPr>
        <w:t>）</w:t>
      </w:r>
      <w:r>
        <w:rPr>
          <w:rFonts w:hint="eastAsia"/>
          <w:kern w:val="10"/>
          <w:sz w:val="24"/>
          <w:szCs w:val="24"/>
          <w:lang w:val="en-US" w:eastAsia="zh-CN"/>
        </w:rPr>
        <w:fldChar w:fldCharType="end"/>
      </w:r>
    </w:p>
    <w:p>
      <w:pPr>
        <w:keepNext w:val="0"/>
        <w:keepLines w:val="0"/>
        <w:pageBreakBefore w:val="0"/>
        <w:widowControl w:val="0"/>
        <w:kinsoku/>
        <w:wordWrap/>
        <w:overflowPunct/>
        <w:topLinePunct w:val="0"/>
        <w:bidi w:val="0"/>
        <w:adjustRightInd/>
        <w:snapToGrid/>
        <w:spacing w:line="500" w:lineRule="exact"/>
        <w:ind w:left="0" w:leftChars="0" w:right="-334" w:rightChars="-159" w:firstLine="480" w:firstLineChars="200"/>
        <w:jc w:val="left"/>
        <w:textAlignment w:val="auto"/>
        <w:rPr>
          <w:rFonts w:hint="eastAsia" w:eastAsia="宋体"/>
          <w:kern w:val="10"/>
          <w:sz w:val="24"/>
          <w:szCs w:val="24"/>
          <w:lang w:eastAsia="zh-CN"/>
        </w:rPr>
      </w:pPr>
      <w:r>
        <w:rPr>
          <w:rFonts w:hint="eastAsia"/>
          <w:kern w:val="10"/>
          <w:sz w:val="24"/>
          <w:szCs w:val="24"/>
          <w:lang w:eastAsia="zh-CN"/>
        </w:rPr>
        <w:t>（</w:t>
      </w:r>
      <w:r>
        <w:rPr>
          <w:rFonts w:hint="eastAsia"/>
          <w:kern w:val="10"/>
          <w:sz w:val="24"/>
          <w:szCs w:val="24"/>
          <w:lang w:val="en-US" w:eastAsia="zh-CN"/>
        </w:rPr>
        <w:t>6</w:t>
      </w:r>
      <w:r>
        <w:rPr>
          <w:rFonts w:hint="eastAsia"/>
          <w:kern w:val="10"/>
          <w:sz w:val="24"/>
          <w:szCs w:val="24"/>
          <w:lang w:eastAsia="zh-CN"/>
        </w:rPr>
        <w:t>）不接受联合体投标</w:t>
      </w:r>
    </w:p>
    <w:p>
      <w:pPr>
        <w:autoSpaceDE w:val="0"/>
        <w:autoSpaceDN w:val="0"/>
        <w:adjustRightInd w:val="0"/>
        <w:snapToGrid w:val="0"/>
        <w:spacing w:beforeLines="50" w:afterLines="50" w:line="440" w:lineRule="exact"/>
        <w:rPr>
          <w:rStyle w:val="28"/>
          <w:rFonts w:hint="eastAsia" w:asciiTheme="majorEastAsia" w:hAnsiTheme="majorEastAsia" w:eastAsiaTheme="majorEastAsia" w:cstheme="majorEastAsia"/>
          <w:sz w:val="28"/>
          <w:szCs w:val="28"/>
          <w:lang w:val="en-GB" w:eastAsia="zh-CN"/>
        </w:rPr>
      </w:pPr>
      <w:bookmarkStart w:id="54" w:name="_Toc16923_WPSOffice_Level2"/>
      <w:r>
        <w:rPr>
          <w:rStyle w:val="28"/>
          <w:rFonts w:hint="eastAsia" w:asciiTheme="majorEastAsia" w:hAnsiTheme="majorEastAsia" w:eastAsiaTheme="majorEastAsia" w:cstheme="majorEastAsia"/>
          <w:sz w:val="28"/>
          <w:szCs w:val="28"/>
          <w:lang w:val="en-GB" w:eastAsia="zh-CN"/>
        </w:rPr>
        <w:t>三、谈判文件的获取：</w:t>
      </w:r>
      <w:bookmarkEnd w:id="54"/>
    </w:p>
    <w:p>
      <w:pPr>
        <w:spacing w:line="440" w:lineRule="exact"/>
        <w:ind w:firstLine="480" w:firstLineChars="200"/>
        <w:rPr>
          <w:rFonts w:ascii="宋体" w:hAnsi="宋体"/>
          <w:bCs/>
          <w:kern w:val="0"/>
          <w:sz w:val="24"/>
          <w:lang w:val="en-GB"/>
        </w:rPr>
      </w:pPr>
      <w:r>
        <w:rPr>
          <w:rFonts w:hint="eastAsia" w:ascii="宋体" w:hAnsi="宋体"/>
          <w:bCs/>
          <w:kern w:val="0"/>
          <w:sz w:val="24"/>
          <w:lang w:val="en-GB"/>
        </w:rPr>
        <w:t>1、谈判文件发售时间</w:t>
      </w:r>
      <w:r>
        <w:rPr>
          <w:rFonts w:hint="eastAsia" w:ascii="宋体" w:hAnsi="宋体"/>
          <w:bCs/>
          <w:kern w:val="0"/>
          <w:sz w:val="24"/>
        </w:rPr>
        <w:t xml:space="preserve">：2019年 </w:t>
      </w:r>
      <w:r>
        <w:rPr>
          <w:rFonts w:hint="eastAsia" w:ascii="宋体" w:hAnsi="宋体"/>
          <w:bCs/>
          <w:kern w:val="0"/>
          <w:sz w:val="24"/>
          <w:lang w:val="en-US" w:eastAsia="zh-CN"/>
        </w:rPr>
        <w:t>8</w:t>
      </w:r>
      <w:r>
        <w:rPr>
          <w:rFonts w:hint="eastAsia" w:ascii="宋体" w:hAnsi="宋体"/>
          <w:bCs/>
          <w:kern w:val="0"/>
          <w:sz w:val="24"/>
          <w:lang w:val="en-GB"/>
        </w:rPr>
        <w:t>月</w:t>
      </w:r>
      <w:r>
        <w:rPr>
          <w:rFonts w:hint="eastAsia" w:ascii="宋体" w:hAnsi="宋体"/>
          <w:bCs/>
          <w:kern w:val="0"/>
          <w:sz w:val="24"/>
        </w:rPr>
        <w:t xml:space="preserve"> </w:t>
      </w:r>
      <w:r>
        <w:rPr>
          <w:rFonts w:hint="eastAsia" w:ascii="宋体" w:hAnsi="宋体"/>
          <w:bCs/>
          <w:kern w:val="0"/>
          <w:sz w:val="24"/>
          <w:lang w:val="en-US" w:eastAsia="zh-CN"/>
        </w:rPr>
        <w:t>13</w:t>
      </w:r>
      <w:r>
        <w:rPr>
          <w:rFonts w:hint="eastAsia" w:ascii="宋体" w:hAnsi="宋体"/>
          <w:bCs/>
          <w:kern w:val="0"/>
          <w:sz w:val="24"/>
          <w:lang w:val="en-GB"/>
        </w:rPr>
        <w:t>日至2019年</w:t>
      </w:r>
      <w:r>
        <w:rPr>
          <w:rFonts w:hint="eastAsia" w:ascii="宋体" w:hAnsi="宋体"/>
          <w:bCs/>
          <w:kern w:val="0"/>
          <w:sz w:val="24"/>
        </w:rPr>
        <w:t xml:space="preserve"> </w:t>
      </w:r>
      <w:r>
        <w:rPr>
          <w:rFonts w:hint="eastAsia" w:ascii="宋体" w:hAnsi="宋体"/>
          <w:bCs/>
          <w:kern w:val="0"/>
          <w:sz w:val="24"/>
          <w:lang w:val="en-US" w:eastAsia="zh-CN"/>
        </w:rPr>
        <w:t>8</w:t>
      </w:r>
      <w:r>
        <w:rPr>
          <w:rFonts w:hint="eastAsia" w:ascii="宋体" w:hAnsi="宋体"/>
          <w:bCs/>
          <w:kern w:val="0"/>
          <w:sz w:val="24"/>
        </w:rPr>
        <w:t xml:space="preserve"> </w:t>
      </w:r>
      <w:r>
        <w:rPr>
          <w:rFonts w:hint="eastAsia" w:ascii="宋体" w:hAnsi="宋体"/>
          <w:bCs/>
          <w:kern w:val="0"/>
          <w:sz w:val="24"/>
          <w:lang w:val="en-GB"/>
        </w:rPr>
        <w:t>月</w:t>
      </w:r>
      <w:r>
        <w:rPr>
          <w:rFonts w:hint="eastAsia" w:ascii="宋体" w:hAnsi="宋体"/>
          <w:bCs/>
          <w:kern w:val="0"/>
          <w:sz w:val="24"/>
        </w:rPr>
        <w:t xml:space="preserve"> </w:t>
      </w:r>
      <w:r>
        <w:rPr>
          <w:rFonts w:hint="eastAsia" w:ascii="宋体" w:hAnsi="宋体"/>
          <w:bCs/>
          <w:kern w:val="0"/>
          <w:sz w:val="24"/>
          <w:lang w:val="en-US" w:eastAsia="zh-CN"/>
        </w:rPr>
        <w:t>19</w:t>
      </w:r>
      <w:r>
        <w:rPr>
          <w:rFonts w:hint="eastAsia" w:ascii="宋体" w:hAnsi="宋体"/>
          <w:bCs/>
          <w:kern w:val="0"/>
          <w:sz w:val="24"/>
          <w:lang w:val="en-GB"/>
        </w:rPr>
        <w:t>日（上午</w:t>
      </w:r>
      <w:r>
        <w:rPr>
          <w:rFonts w:hint="eastAsia" w:ascii="宋体" w:hAnsi="宋体"/>
          <w:bCs/>
          <w:kern w:val="0"/>
          <w:sz w:val="24"/>
        </w:rPr>
        <w:t>08</w:t>
      </w:r>
      <w:r>
        <w:rPr>
          <w:rFonts w:hint="eastAsia" w:ascii="宋体" w:hAnsi="宋体"/>
          <w:bCs/>
          <w:kern w:val="0"/>
          <w:sz w:val="24"/>
          <w:lang w:val="en-GB"/>
        </w:rPr>
        <w:t>:</w:t>
      </w:r>
      <w:r>
        <w:rPr>
          <w:rFonts w:hint="eastAsia" w:ascii="宋体" w:hAnsi="宋体"/>
          <w:bCs/>
          <w:kern w:val="0"/>
          <w:sz w:val="24"/>
        </w:rPr>
        <w:t>3</w:t>
      </w:r>
      <w:r>
        <w:rPr>
          <w:rFonts w:hint="eastAsia" w:ascii="宋体" w:hAnsi="宋体"/>
          <w:bCs/>
          <w:kern w:val="0"/>
          <w:sz w:val="24"/>
          <w:lang w:val="en-GB"/>
        </w:rPr>
        <w:t>0－1</w:t>
      </w:r>
      <w:r>
        <w:rPr>
          <w:rFonts w:hint="eastAsia" w:ascii="宋体" w:hAnsi="宋体"/>
          <w:bCs/>
          <w:kern w:val="0"/>
          <w:sz w:val="24"/>
        </w:rPr>
        <w:t>2</w:t>
      </w:r>
      <w:r>
        <w:rPr>
          <w:rFonts w:hint="eastAsia" w:ascii="宋体" w:hAnsi="宋体"/>
          <w:bCs/>
          <w:kern w:val="0"/>
          <w:sz w:val="24"/>
          <w:lang w:val="en-GB"/>
        </w:rPr>
        <w:t>:</w:t>
      </w:r>
      <w:r>
        <w:rPr>
          <w:rFonts w:hint="eastAsia" w:ascii="宋体" w:hAnsi="宋体"/>
          <w:bCs/>
          <w:kern w:val="0"/>
          <w:sz w:val="24"/>
        </w:rPr>
        <w:t>0</w:t>
      </w:r>
      <w:r>
        <w:rPr>
          <w:rFonts w:hint="eastAsia" w:ascii="宋体" w:hAnsi="宋体"/>
          <w:bCs/>
          <w:kern w:val="0"/>
          <w:sz w:val="24"/>
          <w:lang w:val="en-GB"/>
        </w:rPr>
        <w:t>0，下午14:30－17:</w:t>
      </w:r>
      <w:r>
        <w:rPr>
          <w:rFonts w:hint="eastAsia" w:ascii="宋体" w:hAnsi="宋体"/>
          <w:bCs/>
          <w:kern w:val="0"/>
          <w:sz w:val="24"/>
        </w:rPr>
        <w:t>3</w:t>
      </w:r>
      <w:r>
        <w:rPr>
          <w:rFonts w:hint="eastAsia" w:ascii="宋体" w:hAnsi="宋体"/>
          <w:bCs/>
          <w:kern w:val="0"/>
          <w:sz w:val="24"/>
          <w:lang w:val="en-GB"/>
        </w:rPr>
        <w:t>0，北京时间），节假日除外；</w:t>
      </w:r>
    </w:p>
    <w:p>
      <w:pPr>
        <w:spacing w:line="440" w:lineRule="exact"/>
        <w:ind w:firstLine="480" w:firstLineChars="200"/>
        <w:rPr>
          <w:rFonts w:ascii="宋体" w:hAnsi="宋体"/>
          <w:bCs/>
          <w:kern w:val="0"/>
          <w:sz w:val="24"/>
          <w:lang w:val="en-GB"/>
        </w:rPr>
      </w:pPr>
      <w:r>
        <w:rPr>
          <w:rFonts w:hint="eastAsia" w:ascii="宋体" w:hAnsi="宋体"/>
          <w:bCs/>
          <w:kern w:val="0"/>
          <w:sz w:val="24"/>
          <w:lang w:val="en-GB"/>
        </w:rPr>
        <w:t>2、地点</w:t>
      </w:r>
      <w:r>
        <w:rPr>
          <w:rFonts w:hint="eastAsia" w:ascii="宋体" w:hAnsi="宋体"/>
          <w:bCs/>
          <w:kern w:val="0"/>
          <w:sz w:val="24"/>
        </w:rPr>
        <w:t>：</w:t>
      </w:r>
      <w:r>
        <w:rPr>
          <w:rFonts w:hint="eastAsia" w:ascii="宋体" w:hAnsi="宋体"/>
          <w:bCs/>
          <w:kern w:val="0"/>
          <w:sz w:val="24"/>
          <w:lang w:val="en-GB"/>
        </w:rPr>
        <w:t>海南省海口市美兰区和平大道60号蔚蓝海语印象初阳阁A-2201室；</w:t>
      </w:r>
    </w:p>
    <w:p>
      <w:pPr>
        <w:spacing w:line="440" w:lineRule="exact"/>
        <w:ind w:firstLine="480" w:firstLineChars="200"/>
        <w:rPr>
          <w:rFonts w:ascii="宋体" w:hAnsi="宋体"/>
          <w:bCs/>
          <w:kern w:val="0"/>
          <w:sz w:val="24"/>
          <w:lang w:val="en-GB"/>
        </w:rPr>
      </w:pPr>
      <w:r>
        <w:rPr>
          <w:rFonts w:hint="eastAsia" w:ascii="宋体" w:hAnsi="宋体"/>
          <w:bCs/>
          <w:kern w:val="0"/>
          <w:sz w:val="24"/>
        </w:rPr>
        <w:t>3</w:t>
      </w:r>
      <w:r>
        <w:rPr>
          <w:rFonts w:hint="eastAsia" w:ascii="宋体" w:hAnsi="宋体"/>
          <w:bCs/>
          <w:kern w:val="0"/>
          <w:sz w:val="24"/>
          <w:lang w:val="en-GB"/>
        </w:rPr>
        <w:t>、售价</w:t>
      </w:r>
      <w:r>
        <w:rPr>
          <w:rFonts w:hint="eastAsia" w:ascii="宋体" w:hAnsi="宋体"/>
          <w:bCs/>
          <w:kern w:val="0"/>
          <w:sz w:val="24"/>
        </w:rPr>
        <w:t>：</w:t>
      </w:r>
      <w:r>
        <w:rPr>
          <w:rFonts w:hint="eastAsia" w:ascii="宋体" w:hAnsi="宋体"/>
          <w:bCs/>
          <w:kern w:val="0"/>
          <w:sz w:val="24"/>
          <w:lang w:val="en-GB"/>
        </w:rPr>
        <w:t>人民币</w:t>
      </w:r>
      <w:r>
        <w:rPr>
          <w:rFonts w:hint="eastAsia" w:ascii="宋体" w:hAnsi="宋体"/>
          <w:bCs/>
          <w:kern w:val="0"/>
          <w:sz w:val="24"/>
          <w:lang w:val="en-US" w:eastAsia="zh-CN"/>
        </w:rPr>
        <w:t xml:space="preserve"> 300</w:t>
      </w:r>
      <w:r>
        <w:rPr>
          <w:rFonts w:hint="eastAsia" w:ascii="宋体" w:hAnsi="宋体"/>
          <w:bCs/>
          <w:kern w:val="0"/>
          <w:sz w:val="24"/>
          <w:lang w:val="en-GB"/>
        </w:rPr>
        <w:t>元/份（文件售后概不退）；</w:t>
      </w:r>
    </w:p>
    <w:p>
      <w:pPr>
        <w:spacing w:line="440" w:lineRule="exact"/>
        <w:ind w:firstLine="480" w:firstLineChars="200"/>
        <w:rPr>
          <w:rFonts w:ascii="宋体" w:hAnsi="宋体"/>
          <w:bCs/>
          <w:kern w:val="0"/>
          <w:sz w:val="24"/>
          <w:lang w:val="en-GB"/>
        </w:rPr>
      </w:pPr>
      <w:r>
        <w:rPr>
          <w:rFonts w:hint="eastAsia" w:ascii="宋体" w:hAnsi="宋体"/>
          <w:bCs/>
          <w:kern w:val="0"/>
          <w:sz w:val="24"/>
        </w:rPr>
        <w:t>4</w:t>
      </w:r>
      <w:r>
        <w:rPr>
          <w:rFonts w:hint="eastAsia" w:ascii="宋体" w:hAnsi="宋体"/>
          <w:bCs/>
          <w:kern w:val="0"/>
          <w:sz w:val="24"/>
          <w:lang w:val="en-GB"/>
        </w:rPr>
        <w:t>、购买谈判文件时须提供</w:t>
      </w:r>
      <w:r>
        <w:rPr>
          <w:rFonts w:hint="eastAsia" w:ascii="宋体" w:hAnsi="宋体"/>
          <w:sz w:val="24"/>
          <w:lang w:val="zh-CN"/>
        </w:rPr>
        <w:t>（复印件加盖公章）</w:t>
      </w:r>
      <w:r>
        <w:rPr>
          <w:rFonts w:hint="eastAsia" w:ascii="宋体" w:hAnsi="宋体"/>
          <w:bCs/>
          <w:kern w:val="0"/>
          <w:sz w:val="24"/>
          <w:lang w:val="en-GB"/>
        </w:rPr>
        <w:t>：</w:t>
      </w:r>
    </w:p>
    <w:p>
      <w:pPr>
        <w:spacing w:line="400" w:lineRule="exact"/>
        <w:ind w:firstLine="480" w:firstLineChars="200"/>
        <w:rPr>
          <w:rFonts w:ascii="宋体" w:hAnsi="宋体"/>
          <w:sz w:val="24"/>
          <w:lang w:val="zh-CN"/>
        </w:rPr>
      </w:pPr>
      <w:r>
        <w:rPr>
          <w:rFonts w:hint="eastAsia" w:ascii="宋体" w:hAnsi="宋体"/>
          <w:sz w:val="24"/>
          <w:lang w:val="zh-CN"/>
        </w:rPr>
        <w:t>（</w:t>
      </w:r>
      <w:r>
        <w:rPr>
          <w:rFonts w:hint="eastAsia" w:ascii="宋体" w:hAnsi="宋体"/>
          <w:sz w:val="24"/>
        </w:rPr>
        <w:t>1</w:t>
      </w:r>
      <w:r>
        <w:rPr>
          <w:rFonts w:hint="eastAsia" w:ascii="宋体" w:hAnsi="宋体"/>
          <w:sz w:val="24"/>
          <w:lang w:val="zh-CN"/>
        </w:rPr>
        <w:t>）营业执照副本；</w:t>
      </w:r>
    </w:p>
    <w:p>
      <w:pPr>
        <w:spacing w:line="400" w:lineRule="exact"/>
        <w:ind w:firstLine="480" w:firstLineChars="200"/>
        <w:rPr>
          <w:rFonts w:ascii="宋体" w:hAnsi="宋体"/>
          <w:sz w:val="24"/>
        </w:rPr>
      </w:pPr>
      <w:r>
        <w:rPr>
          <w:rFonts w:hint="eastAsia" w:ascii="宋体" w:hAnsi="宋体"/>
          <w:sz w:val="24"/>
        </w:rPr>
        <w:t>（2）法定代表人授权委托书原件、法定代表人身份证复印件及授权代表身份证复印件；</w:t>
      </w:r>
    </w:p>
    <w:p>
      <w:pPr>
        <w:autoSpaceDE w:val="0"/>
        <w:autoSpaceDN w:val="0"/>
        <w:adjustRightInd w:val="0"/>
        <w:snapToGrid w:val="0"/>
        <w:spacing w:beforeLines="50" w:afterLines="50" w:line="440" w:lineRule="exact"/>
        <w:rPr>
          <w:rStyle w:val="28"/>
          <w:rFonts w:hint="eastAsia" w:asciiTheme="majorEastAsia" w:hAnsiTheme="majorEastAsia" w:eastAsiaTheme="majorEastAsia" w:cstheme="majorEastAsia"/>
          <w:sz w:val="28"/>
          <w:szCs w:val="28"/>
          <w:lang w:val="en-GB" w:eastAsia="zh-CN"/>
        </w:rPr>
      </w:pPr>
      <w:bookmarkStart w:id="55" w:name="_Toc27536_WPSOffice_Level2"/>
      <w:r>
        <w:rPr>
          <w:rStyle w:val="28"/>
          <w:rFonts w:hint="eastAsia" w:asciiTheme="majorEastAsia" w:hAnsiTheme="majorEastAsia" w:eastAsiaTheme="majorEastAsia" w:cstheme="majorEastAsia"/>
          <w:sz w:val="28"/>
          <w:szCs w:val="28"/>
          <w:lang w:val="en-GB" w:eastAsia="zh-CN"/>
        </w:rPr>
        <w:t>四、响应文件递交截止时间、开启时间及地点：</w:t>
      </w:r>
      <w:bookmarkEnd w:id="55"/>
    </w:p>
    <w:p>
      <w:pPr>
        <w:spacing w:line="440" w:lineRule="exact"/>
        <w:ind w:firstLine="480" w:firstLineChars="200"/>
        <w:rPr>
          <w:rFonts w:ascii="宋体" w:hAnsi="宋体"/>
          <w:kern w:val="0"/>
          <w:sz w:val="24"/>
        </w:rPr>
      </w:pPr>
      <w:r>
        <w:rPr>
          <w:rFonts w:hint="eastAsia" w:ascii="宋体" w:hAnsi="宋体"/>
          <w:bCs/>
          <w:kern w:val="0"/>
          <w:sz w:val="24"/>
          <w:lang w:val="en-GB"/>
        </w:rPr>
        <w:t>1、响应文件递交时间</w:t>
      </w:r>
      <w:r>
        <w:rPr>
          <w:rFonts w:hint="eastAsia" w:ascii="宋体" w:hAnsi="宋体"/>
          <w:bCs/>
          <w:kern w:val="0"/>
          <w:sz w:val="24"/>
        </w:rPr>
        <w:t>：</w:t>
      </w:r>
      <w:r>
        <w:rPr>
          <w:rFonts w:hint="eastAsia" w:ascii="宋体" w:hAnsi="宋体"/>
          <w:bCs/>
          <w:kern w:val="0"/>
          <w:sz w:val="24"/>
          <w:lang w:val="en-GB"/>
        </w:rPr>
        <w:t>2019年</w:t>
      </w:r>
      <w:r>
        <w:rPr>
          <w:rFonts w:hint="eastAsia" w:ascii="宋体" w:hAnsi="宋体"/>
          <w:bCs/>
          <w:kern w:val="0"/>
          <w:sz w:val="24"/>
        </w:rPr>
        <w:t xml:space="preserve"> </w:t>
      </w:r>
      <w:r>
        <w:rPr>
          <w:rFonts w:hint="eastAsia" w:ascii="宋体" w:hAnsi="宋体"/>
          <w:bCs/>
          <w:kern w:val="0"/>
          <w:sz w:val="24"/>
          <w:lang w:val="en-US" w:eastAsia="zh-CN"/>
        </w:rPr>
        <w:t>8</w:t>
      </w:r>
      <w:r>
        <w:rPr>
          <w:rFonts w:hint="eastAsia" w:ascii="宋体" w:hAnsi="宋体"/>
          <w:bCs/>
          <w:kern w:val="0"/>
          <w:sz w:val="24"/>
        </w:rPr>
        <w:t xml:space="preserve"> </w:t>
      </w:r>
      <w:r>
        <w:rPr>
          <w:rFonts w:hint="eastAsia" w:ascii="宋体" w:hAnsi="宋体"/>
          <w:bCs/>
          <w:kern w:val="0"/>
          <w:sz w:val="24"/>
          <w:lang w:val="en-GB"/>
        </w:rPr>
        <w:t>月</w:t>
      </w:r>
      <w:r>
        <w:rPr>
          <w:rFonts w:hint="eastAsia" w:ascii="宋体" w:hAnsi="宋体"/>
          <w:bCs/>
          <w:kern w:val="0"/>
          <w:sz w:val="24"/>
        </w:rPr>
        <w:t xml:space="preserve"> </w:t>
      </w:r>
      <w:r>
        <w:rPr>
          <w:rFonts w:hint="eastAsia" w:ascii="宋体" w:hAnsi="宋体"/>
          <w:bCs/>
          <w:kern w:val="0"/>
          <w:sz w:val="24"/>
          <w:lang w:val="en-US" w:eastAsia="zh-CN"/>
        </w:rPr>
        <w:t>19</w:t>
      </w:r>
      <w:r>
        <w:rPr>
          <w:rFonts w:hint="eastAsia" w:ascii="宋体" w:hAnsi="宋体"/>
          <w:bCs/>
          <w:kern w:val="0"/>
          <w:sz w:val="24"/>
          <w:lang w:val="en-GB"/>
        </w:rPr>
        <w:t>日</w:t>
      </w:r>
      <w:r>
        <w:rPr>
          <w:rFonts w:hint="eastAsia" w:ascii="宋体" w:hAnsi="宋体"/>
          <w:bCs/>
          <w:kern w:val="0"/>
          <w:sz w:val="24"/>
          <w:lang w:val="en-GB" w:eastAsia="zh-CN"/>
        </w:rPr>
        <w:t>上午</w:t>
      </w:r>
      <w:r>
        <w:rPr>
          <w:rFonts w:hint="eastAsia" w:ascii="宋体" w:hAnsi="宋体"/>
          <w:bCs/>
          <w:kern w:val="0"/>
          <w:sz w:val="24"/>
          <w:lang w:val="en-US" w:eastAsia="zh-CN"/>
        </w:rPr>
        <w:t xml:space="preserve"> </w:t>
      </w:r>
      <w:r>
        <w:rPr>
          <w:rFonts w:hint="eastAsia" w:ascii="宋体" w:hAnsi="宋体"/>
          <w:bCs/>
          <w:kern w:val="0"/>
          <w:sz w:val="24"/>
        </w:rPr>
        <w:t xml:space="preserve"> </w:t>
      </w:r>
      <w:r>
        <w:rPr>
          <w:rFonts w:hint="eastAsia" w:ascii="宋体" w:hAnsi="宋体"/>
          <w:bCs/>
          <w:kern w:val="0"/>
          <w:sz w:val="24"/>
          <w:lang w:val="en-US" w:eastAsia="zh-CN"/>
        </w:rPr>
        <w:t>09</w:t>
      </w:r>
      <w:r>
        <w:rPr>
          <w:rFonts w:hint="eastAsia" w:ascii="宋体" w:hAnsi="宋体"/>
          <w:bCs/>
          <w:kern w:val="0"/>
          <w:sz w:val="24"/>
        </w:rPr>
        <w:t xml:space="preserve"> </w:t>
      </w:r>
      <w:r>
        <w:rPr>
          <w:rFonts w:hint="eastAsia" w:ascii="宋体" w:hAnsi="宋体"/>
          <w:bCs/>
          <w:kern w:val="0"/>
          <w:sz w:val="24"/>
          <w:lang w:val="en-GB"/>
        </w:rPr>
        <w:t>:</w:t>
      </w:r>
      <w:r>
        <w:rPr>
          <w:rFonts w:hint="eastAsia" w:ascii="宋体" w:hAnsi="宋体"/>
          <w:bCs/>
          <w:kern w:val="0"/>
          <w:sz w:val="24"/>
        </w:rPr>
        <w:t xml:space="preserve"> </w:t>
      </w:r>
      <w:r>
        <w:rPr>
          <w:rFonts w:hint="eastAsia" w:ascii="宋体" w:hAnsi="宋体"/>
          <w:bCs/>
          <w:kern w:val="0"/>
          <w:sz w:val="24"/>
          <w:lang w:val="en-US" w:eastAsia="zh-CN"/>
        </w:rPr>
        <w:t>30</w:t>
      </w:r>
      <w:r>
        <w:rPr>
          <w:rFonts w:hint="eastAsia" w:ascii="宋体" w:hAnsi="宋体"/>
          <w:bCs/>
          <w:kern w:val="0"/>
          <w:sz w:val="24"/>
        </w:rPr>
        <w:t xml:space="preserve"> （北京时间）</w:t>
      </w:r>
      <w:r>
        <w:rPr>
          <w:rFonts w:hint="eastAsia" w:ascii="宋体" w:hAnsi="宋体"/>
          <w:kern w:val="0"/>
          <w:sz w:val="24"/>
        </w:rPr>
        <w:t>，逾期或不符合规定的响应文件恕不接收；</w:t>
      </w:r>
    </w:p>
    <w:p>
      <w:pPr>
        <w:spacing w:line="440" w:lineRule="exact"/>
        <w:ind w:firstLine="480" w:firstLineChars="200"/>
        <w:rPr>
          <w:rFonts w:ascii="宋体" w:hAnsi="宋体"/>
          <w:bCs/>
          <w:kern w:val="0"/>
          <w:sz w:val="24"/>
          <w:lang w:val="en-GB"/>
        </w:rPr>
      </w:pPr>
      <w:r>
        <w:rPr>
          <w:rFonts w:hint="eastAsia" w:ascii="宋体" w:hAnsi="宋体"/>
          <w:bCs/>
          <w:kern w:val="0"/>
          <w:sz w:val="24"/>
        </w:rPr>
        <w:t>2</w:t>
      </w:r>
      <w:r>
        <w:rPr>
          <w:rFonts w:hint="eastAsia" w:ascii="宋体" w:hAnsi="宋体"/>
          <w:bCs/>
          <w:kern w:val="0"/>
          <w:sz w:val="24"/>
          <w:lang w:val="en-GB"/>
        </w:rPr>
        <w:t>、开启时间</w:t>
      </w:r>
      <w:r>
        <w:rPr>
          <w:rFonts w:hint="eastAsia" w:ascii="宋体" w:hAnsi="宋体"/>
          <w:bCs/>
          <w:kern w:val="0"/>
          <w:sz w:val="24"/>
        </w:rPr>
        <w:t>：</w:t>
      </w:r>
      <w:r>
        <w:rPr>
          <w:rFonts w:hint="eastAsia" w:ascii="宋体" w:hAnsi="宋体"/>
          <w:bCs/>
          <w:kern w:val="0"/>
          <w:sz w:val="24"/>
          <w:lang w:val="en-GB"/>
        </w:rPr>
        <w:t>2019年</w:t>
      </w:r>
      <w:r>
        <w:rPr>
          <w:rFonts w:hint="eastAsia" w:ascii="宋体" w:hAnsi="宋体"/>
          <w:bCs/>
          <w:kern w:val="0"/>
          <w:sz w:val="24"/>
        </w:rPr>
        <w:t xml:space="preserve"> </w:t>
      </w:r>
      <w:r>
        <w:rPr>
          <w:rFonts w:hint="eastAsia" w:ascii="宋体" w:hAnsi="宋体"/>
          <w:bCs/>
          <w:kern w:val="0"/>
          <w:sz w:val="24"/>
          <w:lang w:val="en-US" w:eastAsia="zh-CN"/>
        </w:rPr>
        <w:t>8</w:t>
      </w:r>
      <w:r>
        <w:rPr>
          <w:rFonts w:hint="eastAsia" w:ascii="宋体" w:hAnsi="宋体"/>
          <w:bCs/>
          <w:kern w:val="0"/>
          <w:sz w:val="24"/>
        </w:rPr>
        <w:t xml:space="preserve"> </w:t>
      </w:r>
      <w:r>
        <w:rPr>
          <w:rFonts w:hint="eastAsia" w:ascii="宋体" w:hAnsi="宋体"/>
          <w:bCs/>
          <w:kern w:val="0"/>
          <w:sz w:val="24"/>
          <w:lang w:val="en-GB"/>
        </w:rPr>
        <w:t>月</w:t>
      </w:r>
      <w:r>
        <w:rPr>
          <w:rFonts w:hint="eastAsia" w:ascii="宋体" w:hAnsi="宋体"/>
          <w:bCs/>
          <w:kern w:val="0"/>
          <w:sz w:val="24"/>
          <w:lang w:val="en-US" w:eastAsia="zh-CN"/>
        </w:rPr>
        <w:t>19</w:t>
      </w:r>
      <w:r>
        <w:rPr>
          <w:rFonts w:hint="eastAsia" w:ascii="宋体" w:hAnsi="宋体"/>
          <w:bCs/>
          <w:kern w:val="0"/>
          <w:sz w:val="24"/>
        </w:rPr>
        <w:t xml:space="preserve"> </w:t>
      </w:r>
      <w:r>
        <w:rPr>
          <w:rFonts w:hint="eastAsia" w:ascii="宋体" w:hAnsi="宋体"/>
          <w:bCs/>
          <w:kern w:val="0"/>
          <w:sz w:val="24"/>
          <w:lang w:val="en-GB"/>
        </w:rPr>
        <w:t>日</w:t>
      </w:r>
      <w:r>
        <w:rPr>
          <w:rFonts w:hint="eastAsia" w:ascii="宋体" w:hAnsi="宋体"/>
          <w:bCs/>
          <w:kern w:val="0"/>
          <w:sz w:val="24"/>
          <w:lang w:val="en-US" w:eastAsia="zh-CN"/>
        </w:rPr>
        <w:t>09</w:t>
      </w:r>
      <w:r>
        <w:rPr>
          <w:rFonts w:hint="eastAsia" w:ascii="宋体" w:hAnsi="宋体"/>
          <w:bCs/>
          <w:kern w:val="0"/>
          <w:sz w:val="24"/>
        </w:rPr>
        <w:t xml:space="preserve"> </w:t>
      </w:r>
      <w:r>
        <w:rPr>
          <w:rFonts w:hint="eastAsia" w:ascii="宋体" w:hAnsi="宋体"/>
          <w:bCs/>
          <w:kern w:val="0"/>
          <w:sz w:val="24"/>
          <w:lang w:val="en-GB"/>
        </w:rPr>
        <w:t>:</w:t>
      </w:r>
      <w:r>
        <w:rPr>
          <w:rFonts w:hint="eastAsia" w:ascii="宋体" w:hAnsi="宋体"/>
          <w:bCs/>
          <w:kern w:val="0"/>
          <w:sz w:val="24"/>
          <w:lang w:val="en-US" w:eastAsia="zh-CN"/>
        </w:rPr>
        <w:t>30</w:t>
      </w:r>
      <w:r>
        <w:rPr>
          <w:rFonts w:hint="eastAsia" w:ascii="宋体" w:hAnsi="宋体"/>
          <w:bCs/>
          <w:kern w:val="0"/>
          <w:sz w:val="24"/>
        </w:rPr>
        <w:t xml:space="preserve"> （北京时间）</w:t>
      </w:r>
      <w:r>
        <w:rPr>
          <w:rFonts w:hint="eastAsia" w:ascii="宋体" w:hAnsi="宋体"/>
          <w:bCs/>
          <w:kern w:val="0"/>
          <w:sz w:val="24"/>
          <w:lang w:val="en-GB"/>
        </w:rPr>
        <w:t>；</w:t>
      </w:r>
    </w:p>
    <w:p>
      <w:pPr>
        <w:spacing w:line="440" w:lineRule="exact"/>
        <w:ind w:firstLine="480" w:firstLineChars="200"/>
        <w:rPr>
          <w:rFonts w:hint="eastAsia" w:ascii="宋体" w:hAnsi="宋体"/>
          <w:bCs/>
          <w:kern w:val="0"/>
          <w:sz w:val="24"/>
          <w:lang w:val="en-GB"/>
        </w:rPr>
      </w:pPr>
      <w:r>
        <w:rPr>
          <w:rFonts w:hint="eastAsia" w:ascii="宋体" w:hAnsi="宋体"/>
          <w:bCs/>
          <w:kern w:val="0"/>
          <w:sz w:val="24"/>
          <w:lang w:val="en-GB"/>
        </w:rPr>
        <w:t>3、开启地点：海南省海口市美兰区和平大道60号蔚蓝海语印象初阳阁A-2201室。</w:t>
      </w:r>
    </w:p>
    <w:p>
      <w:pPr>
        <w:spacing w:line="440" w:lineRule="exact"/>
        <w:ind w:firstLine="480" w:firstLineChars="200"/>
        <w:rPr>
          <w:rFonts w:hint="eastAsia" w:ascii="宋体" w:hAnsi="宋体"/>
          <w:bCs/>
          <w:kern w:val="0"/>
          <w:sz w:val="24"/>
          <w:lang w:val="en-US" w:eastAsia="zh-CN"/>
        </w:rPr>
      </w:pPr>
      <w:r>
        <w:rPr>
          <w:rFonts w:hint="eastAsia" w:ascii="宋体" w:hAnsi="宋体"/>
          <w:bCs/>
          <w:kern w:val="0"/>
          <w:sz w:val="24"/>
          <w:lang w:val="en-GB"/>
        </w:rPr>
        <w:t>4、公告发布媒介：</w:t>
      </w:r>
      <w:r>
        <w:rPr>
          <w:rFonts w:hint="eastAsia" w:ascii="宋体" w:hAnsi="宋体"/>
          <w:bCs/>
          <w:kern w:val="0"/>
          <w:sz w:val="24"/>
          <w:lang w:val="en-US" w:eastAsia="zh-CN"/>
        </w:rPr>
        <w:t>海南省公共资源交易服务中心 </w:t>
      </w:r>
      <w:r>
        <w:rPr>
          <w:rFonts w:hint="eastAsia" w:ascii="宋体" w:hAnsi="宋体"/>
          <w:bCs/>
          <w:kern w:val="0"/>
          <w:sz w:val="24"/>
          <w:lang w:val="en-US" w:eastAsia="zh-CN"/>
        </w:rPr>
        <w:fldChar w:fldCharType="begin"/>
      </w:r>
      <w:r>
        <w:rPr>
          <w:rFonts w:hint="eastAsia" w:ascii="宋体" w:hAnsi="宋体"/>
          <w:bCs/>
          <w:kern w:val="0"/>
          <w:sz w:val="24"/>
          <w:lang w:val="en-US" w:eastAsia="zh-CN"/>
        </w:rPr>
        <w:instrText xml:space="preserve"> HYPERLINK "http://zw.hainan.gov.cn/" </w:instrText>
      </w:r>
      <w:r>
        <w:rPr>
          <w:rFonts w:hint="eastAsia" w:ascii="宋体" w:hAnsi="宋体"/>
          <w:bCs/>
          <w:kern w:val="0"/>
          <w:sz w:val="24"/>
          <w:lang w:val="en-US" w:eastAsia="zh-CN"/>
        </w:rPr>
        <w:fldChar w:fldCharType="separate"/>
      </w:r>
      <w:r>
        <w:rPr>
          <w:rFonts w:hint="eastAsia" w:ascii="宋体" w:hAnsi="宋体"/>
          <w:bCs/>
          <w:kern w:val="0"/>
          <w:sz w:val="24"/>
          <w:lang w:val="en-GB"/>
        </w:rPr>
        <w:t>http://zw.hainan.gov.cn/</w:t>
      </w:r>
      <w:r>
        <w:rPr>
          <w:rFonts w:hint="eastAsia" w:ascii="宋体" w:hAnsi="宋体"/>
          <w:bCs/>
          <w:kern w:val="0"/>
          <w:sz w:val="24"/>
          <w:lang w:val="en-US" w:eastAsia="zh-CN"/>
        </w:rPr>
        <w:fldChar w:fldCharType="end"/>
      </w:r>
      <w:r>
        <w:rPr>
          <w:rFonts w:hint="eastAsia" w:ascii="宋体" w:hAnsi="宋体"/>
          <w:bCs/>
          <w:kern w:val="0"/>
          <w:sz w:val="24"/>
          <w:lang w:val="en-US" w:eastAsia="zh-CN"/>
        </w:rPr>
        <w:t> ；</w:t>
      </w:r>
      <w:r>
        <w:rPr>
          <w:rFonts w:hint="eastAsia" w:ascii="宋体" w:hAnsi="宋体"/>
          <w:bCs/>
          <w:kern w:val="0"/>
          <w:sz w:val="24"/>
          <w:lang w:val="en-US" w:eastAsia="zh-CN"/>
        </w:rPr>
        <w:br w:type="textWrapping"/>
      </w:r>
      <w:r>
        <w:rPr>
          <w:rFonts w:hint="eastAsia" w:ascii="宋体" w:hAnsi="宋体"/>
          <w:bCs/>
          <w:kern w:val="0"/>
          <w:sz w:val="24"/>
          <w:lang w:val="en-US" w:eastAsia="zh-CN"/>
        </w:rPr>
        <w:t>中国海南政府采购网 </w:t>
      </w:r>
      <w:r>
        <w:rPr>
          <w:rFonts w:hint="eastAsia" w:ascii="宋体" w:hAnsi="宋体"/>
          <w:bCs/>
          <w:kern w:val="0"/>
          <w:sz w:val="24"/>
          <w:lang w:val="en-US" w:eastAsia="zh-CN"/>
        </w:rPr>
        <w:fldChar w:fldCharType="begin"/>
      </w:r>
      <w:r>
        <w:rPr>
          <w:rFonts w:hint="eastAsia" w:ascii="宋体" w:hAnsi="宋体"/>
          <w:bCs/>
          <w:kern w:val="0"/>
          <w:sz w:val="24"/>
          <w:lang w:val="en-US" w:eastAsia="zh-CN"/>
        </w:rPr>
        <w:instrText xml:space="preserve"> HYPERLINK "http://www.ccgp-hainan.gov.cn/" </w:instrText>
      </w:r>
      <w:r>
        <w:rPr>
          <w:rFonts w:hint="eastAsia" w:ascii="宋体" w:hAnsi="宋体"/>
          <w:bCs/>
          <w:kern w:val="0"/>
          <w:sz w:val="24"/>
          <w:lang w:val="en-US" w:eastAsia="zh-CN"/>
        </w:rPr>
        <w:fldChar w:fldCharType="separate"/>
      </w:r>
      <w:r>
        <w:rPr>
          <w:rFonts w:hint="eastAsia" w:ascii="宋体" w:hAnsi="宋体"/>
          <w:bCs/>
          <w:kern w:val="0"/>
          <w:sz w:val="24"/>
          <w:lang w:val="en-GB"/>
        </w:rPr>
        <w:t>http://www.ccgp-hainan.gov.cn/</w:t>
      </w:r>
      <w:r>
        <w:rPr>
          <w:rFonts w:hint="eastAsia" w:ascii="宋体" w:hAnsi="宋体"/>
          <w:bCs/>
          <w:kern w:val="0"/>
          <w:sz w:val="24"/>
          <w:lang w:val="en-US" w:eastAsia="zh-CN"/>
        </w:rPr>
        <w:fldChar w:fldCharType="end"/>
      </w:r>
      <w:r>
        <w:rPr>
          <w:rFonts w:hint="eastAsia" w:ascii="宋体" w:hAnsi="宋体"/>
          <w:bCs/>
          <w:kern w:val="0"/>
          <w:sz w:val="24"/>
          <w:lang w:val="en-US" w:eastAsia="zh-CN"/>
        </w:rPr>
        <w:t xml:space="preserve"> </w:t>
      </w:r>
    </w:p>
    <w:p>
      <w:pPr>
        <w:autoSpaceDE w:val="0"/>
        <w:autoSpaceDN w:val="0"/>
        <w:adjustRightInd w:val="0"/>
        <w:snapToGrid w:val="0"/>
        <w:spacing w:beforeLines="50" w:afterLines="50" w:line="440" w:lineRule="exact"/>
        <w:rPr>
          <w:rStyle w:val="28"/>
          <w:rFonts w:hint="eastAsia" w:asciiTheme="majorEastAsia" w:hAnsiTheme="majorEastAsia" w:eastAsiaTheme="majorEastAsia" w:cstheme="majorEastAsia"/>
          <w:sz w:val="28"/>
          <w:szCs w:val="28"/>
          <w:lang w:val="en-GB" w:eastAsia="zh-CN"/>
        </w:rPr>
      </w:pPr>
      <w:bookmarkStart w:id="56" w:name="_Toc1300_WPSOffice_Level2"/>
      <w:r>
        <w:rPr>
          <w:rStyle w:val="28"/>
          <w:rFonts w:hint="eastAsia" w:asciiTheme="majorEastAsia" w:hAnsiTheme="majorEastAsia" w:eastAsiaTheme="majorEastAsia" w:cstheme="majorEastAsia"/>
          <w:sz w:val="28"/>
          <w:szCs w:val="28"/>
          <w:lang w:val="en-GB" w:eastAsia="zh-CN"/>
        </w:rPr>
        <w:t>五、谈判保证金及标前答疑</w:t>
      </w:r>
      <w:bookmarkEnd w:id="56"/>
    </w:p>
    <w:p>
      <w:pPr>
        <w:spacing w:line="440" w:lineRule="exact"/>
        <w:ind w:firstLine="480" w:firstLineChars="200"/>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 xml:space="preserve"> 谈判保证金是参加本项目谈判的必要条件，保证金金额为</w:t>
      </w:r>
      <w:r>
        <w:rPr>
          <w:rFonts w:hint="eastAsia" w:ascii="宋体" w:hAnsi="宋体"/>
          <w:b/>
          <w:bCs/>
          <w:sz w:val="24"/>
          <w:u w:val="single"/>
        </w:rPr>
        <w:t>￥</w:t>
      </w:r>
      <w:r>
        <w:rPr>
          <w:rFonts w:hint="eastAsia" w:ascii="宋体" w:hAnsi="宋体"/>
          <w:b/>
          <w:bCs/>
          <w:sz w:val="24"/>
          <w:u w:val="single"/>
          <w:lang w:val="en-US" w:eastAsia="zh-CN"/>
        </w:rPr>
        <w:t>2</w:t>
      </w:r>
      <w:r>
        <w:rPr>
          <w:rFonts w:hint="eastAsia" w:ascii="宋体" w:hAnsi="宋体"/>
          <w:b/>
          <w:bCs/>
          <w:sz w:val="24"/>
          <w:u w:val="single"/>
        </w:rPr>
        <w:t>0000.00</w:t>
      </w:r>
      <w:r>
        <w:rPr>
          <w:rFonts w:hint="eastAsia" w:ascii="宋体" w:hAnsi="宋体"/>
          <w:sz w:val="24"/>
        </w:rPr>
        <w:t>。</w:t>
      </w:r>
    </w:p>
    <w:p>
      <w:pPr>
        <w:pStyle w:val="26"/>
        <w:spacing w:before="79"/>
        <w:ind w:left="105"/>
        <w:rPr>
          <w:rFonts w:hint="eastAsia" w:ascii="宋体" w:hAnsi="宋体"/>
          <w:sz w:val="24"/>
          <w:lang w:val="en-GB"/>
        </w:rPr>
      </w:pPr>
      <w:r>
        <w:rPr>
          <w:rFonts w:hint="eastAsia" w:ascii="宋体" w:hAnsi="宋体"/>
          <w:sz w:val="24"/>
        </w:rPr>
        <w:t>2</w:t>
      </w:r>
      <w:r>
        <w:rPr>
          <w:rFonts w:hint="eastAsia" w:ascii="宋体" w:hAnsi="宋体"/>
          <w:sz w:val="24"/>
          <w:lang w:eastAsia="zh-CN"/>
        </w:rPr>
        <w:t>、</w:t>
      </w:r>
      <w:r>
        <w:rPr>
          <w:rFonts w:hint="eastAsia" w:ascii="宋体" w:hAnsi="宋体"/>
          <w:sz w:val="24"/>
        </w:rPr>
        <w:t>谈判保证金</w:t>
      </w:r>
      <w:r>
        <w:rPr>
          <w:rFonts w:hint="eastAsia" w:ascii="宋体" w:hAnsi="宋体"/>
          <w:sz w:val="24"/>
          <w:lang w:val="en-GB"/>
        </w:rPr>
        <w:t>应在</w:t>
      </w:r>
      <w:r>
        <w:rPr>
          <w:rFonts w:hint="eastAsia" w:ascii="宋体" w:hAnsi="宋体"/>
          <w:sz w:val="24"/>
        </w:rPr>
        <w:t>递交响应文件截止时间2019年</w:t>
      </w:r>
      <w:r>
        <w:rPr>
          <w:rFonts w:hint="eastAsia" w:ascii="宋体" w:hAnsi="宋体"/>
          <w:sz w:val="24"/>
          <w:u w:val="single"/>
        </w:rPr>
        <w:t xml:space="preserve">  </w:t>
      </w:r>
      <w:r>
        <w:rPr>
          <w:rFonts w:hint="eastAsia"/>
          <w:sz w:val="24"/>
          <w:u w:val="single"/>
          <w:lang w:val="en-US" w:eastAsia="zh-CN"/>
        </w:rPr>
        <w:t>8</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sz w:val="24"/>
          <w:u w:val="single"/>
          <w:lang w:val="en-US" w:eastAsia="zh-CN"/>
        </w:rPr>
        <w:t>18</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sz w:val="24"/>
          <w:u w:val="single"/>
          <w:lang w:val="en-US" w:eastAsia="zh-CN"/>
        </w:rPr>
        <w:t>17</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sz w:val="24"/>
          <w:u w:val="single"/>
          <w:lang w:val="en-US" w:eastAsia="zh-CN"/>
        </w:rPr>
        <w:t>30</w:t>
      </w:r>
      <w:r>
        <w:rPr>
          <w:rFonts w:hint="eastAsia" w:ascii="宋体" w:hAnsi="宋体"/>
          <w:sz w:val="24"/>
          <w:u w:val="single"/>
        </w:rPr>
        <w:t xml:space="preserve">  </w:t>
      </w:r>
      <w:r>
        <w:rPr>
          <w:rFonts w:hint="eastAsia" w:ascii="宋体" w:hAnsi="宋体"/>
          <w:bCs/>
          <w:sz w:val="24"/>
        </w:rPr>
        <w:t>前</w:t>
      </w:r>
      <w:r>
        <w:rPr>
          <w:rFonts w:hint="eastAsia" w:ascii="宋体" w:hAnsi="宋体"/>
          <w:sz w:val="24"/>
          <w:lang w:val="en-GB"/>
        </w:rPr>
        <w:t>划入或存入采购代理机构指定的账户</w:t>
      </w:r>
      <w:r>
        <w:rPr>
          <w:rFonts w:hint="eastAsia" w:ascii="宋体" w:hAnsi="宋体"/>
          <w:sz w:val="24"/>
        </w:rPr>
        <w:t>并注明汇款单位及项目编号（或项目名称）。谈判保证金应当以支票、汇票、本票或者金融机构、担保机构出具的保函等非现金形式从其公户提交。任何以个人账户或个人名义汇入（自然人投标的情形除外）的保证金，</w:t>
      </w:r>
      <w:r>
        <w:rPr>
          <w:rFonts w:hint="eastAsia" w:ascii="宋体" w:hAnsi="宋体"/>
          <w:sz w:val="24"/>
          <w:lang w:val="en-GB"/>
        </w:rPr>
        <w:t>视为提交无效，导致其响应无效或被拒收响应文件所产生的一切后果均由供应商承担。</w:t>
      </w:r>
    </w:p>
    <w:p>
      <w:pPr>
        <w:spacing w:line="440" w:lineRule="exact"/>
        <w:ind w:firstLine="482" w:firstLineChars="200"/>
        <w:rPr>
          <w:rFonts w:hint="eastAsia" w:ascii="宋体" w:hAnsi="宋体"/>
          <w:b/>
          <w:bCs/>
          <w:sz w:val="24"/>
        </w:rPr>
      </w:pPr>
      <w:r>
        <w:rPr>
          <w:rFonts w:hint="eastAsia" w:ascii="宋体" w:hAnsi="宋体"/>
          <w:b/>
          <w:bCs/>
          <w:sz w:val="24"/>
        </w:rPr>
        <w:t>标前答疑：</w:t>
      </w:r>
    </w:p>
    <w:p>
      <w:pPr>
        <w:spacing w:line="440" w:lineRule="exact"/>
        <w:ind w:firstLine="482" w:firstLineChars="200"/>
        <w:rPr>
          <w:rFonts w:hint="eastAsia" w:ascii="宋体" w:hAnsi="宋体"/>
          <w:b/>
          <w:bCs/>
          <w:sz w:val="24"/>
        </w:rPr>
      </w:pPr>
      <w:r>
        <w:rPr>
          <w:rFonts w:hint="eastAsia" w:ascii="宋体" w:hAnsi="宋体"/>
          <w:b/>
          <w:bCs/>
          <w:sz w:val="24"/>
        </w:rPr>
        <w:t>投标人在收到招标文件后，若有疑问需要澄清，应于 201</w:t>
      </w:r>
      <w:r>
        <w:rPr>
          <w:rFonts w:hint="eastAsia" w:ascii="宋体" w:hAnsi="宋体"/>
          <w:b/>
          <w:bCs/>
          <w:sz w:val="24"/>
          <w:lang w:val="en-US" w:eastAsia="zh-CN"/>
        </w:rPr>
        <w:t>9</w:t>
      </w:r>
      <w:r>
        <w:rPr>
          <w:rFonts w:hint="eastAsia" w:ascii="宋体" w:hAnsi="宋体"/>
          <w:b/>
          <w:bCs/>
          <w:sz w:val="24"/>
        </w:rPr>
        <w:t xml:space="preserve"> 年</w:t>
      </w:r>
      <w:r>
        <w:rPr>
          <w:rFonts w:hint="eastAsia" w:ascii="宋体" w:hAnsi="宋体"/>
          <w:b/>
          <w:bCs/>
          <w:sz w:val="24"/>
          <w:lang w:val="en-US" w:eastAsia="zh-CN"/>
        </w:rPr>
        <w:t xml:space="preserve">8 </w:t>
      </w:r>
      <w:r>
        <w:rPr>
          <w:rFonts w:hint="eastAsia" w:ascii="宋体" w:hAnsi="宋体"/>
          <w:b/>
          <w:bCs/>
          <w:sz w:val="24"/>
        </w:rPr>
        <w:t xml:space="preserve">月 </w:t>
      </w:r>
      <w:r>
        <w:rPr>
          <w:rFonts w:hint="eastAsia" w:ascii="宋体" w:hAnsi="宋体"/>
          <w:b/>
          <w:bCs/>
          <w:sz w:val="24"/>
          <w:lang w:val="en-US" w:eastAsia="zh-CN"/>
        </w:rPr>
        <w:t xml:space="preserve">16 </w:t>
      </w:r>
      <w:r>
        <w:rPr>
          <w:rFonts w:hint="eastAsia" w:ascii="宋体" w:hAnsi="宋体"/>
          <w:b/>
          <w:bCs/>
          <w:sz w:val="24"/>
        </w:rPr>
        <w:t>日下午 17:30</w:t>
      </w:r>
    </w:p>
    <w:p>
      <w:pPr>
        <w:spacing w:line="440" w:lineRule="exact"/>
        <w:ind w:firstLine="482" w:firstLineChars="200"/>
        <w:rPr>
          <w:rFonts w:hint="eastAsia" w:ascii="宋体" w:hAnsi="宋体"/>
          <w:b/>
          <w:bCs/>
          <w:sz w:val="24"/>
        </w:rPr>
      </w:pPr>
      <w:r>
        <w:rPr>
          <w:rFonts w:hint="eastAsia" w:ascii="宋体" w:hAnsi="宋体"/>
          <w:b/>
          <w:bCs/>
          <w:sz w:val="24"/>
        </w:rPr>
        <w:t>前以书面形式向招标人提出，未按规定时间提交的, 不再另行回复投标人提出的商务或技术部分的任何问题，并不予接收任何以书面形式提出的疑问或质疑函。</w:t>
      </w:r>
    </w:p>
    <w:p>
      <w:pPr>
        <w:pStyle w:val="26"/>
        <w:spacing w:before="124"/>
        <w:ind w:left="105" w:firstLine="480"/>
        <w:rPr>
          <w:sz w:val="24"/>
        </w:rPr>
      </w:pPr>
      <w:r>
        <w:rPr>
          <w:sz w:val="24"/>
        </w:rPr>
        <w:t>招标人将对投标人书面提出的疑问进行澄清和解答，并以书面的形式将正式答复</w:t>
      </w:r>
    </w:p>
    <w:p>
      <w:pPr>
        <w:spacing w:line="440" w:lineRule="exact"/>
        <w:ind w:firstLine="480" w:firstLineChars="200"/>
        <w:rPr>
          <w:rFonts w:ascii="宋体" w:hAnsi="宋体"/>
          <w:sz w:val="24"/>
          <w:lang w:val="en-GB"/>
        </w:rPr>
      </w:pPr>
      <w:r>
        <w:rPr>
          <w:sz w:val="24"/>
        </w:rPr>
        <w:t>发给所有已购买招标文件的投标人。投标人在收到书面答复后，应立即以书面形式向招标人确认收到，否则视为收到。在招标的整个过程中任何询问仅以书面答复为准。</w:t>
      </w:r>
    </w:p>
    <w:p>
      <w:pPr>
        <w:spacing w:line="440" w:lineRule="exact"/>
        <w:ind w:firstLine="480" w:firstLineChars="200"/>
        <w:rPr>
          <w:rFonts w:hint="eastAsia" w:ascii="宋体" w:hAnsi="宋体"/>
          <w:bCs/>
          <w:kern w:val="0"/>
          <w:sz w:val="24"/>
          <w:lang w:val="en-GB" w:eastAsia="zh-CN"/>
        </w:rPr>
      </w:pPr>
    </w:p>
    <w:p>
      <w:pPr>
        <w:autoSpaceDE w:val="0"/>
        <w:autoSpaceDN w:val="0"/>
        <w:adjustRightInd w:val="0"/>
        <w:snapToGrid w:val="0"/>
        <w:spacing w:beforeLines="50" w:afterLines="50" w:line="440" w:lineRule="exact"/>
        <w:rPr>
          <w:rStyle w:val="28"/>
          <w:rFonts w:hint="eastAsia" w:asciiTheme="majorEastAsia" w:hAnsiTheme="majorEastAsia" w:eastAsiaTheme="majorEastAsia" w:cstheme="majorEastAsia"/>
          <w:sz w:val="28"/>
          <w:szCs w:val="28"/>
          <w:lang w:val="en-GB" w:eastAsia="zh-CN"/>
        </w:rPr>
      </w:pPr>
      <w:bookmarkStart w:id="57" w:name="_Toc26507_WPSOffice_Level2"/>
      <w:r>
        <w:rPr>
          <w:rStyle w:val="28"/>
          <w:rFonts w:hint="eastAsia" w:asciiTheme="majorEastAsia" w:hAnsiTheme="majorEastAsia" w:eastAsiaTheme="majorEastAsia" w:cstheme="majorEastAsia"/>
          <w:sz w:val="28"/>
          <w:szCs w:val="28"/>
          <w:lang w:val="en-GB" w:eastAsia="zh-CN"/>
        </w:rPr>
        <w:t>六、联系方式</w:t>
      </w:r>
      <w:bookmarkEnd w:id="57"/>
    </w:p>
    <w:p>
      <w:pPr>
        <w:pStyle w:val="24"/>
        <w:spacing w:line="390" w:lineRule="atLeast"/>
        <w:ind w:firstLine="600" w:firstLineChars="250"/>
        <w:jc w:val="both"/>
        <w:rPr>
          <w:rFonts w:hint="eastAsia" w:eastAsia="宋体" w:cs="Arial"/>
          <w:lang w:eastAsia="zh-CN"/>
        </w:rPr>
      </w:pPr>
      <w:r>
        <w:rPr>
          <w:rFonts w:hint="eastAsia" w:cs="Arial"/>
        </w:rPr>
        <w:t>采购人：</w:t>
      </w:r>
      <w:r>
        <w:rPr>
          <w:rFonts w:hint="eastAsia" w:cs="Arial"/>
          <w:lang w:val="en-GB" w:eastAsia="zh-CN"/>
        </w:rPr>
        <w:t>万宁市环卫园林局</w:t>
      </w:r>
    </w:p>
    <w:p>
      <w:pPr>
        <w:pStyle w:val="24"/>
        <w:spacing w:line="390" w:lineRule="atLeast"/>
        <w:ind w:firstLine="600" w:firstLineChars="250"/>
        <w:jc w:val="both"/>
        <w:rPr>
          <w:rFonts w:cs="Arial"/>
        </w:rPr>
      </w:pPr>
      <w:r>
        <w:rPr>
          <w:rFonts w:hint="eastAsia" w:cs="Arial"/>
        </w:rPr>
        <w:t>地 址：</w:t>
      </w:r>
      <w:r>
        <w:rPr>
          <w:rFonts w:hint="eastAsia" w:cs="Arial"/>
          <w:lang w:val="en-GB"/>
        </w:rPr>
        <w:t>海南省万宁市万城镇人民西路万宁市环卫园林局</w:t>
      </w:r>
    </w:p>
    <w:p>
      <w:pPr>
        <w:pStyle w:val="24"/>
        <w:spacing w:line="390" w:lineRule="atLeast"/>
        <w:ind w:firstLine="600" w:firstLineChars="250"/>
        <w:jc w:val="both"/>
        <w:rPr>
          <w:rFonts w:hint="eastAsia" w:ascii="Arial" w:hAnsi="Arial" w:eastAsia="宋体" w:cs="Arial"/>
          <w:lang w:eastAsia="zh-CN"/>
        </w:rPr>
      </w:pPr>
      <w:r>
        <w:rPr>
          <w:rFonts w:hint="eastAsia" w:cs="Arial"/>
        </w:rPr>
        <w:t>电 话：</w:t>
      </w:r>
      <w:r>
        <w:rPr>
          <w:rFonts w:hint="eastAsia" w:cs="Arial"/>
          <w:lang w:eastAsia="zh-CN"/>
        </w:rPr>
        <w:t>0898</w:t>
      </w:r>
      <w:r>
        <w:rPr>
          <w:rFonts w:hint="eastAsia" w:cs="Arial"/>
          <w:lang w:val="en-US" w:eastAsia="zh-CN"/>
        </w:rPr>
        <w:t>-</w:t>
      </w:r>
      <w:r>
        <w:rPr>
          <w:rFonts w:hint="eastAsia" w:cs="Arial"/>
          <w:lang w:eastAsia="zh-CN"/>
        </w:rPr>
        <w:t>62183105</w:t>
      </w:r>
    </w:p>
    <w:p>
      <w:pPr>
        <w:pStyle w:val="24"/>
        <w:spacing w:line="390" w:lineRule="atLeast"/>
        <w:ind w:firstLine="600" w:firstLineChars="250"/>
        <w:jc w:val="both"/>
        <w:rPr>
          <w:rFonts w:hint="eastAsia" w:ascii="Arial" w:hAnsi="Arial" w:eastAsia="宋体" w:cs="Arial"/>
          <w:lang w:eastAsia="zh-CN"/>
        </w:rPr>
      </w:pPr>
      <w:r>
        <w:rPr>
          <w:rFonts w:hint="eastAsia" w:cs="Arial"/>
        </w:rPr>
        <w:t>联系人：</w:t>
      </w:r>
      <w:r>
        <w:rPr>
          <w:rFonts w:hint="eastAsia" w:cs="Arial"/>
          <w:lang w:eastAsia="zh-CN"/>
        </w:rPr>
        <w:t>钟股长</w:t>
      </w:r>
    </w:p>
    <w:p>
      <w:pPr>
        <w:pStyle w:val="24"/>
        <w:spacing w:line="390" w:lineRule="atLeast"/>
        <w:ind w:firstLine="890"/>
        <w:jc w:val="both"/>
        <w:rPr>
          <w:rFonts w:ascii="Arial" w:hAnsi="Arial" w:cs="Arial"/>
        </w:rPr>
      </w:pPr>
      <w:r>
        <w:rPr>
          <w:rFonts w:hint="eastAsia" w:cs="Arial"/>
        </w:rPr>
        <w:t> </w:t>
      </w:r>
    </w:p>
    <w:p>
      <w:pPr>
        <w:pStyle w:val="24"/>
        <w:spacing w:line="390" w:lineRule="atLeast"/>
        <w:ind w:firstLine="600" w:firstLineChars="250"/>
        <w:jc w:val="both"/>
        <w:rPr>
          <w:rFonts w:ascii="Arial" w:hAnsi="Arial" w:cs="Arial"/>
        </w:rPr>
      </w:pPr>
      <w:r>
        <w:rPr>
          <w:rFonts w:hint="eastAsia" w:cs="Arial"/>
        </w:rPr>
        <w:t>代理机构：中天世纪国际招标有限公司</w:t>
      </w:r>
    </w:p>
    <w:p>
      <w:pPr>
        <w:pStyle w:val="24"/>
        <w:spacing w:line="390" w:lineRule="atLeast"/>
        <w:ind w:firstLine="600" w:firstLineChars="250"/>
        <w:jc w:val="both"/>
        <w:rPr>
          <w:rFonts w:ascii="Arial" w:hAnsi="Arial" w:cs="Arial"/>
        </w:rPr>
      </w:pPr>
      <w:r>
        <w:rPr>
          <w:rFonts w:hint="eastAsia" w:cs="Arial"/>
        </w:rPr>
        <w:t>地 址：海南省海口市美兰区和平大道60号蔚蓝海语印象初阳阁A-2201室</w:t>
      </w:r>
    </w:p>
    <w:p>
      <w:pPr>
        <w:pStyle w:val="24"/>
        <w:spacing w:line="390" w:lineRule="atLeast"/>
        <w:ind w:firstLine="600" w:firstLineChars="250"/>
        <w:jc w:val="both"/>
        <w:rPr>
          <w:rFonts w:ascii="Arial" w:hAnsi="Arial" w:cs="Arial"/>
        </w:rPr>
      </w:pPr>
      <w:r>
        <w:rPr>
          <w:rFonts w:hint="eastAsia" w:cs="Arial"/>
          <w:lang w:eastAsia="zh-CN"/>
        </w:rPr>
        <w:t>电</w:t>
      </w:r>
      <w:r>
        <w:rPr>
          <w:rFonts w:hint="eastAsia" w:cs="Arial"/>
          <w:lang w:val="en-US" w:eastAsia="zh-CN"/>
        </w:rPr>
        <w:t xml:space="preserve">  </w:t>
      </w:r>
      <w:r>
        <w:rPr>
          <w:rFonts w:hint="eastAsia" w:cs="Arial"/>
          <w:lang w:eastAsia="zh-CN"/>
        </w:rPr>
        <w:t>话</w:t>
      </w:r>
      <w:r>
        <w:rPr>
          <w:rFonts w:hint="eastAsia" w:cs="Arial"/>
        </w:rPr>
        <w:t>：0898-66156469</w:t>
      </w:r>
    </w:p>
    <w:p>
      <w:pPr>
        <w:pStyle w:val="24"/>
        <w:spacing w:line="390" w:lineRule="atLeast"/>
        <w:jc w:val="both"/>
        <w:rPr>
          <w:rFonts w:cs="Arial"/>
        </w:rPr>
      </w:pPr>
      <w:r>
        <w:rPr>
          <w:rFonts w:hint="eastAsia" w:cs="Arial"/>
        </w:rPr>
        <w:t xml:space="preserve"> </w:t>
      </w:r>
      <w:r>
        <w:rPr>
          <w:rFonts w:hint="eastAsia" w:cs="Arial"/>
          <w:lang w:val="en-US" w:eastAsia="zh-CN"/>
        </w:rPr>
        <w:t xml:space="preserve">    </w:t>
      </w:r>
      <w:r>
        <w:rPr>
          <w:rFonts w:hint="eastAsia" w:cs="Arial"/>
        </w:rPr>
        <w:t>传 真：0898-66156469</w:t>
      </w:r>
    </w:p>
    <w:p>
      <w:pPr>
        <w:pStyle w:val="24"/>
        <w:spacing w:line="390" w:lineRule="atLeast"/>
        <w:ind w:firstLine="600" w:firstLineChars="250"/>
        <w:jc w:val="both"/>
        <w:rPr>
          <w:rFonts w:hint="eastAsia" w:ascii="宋体" w:hAnsi="宋体"/>
          <w:b/>
          <w:sz w:val="44"/>
          <w:szCs w:val="44"/>
        </w:rPr>
      </w:pPr>
      <w:r>
        <w:rPr>
          <w:rFonts w:ascii="Times New Roman" w:hAnsi="Times New Roman" w:cs="Times New Roman"/>
        </w:rPr>
        <w:t>联系人：</w:t>
      </w:r>
      <w:r>
        <w:rPr>
          <w:rFonts w:hint="eastAsia" w:ascii="Times New Roman" w:hAnsi="Times New Roman" w:cs="Times New Roman"/>
          <w:lang w:eastAsia="zh-CN"/>
        </w:rPr>
        <w:t>方其悦</w:t>
      </w:r>
    </w:p>
    <w:p>
      <w:pPr>
        <w:spacing w:beforeLines="50" w:afterLines="50" w:line="360" w:lineRule="auto"/>
        <w:jc w:val="center"/>
        <w:rPr>
          <w:rFonts w:hint="eastAsia" w:ascii="宋体" w:hAnsi="宋体"/>
          <w:b/>
          <w:sz w:val="44"/>
          <w:szCs w:val="44"/>
        </w:rPr>
      </w:pPr>
    </w:p>
    <w:p>
      <w:pPr>
        <w:pStyle w:val="2"/>
        <w:bidi w:val="0"/>
        <w:jc w:val="center"/>
      </w:pPr>
      <w:bookmarkStart w:id="58" w:name="_Toc28591_WPSOffice_Level1"/>
      <w:r>
        <w:rPr>
          <w:rFonts w:hint="eastAsia"/>
        </w:rPr>
        <w:t>第二部分  供应商须知</w:t>
      </w:r>
      <w:bookmarkEnd w:id="58"/>
    </w:p>
    <w:p>
      <w:pPr>
        <w:autoSpaceDE w:val="0"/>
        <w:autoSpaceDN w:val="0"/>
        <w:adjustRightInd w:val="0"/>
        <w:snapToGrid w:val="0"/>
        <w:spacing w:beforeLines="50" w:afterLines="50" w:line="440" w:lineRule="exact"/>
        <w:rPr>
          <w:rStyle w:val="28"/>
          <w:rFonts w:hint="eastAsia" w:asciiTheme="majorEastAsia" w:hAnsiTheme="majorEastAsia" w:eastAsiaTheme="majorEastAsia" w:cstheme="majorEastAsia"/>
          <w:sz w:val="28"/>
          <w:szCs w:val="28"/>
          <w:lang w:val="en-GB" w:eastAsia="zh-CN"/>
        </w:rPr>
      </w:pPr>
      <w:bookmarkStart w:id="59" w:name="_Toc8463_WPSOffice_Level2"/>
      <w:r>
        <w:rPr>
          <w:rStyle w:val="28"/>
          <w:rFonts w:hint="eastAsia" w:asciiTheme="majorEastAsia" w:hAnsiTheme="majorEastAsia" w:eastAsiaTheme="majorEastAsia" w:cstheme="majorEastAsia"/>
          <w:sz w:val="28"/>
          <w:szCs w:val="28"/>
          <w:lang w:val="en-GB" w:eastAsia="zh-CN"/>
        </w:rPr>
        <w:t>一、总则</w:t>
      </w:r>
      <w:bookmarkEnd w:id="59"/>
    </w:p>
    <w:p>
      <w:pPr>
        <w:spacing w:line="440" w:lineRule="exact"/>
        <w:rPr>
          <w:rFonts w:ascii="宋体" w:hAnsi="宋体"/>
          <w:b/>
          <w:bCs/>
          <w:sz w:val="24"/>
        </w:rPr>
      </w:pPr>
      <w:bookmarkStart w:id="60" w:name="_Toc31964_WPSOffice_Level3"/>
      <w:bookmarkStart w:id="61" w:name="_Toc183582210"/>
      <w:bookmarkStart w:id="62" w:name="_Toc217446039"/>
      <w:bookmarkStart w:id="63" w:name="_Toc183682347"/>
      <w:r>
        <w:rPr>
          <w:rFonts w:hint="eastAsia" w:ascii="宋体" w:hAnsi="宋体"/>
          <w:b/>
          <w:bCs/>
          <w:sz w:val="24"/>
        </w:rPr>
        <w:t>1、适用范围</w:t>
      </w:r>
      <w:bookmarkEnd w:id="60"/>
    </w:p>
    <w:p>
      <w:pPr>
        <w:tabs>
          <w:tab w:val="left" w:pos="7665"/>
        </w:tabs>
        <w:spacing w:line="440" w:lineRule="exact"/>
        <w:ind w:firstLine="480" w:firstLineChars="200"/>
        <w:rPr>
          <w:rFonts w:hint="eastAsia" w:ascii="宋体" w:hAnsi="宋体"/>
          <w:sz w:val="24"/>
        </w:rPr>
      </w:pPr>
      <w:r>
        <w:rPr>
          <w:rFonts w:hint="eastAsia" w:ascii="宋体" w:hAnsi="宋体"/>
          <w:sz w:val="24"/>
        </w:rPr>
        <w:t>本</w:t>
      </w:r>
      <w:r>
        <w:rPr>
          <w:rFonts w:hint="eastAsia" w:ascii="宋体" w:hAnsi="宋体"/>
          <w:sz w:val="24"/>
          <w:lang w:val="en-GB"/>
        </w:rPr>
        <w:t>谈判文件</w:t>
      </w:r>
      <w:r>
        <w:rPr>
          <w:rFonts w:hint="eastAsia" w:ascii="宋体" w:hAnsi="宋体"/>
          <w:sz w:val="24"/>
        </w:rPr>
        <w:t>仅适用于</w:t>
      </w:r>
      <w:r>
        <w:rPr>
          <w:rFonts w:hint="eastAsia" w:ascii="宋体" w:hAnsi="宋体"/>
          <w:sz w:val="24"/>
          <w:lang w:val="en-GB"/>
        </w:rPr>
        <w:t>本次谈判邀请中所叙述的项目。</w:t>
      </w:r>
    </w:p>
    <w:p>
      <w:pPr>
        <w:tabs>
          <w:tab w:val="left" w:pos="7665"/>
        </w:tabs>
        <w:spacing w:line="440" w:lineRule="exact"/>
        <w:rPr>
          <w:rFonts w:ascii="宋体" w:hAnsi="宋体"/>
          <w:b/>
          <w:sz w:val="24"/>
        </w:rPr>
      </w:pPr>
      <w:bookmarkStart w:id="64" w:name="_Toc21285_WPSOffice_Level3"/>
      <w:r>
        <w:rPr>
          <w:rFonts w:hint="eastAsia" w:ascii="宋体" w:hAnsi="宋体"/>
          <w:b/>
          <w:sz w:val="24"/>
        </w:rPr>
        <w:t>2、有关定义及相应职责</w:t>
      </w:r>
      <w:bookmarkEnd w:id="64"/>
    </w:p>
    <w:p>
      <w:pPr>
        <w:tabs>
          <w:tab w:val="left" w:pos="7665"/>
        </w:tabs>
        <w:spacing w:line="440" w:lineRule="exact"/>
        <w:ind w:firstLine="480" w:firstLineChars="200"/>
        <w:rPr>
          <w:rFonts w:ascii="宋体" w:hAnsi="宋体"/>
          <w:sz w:val="24"/>
        </w:rPr>
      </w:pPr>
      <w:r>
        <w:rPr>
          <w:rFonts w:hint="eastAsia" w:ascii="宋体" w:hAnsi="宋体"/>
          <w:sz w:val="24"/>
        </w:rPr>
        <w:t>2.1 “采购人”系指依法进行政府采购的国家机关、事业单位、团体组织。本次</w:t>
      </w:r>
      <w:r>
        <w:rPr>
          <w:rFonts w:hint="eastAsia" w:ascii="宋体" w:hAnsi="宋体"/>
          <w:bCs/>
          <w:kern w:val="0"/>
          <w:sz w:val="24"/>
          <w:lang w:val="en-GB"/>
        </w:rPr>
        <w:t>招标的</w:t>
      </w:r>
      <w:r>
        <w:rPr>
          <w:rFonts w:hint="eastAsia" w:ascii="宋体" w:hAnsi="宋体"/>
          <w:sz w:val="24"/>
        </w:rPr>
        <w:t>采购人是</w:t>
      </w:r>
      <w:r>
        <w:rPr>
          <w:rFonts w:hint="eastAsia" w:ascii="宋体" w:hAnsi="宋体"/>
          <w:b/>
          <w:bCs/>
          <w:sz w:val="24"/>
          <w:lang w:val="en-GB" w:eastAsia="zh-CN"/>
        </w:rPr>
        <w:t>万宁市环卫园林局</w:t>
      </w:r>
      <w:r>
        <w:rPr>
          <w:rFonts w:hint="eastAsia" w:ascii="宋体" w:hAnsi="宋体"/>
          <w:sz w:val="24"/>
        </w:rPr>
        <w:t>。</w:t>
      </w:r>
    </w:p>
    <w:p>
      <w:pPr>
        <w:tabs>
          <w:tab w:val="left" w:pos="7665"/>
        </w:tabs>
        <w:spacing w:line="440" w:lineRule="exact"/>
        <w:ind w:firstLine="480" w:firstLineChars="200"/>
        <w:rPr>
          <w:rFonts w:ascii="宋体" w:hAnsi="宋体"/>
          <w:sz w:val="24"/>
        </w:rPr>
      </w:pPr>
      <w:r>
        <w:rPr>
          <w:rFonts w:hint="eastAsia" w:ascii="宋体" w:hAnsi="宋体"/>
          <w:sz w:val="24"/>
        </w:rPr>
        <w:t>2.2 “采购代理机构”系指受采购人的委托依法办理</w:t>
      </w:r>
      <w:r>
        <w:rPr>
          <w:rFonts w:hint="eastAsia" w:ascii="宋体" w:hAnsi="宋体"/>
          <w:bCs/>
          <w:kern w:val="0"/>
          <w:sz w:val="24"/>
          <w:lang w:val="en-GB"/>
        </w:rPr>
        <w:t>招标</w:t>
      </w:r>
      <w:r>
        <w:rPr>
          <w:rFonts w:hint="eastAsia" w:ascii="宋体" w:hAnsi="宋体"/>
          <w:sz w:val="24"/>
        </w:rPr>
        <w:t>事宜的机构。本次</w:t>
      </w:r>
      <w:r>
        <w:rPr>
          <w:rFonts w:hint="eastAsia" w:ascii="宋体" w:hAnsi="宋体"/>
          <w:bCs/>
          <w:kern w:val="0"/>
          <w:sz w:val="24"/>
          <w:lang w:val="en-GB"/>
        </w:rPr>
        <w:t>招标</w:t>
      </w:r>
      <w:r>
        <w:rPr>
          <w:rFonts w:hint="eastAsia" w:ascii="宋体" w:hAnsi="宋体"/>
          <w:sz w:val="24"/>
        </w:rPr>
        <w:t>的采购代理机构是</w:t>
      </w:r>
      <w:r>
        <w:rPr>
          <w:rFonts w:hint="eastAsia" w:ascii="宋体" w:hAnsi="宋体"/>
          <w:b/>
          <w:bCs/>
          <w:sz w:val="24"/>
        </w:rPr>
        <w:t>中天世纪国际招标有限公司</w:t>
      </w:r>
      <w:r>
        <w:rPr>
          <w:rFonts w:hint="eastAsia" w:ascii="宋体" w:hAnsi="宋体"/>
          <w:sz w:val="24"/>
        </w:rPr>
        <w:t>。</w:t>
      </w:r>
    </w:p>
    <w:p>
      <w:pPr>
        <w:tabs>
          <w:tab w:val="left" w:pos="7665"/>
        </w:tabs>
        <w:spacing w:line="440" w:lineRule="exact"/>
        <w:ind w:firstLine="480" w:firstLineChars="200"/>
        <w:rPr>
          <w:rFonts w:ascii="宋体" w:hAnsi="宋体"/>
          <w:sz w:val="24"/>
        </w:rPr>
      </w:pPr>
      <w:r>
        <w:rPr>
          <w:rFonts w:hint="eastAsia" w:ascii="宋体" w:hAnsi="宋体"/>
          <w:sz w:val="24"/>
        </w:rPr>
        <w:t>2.3 “供应商”系指实名购买</w:t>
      </w:r>
      <w:r>
        <w:rPr>
          <w:rFonts w:hint="eastAsia" w:ascii="宋体" w:hAnsi="宋体"/>
          <w:bCs/>
          <w:kern w:val="0"/>
          <w:sz w:val="24"/>
          <w:lang w:val="en-GB"/>
        </w:rPr>
        <w:t>谈判文件</w:t>
      </w:r>
      <w:r>
        <w:rPr>
          <w:rFonts w:hint="eastAsia" w:ascii="宋体" w:hAnsi="宋体"/>
          <w:sz w:val="24"/>
        </w:rPr>
        <w:t>拟参加谈判和拟向采购人提供货物及相应服务的供应商。其职责如下：</w:t>
      </w:r>
    </w:p>
    <w:p>
      <w:pPr>
        <w:tabs>
          <w:tab w:val="left" w:pos="7665"/>
        </w:tabs>
        <w:spacing w:line="440" w:lineRule="exact"/>
        <w:ind w:firstLine="480" w:firstLineChars="200"/>
        <w:rPr>
          <w:rFonts w:ascii="宋体" w:hAnsi="宋体"/>
          <w:sz w:val="24"/>
        </w:rPr>
      </w:pPr>
      <w:r>
        <w:rPr>
          <w:rFonts w:hint="eastAsia" w:ascii="宋体" w:hAnsi="宋体"/>
          <w:sz w:val="24"/>
        </w:rPr>
        <w:t>2.3.1 对</w:t>
      </w:r>
      <w:r>
        <w:rPr>
          <w:rFonts w:hint="eastAsia" w:ascii="宋体" w:hAnsi="宋体"/>
          <w:bCs/>
          <w:kern w:val="0"/>
          <w:sz w:val="24"/>
          <w:lang w:val="en-GB"/>
        </w:rPr>
        <w:t>谈判文件</w:t>
      </w:r>
      <w:r>
        <w:rPr>
          <w:rFonts w:hint="eastAsia" w:ascii="宋体" w:hAnsi="宋体"/>
          <w:sz w:val="24"/>
        </w:rPr>
        <w:t>错、漏之处提出澄清、说明要求或质疑；</w:t>
      </w:r>
    </w:p>
    <w:p>
      <w:pPr>
        <w:tabs>
          <w:tab w:val="left" w:pos="3060"/>
        </w:tabs>
        <w:spacing w:line="440" w:lineRule="exact"/>
        <w:ind w:firstLine="480" w:firstLineChars="200"/>
        <w:rPr>
          <w:rFonts w:ascii="宋体" w:hAnsi="宋体"/>
          <w:sz w:val="24"/>
        </w:rPr>
      </w:pPr>
      <w:r>
        <w:rPr>
          <w:rFonts w:hint="eastAsia" w:ascii="宋体" w:hAnsi="宋体"/>
          <w:sz w:val="24"/>
        </w:rPr>
        <w:t>2.3.2 按要求缴纳谈判保证金；</w:t>
      </w:r>
    </w:p>
    <w:p>
      <w:pPr>
        <w:tabs>
          <w:tab w:val="left" w:pos="3060"/>
        </w:tabs>
        <w:spacing w:line="440" w:lineRule="exact"/>
        <w:ind w:firstLine="480" w:firstLineChars="200"/>
        <w:rPr>
          <w:rFonts w:ascii="宋体" w:hAnsi="宋体"/>
          <w:sz w:val="24"/>
        </w:rPr>
      </w:pPr>
      <w:r>
        <w:rPr>
          <w:rFonts w:hint="eastAsia" w:ascii="宋体" w:hAnsi="宋体"/>
          <w:sz w:val="24"/>
        </w:rPr>
        <w:t>2.3.3 按要求编制响应文件；</w:t>
      </w:r>
    </w:p>
    <w:p>
      <w:pPr>
        <w:tabs>
          <w:tab w:val="left" w:pos="3060"/>
        </w:tabs>
        <w:spacing w:line="440" w:lineRule="exact"/>
        <w:ind w:firstLine="480" w:firstLineChars="200"/>
        <w:rPr>
          <w:rFonts w:ascii="宋体" w:hAnsi="宋体"/>
          <w:sz w:val="24"/>
        </w:rPr>
      </w:pPr>
      <w:r>
        <w:rPr>
          <w:rFonts w:hint="eastAsia" w:ascii="宋体" w:hAnsi="宋体"/>
          <w:sz w:val="24"/>
        </w:rPr>
        <w:t>2.3.4 派供应商代表递交响应文件，参加响应文件开启活动，对谈判小组就响应文件提出的问题进行澄清；“供应商代表”系指在谈判过程中代表供应商单位处理谈判事宜的人员，包括供应商单位法定代表人或负责人及取得授权的供应商单位人员；</w:t>
      </w:r>
    </w:p>
    <w:p>
      <w:pPr>
        <w:tabs>
          <w:tab w:val="left" w:pos="3060"/>
        </w:tabs>
        <w:spacing w:line="440" w:lineRule="exact"/>
        <w:ind w:firstLine="480" w:firstLineChars="200"/>
        <w:rPr>
          <w:rFonts w:ascii="宋体" w:hAnsi="宋体"/>
          <w:sz w:val="24"/>
        </w:rPr>
      </w:pPr>
      <w:r>
        <w:rPr>
          <w:rFonts w:hint="eastAsia" w:ascii="宋体" w:hAnsi="宋体"/>
          <w:sz w:val="24"/>
        </w:rPr>
        <w:t>2.3.5 配合相关职能部门就</w:t>
      </w:r>
      <w:r>
        <w:rPr>
          <w:rFonts w:hint="eastAsia" w:ascii="宋体" w:hAnsi="宋体"/>
          <w:bCs/>
          <w:kern w:val="0"/>
          <w:sz w:val="24"/>
          <w:lang w:val="en-GB"/>
        </w:rPr>
        <w:t>竞争性谈判采购</w:t>
      </w:r>
      <w:r>
        <w:rPr>
          <w:rFonts w:hint="eastAsia" w:ascii="宋体" w:hAnsi="宋体"/>
          <w:sz w:val="24"/>
        </w:rPr>
        <w:t>项目的质疑、投诉和举报的处理工作；</w:t>
      </w:r>
    </w:p>
    <w:p>
      <w:pPr>
        <w:tabs>
          <w:tab w:val="left" w:pos="3060"/>
        </w:tabs>
        <w:spacing w:line="440" w:lineRule="exact"/>
        <w:ind w:firstLine="480" w:firstLineChars="200"/>
        <w:rPr>
          <w:rFonts w:ascii="宋体" w:hAnsi="宋体"/>
          <w:sz w:val="24"/>
        </w:rPr>
      </w:pPr>
      <w:r>
        <w:rPr>
          <w:rFonts w:hint="eastAsia" w:ascii="宋体" w:hAnsi="宋体"/>
          <w:sz w:val="24"/>
        </w:rPr>
        <w:t>2.3.6 与采购人签订采购合同， 按照合同规定向采购人提供货物或服务；</w:t>
      </w:r>
    </w:p>
    <w:p>
      <w:pPr>
        <w:tabs>
          <w:tab w:val="left" w:pos="7665"/>
        </w:tabs>
        <w:spacing w:line="440" w:lineRule="exact"/>
        <w:ind w:firstLine="480" w:firstLineChars="200"/>
        <w:rPr>
          <w:rFonts w:ascii="宋体" w:hAnsi="宋体"/>
          <w:bCs/>
          <w:sz w:val="24"/>
        </w:rPr>
      </w:pPr>
      <w:r>
        <w:rPr>
          <w:rFonts w:hint="eastAsia" w:ascii="宋体" w:hAnsi="宋体"/>
          <w:bCs/>
          <w:sz w:val="24"/>
        </w:rPr>
        <w:t>2.3.7 单位负责人为同一人或者存在控股、管理关系的不同单位，不得参加同一标段投标或者未划分标段的同一招标项目投标。违反该规定的，相关投标均无效，由此产生的一切后果均由相关供应商承担。</w:t>
      </w:r>
    </w:p>
    <w:p>
      <w:pPr>
        <w:tabs>
          <w:tab w:val="left" w:pos="7665"/>
        </w:tabs>
        <w:spacing w:line="440" w:lineRule="exact"/>
        <w:ind w:firstLine="480" w:firstLineChars="200"/>
        <w:rPr>
          <w:rFonts w:ascii="宋体" w:hAnsi="宋体"/>
          <w:bCs/>
          <w:sz w:val="24"/>
        </w:rPr>
      </w:pPr>
      <w:r>
        <w:rPr>
          <w:rFonts w:hint="eastAsia" w:ascii="宋体" w:hAnsi="宋体"/>
          <w:bCs/>
          <w:sz w:val="24"/>
        </w:rPr>
        <w:t>2.3.8供应商被列入失信被执行人、重大税收违法案件当事人名单、政府采购严重违法失信行为记录名单、或存在其他不符合《中华人民共和国政府采购法》第二十二条规定条件的情况的供应商不得参与谈判响应。</w:t>
      </w:r>
    </w:p>
    <w:p>
      <w:pPr>
        <w:tabs>
          <w:tab w:val="left" w:pos="7665"/>
        </w:tabs>
        <w:spacing w:line="440" w:lineRule="exact"/>
        <w:ind w:firstLine="480" w:firstLineChars="200"/>
        <w:rPr>
          <w:rFonts w:ascii="宋体" w:hAnsi="宋体"/>
          <w:sz w:val="24"/>
        </w:rPr>
      </w:pPr>
      <w:r>
        <w:rPr>
          <w:rFonts w:hint="eastAsia" w:ascii="宋体" w:hAnsi="宋体"/>
          <w:sz w:val="24"/>
        </w:rPr>
        <w:t>2.3.9 政府采购法律法规所规定的其他职责。</w:t>
      </w:r>
      <w:bookmarkStart w:id="65" w:name="_Toc183682344"/>
      <w:bookmarkStart w:id="66" w:name="_Toc217446036"/>
      <w:bookmarkStart w:id="67" w:name="_Toc217390843"/>
      <w:bookmarkStart w:id="68" w:name="_Toc183582207"/>
    </w:p>
    <w:p>
      <w:pPr>
        <w:tabs>
          <w:tab w:val="left" w:pos="7665"/>
        </w:tabs>
        <w:spacing w:line="440" w:lineRule="exact"/>
        <w:ind w:firstLine="480" w:firstLineChars="200"/>
        <w:rPr>
          <w:rFonts w:hint="eastAsia" w:ascii="宋体" w:hAnsi="宋体"/>
          <w:sz w:val="24"/>
        </w:rPr>
      </w:pPr>
      <w:r>
        <w:rPr>
          <w:rFonts w:hint="eastAsia" w:ascii="宋体" w:hAnsi="宋体"/>
          <w:sz w:val="24"/>
        </w:rPr>
        <w:t>2.4 合格的供应商</w:t>
      </w:r>
      <w:bookmarkEnd w:id="65"/>
      <w:bookmarkEnd w:id="66"/>
      <w:bookmarkEnd w:id="67"/>
      <w:bookmarkEnd w:id="68"/>
    </w:p>
    <w:p>
      <w:pPr>
        <w:tabs>
          <w:tab w:val="left" w:pos="7665"/>
        </w:tabs>
        <w:spacing w:line="440" w:lineRule="exact"/>
        <w:ind w:firstLine="480" w:firstLineChars="200"/>
        <w:rPr>
          <w:rFonts w:ascii="宋体" w:hAnsi="宋体"/>
          <w:bCs/>
          <w:kern w:val="0"/>
          <w:sz w:val="24"/>
          <w:lang w:val="en-GB"/>
        </w:rPr>
      </w:pPr>
      <w:r>
        <w:rPr>
          <w:rFonts w:hint="eastAsia" w:ascii="宋体" w:hAnsi="宋体"/>
          <w:bCs/>
          <w:kern w:val="0"/>
          <w:sz w:val="24"/>
        </w:rPr>
        <w:t xml:space="preserve">2.4.1 </w:t>
      </w:r>
      <w:r>
        <w:rPr>
          <w:rFonts w:hint="eastAsia" w:ascii="宋体" w:hAnsi="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bCs/>
          <w:kern w:val="0"/>
          <w:sz w:val="24"/>
          <w:lang w:val="en-GB"/>
        </w:rPr>
      </w:pPr>
      <w:r>
        <w:rPr>
          <w:rFonts w:hint="eastAsia" w:ascii="宋体" w:hAnsi="宋体"/>
          <w:bCs/>
          <w:kern w:val="0"/>
          <w:sz w:val="24"/>
        </w:rPr>
        <w:t xml:space="preserve">2.4.2 </w:t>
      </w:r>
      <w:r>
        <w:rPr>
          <w:rFonts w:hint="eastAsia" w:ascii="宋体" w:hAnsi="宋体"/>
          <w:bCs/>
          <w:kern w:val="0"/>
          <w:sz w:val="24"/>
          <w:lang w:val="en-GB"/>
        </w:rPr>
        <w:t>符合谈判文件规定的资质要求，有能力提供满足谈判要求的相关货物及服务的法人实体。</w:t>
      </w:r>
    </w:p>
    <w:p>
      <w:pPr>
        <w:tabs>
          <w:tab w:val="left" w:pos="7665"/>
        </w:tabs>
        <w:spacing w:line="440" w:lineRule="exact"/>
        <w:ind w:firstLine="480" w:firstLineChars="200"/>
        <w:rPr>
          <w:rFonts w:ascii="宋体" w:hAnsi="宋体"/>
          <w:bCs/>
          <w:kern w:val="0"/>
          <w:sz w:val="24"/>
          <w:lang w:val="en-GB"/>
        </w:rPr>
      </w:pPr>
      <w:r>
        <w:rPr>
          <w:rFonts w:hint="eastAsia" w:ascii="宋体" w:hAnsi="宋体"/>
          <w:bCs/>
          <w:kern w:val="0"/>
          <w:sz w:val="24"/>
        </w:rPr>
        <w:t>2.4.3</w:t>
      </w:r>
      <w:r>
        <w:rPr>
          <w:rFonts w:hint="eastAsia" w:ascii="宋体" w:hAnsi="宋体"/>
          <w:kern w:val="0"/>
          <w:sz w:val="24"/>
        </w:rPr>
        <w:t>供应商应遵守中华人民共和国的有关法律、法规。</w:t>
      </w:r>
    </w:p>
    <w:p>
      <w:pPr>
        <w:tabs>
          <w:tab w:val="left" w:pos="7665"/>
        </w:tabs>
        <w:spacing w:line="440" w:lineRule="exact"/>
        <w:ind w:firstLine="480" w:firstLineChars="200"/>
        <w:rPr>
          <w:rFonts w:ascii="宋体" w:hAnsi="宋体"/>
          <w:bCs/>
          <w:kern w:val="0"/>
          <w:sz w:val="24"/>
          <w:lang w:val="en-GB"/>
        </w:rPr>
      </w:pPr>
      <w:r>
        <w:rPr>
          <w:rFonts w:hint="eastAsia" w:ascii="宋体" w:hAnsi="宋体"/>
          <w:sz w:val="24"/>
        </w:rPr>
        <w:t xml:space="preserve">2.5 </w:t>
      </w:r>
      <w:r>
        <w:rPr>
          <w:rFonts w:hint="eastAsia" w:ascii="宋体" w:hAnsi="宋体"/>
          <w:bCs/>
          <w:kern w:val="0"/>
          <w:sz w:val="24"/>
          <w:lang w:val="en-GB"/>
        </w:rPr>
        <w:t>“成交供应商”系指经谈判小组按照谈判文件确定的评审标准和方法，对响应文件进行评审，推荐合格的成交候选人，采购人根据谈判小组提出的书面评审报告和推荐的成交候选人确定成交供应商。</w:t>
      </w:r>
    </w:p>
    <w:p>
      <w:pPr>
        <w:pStyle w:val="8"/>
        <w:adjustRightInd w:val="0"/>
        <w:snapToGrid w:val="0"/>
        <w:spacing w:line="440" w:lineRule="exact"/>
        <w:rPr>
          <w:rFonts w:hAnsi="宋体"/>
          <w:bCs/>
          <w:kern w:val="0"/>
          <w:sz w:val="24"/>
          <w:lang w:val="en-GB"/>
        </w:rPr>
      </w:pPr>
      <w:bookmarkStart w:id="69" w:name="_Toc10942_WPSOffice_Level3"/>
      <w:r>
        <w:rPr>
          <w:rFonts w:hint="eastAsia" w:hAnsi="宋体"/>
          <w:b/>
          <w:sz w:val="24"/>
        </w:rPr>
        <w:t>3</w:t>
      </w:r>
      <w:r>
        <w:rPr>
          <w:rFonts w:hint="eastAsia" w:hAnsi="宋体"/>
          <w:b/>
          <w:sz w:val="24"/>
          <w:lang w:val="en-GB"/>
        </w:rPr>
        <w:t>、合格的服务</w:t>
      </w:r>
      <w:bookmarkEnd w:id="69"/>
    </w:p>
    <w:p>
      <w:pPr>
        <w:adjustRightInd w:val="0"/>
        <w:snapToGrid w:val="0"/>
        <w:spacing w:line="440" w:lineRule="exact"/>
        <w:ind w:firstLine="480" w:firstLineChars="200"/>
        <w:rPr>
          <w:rFonts w:ascii="宋体" w:hAnsi="宋体"/>
          <w:bCs/>
          <w:kern w:val="0"/>
          <w:sz w:val="24"/>
        </w:rPr>
      </w:pPr>
      <w:r>
        <w:rPr>
          <w:rFonts w:hint="eastAsia" w:ascii="宋体" w:hAnsi="宋体"/>
          <w:bCs/>
          <w:kern w:val="0"/>
          <w:sz w:val="24"/>
        </w:rPr>
        <w:t>3</w:t>
      </w:r>
      <w:r>
        <w:rPr>
          <w:rFonts w:hint="eastAsia" w:ascii="宋体" w:hAnsi="宋体"/>
          <w:bCs/>
          <w:kern w:val="0"/>
          <w:sz w:val="24"/>
          <w:lang w:val="en-GB"/>
        </w:rPr>
        <w:t>.1</w:t>
      </w:r>
      <w:r>
        <w:rPr>
          <w:rFonts w:hint="eastAsia" w:ascii="宋体" w:hAnsi="宋体"/>
          <w:bCs/>
          <w:kern w:val="0"/>
          <w:sz w:val="24"/>
        </w:rPr>
        <w:t xml:space="preserve"> </w:t>
      </w:r>
      <w:r>
        <w:rPr>
          <w:rFonts w:hint="eastAsia" w:ascii="宋体" w:hAnsi="宋体"/>
          <w:bCs/>
          <w:kern w:val="0"/>
          <w:sz w:val="24"/>
          <w:lang w:val="en-GB"/>
        </w:rPr>
        <w:t>“服务”是指除货物和工程以外的其他政府采购对象。</w:t>
      </w:r>
    </w:p>
    <w:p>
      <w:pPr>
        <w:tabs>
          <w:tab w:val="left" w:pos="7665"/>
        </w:tabs>
        <w:spacing w:line="440" w:lineRule="exact"/>
        <w:rPr>
          <w:rFonts w:ascii="宋体" w:hAnsi="宋体"/>
          <w:bCs/>
          <w:kern w:val="0"/>
          <w:sz w:val="24"/>
          <w:lang w:val="en-GB"/>
        </w:rPr>
      </w:pPr>
      <w:bookmarkStart w:id="70" w:name="_Toc13703_WPSOffice_Level3"/>
      <w:r>
        <w:rPr>
          <w:rFonts w:hint="eastAsia" w:ascii="宋体" w:hAnsi="宋体"/>
          <w:b/>
          <w:sz w:val="24"/>
        </w:rPr>
        <w:t>4、</w:t>
      </w:r>
      <w:r>
        <w:rPr>
          <w:rFonts w:hint="eastAsia" w:ascii="宋体" w:hAnsi="宋体"/>
          <w:kern w:val="0"/>
          <w:sz w:val="24"/>
        </w:rPr>
        <w:t>本谈判文件由采购人及采购代理机构负责解释。</w:t>
      </w:r>
      <w:bookmarkEnd w:id="70"/>
    </w:p>
    <w:p>
      <w:pPr>
        <w:tabs>
          <w:tab w:val="left" w:pos="7665"/>
        </w:tabs>
        <w:spacing w:line="440" w:lineRule="exact"/>
        <w:rPr>
          <w:rFonts w:ascii="宋体" w:hAnsi="宋体"/>
          <w:b/>
          <w:sz w:val="24"/>
        </w:rPr>
      </w:pPr>
      <w:bookmarkStart w:id="71" w:name="_Toc15771_WPSOffice_Level3"/>
      <w:r>
        <w:rPr>
          <w:rFonts w:hint="eastAsia" w:ascii="宋体" w:hAnsi="宋体"/>
          <w:b/>
          <w:sz w:val="24"/>
        </w:rPr>
        <w:t>5、谈判费用</w:t>
      </w:r>
      <w:bookmarkEnd w:id="71"/>
    </w:p>
    <w:p>
      <w:pPr>
        <w:spacing w:line="440" w:lineRule="exact"/>
        <w:ind w:firstLine="480" w:firstLineChars="200"/>
        <w:rPr>
          <w:rFonts w:ascii="宋体" w:hAnsi="宋体"/>
          <w:sz w:val="24"/>
        </w:rPr>
      </w:pPr>
      <w:r>
        <w:rPr>
          <w:rFonts w:hint="eastAsia" w:ascii="宋体" w:hAnsi="宋体"/>
          <w:sz w:val="24"/>
        </w:rPr>
        <w:t>5.1 供应商应承担所有与准备和参加谈判响应有关的费用。不论结果如何，采购代理机构和采购人均无义务和责任承担这些费用。</w:t>
      </w:r>
    </w:p>
    <w:p>
      <w:pPr>
        <w:spacing w:line="440" w:lineRule="exact"/>
        <w:ind w:firstLine="480" w:firstLineChars="200"/>
        <w:rPr>
          <w:rFonts w:hint="eastAsia" w:ascii="宋体" w:hAnsi="宋体"/>
          <w:sz w:val="24"/>
        </w:rPr>
      </w:pPr>
      <w:r>
        <w:rPr>
          <w:rFonts w:hint="eastAsia" w:ascii="宋体" w:hAnsi="宋体"/>
          <w:sz w:val="24"/>
        </w:rPr>
        <w:t>5.2 采购代理机构按国家相关部门规定的标准向成交供应商收取代理服务费。成交供应商须在成交公告</w:t>
      </w:r>
      <w:r>
        <w:rPr>
          <w:rFonts w:hint="eastAsia" w:ascii="宋体" w:hAnsi="宋体"/>
          <w:sz w:val="24"/>
          <w:lang w:eastAsia="zh-CN"/>
        </w:rPr>
        <w:t>发出</w:t>
      </w:r>
      <w:r>
        <w:rPr>
          <w:rFonts w:hint="eastAsia" w:ascii="宋体" w:hAnsi="宋体"/>
          <w:sz w:val="24"/>
        </w:rPr>
        <w:t>之日起至领取《成交通知书》前向采购代理机构支付代理服务费，逾期未付，每日按代理费的百分之五收取违约金，且采购代理机构有权拒绝向成交供应商发放 《成交通知书》、在成交合同上拒签或盖章，因此造成的法律责任均由成交供应商承担。</w:t>
      </w:r>
    </w:p>
    <w:p>
      <w:pPr>
        <w:adjustRightInd w:val="0"/>
        <w:snapToGrid w:val="0"/>
        <w:spacing w:line="500" w:lineRule="exact"/>
        <w:ind w:firstLine="480" w:firstLineChars="200"/>
        <w:rPr>
          <w:rFonts w:hint="eastAsia" w:ascii="宋体" w:hAnsi="宋体"/>
          <w:color w:val="0D0D0D"/>
          <w:sz w:val="24"/>
          <w:szCs w:val="24"/>
        </w:rPr>
      </w:pPr>
      <w:r>
        <w:rPr>
          <w:rFonts w:hint="eastAsia" w:ascii="宋体" w:hAnsi="宋体"/>
          <w:color w:val="0D0D0D"/>
          <w:sz w:val="24"/>
          <w:szCs w:val="24"/>
          <w:lang w:val="en-US" w:eastAsia="zh-CN"/>
        </w:rPr>
        <w:t>5.3</w:t>
      </w:r>
      <w:r>
        <w:rPr>
          <w:rFonts w:hint="eastAsia" w:ascii="宋体" w:hAnsi="宋体"/>
          <w:color w:val="0D0D0D"/>
          <w:sz w:val="24"/>
          <w:szCs w:val="24"/>
          <w:lang w:eastAsia="zh-CN"/>
        </w:rPr>
        <w:t>供应商</w:t>
      </w:r>
      <w:r>
        <w:rPr>
          <w:rFonts w:hint="eastAsia" w:ascii="宋体" w:hAnsi="宋体"/>
          <w:color w:val="0D0D0D"/>
          <w:sz w:val="24"/>
          <w:szCs w:val="24"/>
        </w:rPr>
        <w:t>应承担其在投标准备、编制、递交投标文件和订立合同协议书的整个过程中发生的一切费用而不论其投标结果如何。</w:t>
      </w:r>
    </w:p>
    <w:p>
      <w:pPr>
        <w:adjustRightInd w:val="0"/>
        <w:snapToGrid w:val="0"/>
        <w:spacing w:line="500" w:lineRule="exact"/>
        <w:ind w:firstLine="480" w:firstLineChars="200"/>
        <w:rPr>
          <w:rFonts w:hint="eastAsia" w:ascii="宋体" w:hAnsi="宋体"/>
          <w:color w:val="0D0D0D"/>
          <w:szCs w:val="21"/>
        </w:rPr>
      </w:pPr>
      <w:bookmarkStart w:id="72" w:name="_Toc199236226"/>
      <w:bookmarkStart w:id="73" w:name="_Toc208195491"/>
      <w:r>
        <w:rPr>
          <w:rFonts w:hint="eastAsia" w:ascii="宋体" w:hAnsi="宋体"/>
          <w:color w:val="0D0D0D"/>
          <w:sz w:val="24"/>
          <w:szCs w:val="24"/>
          <w:lang w:val="en-US" w:eastAsia="zh-CN"/>
        </w:rPr>
        <w:t>5.4</w:t>
      </w:r>
      <w:r>
        <w:rPr>
          <w:rFonts w:hint="eastAsia" w:ascii="宋体" w:hAnsi="宋体"/>
          <w:color w:val="0D0D0D"/>
          <w:sz w:val="24"/>
          <w:szCs w:val="24"/>
        </w:rPr>
        <w:t>服务费收费标准</w:t>
      </w:r>
      <w:bookmarkEnd w:id="72"/>
      <w:bookmarkEnd w:id="73"/>
    </w:p>
    <w:p>
      <w:pPr>
        <w:spacing w:line="500" w:lineRule="exact"/>
        <w:rPr>
          <w:rFonts w:hint="eastAsia" w:ascii="宋体" w:hAnsi="宋体"/>
          <w:color w:val="0D0D0D"/>
          <w:sz w:val="24"/>
          <w:szCs w:val="24"/>
        </w:rPr>
      </w:pPr>
      <w:r>
        <w:rPr>
          <w:rFonts w:hint="eastAsia" w:ascii="宋体" w:hAnsi="宋体"/>
          <w:color w:val="0D0D0D"/>
          <w:sz w:val="24"/>
          <w:szCs w:val="24"/>
        </w:rPr>
        <w:t>收费标准按国家计委关于《招标代理服务费收费管理暂行办法》（计价格〔2002〕1980号）执行。</w:t>
      </w:r>
    </w:p>
    <w:tbl>
      <w:tblPr>
        <w:tblStyle w:val="14"/>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2221"/>
        <w:gridCol w:w="2222"/>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2338" w:type="dxa"/>
            <w:noWrap w:val="0"/>
            <w:vAlign w:val="top"/>
          </w:tcPr>
          <w:p>
            <w:pPr>
              <w:spacing w:line="400" w:lineRule="exact"/>
              <w:ind w:left="-357" w:leftChars="-170" w:right="-334" w:rightChars="-159" w:firstLine="924" w:firstLineChars="440"/>
              <w:rPr>
                <w:rFonts w:ascii="宋体"/>
                <w:sz w:val="24"/>
                <w:szCs w:val="24"/>
              </w:rPr>
            </w:pPr>
            <w: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63500</wp:posOffset>
                      </wp:positionV>
                      <wp:extent cx="908050" cy="1090930"/>
                      <wp:effectExtent l="3810" t="3175" r="21590" b="10795"/>
                      <wp:wrapNone/>
                      <wp:docPr id="1" name="直接连接符 1"/>
                      <wp:cNvGraphicFramePr/>
                      <a:graphic xmlns:a="http://schemas.openxmlformats.org/drawingml/2006/main">
                        <a:graphicData uri="http://schemas.microsoft.com/office/word/2010/wordprocessingShape">
                          <wps:wsp>
                            <wps:cNvCnPr/>
                            <wps:spPr>
                              <a:xfrm>
                                <a:off x="0" y="0"/>
                                <a:ext cx="908050" cy="10909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5pt;height:85.9pt;width:71.5pt;z-index:251660288;mso-width-relative:page;mso-height-relative:page;" filled="f" stroked="t" coordsize="21600,21600" o:gfxdata="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ycdVbSAAAACAEAAA8AAAAAAAAA&#10;AQAgAAAAIgAAAGRycy9kb3ducmV2LnhtbFBLAQIUABQAAAAIAIdO4kAfGCth3gEAAJsDAAAOAAAA&#10;AAAAAAEAIAAAACEBAABkcnMvZTJvRG9jLnhtbFBLBQYAAAAABgAGAFkBAABx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22225</wp:posOffset>
                      </wp:positionV>
                      <wp:extent cx="1457325" cy="685165"/>
                      <wp:effectExtent l="1905" t="4445" r="7620" b="15240"/>
                      <wp:wrapNone/>
                      <wp:docPr id="2" name="直接连接符 2"/>
                      <wp:cNvGraphicFramePr/>
                      <a:graphic xmlns:a="http://schemas.openxmlformats.org/drawingml/2006/main">
                        <a:graphicData uri="http://schemas.microsoft.com/office/word/2010/wordprocessingShape">
                          <wps:wsp>
                            <wps:cNvCnPr/>
                            <wps:spPr>
                              <a:xfrm>
                                <a:off x="0" y="0"/>
                                <a:ext cx="1457325" cy="6851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1.75pt;height:53.95pt;width:114.75pt;z-index:251659264;mso-width-relative:page;mso-height-relative:page;" filled="f" stroked="t" coordsize="21600,21600" o:gfxdata="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wv+49YAAAAIAQAADwAAAAAA&#10;AAABACAAAAAiAAAAZHJzL2Rvd25yZXYueG1sUEsBAhQAFAAAAAgAh07iQI+HrPXcAQAAmwMAAA4A&#10;AAAAAAAAAQAgAAAAJQEAAGRycy9lMm9Eb2MueG1sUEsFBgAAAAAGAAYAWQEAAHMFAAAAAA==&#10;">
                      <v:fill on="f" focussize="0,0"/>
                      <v:stroke color="#000000" joinstyle="round"/>
                      <v:imagedata o:title=""/>
                      <o:lock v:ext="edit" aspectratio="f"/>
                    </v:line>
                  </w:pict>
                </mc:Fallback>
              </mc:AlternateContent>
            </w:r>
            <w:r>
              <w:rPr>
                <w:rFonts w:hint="eastAsia" w:ascii="宋体" w:hAnsi="宋体" w:cs="宋体"/>
                <w:sz w:val="24"/>
                <w:szCs w:val="24"/>
              </w:rPr>
              <w:t>服务类型</w:t>
            </w:r>
          </w:p>
          <w:p>
            <w:pPr>
              <w:spacing w:line="400" w:lineRule="exact"/>
              <w:ind w:left="-357" w:leftChars="-170" w:right="-334" w:rightChars="-159" w:firstLine="960" w:firstLineChars="400"/>
              <w:rPr>
                <w:rFonts w:ascii="宋体"/>
                <w:sz w:val="24"/>
                <w:szCs w:val="24"/>
              </w:rPr>
            </w:pPr>
            <w:r>
              <w:rPr>
                <w:rFonts w:hint="eastAsia" w:ascii="宋体" w:hAnsi="宋体" w:cs="宋体"/>
                <w:sz w:val="24"/>
                <w:szCs w:val="24"/>
              </w:rPr>
              <w:t>费率</w:t>
            </w:r>
          </w:p>
          <w:p>
            <w:pPr>
              <w:spacing w:line="400" w:lineRule="exact"/>
              <w:ind w:left="-357" w:leftChars="-170" w:right="-334" w:rightChars="-159"/>
              <w:rPr>
                <w:rFonts w:ascii="宋体"/>
                <w:sz w:val="24"/>
                <w:szCs w:val="24"/>
              </w:rPr>
            </w:pPr>
            <w:r>
              <w:rPr>
                <w:rFonts w:hint="eastAsia" w:ascii="宋体" w:hAnsi="宋体" w:cs="宋体"/>
                <w:sz w:val="24"/>
                <w:szCs w:val="24"/>
              </w:rPr>
              <w:t>中标金额</w:t>
            </w:r>
          </w:p>
        </w:tc>
        <w:tc>
          <w:tcPr>
            <w:tcW w:w="2221" w:type="dxa"/>
            <w:noWrap w:val="0"/>
            <w:vAlign w:val="center"/>
          </w:tcPr>
          <w:p>
            <w:pPr>
              <w:spacing w:line="400" w:lineRule="exact"/>
              <w:ind w:left="-357" w:leftChars="-170" w:right="-334" w:rightChars="-159"/>
              <w:jc w:val="center"/>
              <w:rPr>
                <w:rFonts w:ascii="宋体"/>
                <w:sz w:val="24"/>
                <w:szCs w:val="24"/>
              </w:rPr>
            </w:pPr>
            <w:r>
              <w:rPr>
                <w:rFonts w:hint="eastAsia" w:ascii="宋体" w:hAnsi="宋体" w:cs="宋体"/>
                <w:sz w:val="24"/>
                <w:szCs w:val="24"/>
              </w:rPr>
              <w:t>货物招标</w:t>
            </w:r>
          </w:p>
        </w:tc>
        <w:tc>
          <w:tcPr>
            <w:tcW w:w="2222" w:type="dxa"/>
            <w:noWrap w:val="0"/>
            <w:vAlign w:val="center"/>
          </w:tcPr>
          <w:p>
            <w:pPr>
              <w:spacing w:line="400" w:lineRule="exact"/>
              <w:ind w:left="-357" w:leftChars="-170" w:right="-334" w:rightChars="-159"/>
              <w:jc w:val="center"/>
              <w:rPr>
                <w:rFonts w:ascii="宋体"/>
                <w:sz w:val="24"/>
                <w:szCs w:val="24"/>
              </w:rPr>
            </w:pPr>
            <w:r>
              <w:rPr>
                <w:rFonts w:hint="eastAsia" w:ascii="宋体" w:hAnsi="宋体" w:cs="宋体"/>
                <w:sz w:val="24"/>
                <w:szCs w:val="24"/>
              </w:rPr>
              <w:t>服务招标</w:t>
            </w:r>
          </w:p>
        </w:tc>
        <w:tc>
          <w:tcPr>
            <w:tcW w:w="2222" w:type="dxa"/>
            <w:noWrap w:val="0"/>
            <w:vAlign w:val="center"/>
          </w:tcPr>
          <w:p>
            <w:pPr>
              <w:spacing w:line="400" w:lineRule="exact"/>
              <w:ind w:left="-357" w:leftChars="-170" w:right="-334" w:rightChars="-159"/>
              <w:jc w:val="center"/>
              <w:rPr>
                <w:rFonts w:ascii="宋体"/>
                <w:sz w:val="24"/>
                <w:szCs w:val="24"/>
              </w:rPr>
            </w:pPr>
            <w:r>
              <w:rPr>
                <w:rFonts w:hint="eastAsia" w:ascii="宋体" w:hAnsi="宋体" w:cs="宋体"/>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338"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w:t>
            </w:r>
            <w:r>
              <w:rPr>
                <w:rFonts w:hint="eastAsia" w:ascii="宋体" w:hAnsi="宋体" w:cs="宋体"/>
                <w:sz w:val="24"/>
                <w:szCs w:val="24"/>
              </w:rPr>
              <w:t>万元以下</w:t>
            </w:r>
          </w:p>
        </w:tc>
        <w:tc>
          <w:tcPr>
            <w:tcW w:w="2221"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1.5%</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1.5%</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338"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100-500</w:t>
            </w:r>
            <w:r>
              <w:rPr>
                <w:rFonts w:hint="eastAsia" w:ascii="宋体" w:hAnsi="宋体" w:cs="宋体"/>
                <w:sz w:val="24"/>
                <w:szCs w:val="24"/>
              </w:rPr>
              <w:t>万元</w:t>
            </w:r>
          </w:p>
        </w:tc>
        <w:tc>
          <w:tcPr>
            <w:tcW w:w="2221"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1.1%</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0.8%</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338"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500-1000</w:t>
            </w:r>
            <w:r>
              <w:rPr>
                <w:rFonts w:hint="eastAsia" w:ascii="宋体" w:hAnsi="宋体" w:cs="宋体"/>
                <w:sz w:val="24"/>
                <w:szCs w:val="24"/>
              </w:rPr>
              <w:t>万元</w:t>
            </w:r>
          </w:p>
        </w:tc>
        <w:tc>
          <w:tcPr>
            <w:tcW w:w="2221"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0.8%</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0.45%</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338"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1000-5000</w:t>
            </w:r>
            <w:r>
              <w:rPr>
                <w:rFonts w:hint="eastAsia" w:ascii="宋体" w:hAnsi="宋体" w:cs="宋体"/>
                <w:sz w:val="24"/>
                <w:szCs w:val="24"/>
              </w:rPr>
              <w:t>万元</w:t>
            </w:r>
          </w:p>
        </w:tc>
        <w:tc>
          <w:tcPr>
            <w:tcW w:w="2221"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0.5%</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0.25%</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338"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5000-10000</w:t>
            </w:r>
            <w:r>
              <w:rPr>
                <w:rFonts w:hint="eastAsia" w:ascii="宋体" w:hAnsi="宋体" w:cs="宋体"/>
                <w:sz w:val="24"/>
                <w:szCs w:val="24"/>
              </w:rPr>
              <w:t>万元</w:t>
            </w:r>
          </w:p>
        </w:tc>
        <w:tc>
          <w:tcPr>
            <w:tcW w:w="2221"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0.25%</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0.1%</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338"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10000-100000</w:t>
            </w:r>
            <w:r>
              <w:rPr>
                <w:rFonts w:hint="eastAsia" w:ascii="宋体" w:hAnsi="宋体" w:cs="宋体"/>
                <w:sz w:val="24"/>
                <w:szCs w:val="24"/>
              </w:rPr>
              <w:t>万元</w:t>
            </w:r>
          </w:p>
        </w:tc>
        <w:tc>
          <w:tcPr>
            <w:tcW w:w="2221"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0.05%</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0.05%</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338"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100000</w:t>
            </w:r>
            <w:r>
              <w:rPr>
                <w:rFonts w:hint="eastAsia" w:ascii="宋体" w:hAnsi="宋体" w:cs="宋体"/>
                <w:sz w:val="24"/>
                <w:szCs w:val="24"/>
              </w:rPr>
              <w:t>万元以上</w:t>
            </w:r>
          </w:p>
        </w:tc>
        <w:tc>
          <w:tcPr>
            <w:tcW w:w="2221"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0.01%</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0.01%</w:t>
            </w:r>
          </w:p>
        </w:tc>
        <w:tc>
          <w:tcPr>
            <w:tcW w:w="2222" w:type="dxa"/>
            <w:noWrap w:val="0"/>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0.01%</w:t>
            </w:r>
          </w:p>
        </w:tc>
      </w:tr>
    </w:tbl>
    <w:p>
      <w:pPr>
        <w:spacing w:line="400" w:lineRule="exact"/>
        <w:ind w:firstLine="360" w:firstLineChars="150"/>
        <w:rPr>
          <w:rFonts w:hint="eastAsia" w:ascii="宋体" w:hAnsi="宋体"/>
          <w:color w:val="0D0D0D"/>
          <w:sz w:val="24"/>
          <w:szCs w:val="24"/>
        </w:rPr>
      </w:pPr>
      <w:r>
        <w:rPr>
          <w:rFonts w:hint="eastAsia" w:ascii="宋体" w:hAnsi="宋体"/>
          <w:color w:val="0D0D0D"/>
          <w:sz w:val="24"/>
          <w:szCs w:val="24"/>
        </w:rPr>
        <w:t>备注：</w:t>
      </w:r>
    </w:p>
    <w:p>
      <w:pPr>
        <w:adjustRightInd w:val="0"/>
        <w:snapToGrid w:val="0"/>
        <w:spacing w:line="400" w:lineRule="exact"/>
        <w:ind w:firstLine="480" w:firstLineChars="200"/>
        <w:rPr>
          <w:rFonts w:hint="eastAsia" w:ascii="宋体" w:hAnsi="宋体"/>
          <w:color w:val="0D0D0D"/>
          <w:sz w:val="24"/>
          <w:szCs w:val="24"/>
        </w:rPr>
      </w:pPr>
      <w:r>
        <w:rPr>
          <w:rFonts w:hint="eastAsia" w:ascii="宋体" w:hAnsi="宋体"/>
          <w:color w:val="0D0D0D"/>
          <w:sz w:val="24"/>
          <w:szCs w:val="24"/>
        </w:rPr>
        <w:t>招标代理服务收费按差额定率累进法计算。例如：某货物招标代理业务中标金额为6000万元，计算招标代理服务收费额如下：</w:t>
      </w:r>
    </w:p>
    <w:p>
      <w:pPr>
        <w:adjustRightInd w:val="0"/>
        <w:snapToGrid w:val="0"/>
        <w:spacing w:line="400" w:lineRule="exact"/>
        <w:ind w:firstLine="840"/>
        <w:rPr>
          <w:rFonts w:hint="eastAsia" w:ascii="宋体" w:hAnsi="宋体"/>
          <w:color w:val="0D0D0D"/>
          <w:sz w:val="24"/>
          <w:szCs w:val="24"/>
        </w:rPr>
      </w:pPr>
      <w:r>
        <w:rPr>
          <w:rFonts w:hint="eastAsia" w:ascii="宋体" w:hAnsi="宋体"/>
          <w:color w:val="0D0D0D"/>
          <w:sz w:val="24"/>
          <w:szCs w:val="24"/>
        </w:rPr>
        <w:t>100万元×1.5%=1.5万元</w:t>
      </w:r>
    </w:p>
    <w:p>
      <w:pPr>
        <w:adjustRightInd w:val="0"/>
        <w:snapToGrid w:val="0"/>
        <w:spacing w:line="400" w:lineRule="exact"/>
        <w:ind w:firstLine="840" w:firstLineChars="350"/>
        <w:rPr>
          <w:rFonts w:hint="eastAsia" w:ascii="宋体" w:hAnsi="宋体"/>
          <w:color w:val="0D0D0D"/>
          <w:sz w:val="24"/>
          <w:szCs w:val="24"/>
        </w:rPr>
      </w:pPr>
      <w:r>
        <w:rPr>
          <w:rFonts w:hint="eastAsia" w:ascii="宋体" w:hAnsi="宋体"/>
          <w:color w:val="0D0D0D"/>
          <w:sz w:val="24"/>
          <w:szCs w:val="24"/>
        </w:rPr>
        <w:t>（500-100）×1.1%=4.4万元</w:t>
      </w:r>
    </w:p>
    <w:p>
      <w:pPr>
        <w:adjustRightInd w:val="0"/>
        <w:snapToGrid w:val="0"/>
        <w:spacing w:line="400" w:lineRule="exact"/>
        <w:ind w:firstLine="840" w:firstLineChars="350"/>
        <w:rPr>
          <w:rFonts w:hint="eastAsia" w:ascii="宋体" w:hAnsi="宋体"/>
          <w:color w:val="0D0D0D"/>
          <w:sz w:val="24"/>
          <w:szCs w:val="24"/>
        </w:rPr>
      </w:pPr>
      <w:r>
        <w:rPr>
          <w:rFonts w:hint="eastAsia" w:ascii="宋体" w:hAnsi="宋体"/>
          <w:color w:val="0D0D0D"/>
          <w:sz w:val="24"/>
          <w:szCs w:val="24"/>
        </w:rPr>
        <w:t>（1000-500）×0.8%=4万元</w:t>
      </w:r>
    </w:p>
    <w:p>
      <w:pPr>
        <w:adjustRightInd w:val="0"/>
        <w:snapToGrid w:val="0"/>
        <w:spacing w:line="400" w:lineRule="exact"/>
        <w:ind w:firstLine="840" w:firstLineChars="350"/>
        <w:rPr>
          <w:rFonts w:hint="eastAsia" w:ascii="宋体" w:hAnsi="宋体"/>
          <w:color w:val="0D0D0D"/>
          <w:sz w:val="24"/>
          <w:szCs w:val="24"/>
        </w:rPr>
      </w:pPr>
      <w:r>
        <w:rPr>
          <w:rFonts w:hint="eastAsia" w:ascii="宋体" w:hAnsi="宋体"/>
          <w:color w:val="0D0D0D"/>
          <w:sz w:val="24"/>
          <w:szCs w:val="24"/>
        </w:rPr>
        <w:t>（5000-1000）×0.5％=20万元</w:t>
      </w:r>
    </w:p>
    <w:p>
      <w:pPr>
        <w:adjustRightInd w:val="0"/>
        <w:snapToGrid w:val="0"/>
        <w:spacing w:line="400" w:lineRule="exact"/>
        <w:ind w:firstLine="840" w:firstLineChars="350"/>
        <w:rPr>
          <w:rFonts w:hint="eastAsia" w:ascii="宋体" w:hAnsi="宋体"/>
          <w:color w:val="0D0D0D"/>
          <w:sz w:val="24"/>
          <w:szCs w:val="24"/>
        </w:rPr>
      </w:pPr>
      <w:r>
        <w:rPr>
          <w:rFonts w:hint="eastAsia" w:ascii="宋体" w:hAnsi="宋体"/>
          <w:color w:val="0D0D0D"/>
          <w:sz w:val="24"/>
          <w:szCs w:val="24"/>
        </w:rPr>
        <w:t>（6000-5000）×0.25%=2.5万元</w:t>
      </w:r>
    </w:p>
    <w:p>
      <w:pPr>
        <w:adjustRightInd w:val="0"/>
        <w:snapToGrid w:val="0"/>
        <w:spacing w:line="400" w:lineRule="exact"/>
        <w:ind w:firstLine="480" w:firstLineChars="200"/>
        <w:rPr>
          <w:rFonts w:hint="eastAsia" w:ascii="宋体" w:hAnsi="宋体"/>
          <w:color w:val="0D0D0D"/>
          <w:sz w:val="24"/>
          <w:szCs w:val="24"/>
        </w:rPr>
      </w:pPr>
      <w:r>
        <w:rPr>
          <w:rFonts w:hint="eastAsia" w:ascii="宋体" w:hAnsi="宋体"/>
          <w:color w:val="0D0D0D"/>
          <w:sz w:val="24"/>
          <w:szCs w:val="24"/>
        </w:rPr>
        <w:t>合计收费=1.5+4.4+4+20+2.5=32.4万元</w:t>
      </w:r>
    </w:p>
    <w:p>
      <w:pPr>
        <w:adjustRightInd w:val="0"/>
        <w:snapToGrid w:val="0"/>
        <w:spacing w:line="400" w:lineRule="exact"/>
        <w:ind w:firstLine="482" w:firstLineChars="200"/>
        <w:rPr>
          <w:rFonts w:hint="eastAsia" w:ascii="宋体" w:hAnsi="宋体"/>
          <w:b/>
          <w:bCs/>
          <w:color w:val="0D0D0D"/>
          <w:sz w:val="24"/>
          <w:szCs w:val="24"/>
        </w:rPr>
      </w:pPr>
      <w:r>
        <w:rPr>
          <w:rFonts w:hint="eastAsia" w:ascii="宋体" w:hAnsi="宋体"/>
          <w:b/>
          <w:bCs/>
          <w:color w:val="0D0D0D"/>
          <w:sz w:val="24"/>
          <w:szCs w:val="24"/>
        </w:rPr>
        <w:t>注：供应商中标后向采购代理机构缴纳采购代理服务费，采购代理服务费的收取标准按照（2002）1980号文标准，结合当前行业现状，双方协商而定。在中标</w:t>
      </w:r>
      <w:r>
        <w:rPr>
          <w:rFonts w:hint="eastAsia" w:ascii="宋体" w:hAnsi="宋体"/>
          <w:b/>
          <w:bCs/>
          <w:color w:val="0D0D0D"/>
          <w:sz w:val="24"/>
          <w:szCs w:val="24"/>
          <w:lang w:eastAsia="zh-CN"/>
        </w:rPr>
        <w:t>人</w:t>
      </w:r>
      <w:r>
        <w:rPr>
          <w:rFonts w:hint="eastAsia" w:ascii="宋体" w:hAnsi="宋体"/>
          <w:b/>
          <w:bCs/>
          <w:color w:val="0D0D0D"/>
          <w:sz w:val="24"/>
          <w:szCs w:val="24"/>
        </w:rPr>
        <w:t>领取中标通知书前支付。</w:t>
      </w:r>
    </w:p>
    <w:p>
      <w:pPr>
        <w:spacing w:line="440" w:lineRule="exact"/>
        <w:ind w:firstLine="480" w:firstLineChars="200"/>
        <w:rPr>
          <w:rFonts w:hint="eastAsia" w:ascii="宋体" w:hAnsi="宋体"/>
          <w:sz w:val="24"/>
        </w:rPr>
      </w:pPr>
    </w:p>
    <w:p>
      <w:pPr>
        <w:autoSpaceDE w:val="0"/>
        <w:autoSpaceDN w:val="0"/>
        <w:adjustRightInd w:val="0"/>
        <w:snapToGrid w:val="0"/>
        <w:spacing w:beforeLines="50" w:afterLines="50" w:line="440" w:lineRule="exact"/>
        <w:rPr>
          <w:rStyle w:val="28"/>
          <w:rFonts w:hint="eastAsia" w:asciiTheme="majorEastAsia" w:hAnsiTheme="majorEastAsia" w:eastAsiaTheme="majorEastAsia" w:cstheme="majorEastAsia"/>
          <w:sz w:val="28"/>
          <w:szCs w:val="28"/>
          <w:lang w:val="en-GB" w:eastAsia="zh-CN"/>
        </w:rPr>
      </w:pPr>
      <w:bookmarkStart w:id="74" w:name="_Toc18428_WPSOffice_Level2"/>
      <w:r>
        <w:rPr>
          <w:rStyle w:val="28"/>
          <w:rFonts w:hint="eastAsia" w:asciiTheme="majorEastAsia" w:hAnsiTheme="majorEastAsia" w:eastAsiaTheme="majorEastAsia" w:cstheme="majorEastAsia"/>
          <w:sz w:val="28"/>
          <w:szCs w:val="28"/>
          <w:lang w:val="en-GB" w:eastAsia="zh-CN"/>
        </w:rPr>
        <w:t>二、谈判文件</w:t>
      </w:r>
      <w:bookmarkEnd w:id="74"/>
    </w:p>
    <w:p>
      <w:pPr>
        <w:pStyle w:val="8"/>
        <w:adjustRightInd w:val="0"/>
        <w:snapToGrid w:val="0"/>
        <w:spacing w:line="440" w:lineRule="exact"/>
        <w:ind w:left="420" w:hanging="420"/>
        <w:rPr>
          <w:rFonts w:hAnsi="宋体"/>
          <w:b/>
          <w:bCs/>
          <w:sz w:val="24"/>
        </w:rPr>
      </w:pPr>
      <w:bookmarkStart w:id="75" w:name="_Toc21634_WPSOffice_Level3"/>
      <w:r>
        <w:rPr>
          <w:rFonts w:hint="eastAsia" w:hAnsi="宋体"/>
          <w:b/>
          <w:bCs/>
          <w:sz w:val="24"/>
        </w:rPr>
        <w:t>6、谈判文件的构成</w:t>
      </w:r>
      <w:bookmarkEnd w:id="75"/>
    </w:p>
    <w:p>
      <w:pPr>
        <w:pStyle w:val="8"/>
        <w:adjustRightInd w:val="0"/>
        <w:snapToGrid w:val="0"/>
        <w:spacing w:line="440" w:lineRule="exact"/>
        <w:ind w:firstLine="480" w:firstLineChars="200"/>
        <w:rPr>
          <w:rFonts w:hAnsi="宋体"/>
          <w:sz w:val="24"/>
        </w:rPr>
      </w:pPr>
      <w:r>
        <w:rPr>
          <w:rFonts w:hint="eastAsia" w:hAnsi="宋体"/>
          <w:sz w:val="24"/>
        </w:rPr>
        <w:t>6.1 谈判文件由下列文件以及在招标过程中发出的修正和补充文件组成：</w:t>
      </w:r>
    </w:p>
    <w:p>
      <w:pPr>
        <w:pStyle w:val="8"/>
        <w:adjustRightInd w:val="0"/>
        <w:snapToGrid w:val="0"/>
        <w:spacing w:line="440" w:lineRule="exact"/>
        <w:ind w:firstLine="480" w:firstLineChars="200"/>
        <w:rPr>
          <w:rFonts w:hAnsi="宋体"/>
          <w:sz w:val="24"/>
        </w:rPr>
      </w:pPr>
      <w:r>
        <w:rPr>
          <w:rFonts w:hint="eastAsia" w:hAnsi="宋体"/>
          <w:sz w:val="24"/>
        </w:rPr>
        <w:t>第一部分  谈判邀请函</w:t>
      </w:r>
    </w:p>
    <w:p>
      <w:pPr>
        <w:pStyle w:val="8"/>
        <w:adjustRightInd w:val="0"/>
        <w:snapToGrid w:val="0"/>
        <w:spacing w:line="440" w:lineRule="exact"/>
        <w:ind w:firstLine="480" w:firstLineChars="200"/>
        <w:rPr>
          <w:rFonts w:hAnsi="宋体"/>
          <w:sz w:val="24"/>
        </w:rPr>
      </w:pPr>
      <w:r>
        <w:rPr>
          <w:rFonts w:hint="eastAsia" w:hAnsi="宋体"/>
          <w:sz w:val="24"/>
        </w:rPr>
        <w:t>第二部分  供应商须知</w:t>
      </w:r>
    </w:p>
    <w:p>
      <w:pPr>
        <w:pStyle w:val="8"/>
        <w:adjustRightInd w:val="0"/>
        <w:snapToGrid w:val="0"/>
        <w:spacing w:line="440" w:lineRule="exact"/>
        <w:ind w:firstLine="480" w:firstLineChars="200"/>
        <w:rPr>
          <w:rFonts w:hAnsi="宋体"/>
          <w:sz w:val="24"/>
        </w:rPr>
      </w:pPr>
      <w:r>
        <w:rPr>
          <w:rFonts w:hint="eastAsia" w:hAnsi="宋体"/>
          <w:sz w:val="24"/>
        </w:rPr>
        <w:t>第三部分  合同条款及格式</w:t>
      </w:r>
    </w:p>
    <w:p>
      <w:pPr>
        <w:pStyle w:val="8"/>
        <w:adjustRightInd w:val="0"/>
        <w:snapToGrid w:val="0"/>
        <w:spacing w:line="440" w:lineRule="exact"/>
        <w:ind w:firstLine="480" w:firstLineChars="200"/>
        <w:rPr>
          <w:rFonts w:hint="eastAsia" w:hAnsi="宋体"/>
          <w:sz w:val="24"/>
          <w:lang w:eastAsia="zh-CN"/>
        </w:rPr>
      </w:pPr>
      <w:r>
        <w:rPr>
          <w:rFonts w:hint="eastAsia" w:hAnsi="宋体"/>
          <w:sz w:val="24"/>
        </w:rPr>
        <w:t>第</w:t>
      </w:r>
      <w:r>
        <w:rPr>
          <w:rFonts w:hint="eastAsia" w:hAnsi="宋体"/>
          <w:sz w:val="24"/>
          <w:lang w:eastAsia="zh-CN"/>
        </w:rPr>
        <w:t>四</w:t>
      </w:r>
      <w:r>
        <w:rPr>
          <w:rFonts w:hint="eastAsia" w:hAnsi="宋体"/>
          <w:sz w:val="24"/>
        </w:rPr>
        <w:t xml:space="preserve">部分  </w:t>
      </w:r>
      <w:r>
        <w:rPr>
          <w:rFonts w:hint="eastAsia" w:hAnsi="宋体"/>
          <w:sz w:val="24"/>
          <w:lang w:eastAsia="zh-CN"/>
        </w:rPr>
        <w:t>采购需求及技术参数</w:t>
      </w:r>
    </w:p>
    <w:p>
      <w:pPr>
        <w:pStyle w:val="8"/>
        <w:adjustRightInd w:val="0"/>
        <w:snapToGrid w:val="0"/>
        <w:spacing w:line="440" w:lineRule="exact"/>
        <w:ind w:firstLine="480" w:firstLineChars="200"/>
        <w:rPr>
          <w:rFonts w:hAnsi="宋体"/>
          <w:sz w:val="24"/>
        </w:rPr>
      </w:pPr>
      <w:r>
        <w:rPr>
          <w:rFonts w:hint="eastAsia" w:hAnsi="宋体"/>
          <w:sz w:val="24"/>
        </w:rPr>
        <w:t>第</w:t>
      </w:r>
      <w:r>
        <w:rPr>
          <w:rFonts w:hint="eastAsia" w:hAnsi="宋体"/>
          <w:sz w:val="24"/>
          <w:lang w:eastAsia="zh-CN"/>
        </w:rPr>
        <w:t>五</w:t>
      </w:r>
      <w:r>
        <w:rPr>
          <w:rFonts w:hint="eastAsia" w:hAnsi="宋体"/>
          <w:sz w:val="24"/>
        </w:rPr>
        <w:t>部分  响应文件格式</w:t>
      </w:r>
    </w:p>
    <w:p>
      <w:pPr>
        <w:pStyle w:val="8"/>
        <w:adjustRightInd w:val="0"/>
        <w:snapToGrid w:val="0"/>
        <w:spacing w:line="440" w:lineRule="exact"/>
        <w:ind w:firstLine="480" w:firstLineChars="200"/>
        <w:rPr>
          <w:rFonts w:hint="eastAsia" w:hAnsi="宋体" w:eastAsia="宋体"/>
          <w:sz w:val="24"/>
          <w:lang w:val="en-US" w:eastAsia="zh-CN"/>
        </w:rPr>
      </w:pPr>
    </w:p>
    <w:bookmarkEnd w:id="61"/>
    <w:bookmarkEnd w:id="62"/>
    <w:bookmarkEnd w:id="63"/>
    <w:p>
      <w:pPr>
        <w:pStyle w:val="8"/>
        <w:adjustRightInd w:val="0"/>
        <w:snapToGrid w:val="0"/>
        <w:spacing w:line="440" w:lineRule="exact"/>
        <w:ind w:firstLine="480" w:firstLineChars="200"/>
        <w:rPr>
          <w:rFonts w:hAnsi="宋体"/>
          <w:sz w:val="24"/>
        </w:rPr>
      </w:pPr>
      <w:bookmarkStart w:id="76" w:name="_Toc183582215"/>
      <w:bookmarkStart w:id="77" w:name="_Toc183682352"/>
      <w:bookmarkStart w:id="78" w:name="_Toc217446043"/>
      <w:r>
        <w:rPr>
          <w:rFonts w:hint="eastAsia" w:hAnsi="宋体"/>
          <w:sz w:val="24"/>
        </w:rPr>
        <w:t>6.2供应商须认真阅读谈判文件中所有的事项、格式、条款和技术规范等。供应商没有按照谈判文件要求提交全部资料，或者供应商未对谈判文件在各方面做出实质性响应，可能导致其响应被拒绝或无效响应等风险均由供应商承担。</w:t>
      </w:r>
    </w:p>
    <w:p>
      <w:pPr>
        <w:pStyle w:val="8"/>
        <w:adjustRightInd w:val="0"/>
        <w:snapToGrid w:val="0"/>
        <w:spacing w:line="440" w:lineRule="exact"/>
        <w:rPr>
          <w:rFonts w:hAnsi="宋体"/>
          <w:b/>
          <w:bCs/>
          <w:sz w:val="24"/>
        </w:rPr>
      </w:pPr>
      <w:bookmarkStart w:id="79" w:name="_Toc18711_WPSOffice_Level3"/>
      <w:r>
        <w:rPr>
          <w:rFonts w:hint="eastAsia" w:hAnsi="宋体"/>
          <w:b/>
          <w:bCs/>
          <w:sz w:val="24"/>
        </w:rPr>
        <w:t>7、谈判文件的澄清</w:t>
      </w:r>
      <w:bookmarkEnd w:id="79"/>
    </w:p>
    <w:p>
      <w:pPr>
        <w:pStyle w:val="8"/>
        <w:adjustRightInd w:val="0"/>
        <w:snapToGrid w:val="0"/>
        <w:spacing w:line="440" w:lineRule="exact"/>
        <w:ind w:firstLine="480" w:firstLineChars="200"/>
        <w:rPr>
          <w:rFonts w:hAnsi="宋体"/>
          <w:sz w:val="24"/>
        </w:rPr>
      </w:pPr>
      <w:r>
        <w:rPr>
          <w:rFonts w:hint="eastAsia" w:hAnsi="宋体"/>
          <w:sz w:val="24"/>
        </w:rPr>
        <w:t>供应商在收到谈判文件后，若有疑问需要澄清，应于递交响应文件截止时间前（逾期不受理）以书面形式向代理机构提出，采购代理机构将以书面形式进行答复，同时采购代理机构有权将答复内容分发给所有购买了本谈判文件的供应商。否则视为完全接受谈判文件所有条款及规定。</w:t>
      </w:r>
    </w:p>
    <w:p>
      <w:pPr>
        <w:pStyle w:val="8"/>
        <w:adjustRightInd w:val="0"/>
        <w:snapToGrid w:val="0"/>
        <w:spacing w:line="440" w:lineRule="exact"/>
        <w:ind w:left="420" w:hanging="420"/>
        <w:rPr>
          <w:rFonts w:hAnsi="宋体"/>
          <w:b/>
          <w:bCs/>
          <w:sz w:val="24"/>
        </w:rPr>
      </w:pPr>
      <w:bookmarkStart w:id="80" w:name="_Toc11113_WPSOffice_Level3"/>
      <w:r>
        <w:rPr>
          <w:rFonts w:hint="eastAsia" w:hAnsi="宋体"/>
          <w:b/>
          <w:bCs/>
          <w:sz w:val="24"/>
        </w:rPr>
        <w:t>8、谈判文件的修改</w:t>
      </w:r>
      <w:bookmarkEnd w:id="80"/>
    </w:p>
    <w:p>
      <w:pPr>
        <w:pStyle w:val="8"/>
        <w:adjustRightInd w:val="0"/>
        <w:snapToGrid w:val="0"/>
        <w:spacing w:line="440" w:lineRule="exact"/>
        <w:ind w:firstLine="480" w:firstLineChars="200"/>
        <w:rPr>
          <w:rFonts w:hAnsi="宋体"/>
          <w:sz w:val="24"/>
        </w:rPr>
      </w:pPr>
      <w:r>
        <w:rPr>
          <w:rFonts w:hint="eastAsia" w:hAnsi="宋体"/>
          <w:sz w:val="24"/>
        </w:rPr>
        <w:t>8.l 在递交响应文件截止时间前1天，采购代理机构和采购人可主动或在解答供应商提出的澄清问题时对谈判文件进行修改。</w:t>
      </w:r>
    </w:p>
    <w:p>
      <w:pPr>
        <w:pStyle w:val="8"/>
        <w:adjustRightInd w:val="0"/>
        <w:snapToGrid w:val="0"/>
        <w:spacing w:line="440" w:lineRule="exact"/>
        <w:ind w:firstLine="480" w:firstLineChars="200"/>
        <w:rPr>
          <w:rFonts w:hAnsi="宋体"/>
          <w:sz w:val="24"/>
        </w:rPr>
      </w:pPr>
      <w:r>
        <w:rPr>
          <w:rFonts w:hint="eastAsia" w:hAnsi="宋体"/>
          <w:sz w:val="24"/>
        </w:rPr>
        <w:t>8.2 谈判文件的修改是谈判文件的组成部分，采购代理机构将以书面或网上公告的形式通知所有购买本谈判文件的潜在供应商，并对潜在供应商具有约束力。潜在供应商在收到上述通知后，应立即以书面形式向采购代理机构和采购人确认。</w:t>
      </w:r>
    </w:p>
    <w:p>
      <w:pPr>
        <w:pStyle w:val="8"/>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Ansi="宋体"/>
          <w:sz w:val="24"/>
        </w:rPr>
      </w:pPr>
      <w:r>
        <w:rPr>
          <w:rFonts w:hint="eastAsia" w:hAnsi="宋体"/>
          <w:sz w:val="24"/>
        </w:rPr>
        <w:t>8.3为使供应商准备谈判时有充分的时间对谈判文件修改部分进行研究，采购代理机构应当在提交响应文件截止之日</w:t>
      </w:r>
      <w:r>
        <w:rPr>
          <w:rFonts w:hAnsi="宋体"/>
          <w:sz w:val="24"/>
        </w:rPr>
        <w:t>3</w:t>
      </w:r>
      <w:r>
        <w:rPr>
          <w:rFonts w:hint="eastAsia" w:hAnsi="宋体"/>
          <w:sz w:val="24"/>
        </w:rPr>
        <w:t>个工作日前，以书面或网上公告的形式通知所有接收谈判文件的供应商，不足</w:t>
      </w:r>
      <w:r>
        <w:rPr>
          <w:rFonts w:hAnsi="宋体"/>
          <w:sz w:val="24"/>
        </w:rPr>
        <w:t>3</w:t>
      </w:r>
      <w:r>
        <w:rPr>
          <w:rFonts w:hint="eastAsia" w:hAnsi="宋体"/>
          <w:sz w:val="24"/>
        </w:rPr>
        <w:t>个工作日的，应当顺延提交响应文件截止之日。</w:t>
      </w:r>
    </w:p>
    <w:p>
      <w:pPr>
        <w:keepNext w:val="0"/>
        <w:keepLines w:val="0"/>
        <w:pageBreakBefore w:val="0"/>
        <w:widowControl w:val="0"/>
        <w:kinsoku/>
        <w:wordWrap/>
        <w:overflowPunct/>
        <w:topLinePunct w:val="0"/>
        <w:autoSpaceDE w:val="0"/>
        <w:autoSpaceDN w:val="0"/>
        <w:bidi w:val="0"/>
        <w:adjustRightInd w:val="0"/>
        <w:snapToGrid w:val="0"/>
        <w:spacing w:beforeLines="50" w:afterLines="50" w:line="440" w:lineRule="exact"/>
        <w:textAlignment w:val="auto"/>
        <w:rPr>
          <w:rStyle w:val="28"/>
          <w:rFonts w:hint="eastAsia" w:asciiTheme="majorEastAsia" w:hAnsiTheme="majorEastAsia" w:eastAsiaTheme="majorEastAsia" w:cstheme="majorEastAsia"/>
          <w:b/>
          <w:sz w:val="28"/>
          <w:szCs w:val="28"/>
          <w:lang w:val="en-GB" w:eastAsia="zh-CN"/>
        </w:rPr>
      </w:pPr>
      <w:bookmarkStart w:id="81" w:name="_Toc13883_WPSOffice_Level2"/>
      <w:r>
        <w:rPr>
          <w:rStyle w:val="28"/>
          <w:rFonts w:hint="eastAsia" w:asciiTheme="majorEastAsia" w:hAnsiTheme="majorEastAsia" w:eastAsiaTheme="majorEastAsia" w:cstheme="majorEastAsia"/>
          <w:b/>
          <w:sz w:val="28"/>
          <w:szCs w:val="28"/>
          <w:lang w:val="en-GB" w:eastAsia="zh-CN"/>
        </w:rPr>
        <w:t>三、响应文件的编制和数量</w:t>
      </w:r>
      <w:bookmarkEnd w:id="81"/>
    </w:p>
    <w:p>
      <w:pPr>
        <w:pStyle w:val="8"/>
        <w:keepNext w:val="0"/>
        <w:keepLines w:val="0"/>
        <w:pageBreakBefore w:val="0"/>
        <w:widowControl w:val="0"/>
        <w:kinsoku/>
        <w:wordWrap/>
        <w:overflowPunct/>
        <w:topLinePunct w:val="0"/>
        <w:bidi w:val="0"/>
        <w:adjustRightInd w:val="0"/>
        <w:snapToGrid w:val="0"/>
        <w:spacing w:line="440" w:lineRule="exact"/>
        <w:textAlignment w:val="auto"/>
        <w:rPr>
          <w:rFonts w:hAnsi="宋体"/>
          <w:b/>
          <w:bCs/>
          <w:sz w:val="24"/>
        </w:rPr>
      </w:pPr>
      <w:r>
        <w:rPr>
          <w:rFonts w:hint="eastAsia" w:hAnsi="宋体"/>
          <w:b/>
          <w:bCs/>
          <w:sz w:val="24"/>
        </w:rPr>
        <w:t>9、响应的语言及度量衡</w:t>
      </w:r>
    </w:p>
    <w:p>
      <w:pPr>
        <w:pStyle w:val="8"/>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Ansi="宋体"/>
          <w:sz w:val="24"/>
        </w:rPr>
      </w:pPr>
      <w:r>
        <w:rPr>
          <w:rFonts w:hint="eastAsia" w:hAnsi="宋体"/>
          <w:sz w:val="24"/>
        </w:rPr>
        <w:t>9.1供应商提交的响应文件以及供应商与代理机构和采购人就有关</w:t>
      </w:r>
      <w:r>
        <w:rPr>
          <w:rFonts w:hint="eastAsia" w:hAnsi="宋体"/>
          <w:sz w:val="24"/>
          <w:lang w:eastAsia="zh-CN"/>
        </w:rPr>
        <w:t>谈判</w:t>
      </w:r>
      <w:r>
        <w:rPr>
          <w:rFonts w:hint="eastAsia" w:hAnsi="宋体"/>
          <w:sz w:val="24"/>
        </w:rPr>
        <w:t>响应的所有来往函电均应使用中文。</w:t>
      </w:r>
    </w:p>
    <w:p>
      <w:pPr>
        <w:pStyle w:val="8"/>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Ansi="宋体"/>
          <w:sz w:val="24"/>
        </w:rPr>
      </w:pPr>
      <w:r>
        <w:rPr>
          <w:rFonts w:hint="eastAsia" w:hAnsi="宋体"/>
          <w:sz w:val="24"/>
        </w:rPr>
        <w:t>9.2供应商提交的支持文件和印刷的文献可以用另一种语言，但相应内容应附有中文翻译本，在解释响应文件时以翻译本为准。</w:t>
      </w:r>
    </w:p>
    <w:p>
      <w:pPr>
        <w:widowControl/>
        <w:spacing w:line="360" w:lineRule="auto"/>
        <w:ind w:firstLine="480" w:firstLineChars="200"/>
        <w:rPr>
          <w:rFonts w:ascii="宋体" w:hAnsi="宋体"/>
          <w:sz w:val="24"/>
        </w:rPr>
      </w:pPr>
      <w:r>
        <w:rPr>
          <w:rFonts w:hint="eastAsia" w:ascii="宋体" w:hAnsi="宋体"/>
          <w:sz w:val="24"/>
        </w:rPr>
        <w:t>9.3 除在采购文件第四章中另有规定外，度量衡单位应使用国际单位制。</w:t>
      </w:r>
    </w:p>
    <w:p>
      <w:pPr>
        <w:widowControl/>
        <w:spacing w:line="360" w:lineRule="auto"/>
        <w:ind w:firstLine="480" w:firstLineChars="200"/>
        <w:rPr>
          <w:rFonts w:ascii="宋体" w:hAnsi="宋体"/>
          <w:sz w:val="24"/>
        </w:rPr>
      </w:pPr>
      <w:r>
        <w:rPr>
          <w:rFonts w:hint="eastAsia" w:ascii="宋体" w:hAnsi="宋体"/>
          <w:sz w:val="24"/>
        </w:rPr>
        <w:t>9.4 “年、月、日”除非特别说明，均指公历的年、月、日。</w:t>
      </w:r>
    </w:p>
    <w:p>
      <w:pPr>
        <w:pStyle w:val="8"/>
        <w:adjustRightInd w:val="0"/>
        <w:snapToGrid w:val="0"/>
        <w:spacing w:line="440" w:lineRule="exact"/>
        <w:ind w:firstLine="480" w:firstLineChars="200"/>
        <w:rPr>
          <w:rFonts w:hAnsi="宋体"/>
          <w:sz w:val="24"/>
        </w:rPr>
      </w:pPr>
      <w:r>
        <w:rPr>
          <w:rFonts w:hint="eastAsia" w:hAnsi="宋体"/>
          <w:sz w:val="24"/>
        </w:rPr>
        <w:t>9.5 “工作日”指中国法定节假日以外的公历日。</w:t>
      </w:r>
    </w:p>
    <w:p>
      <w:pPr>
        <w:pStyle w:val="8"/>
        <w:adjustRightInd w:val="0"/>
        <w:snapToGrid w:val="0"/>
        <w:spacing w:line="440" w:lineRule="exact"/>
        <w:ind w:firstLine="480" w:firstLineChars="200"/>
        <w:rPr>
          <w:rFonts w:hAnsi="宋体"/>
          <w:sz w:val="24"/>
        </w:rPr>
      </w:pPr>
      <w:r>
        <w:rPr>
          <w:rFonts w:hint="eastAsia" w:hAnsi="宋体"/>
          <w:sz w:val="24"/>
        </w:rPr>
        <w:t>9.6 “元”指人民币元，除非上下文另有所指；货币均指人民币，除非另有特别说明。</w:t>
      </w:r>
    </w:p>
    <w:p>
      <w:pPr>
        <w:pStyle w:val="8"/>
        <w:adjustRightInd w:val="0"/>
        <w:snapToGrid w:val="0"/>
        <w:spacing w:line="440" w:lineRule="exact"/>
        <w:rPr>
          <w:rFonts w:hAnsi="宋体"/>
          <w:sz w:val="24"/>
        </w:rPr>
      </w:pPr>
      <w:r>
        <w:rPr>
          <w:rFonts w:hint="eastAsia" w:hAnsi="宋体"/>
          <w:b/>
          <w:bCs/>
          <w:sz w:val="24"/>
        </w:rPr>
        <w:t>10、响应文件的构成</w:t>
      </w:r>
    </w:p>
    <w:p>
      <w:pPr>
        <w:pStyle w:val="8"/>
        <w:adjustRightInd w:val="0"/>
        <w:snapToGrid w:val="0"/>
        <w:spacing w:line="440" w:lineRule="exact"/>
        <w:ind w:firstLine="480" w:firstLineChars="200"/>
        <w:rPr>
          <w:rFonts w:hAnsi="宋体"/>
          <w:sz w:val="24"/>
        </w:rPr>
      </w:pPr>
      <w:r>
        <w:rPr>
          <w:rFonts w:hint="eastAsia" w:hAnsi="宋体"/>
          <w:sz w:val="24"/>
        </w:rPr>
        <w:t>供应商编制的响应文件应以本谈判文件第四部分为准。</w:t>
      </w:r>
    </w:p>
    <w:p>
      <w:pPr>
        <w:pStyle w:val="8"/>
        <w:adjustRightInd w:val="0"/>
        <w:snapToGrid w:val="0"/>
        <w:spacing w:line="440" w:lineRule="exact"/>
        <w:rPr>
          <w:rFonts w:hAnsi="宋体"/>
          <w:b/>
          <w:sz w:val="24"/>
          <w:lang w:val="en-GB"/>
        </w:rPr>
      </w:pPr>
      <w:r>
        <w:rPr>
          <w:rFonts w:hint="eastAsia" w:hAnsi="宋体"/>
          <w:b/>
          <w:sz w:val="24"/>
          <w:lang w:val="en-GB"/>
        </w:rPr>
        <w:t>1</w:t>
      </w:r>
      <w:r>
        <w:rPr>
          <w:rFonts w:hint="eastAsia" w:hAnsi="宋体"/>
          <w:b/>
          <w:sz w:val="24"/>
        </w:rPr>
        <w:t>1</w:t>
      </w:r>
      <w:r>
        <w:rPr>
          <w:rFonts w:hint="eastAsia" w:hAnsi="宋体"/>
          <w:b/>
          <w:sz w:val="24"/>
          <w:lang w:val="en-GB"/>
        </w:rPr>
        <w:t>、响应文件编制</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1</w:t>
      </w:r>
      <w:r>
        <w:rPr>
          <w:rFonts w:hint="eastAsia" w:ascii="宋体" w:hAnsi="宋体"/>
          <w:bCs/>
          <w:sz w:val="24"/>
          <w:lang w:val="en-GB"/>
        </w:rPr>
        <w:t>.1</w:t>
      </w:r>
      <w:r>
        <w:rPr>
          <w:rFonts w:hint="eastAsia" w:ascii="宋体" w:hAnsi="宋体"/>
          <w:bCs/>
          <w:sz w:val="24"/>
        </w:rPr>
        <w:t xml:space="preserve"> </w:t>
      </w:r>
      <w:r>
        <w:rPr>
          <w:rFonts w:hint="eastAsia" w:ascii="宋体" w:hAnsi="宋体"/>
          <w:bCs/>
          <w:sz w:val="24"/>
          <w:lang w:val="en-GB"/>
        </w:rPr>
        <w:t>供应商对谈判文件中多个包进行响应的，其响应文件的编制应按各个包的要求分别装订和封装</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1</w:t>
      </w:r>
      <w:r>
        <w:rPr>
          <w:rFonts w:hint="eastAsia" w:ascii="宋体" w:hAnsi="宋体"/>
          <w:bCs/>
          <w:sz w:val="24"/>
          <w:lang w:val="en-GB"/>
        </w:rPr>
        <w:t>.2</w:t>
      </w:r>
      <w:r>
        <w:rPr>
          <w:rFonts w:hint="eastAsia" w:ascii="宋体" w:hAnsi="宋体"/>
          <w:bCs/>
          <w:sz w:val="24"/>
        </w:rPr>
        <w:t xml:space="preserve"> </w:t>
      </w:r>
      <w:r>
        <w:rPr>
          <w:rFonts w:hint="eastAsia" w:ascii="宋体" w:hAnsi="宋体"/>
          <w:bCs/>
          <w:sz w:val="24"/>
          <w:lang w:val="en-GB"/>
        </w:rPr>
        <w:t>供应商应完整地填写谈判文件中提供的《响应承诺函》、《报价一览表》等谈判文件中规定的所有内容。</w:t>
      </w:r>
    </w:p>
    <w:p>
      <w:pPr>
        <w:pStyle w:val="8"/>
        <w:adjustRightInd w:val="0"/>
        <w:snapToGrid w:val="0"/>
        <w:spacing w:line="440" w:lineRule="exact"/>
        <w:ind w:firstLine="480" w:firstLineChars="200"/>
        <w:rPr>
          <w:rFonts w:hAnsi="宋体"/>
          <w:bCs/>
          <w:sz w:val="24"/>
          <w:lang w:val="en-GB"/>
        </w:rPr>
      </w:pPr>
      <w:r>
        <w:rPr>
          <w:rFonts w:hint="eastAsia" w:hAnsi="宋体"/>
          <w:bCs/>
          <w:sz w:val="24"/>
          <w:lang w:val="en-GB"/>
        </w:rPr>
        <w:t>1</w:t>
      </w:r>
      <w:r>
        <w:rPr>
          <w:rFonts w:hint="eastAsia" w:hAnsi="宋体"/>
          <w:bCs/>
          <w:sz w:val="24"/>
        </w:rPr>
        <w:t>1</w:t>
      </w:r>
      <w:r>
        <w:rPr>
          <w:rFonts w:hint="eastAsia" w:hAnsi="宋体"/>
          <w:bCs/>
          <w:sz w:val="24"/>
          <w:lang w:val="en-GB"/>
        </w:rPr>
        <w:t>.3</w:t>
      </w:r>
      <w:r>
        <w:rPr>
          <w:rFonts w:hint="eastAsia" w:hAnsi="宋体"/>
          <w:bCs/>
          <w:sz w:val="24"/>
        </w:rPr>
        <w:t xml:space="preserve"> </w:t>
      </w:r>
      <w:r>
        <w:rPr>
          <w:rFonts w:hint="eastAsia" w:hAnsi="宋体"/>
          <w:bCs/>
          <w:sz w:val="24"/>
          <w:lang w:val="en-GB"/>
        </w:rPr>
        <w:t>供应商必须保证响应文件所提供的全部资料真实可靠，须接受并配合采购代理机构对其提供的任何资料进行审查和核实。</w:t>
      </w:r>
    </w:p>
    <w:p>
      <w:pPr>
        <w:pStyle w:val="8"/>
        <w:adjustRightInd w:val="0"/>
        <w:snapToGrid w:val="0"/>
        <w:spacing w:line="440" w:lineRule="exact"/>
        <w:ind w:firstLine="480" w:firstLineChars="200"/>
        <w:rPr>
          <w:rFonts w:hAnsi="宋体"/>
          <w:bCs/>
          <w:sz w:val="24"/>
          <w:lang w:val="en-GB"/>
        </w:rPr>
      </w:pPr>
      <w:r>
        <w:rPr>
          <w:rFonts w:hint="eastAsia" w:hAnsi="宋体"/>
          <w:bCs/>
          <w:sz w:val="24"/>
          <w:lang w:val="en-GB"/>
        </w:rPr>
        <w:t>1</w:t>
      </w:r>
      <w:r>
        <w:rPr>
          <w:rFonts w:hint="eastAsia" w:hAnsi="宋体"/>
          <w:bCs/>
          <w:sz w:val="24"/>
        </w:rPr>
        <w:t>1</w:t>
      </w:r>
      <w:r>
        <w:rPr>
          <w:rFonts w:hint="eastAsia" w:hAnsi="宋体"/>
          <w:bCs/>
          <w:sz w:val="24"/>
          <w:lang w:val="en-GB"/>
        </w:rPr>
        <w:t>.4</w:t>
      </w:r>
      <w:r>
        <w:rPr>
          <w:rFonts w:hint="eastAsia" w:hAnsi="宋体"/>
          <w:bCs/>
          <w:sz w:val="24"/>
        </w:rPr>
        <w:t xml:space="preserve"> </w:t>
      </w:r>
      <w:r>
        <w:rPr>
          <w:rFonts w:hint="eastAsia" w:hAnsi="宋体"/>
          <w:bCs/>
          <w:sz w:val="24"/>
          <w:lang w:val="en-GB"/>
        </w:rPr>
        <w:t>如果响应文件填报的内容不详，或没有提供谈判文件中所要求的全部资料及数据，使谈判小组无法正常评审的，由此产生的结果由供应商承担。</w:t>
      </w:r>
    </w:p>
    <w:p>
      <w:pPr>
        <w:pStyle w:val="25"/>
        <w:spacing w:line="440" w:lineRule="exact"/>
        <w:ind w:firstLine="480" w:firstLineChars="200"/>
        <w:jc w:val="both"/>
        <w:rPr>
          <w:rFonts w:ascii="宋体" w:hAnsi="宋体"/>
          <w:bCs w:val="0"/>
          <w:spacing w:val="0"/>
          <w:szCs w:val="24"/>
          <w:lang w:val="en-GB"/>
        </w:rPr>
      </w:pPr>
      <w:r>
        <w:rPr>
          <w:rFonts w:hint="eastAsia" w:ascii="宋体" w:hAnsi="宋体"/>
          <w:spacing w:val="0"/>
          <w:kern w:val="2"/>
          <w:szCs w:val="24"/>
          <w:lang w:val="en-GB"/>
        </w:rPr>
        <w:t>1</w:t>
      </w:r>
      <w:r>
        <w:rPr>
          <w:rFonts w:hint="eastAsia" w:ascii="宋体" w:hAnsi="宋体"/>
          <w:spacing w:val="0"/>
          <w:kern w:val="2"/>
          <w:szCs w:val="24"/>
        </w:rPr>
        <w:t>1</w:t>
      </w:r>
      <w:r>
        <w:rPr>
          <w:rFonts w:hint="eastAsia" w:ascii="宋体" w:hAnsi="宋体"/>
          <w:spacing w:val="0"/>
          <w:kern w:val="2"/>
          <w:szCs w:val="24"/>
          <w:lang w:val="en-GB"/>
        </w:rPr>
        <w:t>.5</w:t>
      </w:r>
      <w:r>
        <w:rPr>
          <w:rFonts w:hint="eastAsia" w:ascii="宋体" w:hAnsi="宋体"/>
          <w:spacing w:val="0"/>
          <w:kern w:val="2"/>
          <w:szCs w:val="24"/>
        </w:rPr>
        <w:t xml:space="preserve"> </w:t>
      </w:r>
      <w:r>
        <w:rPr>
          <w:rFonts w:hint="eastAsia" w:ascii="宋体" w:hAnsi="宋体"/>
          <w:spacing w:val="0"/>
          <w:kern w:val="2"/>
          <w:szCs w:val="24"/>
          <w:lang w:val="en-GB"/>
        </w:rPr>
        <w:t>响应文件外形尺寸应统一为A4纸规格，</w:t>
      </w:r>
      <w:r>
        <w:rPr>
          <w:rFonts w:hint="eastAsia" w:ascii="宋体" w:hAnsi="宋体"/>
          <w:bCs w:val="0"/>
          <w:spacing w:val="0"/>
          <w:szCs w:val="24"/>
          <w:lang w:val="en-GB"/>
        </w:rPr>
        <w:t>文件所使用的印章必须为企业公章，且与供应商名称完全一致，不能以其它业务章或附属机构印章代替。需签名之处必须由当事人亲笔签署。</w:t>
      </w:r>
    </w:p>
    <w:p>
      <w:pPr>
        <w:pStyle w:val="25"/>
        <w:spacing w:line="440" w:lineRule="exact"/>
        <w:ind w:firstLine="480" w:firstLineChars="200"/>
        <w:jc w:val="both"/>
        <w:rPr>
          <w:rFonts w:ascii="宋体" w:hAnsi="宋体"/>
          <w:bCs w:val="0"/>
          <w:spacing w:val="0"/>
          <w:szCs w:val="24"/>
          <w:lang w:val="en-GB"/>
        </w:rPr>
      </w:pPr>
      <w:r>
        <w:rPr>
          <w:rFonts w:hint="eastAsia" w:ascii="宋体" w:hAnsi="宋体"/>
          <w:bCs w:val="0"/>
          <w:spacing w:val="0"/>
          <w:szCs w:val="24"/>
        </w:rPr>
        <w:t>11</w:t>
      </w:r>
      <w:r>
        <w:rPr>
          <w:rFonts w:hint="eastAsia" w:ascii="宋体" w:hAnsi="宋体"/>
          <w:bCs w:val="0"/>
          <w:spacing w:val="0"/>
          <w:szCs w:val="24"/>
          <w:lang w:val="en-GB"/>
        </w:rPr>
        <w:t>.</w:t>
      </w:r>
      <w:r>
        <w:rPr>
          <w:rFonts w:hint="eastAsia" w:ascii="宋体" w:hAnsi="宋体"/>
          <w:bCs w:val="0"/>
          <w:spacing w:val="0"/>
          <w:szCs w:val="24"/>
        </w:rPr>
        <w:t xml:space="preserve">6 </w:t>
      </w:r>
      <w:r>
        <w:rPr>
          <w:rFonts w:hint="eastAsia" w:ascii="宋体" w:hAnsi="宋体"/>
          <w:bCs w:val="0"/>
          <w:spacing w:val="0"/>
          <w:szCs w:val="24"/>
          <w:lang w:val="en-GB"/>
        </w:rPr>
        <w:t>响应文件自制部分必须打印，每页须按顺序加注页码，装订牢固且不会轻易脱落</w:t>
      </w:r>
      <w:r>
        <w:rPr>
          <w:rFonts w:hint="eastAsia" w:ascii="宋体" w:hAnsi="宋体"/>
          <w:b/>
          <w:spacing w:val="0"/>
          <w:szCs w:val="24"/>
          <w:lang w:val="en-GB"/>
        </w:rPr>
        <w:t>（注：如胶装）</w:t>
      </w:r>
      <w:r>
        <w:rPr>
          <w:rFonts w:hint="eastAsia" w:ascii="宋体" w:hAnsi="宋体"/>
          <w:bCs w:val="0"/>
          <w:spacing w:val="0"/>
          <w:szCs w:val="24"/>
          <w:lang w:val="en-GB"/>
        </w:rPr>
        <w:t>。如因装订问题而出现漏页或缺页，由此产生的一切后果由供应商自行承担。</w:t>
      </w:r>
    </w:p>
    <w:p>
      <w:pPr>
        <w:pStyle w:val="25"/>
        <w:spacing w:line="440" w:lineRule="exact"/>
        <w:ind w:firstLine="480" w:firstLineChars="200"/>
        <w:jc w:val="both"/>
        <w:rPr>
          <w:rFonts w:ascii="宋体" w:hAnsi="宋体"/>
          <w:bCs w:val="0"/>
          <w:spacing w:val="0"/>
          <w:szCs w:val="24"/>
          <w:lang w:val="en-GB"/>
        </w:rPr>
      </w:pPr>
      <w:r>
        <w:rPr>
          <w:rFonts w:hint="eastAsia" w:ascii="宋体" w:hAnsi="宋体"/>
          <w:bCs w:val="0"/>
          <w:spacing w:val="0"/>
          <w:szCs w:val="24"/>
        </w:rPr>
        <w:t>11</w:t>
      </w:r>
      <w:r>
        <w:rPr>
          <w:rFonts w:hint="eastAsia" w:ascii="宋体" w:hAnsi="宋体"/>
          <w:bCs w:val="0"/>
          <w:spacing w:val="0"/>
          <w:szCs w:val="24"/>
          <w:lang w:val="en-GB"/>
        </w:rPr>
        <w:t>.</w:t>
      </w:r>
      <w:r>
        <w:rPr>
          <w:rFonts w:hint="eastAsia" w:ascii="宋体" w:hAnsi="宋体"/>
          <w:bCs w:val="0"/>
          <w:spacing w:val="0"/>
          <w:szCs w:val="24"/>
        </w:rPr>
        <w:t xml:space="preserve">7 </w:t>
      </w:r>
      <w:r>
        <w:rPr>
          <w:rFonts w:hint="eastAsia" w:ascii="宋体" w:hAnsi="宋体"/>
          <w:bCs w:val="0"/>
          <w:spacing w:val="0"/>
          <w:szCs w:val="24"/>
          <w:lang w:val="en-GB"/>
        </w:rPr>
        <w:t>任何行间插字、涂改和增删，必须由供应商授权代表在旁边签字或盖章后方可有效。</w:t>
      </w:r>
    </w:p>
    <w:p>
      <w:pPr>
        <w:pStyle w:val="8"/>
        <w:adjustRightInd w:val="0"/>
        <w:snapToGrid w:val="0"/>
        <w:spacing w:line="440" w:lineRule="exact"/>
        <w:rPr>
          <w:rFonts w:hAnsi="宋体"/>
          <w:b/>
          <w:sz w:val="24"/>
          <w:lang w:val="en-GB"/>
        </w:rPr>
      </w:pPr>
      <w:r>
        <w:rPr>
          <w:rFonts w:hint="eastAsia" w:hAnsi="宋体"/>
          <w:b/>
          <w:sz w:val="24"/>
          <w:lang w:val="en-GB"/>
        </w:rPr>
        <w:t>1</w:t>
      </w:r>
      <w:r>
        <w:rPr>
          <w:rFonts w:hint="eastAsia" w:hAnsi="宋体"/>
          <w:b/>
          <w:sz w:val="24"/>
        </w:rPr>
        <w:t>2</w:t>
      </w:r>
      <w:r>
        <w:rPr>
          <w:rFonts w:hint="eastAsia" w:hAnsi="宋体"/>
          <w:b/>
          <w:sz w:val="24"/>
          <w:lang w:val="en-GB"/>
        </w:rPr>
        <w:t>、谈判报价</w:t>
      </w:r>
    </w:p>
    <w:p>
      <w:pPr>
        <w:pStyle w:val="25"/>
        <w:spacing w:line="440" w:lineRule="exact"/>
        <w:ind w:firstLine="480" w:firstLineChars="200"/>
        <w:jc w:val="both"/>
        <w:rPr>
          <w:rFonts w:ascii="宋体" w:hAnsi="宋体"/>
          <w:bCs w:val="0"/>
          <w:spacing w:val="0"/>
          <w:szCs w:val="24"/>
        </w:rPr>
      </w:pPr>
      <w:r>
        <w:rPr>
          <w:rFonts w:hint="eastAsia" w:ascii="宋体" w:hAnsi="宋体"/>
          <w:bCs w:val="0"/>
          <w:spacing w:val="0"/>
          <w:szCs w:val="24"/>
        </w:rPr>
        <w:t>12.1 本项目的采购预算金额为</w:t>
      </w:r>
      <w:r>
        <w:rPr>
          <w:rFonts w:hint="eastAsia" w:ascii="宋体" w:hAnsi="宋体"/>
          <w:b/>
          <w:bCs w:val="0"/>
          <w:spacing w:val="0"/>
          <w:szCs w:val="24"/>
        </w:rPr>
        <w:t>￥</w:t>
      </w:r>
      <w:r>
        <w:rPr>
          <w:rFonts w:hint="eastAsia" w:ascii="宋体" w:hAnsi="宋体"/>
          <w:b/>
          <w:bCs w:val="0"/>
          <w:spacing w:val="0"/>
          <w:szCs w:val="24"/>
          <w:lang w:val="en-US" w:eastAsia="zh-CN"/>
        </w:rPr>
        <w:t>1241000.00</w:t>
      </w:r>
      <w:r>
        <w:rPr>
          <w:rFonts w:hint="eastAsia" w:ascii="宋体" w:hAnsi="宋体"/>
          <w:b/>
          <w:bCs w:val="0"/>
          <w:spacing w:val="0"/>
          <w:szCs w:val="24"/>
        </w:rPr>
        <w:t>元</w:t>
      </w:r>
      <w:r>
        <w:rPr>
          <w:rFonts w:hint="eastAsia" w:ascii="宋体" w:hAnsi="宋体"/>
          <w:bCs w:val="0"/>
          <w:spacing w:val="0"/>
          <w:szCs w:val="24"/>
        </w:rPr>
        <w:t>。</w:t>
      </w:r>
    </w:p>
    <w:p>
      <w:pPr>
        <w:pStyle w:val="25"/>
        <w:spacing w:line="440" w:lineRule="exact"/>
        <w:ind w:firstLine="480" w:firstLineChars="200"/>
        <w:jc w:val="both"/>
        <w:rPr>
          <w:rFonts w:ascii="宋体" w:hAnsi="宋体"/>
          <w:bCs w:val="0"/>
          <w:spacing w:val="0"/>
          <w:szCs w:val="24"/>
        </w:rPr>
      </w:pPr>
      <w:r>
        <w:rPr>
          <w:rFonts w:hint="eastAsia" w:ascii="宋体" w:hAnsi="宋体"/>
          <w:bCs w:val="0"/>
          <w:spacing w:val="0"/>
          <w:szCs w:val="24"/>
        </w:rPr>
        <w:t>12.2 报价应包括全部服务的价格及相关税费、培训（如有）、售后服务等其它有关的所有费用。</w:t>
      </w:r>
    </w:p>
    <w:p>
      <w:pPr>
        <w:pStyle w:val="25"/>
        <w:spacing w:line="440" w:lineRule="exact"/>
        <w:ind w:firstLine="480" w:firstLineChars="200"/>
        <w:jc w:val="both"/>
        <w:rPr>
          <w:rFonts w:ascii="宋体" w:hAnsi="宋体"/>
          <w:bCs w:val="0"/>
          <w:spacing w:val="0"/>
          <w:szCs w:val="24"/>
        </w:rPr>
      </w:pPr>
      <w:r>
        <w:rPr>
          <w:rFonts w:hint="eastAsia" w:ascii="宋体" w:hAnsi="宋体"/>
          <w:bCs w:val="0"/>
          <w:spacing w:val="0"/>
          <w:szCs w:val="24"/>
        </w:rPr>
        <w:t>12.3 供应商应按报价一览表的要求报价，不接受有选择的报价。</w:t>
      </w:r>
    </w:p>
    <w:p>
      <w:pPr>
        <w:pStyle w:val="8"/>
        <w:adjustRightInd w:val="0"/>
        <w:snapToGrid w:val="0"/>
        <w:spacing w:line="440" w:lineRule="exact"/>
        <w:ind w:firstLine="480" w:firstLineChars="200"/>
        <w:rPr>
          <w:rFonts w:hAnsi="宋体"/>
          <w:bCs/>
          <w:sz w:val="24"/>
          <w:lang w:val="en-GB"/>
        </w:rPr>
      </w:pPr>
      <w:r>
        <w:rPr>
          <w:rFonts w:hint="eastAsia" w:hAnsi="宋体"/>
          <w:sz w:val="24"/>
        </w:rPr>
        <w:t>12.4 成交候选供应商的报价如超过预算且采购人不能支付的，采购人有权拒绝而递选下一个顺位的成交候选供应商。</w:t>
      </w:r>
    </w:p>
    <w:p>
      <w:pPr>
        <w:spacing w:line="440" w:lineRule="exact"/>
        <w:rPr>
          <w:rFonts w:ascii="宋体" w:hAnsi="宋体"/>
          <w:b/>
          <w:sz w:val="24"/>
          <w:lang w:val="en-GB"/>
        </w:rPr>
      </w:pPr>
      <w:r>
        <w:rPr>
          <w:rFonts w:hint="eastAsia" w:ascii="宋体" w:hAnsi="宋体"/>
          <w:b/>
          <w:sz w:val="24"/>
          <w:lang w:val="en-GB"/>
        </w:rPr>
        <w:t>1</w:t>
      </w:r>
      <w:r>
        <w:rPr>
          <w:rFonts w:hint="eastAsia" w:ascii="宋体" w:hAnsi="宋体"/>
          <w:b/>
          <w:sz w:val="24"/>
        </w:rPr>
        <w:t>3</w:t>
      </w:r>
      <w:r>
        <w:rPr>
          <w:rFonts w:hint="eastAsia" w:ascii="宋体" w:hAnsi="宋体"/>
          <w:b/>
          <w:sz w:val="24"/>
          <w:lang w:val="en-GB"/>
        </w:rPr>
        <w:t>、备选方案</w:t>
      </w:r>
    </w:p>
    <w:p>
      <w:pPr>
        <w:pStyle w:val="8"/>
        <w:adjustRightInd w:val="0"/>
        <w:snapToGrid w:val="0"/>
        <w:spacing w:line="440" w:lineRule="exact"/>
        <w:ind w:firstLine="480" w:firstLineChars="200"/>
        <w:rPr>
          <w:rFonts w:hAnsi="宋体"/>
          <w:bCs/>
          <w:sz w:val="24"/>
          <w:lang w:val="en-GB"/>
        </w:rPr>
      </w:pPr>
      <w:r>
        <w:rPr>
          <w:rFonts w:hint="eastAsia" w:hAnsi="宋体"/>
          <w:bCs/>
          <w:sz w:val="24"/>
          <w:lang w:val="en-GB"/>
        </w:rPr>
        <w:t>本次谈判只允许供应商有一个响应方案，否则，其响应文件无效。</w:t>
      </w:r>
    </w:p>
    <w:p>
      <w:pPr>
        <w:spacing w:line="440" w:lineRule="exact"/>
        <w:rPr>
          <w:rFonts w:ascii="宋体" w:hAnsi="宋体"/>
          <w:b/>
          <w:sz w:val="24"/>
          <w:lang w:val="en-GB"/>
        </w:rPr>
      </w:pPr>
      <w:r>
        <w:rPr>
          <w:rFonts w:hint="eastAsia" w:ascii="宋体" w:hAnsi="宋体"/>
          <w:b/>
          <w:sz w:val="24"/>
        </w:rPr>
        <w:t>14、</w:t>
      </w:r>
      <w:r>
        <w:rPr>
          <w:rFonts w:hint="eastAsia" w:ascii="宋体" w:hAnsi="宋体"/>
          <w:b/>
          <w:sz w:val="24"/>
          <w:lang w:val="en-GB"/>
        </w:rPr>
        <w:t>谈判保证金</w:t>
      </w:r>
    </w:p>
    <w:p>
      <w:pPr>
        <w:spacing w:line="440" w:lineRule="exact"/>
        <w:ind w:firstLine="480" w:firstLineChars="200"/>
        <w:rPr>
          <w:rFonts w:ascii="宋体" w:hAnsi="宋体"/>
          <w:sz w:val="24"/>
        </w:rPr>
      </w:pPr>
      <w:r>
        <w:rPr>
          <w:rFonts w:hint="eastAsia" w:ascii="宋体" w:hAnsi="宋体"/>
          <w:sz w:val="24"/>
        </w:rPr>
        <w:t>14.1 谈判保证金是参加本项目谈判的必要条件，保证金金额为</w:t>
      </w:r>
      <w:r>
        <w:rPr>
          <w:rFonts w:hint="eastAsia" w:ascii="宋体" w:hAnsi="宋体"/>
          <w:b/>
          <w:bCs/>
          <w:sz w:val="24"/>
          <w:u w:val="single"/>
        </w:rPr>
        <w:t>￥</w:t>
      </w:r>
      <w:r>
        <w:rPr>
          <w:rFonts w:hint="eastAsia" w:ascii="宋体" w:hAnsi="宋体"/>
          <w:b/>
          <w:bCs/>
          <w:sz w:val="24"/>
          <w:u w:val="single"/>
          <w:lang w:val="en-US" w:eastAsia="zh-CN"/>
        </w:rPr>
        <w:t>2</w:t>
      </w:r>
      <w:r>
        <w:rPr>
          <w:rFonts w:hint="eastAsia" w:ascii="宋体" w:hAnsi="宋体"/>
          <w:b/>
          <w:bCs/>
          <w:sz w:val="24"/>
          <w:u w:val="single"/>
        </w:rPr>
        <w:t>0000.00</w:t>
      </w:r>
      <w:r>
        <w:rPr>
          <w:rFonts w:hint="eastAsia" w:ascii="宋体" w:hAnsi="宋体"/>
          <w:sz w:val="24"/>
        </w:rPr>
        <w:t>。</w:t>
      </w:r>
    </w:p>
    <w:p>
      <w:pPr>
        <w:spacing w:line="440" w:lineRule="exact"/>
        <w:ind w:firstLine="480" w:firstLineChars="200"/>
        <w:rPr>
          <w:rFonts w:ascii="宋体" w:hAnsi="宋体"/>
          <w:sz w:val="24"/>
          <w:lang w:val="en-GB"/>
        </w:rPr>
      </w:pPr>
      <w:r>
        <w:rPr>
          <w:rFonts w:hint="eastAsia" w:ascii="宋体" w:hAnsi="宋体"/>
          <w:sz w:val="24"/>
        </w:rPr>
        <w:t>14.2 谈判保证金</w:t>
      </w:r>
      <w:r>
        <w:rPr>
          <w:rFonts w:hint="eastAsia" w:ascii="宋体" w:hAnsi="宋体"/>
          <w:sz w:val="24"/>
          <w:lang w:val="en-GB"/>
        </w:rPr>
        <w:t>应在</w:t>
      </w:r>
      <w:r>
        <w:rPr>
          <w:rFonts w:hint="eastAsia" w:ascii="宋体" w:hAnsi="宋体"/>
          <w:sz w:val="24"/>
        </w:rPr>
        <w:t>递交响应文件截止时间2019年</w:t>
      </w:r>
      <w:r>
        <w:rPr>
          <w:rFonts w:hint="eastAsia" w:ascii="宋体" w:hAnsi="宋体"/>
          <w:sz w:val="24"/>
          <w:u w:val="single"/>
        </w:rPr>
        <w:t xml:space="preserve">  </w:t>
      </w:r>
      <w:r>
        <w:rPr>
          <w:rFonts w:hint="eastAsia" w:ascii="宋体" w:hAnsi="宋体"/>
          <w:sz w:val="24"/>
          <w:u w:val="single"/>
          <w:lang w:val="en-US" w:eastAsia="zh-CN"/>
        </w:rPr>
        <w:t>8</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15</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17</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30</w:t>
      </w:r>
      <w:r>
        <w:rPr>
          <w:rFonts w:hint="eastAsia" w:ascii="宋体" w:hAnsi="宋体"/>
          <w:sz w:val="24"/>
          <w:u w:val="single"/>
        </w:rPr>
        <w:t xml:space="preserve">  </w:t>
      </w:r>
      <w:r>
        <w:rPr>
          <w:rFonts w:hint="eastAsia" w:ascii="宋体" w:hAnsi="宋体"/>
          <w:bCs/>
          <w:sz w:val="24"/>
        </w:rPr>
        <w:t>前</w:t>
      </w:r>
      <w:r>
        <w:rPr>
          <w:rFonts w:hint="eastAsia" w:ascii="宋体" w:hAnsi="宋体"/>
          <w:sz w:val="24"/>
          <w:lang w:val="en-GB"/>
        </w:rPr>
        <w:t>划入或存入采购代理机构指定的账户</w:t>
      </w:r>
      <w:r>
        <w:rPr>
          <w:rFonts w:hint="eastAsia" w:ascii="宋体" w:hAnsi="宋体"/>
          <w:sz w:val="24"/>
        </w:rPr>
        <w:t>并注明汇款单位及项目编号（或项目名称）。谈判保证金应当以支票、汇票、本票或者金融机构、担保机构出具的保函等非现金形式从其公户提交。任何以个人账户或个人名义汇入（自然人投标的情形除外）的保证金，</w:t>
      </w:r>
      <w:r>
        <w:rPr>
          <w:rFonts w:hint="eastAsia" w:ascii="宋体" w:hAnsi="宋体"/>
          <w:sz w:val="24"/>
          <w:lang w:val="en-GB"/>
        </w:rPr>
        <w:t>视为提交无效，导致其响应无效或被拒收响应文件所产生的一切后果均由供应商承担。</w:t>
      </w:r>
    </w:p>
    <w:p>
      <w:pPr>
        <w:pStyle w:val="26"/>
        <w:spacing w:line="360" w:lineRule="auto"/>
        <w:ind w:left="585" w:firstLine="241" w:firstLineChars="100"/>
        <w:rPr>
          <w:b/>
          <w:bCs/>
          <w:sz w:val="24"/>
        </w:rPr>
      </w:pPr>
      <w:r>
        <w:rPr>
          <w:b/>
          <w:bCs/>
          <w:sz w:val="24"/>
        </w:rPr>
        <w:t>账号名称：中天世纪国际招标有限公司海南分公司</w:t>
      </w:r>
    </w:p>
    <w:p>
      <w:pPr>
        <w:pStyle w:val="26"/>
        <w:spacing w:line="360" w:lineRule="auto"/>
        <w:ind w:left="585" w:firstLine="241" w:firstLineChars="100"/>
        <w:rPr>
          <w:rFonts w:ascii="宋体" w:hAnsi="宋体" w:eastAsia="宋体" w:cs="宋体"/>
          <w:b/>
          <w:bCs/>
          <w:kern w:val="2"/>
          <w:sz w:val="24"/>
          <w:szCs w:val="24"/>
          <w:lang w:val="zh-CN" w:eastAsia="zh-CN" w:bidi="zh-CN"/>
        </w:rPr>
      </w:pPr>
      <w:r>
        <w:rPr>
          <w:rFonts w:ascii="宋体" w:hAnsi="宋体" w:eastAsia="宋体" w:cs="宋体"/>
          <w:b/>
          <w:bCs/>
          <w:kern w:val="2"/>
          <w:sz w:val="24"/>
          <w:szCs w:val="24"/>
          <w:lang w:val="zh-CN" w:eastAsia="zh-CN" w:bidi="zh-CN"/>
        </w:rPr>
        <w:t>开户行：中国建设银行股份有限公司海口海甸支行</w:t>
      </w:r>
    </w:p>
    <w:p>
      <w:pPr>
        <w:pStyle w:val="26"/>
        <w:spacing w:line="360" w:lineRule="auto"/>
        <w:ind w:left="585" w:firstLine="241" w:firstLineChars="100"/>
        <w:rPr>
          <w:rFonts w:ascii="宋体" w:hAnsi="宋体" w:eastAsia="宋体" w:cs="宋体"/>
          <w:b/>
          <w:bCs/>
          <w:kern w:val="2"/>
          <w:sz w:val="24"/>
          <w:szCs w:val="24"/>
          <w:lang w:val="en-GB" w:eastAsia="zh-CN" w:bidi="zh-CN"/>
        </w:rPr>
      </w:pPr>
      <w:r>
        <w:rPr>
          <w:rFonts w:ascii="宋体" w:hAnsi="宋体" w:eastAsia="宋体" w:cs="宋体"/>
          <w:b/>
          <w:bCs/>
          <w:kern w:val="2"/>
          <w:sz w:val="24"/>
          <w:szCs w:val="24"/>
          <w:lang w:val="zh-CN" w:eastAsia="zh-CN" w:bidi="zh-CN"/>
        </w:rPr>
        <w:t>账号：4600</w:t>
      </w:r>
      <w:r>
        <w:rPr>
          <w:rFonts w:hint="eastAsia" w:ascii="宋体" w:hAnsi="宋体" w:cs="宋体"/>
          <w:b/>
          <w:bCs/>
          <w:kern w:val="2"/>
          <w:sz w:val="24"/>
          <w:szCs w:val="24"/>
          <w:lang w:val="en-US" w:eastAsia="zh-CN" w:bidi="zh-CN"/>
        </w:rPr>
        <w:t xml:space="preserve"> </w:t>
      </w:r>
      <w:r>
        <w:rPr>
          <w:rFonts w:ascii="宋体" w:hAnsi="宋体" w:eastAsia="宋体" w:cs="宋体"/>
          <w:b/>
          <w:bCs/>
          <w:kern w:val="2"/>
          <w:sz w:val="24"/>
          <w:szCs w:val="24"/>
          <w:lang w:val="zh-CN" w:eastAsia="zh-CN" w:bidi="zh-CN"/>
        </w:rPr>
        <w:t>1003</w:t>
      </w:r>
      <w:r>
        <w:rPr>
          <w:rFonts w:hint="eastAsia" w:ascii="宋体" w:hAnsi="宋体" w:cs="宋体"/>
          <w:b/>
          <w:bCs/>
          <w:kern w:val="2"/>
          <w:sz w:val="24"/>
          <w:szCs w:val="24"/>
          <w:lang w:val="en-US" w:eastAsia="zh-CN" w:bidi="zh-CN"/>
        </w:rPr>
        <w:t xml:space="preserve"> </w:t>
      </w:r>
      <w:r>
        <w:rPr>
          <w:rFonts w:ascii="宋体" w:hAnsi="宋体" w:eastAsia="宋体" w:cs="宋体"/>
          <w:b/>
          <w:bCs/>
          <w:kern w:val="2"/>
          <w:sz w:val="24"/>
          <w:szCs w:val="24"/>
          <w:lang w:val="zh-CN" w:eastAsia="zh-CN" w:bidi="zh-CN"/>
        </w:rPr>
        <w:t>8360</w:t>
      </w:r>
      <w:r>
        <w:rPr>
          <w:rFonts w:hint="eastAsia" w:ascii="宋体" w:hAnsi="宋体" w:cs="宋体"/>
          <w:b/>
          <w:bCs/>
          <w:kern w:val="2"/>
          <w:sz w:val="24"/>
          <w:szCs w:val="24"/>
          <w:lang w:val="en-US" w:eastAsia="zh-CN" w:bidi="zh-CN"/>
        </w:rPr>
        <w:t xml:space="preserve"> </w:t>
      </w:r>
      <w:r>
        <w:rPr>
          <w:rFonts w:ascii="宋体" w:hAnsi="宋体" w:eastAsia="宋体" w:cs="宋体"/>
          <w:b/>
          <w:bCs/>
          <w:kern w:val="2"/>
          <w:sz w:val="24"/>
          <w:szCs w:val="24"/>
          <w:lang w:val="zh-CN" w:eastAsia="zh-CN" w:bidi="zh-CN"/>
        </w:rPr>
        <w:t>5300</w:t>
      </w:r>
      <w:r>
        <w:rPr>
          <w:rFonts w:hint="eastAsia" w:ascii="宋体" w:hAnsi="宋体" w:cs="宋体"/>
          <w:b/>
          <w:bCs/>
          <w:kern w:val="2"/>
          <w:sz w:val="24"/>
          <w:szCs w:val="24"/>
          <w:lang w:val="en-US" w:eastAsia="zh-CN" w:bidi="zh-CN"/>
        </w:rPr>
        <w:t xml:space="preserve"> </w:t>
      </w:r>
      <w:r>
        <w:rPr>
          <w:rFonts w:ascii="宋体" w:hAnsi="宋体" w:eastAsia="宋体" w:cs="宋体"/>
          <w:b/>
          <w:bCs/>
          <w:kern w:val="2"/>
          <w:sz w:val="24"/>
          <w:szCs w:val="24"/>
          <w:lang w:val="zh-CN" w:eastAsia="zh-CN" w:bidi="zh-CN"/>
        </w:rPr>
        <w:t>4171</w:t>
      </w:r>
      <w:r>
        <w:rPr>
          <w:rFonts w:hint="eastAsia" w:ascii="宋体" w:hAnsi="宋体" w:eastAsia="宋体" w:cs="宋体"/>
          <w:b/>
          <w:bCs/>
          <w:kern w:val="2"/>
          <w:sz w:val="24"/>
          <w:szCs w:val="24"/>
          <w:lang w:val="en-GB" w:eastAsia="zh-CN" w:bidi="zh-CN"/>
        </w:rPr>
        <w:t xml:space="preserve"> </w:t>
      </w:r>
    </w:p>
    <w:p>
      <w:pPr>
        <w:pStyle w:val="8"/>
        <w:adjustRightInd w:val="0"/>
        <w:snapToGrid w:val="0"/>
        <w:spacing w:line="440" w:lineRule="exact"/>
        <w:ind w:firstLine="480" w:firstLineChars="200"/>
        <w:rPr>
          <w:rFonts w:hAnsi="宋体"/>
          <w:sz w:val="24"/>
        </w:rPr>
      </w:pPr>
      <w:r>
        <w:rPr>
          <w:rFonts w:hint="eastAsia" w:hAnsi="宋体"/>
          <w:sz w:val="24"/>
        </w:rPr>
        <w:t>14.3 谈判保证金的退还</w:t>
      </w:r>
    </w:p>
    <w:p>
      <w:pPr>
        <w:pStyle w:val="8"/>
        <w:adjustRightInd w:val="0"/>
        <w:snapToGrid w:val="0"/>
        <w:spacing w:line="440" w:lineRule="exact"/>
        <w:ind w:firstLine="480" w:firstLineChars="200"/>
        <w:rPr>
          <w:rFonts w:hAnsi="宋体"/>
          <w:sz w:val="24"/>
        </w:rPr>
      </w:pPr>
      <w:r>
        <w:rPr>
          <w:rFonts w:hint="eastAsia" w:hAnsi="宋体"/>
          <w:sz w:val="24"/>
        </w:rPr>
        <w:t>14.3.l 成交供应商的谈判保证金在其与采购人签订合同后5个工作日内无息退还。</w:t>
      </w:r>
    </w:p>
    <w:p>
      <w:pPr>
        <w:pStyle w:val="8"/>
        <w:adjustRightInd w:val="0"/>
        <w:snapToGrid w:val="0"/>
        <w:spacing w:line="440" w:lineRule="exact"/>
        <w:ind w:firstLine="480" w:firstLineChars="200"/>
        <w:rPr>
          <w:rFonts w:hAnsi="宋体"/>
          <w:sz w:val="24"/>
        </w:rPr>
      </w:pPr>
      <w:r>
        <w:rPr>
          <w:rFonts w:hint="eastAsia" w:hAnsi="宋体"/>
          <w:sz w:val="24"/>
        </w:rPr>
        <w:t>14.3.2 未成交的供应商谈判保证金将在采购代理机构发出成交通知书后5个工作日内无息退还。</w:t>
      </w:r>
    </w:p>
    <w:p>
      <w:pPr>
        <w:pStyle w:val="8"/>
        <w:adjustRightInd w:val="0"/>
        <w:snapToGrid w:val="0"/>
        <w:spacing w:line="440" w:lineRule="exact"/>
        <w:ind w:firstLine="480" w:firstLineChars="200"/>
        <w:rPr>
          <w:rFonts w:hAnsi="宋体"/>
          <w:sz w:val="24"/>
        </w:rPr>
      </w:pPr>
      <w:r>
        <w:rPr>
          <w:rFonts w:hint="eastAsia" w:hAnsi="宋体"/>
          <w:sz w:val="24"/>
        </w:rPr>
        <w:t>14.4 发生下列情况之一者，谈判保证金将不予退还：</w:t>
      </w:r>
    </w:p>
    <w:p>
      <w:pPr>
        <w:pStyle w:val="8"/>
        <w:adjustRightInd w:val="0"/>
        <w:snapToGrid w:val="0"/>
        <w:spacing w:line="440" w:lineRule="exact"/>
        <w:ind w:firstLine="480" w:firstLineChars="200"/>
        <w:rPr>
          <w:rFonts w:hAnsi="宋体"/>
          <w:sz w:val="24"/>
        </w:rPr>
      </w:pPr>
      <w:r>
        <w:rPr>
          <w:rFonts w:hint="eastAsia" w:hAnsi="宋体"/>
          <w:sz w:val="24"/>
        </w:rPr>
        <w:t>（1）供应商在报价有效期内撤回其响应文件的；</w:t>
      </w:r>
    </w:p>
    <w:p>
      <w:pPr>
        <w:pStyle w:val="8"/>
        <w:adjustRightInd w:val="0"/>
        <w:snapToGrid w:val="0"/>
        <w:spacing w:line="440" w:lineRule="exact"/>
        <w:ind w:firstLine="480" w:firstLineChars="200"/>
        <w:rPr>
          <w:rFonts w:hAnsi="宋体"/>
          <w:sz w:val="24"/>
        </w:rPr>
      </w:pPr>
      <w:r>
        <w:rPr>
          <w:rFonts w:hint="eastAsia" w:hAnsi="宋体"/>
          <w:sz w:val="24"/>
        </w:rPr>
        <w:t>（2）供应商不按本章规定签订合同的；</w:t>
      </w:r>
    </w:p>
    <w:p>
      <w:pPr>
        <w:pStyle w:val="8"/>
        <w:adjustRightInd w:val="0"/>
        <w:snapToGrid w:val="0"/>
        <w:spacing w:line="440" w:lineRule="exact"/>
        <w:ind w:firstLine="480" w:firstLineChars="200"/>
        <w:rPr>
          <w:rFonts w:hAnsi="宋体"/>
          <w:sz w:val="24"/>
        </w:rPr>
      </w:pPr>
      <w:r>
        <w:rPr>
          <w:rFonts w:hint="eastAsia" w:hAnsi="宋体"/>
          <w:sz w:val="24"/>
        </w:rPr>
        <w:t>（3）供应商提供虚假材料谋取成交、成交的；</w:t>
      </w:r>
    </w:p>
    <w:p>
      <w:pPr>
        <w:pStyle w:val="8"/>
        <w:adjustRightInd w:val="0"/>
        <w:snapToGrid w:val="0"/>
        <w:spacing w:line="440" w:lineRule="exact"/>
        <w:ind w:firstLine="480" w:firstLineChars="200"/>
        <w:rPr>
          <w:rFonts w:hAnsi="宋体"/>
          <w:sz w:val="24"/>
        </w:rPr>
      </w:pPr>
      <w:r>
        <w:rPr>
          <w:rFonts w:hint="eastAsia" w:hAnsi="宋体"/>
          <w:sz w:val="24"/>
        </w:rPr>
        <w:t>（4）与采购人、其它供应商或者采购代理机构恶意串通的；</w:t>
      </w:r>
    </w:p>
    <w:p>
      <w:pPr>
        <w:spacing w:line="440" w:lineRule="exact"/>
        <w:ind w:firstLine="480" w:firstLineChars="200"/>
        <w:rPr>
          <w:rFonts w:ascii="宋体" w:hAnsi="宋体"/>
          <w:sz w:val="24"/>
        </w:rPr>
      </w:pPr>
      <w:r>
        <w:rPr>
          <w:rFonts w:hint="eastAsia" w:ascii="宋体" w:hAnsi="宋体"/>
          <w:sz w:val="24"/>
        </w:rPr>
        <w:t>（5）向采购人、采购代理机构、谈判小组成员行贿或者提供其他不正当利益的。</w:t>
      </w:r>
    </w:p>
    <w:p>
      <w:pPr>
        <w:spacing w:line="440" w:lineRule="exact"/>
        <w:ind w:firstLine="480" w:firstLineChars="200"/>
        <w:rPr>
          <w:rFonts w:ascii="宋体" w:hAnsi="宋体"/>
          <w:sz w:val="24"/>
        </w:rPr>
      </w:pPr>
      <w:r>
        <w:rPr>
          <w:rFonts w:hint="eastAsia" w:ascii="宋体" w:hAnsi="宋体"/>
          <w:sz w:val="24"/>
        </w:rPr>
        <w:t>（6）</w:t>
      </w:r>
      <w:r>
        <w:rPr>
          <w:rFonts w:hint="eastAsia" w:ascii="宋体" w:hAnsi="宋体"/>
          <w:kern w:val="0"/>
          <w:sz w:val="24"/>
        </w:rPr>
        <w:t>采取不正当手段诋毁、排挤其他供应商的；</w:t>
      </w:r>
    </w:p>
    <w:p>
      <w:pPr>
        <w:spacing w:line="440" w:lineRule="exact"/>
        <w:ind w:firstLine="480" w:firstLineChars="200"/>
        <w:rPr>
          <w:rFonts w:ascii="宋体" w:hAnsi="宋体"/>
          <w:sz w:val="24"/>
        </w:rPr>
      </w:pPr>
      <w:r>
        <w:rPr>
          <w:rFonts w:hint="eastAsia" w:ascii="宋体" w:hAnsi="宋体"/>
          <w:sz w:val="24"/>
        </w:rPr>
        <w:t>（7）逾期未支付招标代理服务费的。</w:t>
      </w:r>
    </w:p>
    <w:p>
      <w:pPr>
        <w:spacing w:line="440" w:lineRule="exact"/>
        <w:rPr>
          <w:rFonts w:ascii="宋体" w:hAnsi="宋体"/>
          <w:b/>
          <w:sz w:val="24"/>
          <w:lang w:val="en-GB"/>
        </w:rPr>
      </w:pPr>
      <w:r>
        <w:rPr>
          <w:rFonts w:hint="eastAsia" w:ascii="宋体" w:hAnsi="宋体"/>
          <w:b/>
          <w:sz w:val="24"/>
          <w:lang w:val="en-GB"/>
        </w:rPr>
        <w:t>1</w:t>
      </w:r>
      <w:r>
        <w:rPr>
          <w:rFonts w:hint="eastAsia" w:ascii="宋体" w:hAnsi="宋体"/>
          <w:b/>
          <w:sz w:val="24"/>
        </w:rPr>
        <w:t>5</w:t>
      </w:r>
      <w:r>
        <w:rPr>
          <w:rFonts w:hint="eastAsia" w:ascii="宋体" w:hAnsi="宋体"/>
          <w:b/>
          <w:sz w:val="24"/>
          <w:lang w:val="en-GB"/>
        </w:rPr>
        <w:t>、响应文件的有效期</w:t>
      </w:r>
    </w:p>
    <w:p>
      <w:pPr>
        <w:spacing w:line="440" w:lineRule="exact"/>
        <w:ind w:firstLine="480" w:firstLineChars="200"/>
        <w:rPr>
          <w:rFonts w:hint="eastAsia" w:ascii="宋体" w:hAnsi="宋体"/>
          <w:bCs/>
          <w:sz w:val="24"/>
          <w:lang w:val="en-GB"/>
        </w:rPr>
      </w:pPr>
      <w:r>
        <w:rPr>
          <w:rFonts w:hint="eastAsia" w:ascii="宋体" w:hAnsi="宋体"/>
          <w:bCs/>
          <w:sz w:val="24"/>
        </w:rPr>
        <w:t>15</w:t>
      </w:r>
      <w:r>
        <w:rPr>
          <w:rFonts w:hint="eastAsia" w:ascii="宋体" w:hAnsi="宋体"/>
          <w:bCs/>
          <w:sz w:val="24"/>
          <w:lang w:val="en-GB"/>
        </w:rPr>
        <w:t>.1 响应文件应自开标之日起</w:t>
      </w:r>
      <w:r>
        <w:rPr>
          <w:rFonts w:hint="eastAsia" w:ascii="宋体" w:hAnsi="宋体"/>
          <w:b/>
          <w:sz w:val="24"/>
          <w:u w:val="single"/>
        </w:rPr>
        <w:t>6</w:t>
      </w:r>
      <w:r>
        <w:rPr>
          <w:rFonts w:hint="eastAsia" w:ascii="宋体" w:hAnsi="宋体"/>
          <w:b/>
          <w:sz w:val="24"/>
          <w:u w:val="single"/>
          <w:lang w:val="en-GB"/>
        </w:rPr>
        <w:t>0</w:t>
      </w:r>
      <w:r>
        <w:rPr>
          <w:rFonts w:hint="eastAsia" w:ascii="宋体" w:hAnsi="宋体"/>
          <w:bCs/>
          <w:sz w:val="24"/>
          <w:lang w:val="en-GB"/>
        </w:rPr>
        <w:t>个日历日内保持有效。响应有效期不足的</w:t>
      </w:r>
    </w:p>
    <w:p>
      <w:pPr>
        <w:spacing w:line="440" w:lineRule="exact"/>
        <w:ind w:firstLine="480" w:firstLineChars="200"/>
        <w:rPr>
          <w:rFonts w:ascii="宋体" w:hAnsi="宋体"/>
          <w:bCs/>
          <w:sz w:val="24"/>
          <w:lang w:val="en-GB"/>
        </w:rPr>
      </w:pPr>
      <w:r>
        <w:rPr>
          <w:rFonts w:hint="eastAsia" w:ascii="宋体" w:hAnsi="宋体"/>
          <w:bCs/>
          <w:sz w:val="24"/>
          <w:lang w:val="en-GB"/>
        </w:rPr>
        <w:t>，将被视为无效响应。</w:t>
      </w:r>
    </w:p>
    <w:p>
      <w:pPr>
        <w:spacing w:line="440" w:lineRule="exact"/>
        <w:ind w:firstLine="480" w:firstLineChars="200"/>
        <w:rPr>
          <w:rFonts w:ascii="宋体" w:hAnsi="宋体"/>
          <w:sz w:val="24"/>
        </w:rPr>
      </w:pPr>
      <w:r>
        <w:rPr>
          <w:rFonts w:hint="eastAsia" w:ascii="宋体" w:hAnsi="宋体"/>
          <w:bCs/>
          <w:sz w:val="24"/>
          <w:lang w:val="en-GB"/>
        </w:rPr>
        <w:t>1</w:t>
      </w:r>
      <w:r>
        <w:rPr>
          <w:rFonts w:hint="eastAsia" w:ascii="宋体" w:hAnsi="宋体"/>
          <w:bCs/>
          <w:sz w:val="24"/>
        </w:rPr>
        <w:t>5</w:t>
      </w:r>
      <w:r>
        <w:rPr>
          <w:rFonts w:hint="eastAsia" w:ascii="宋体" w:hAnsi="宋体"/>
          <w:bCs/>
          <w:sz w:val="24"/>
          <w:lang w:val="en-GB"/>
        </w:rPr>
        <w:t>.2</w:t>
      </w:r>
      <w:r>
        <w:rPr>
          <w:rFonts w:hint="eastAsia" w:ascii="宋体" w:hAnsi="宋体"/>
          <w:bCs/>
          <w:sz w:val="24"/>
        </w:rPr>
        <w:t xml:space="preserve"> </w:t>
      </w:r>
      <w:r>
        <w:rPr>
          <w:rFonts w:hint="eastAsia" w:ascii="宋体" w:hAnsi="宋体"/>
          <w:bCs/>
          <w:sz w:val="24"/>
          <w:lang w:val="en-GB"/>
        </w:rPr>
        <w:t>特殊情况下，在原响应有效期截止之前，采购代理机构和采购人可要求供应商延长响应有效期。这种要求与答复均应以书面形式提交。供应商可拒绝采购代理机构和采购人的这种要求，但其响应文件在原响应有效期满后将不再有效。同意延长响应有效期的供应商将不会被要求和允许修正其响应。</w:t>
      </w:r>
    </w:p>
    <w:p>
      <w:pPr>
        <w:autoSpaceDE w:val="0"/>
        <w:autoSpaceDN w:val="0"/>
        <w:adjustRightInd w:val="0"/>
        <w:snapToGrid w:val="0"/>
        <w:spacing w:line="440" w:lineRule="exact"/>
        <w:ind w:left="-420" w:leftChars="-200" w:right="32"/>
        <w:rPr>
          <w:rFonts w:ascii="宋体" w:hAnsi="宋体"/>
          <w:bCs/>
          <w:sz w:val="24"/>
          <w:lang w:val="en-GB"/>
        </w:rPr>
      </w:pPr>
      <w:r>
        <w:rPr>
          <w:rFonts w:hint="eastAsia" w:ascii="宋体" w:hAnsi="宋体"/>
          <w:bCs/>
          <w:sz w:val="24"/>
        </w:rPr>
        <w:t xml:space="preserve">    </w:t>
      </w:r>
      <w:r>
        <w:rPr>
          <w:rFonts w:hint="eastAsia" w:ascii="宋体" w:hAnsi="宋体"/>
          <w:b/>
          <w:sz w:val="24"/>
        </w:rPr>
        <w:t>16、</w:t>
      </w:r>
      <w:r>
        <w:rPr>
          <w:rFonts w:hint="eastAsia" w:ascii="宋体" w:hAnsi="宋体"/>
          <w:b/>
          <w:sz w:val="24"/>
          <w:lang w:val="en-GB"/>
        </w:rPr>
        <w:t>响应文件的数量和签署</w:t>
      </w:r>
    </w:p>
    <w:p>
      <w:pPr>
        <w:spacing w:line="440" w:lineRule="exact"/>
        <w:ind w:firstLine="480" w:firstLineChars="200"/>
        <w:rPr>
          <w:rFonts w:hint="eastAsia" w:ascii="宋体" w:hAnsi="宋体"/>
          <w:sz w:val="24"/>
        </w:rPr>
      </w:pPr>
      <w:r>
        <w:rPr>
          <w:rFonts w:hint="eastAsia" w:ascii="宋体" w:hAnsi="宋体"/>
          <w:bCs/>
          <w:sz w:val="24"/>
          <w:lang w:val="en-GB"/>
        </w:rPr>
        <w:t>1</w:t>
      </w:r>
      <w:r>
        <w:rPr>
          <w:rFonts w:hint="eastAsia" w:ascii="宋体" w:hAnsi="宋体"/>
          <w:bCs/>
          <w:sz w:val="24"/>
        </w:rPr>
        <w:t>6</w:t>
      </w:r>
      <w:r>
        <w:rPr>
          <w:rFonts w:hint="eastAsia" w:ascii="宋体" w:hAnsi="宋体"/>
          <w:bCs/>
          <w:sz w:val="24"/>
          <w:lang w:val="en-GB"/>
        </w:rPr>
        <w:t>.1 响应文件</w:t>
      </w:r>
      <w:r>
        <w:rPr>
          <w:rFonts w:hint="eastAsia" w:ascii="宋体" w:hAnsi="宋体"/>
          <w:sz w:val="24"/>
          <w:lang w:val="en-GB"/>
        </w:rPr>
        <w:t>纸质版</w:t>
      </w:r>
      <w:r>
        <w:rPr>
          <w:rFonts w:hint="eastAsia" w:ascii="宋体" w:hAnsi="宋体"/>
          <w:bCs/>
          <w:sz w:val="24"/>
        </w:rPr>
        <w:t>一式四份（正本一份，副本三份），固定装订（注：如胶装）。报价一览表一份，独立信封密封,</w:t>
      </w:r>
      <w:r>
        <w:rPr>
          <w:rFonts w:hint="eastAsia" w:ascii="宋体" w:hAnsi="宋体"/>
          <w:sz w:val="24"/>
        </w:rPr>
        <w:t>信封外注明“报价一览表”。</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6</w:t>
      </w:r>
      <w:r>
        <w:rPr>
          <w:rFonts w:hint="eastAsia" w:ascii="宋体" w:hAnsi="宋体"/>
          <w:bCs/>
          <w:sz w:val="24"/>
          <w:lang w:val="en-GB"/>
        </w:rPr>
        <w:t>.2 响应文件须按谈判文件的要求执行，每份响应文件均须在封面上清楚标明“</w:t>
      </w:r>
      <w:r>
        <w:rPr>
          <w:rFonts w:hint="eastAsia" w:ascii="宋体" w:hAnsi="宋体"/>
          <w:b/>
          <w:sz w:val="24"/>
          <w:lang w:val="en-GB"/>
        </w:rPr>
        <w:t>正本</w:t>
      </w:r>
      <w:r>
        <w:rPr>
          <w:rFonts w:hint="eastAsia" w:ascii="宋体" w:hAnsi="宋体"/>
          <w:bCs/>
          <w:sz w:val="24"/>
          <w:lang w:val="en-GB"/>
        </w:rPr>
        <w:t>”或“</w:t>
      </w:r>
      <w:r>
        <w:rPr>
          <w:rFonts w:hint="eastAsia" w:ascii="宋体" w:hAnsi="宋体"/>
          <w:b/>
          <w:sz w:val="24"/>
          <w:lang w:val="en-GB"/>
        </w:rPr>
        <w:t>副本</w:t>
      </w:r>
      <w:r>
        <w:rPr>
          <w:rFonts w:hint="eastAsia" w:ascii="宋体" w:hAnsi="宋体"/>
          <w:bCs/>
          <w:sz w:val="24"/>
          <w:lang w:val="en-GB"/>
        </w:rPr>
        <w:t>”字样，“正本”和“副本”具有同等的法律效力；“正本”和“副本”之间如有差异，以“正本”为准。</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6</w:t>
      </w:r>
      <w:r>
        <w:rPr>
          <w:rFonts w:hint="eastAsia" w:ascii="宋体" w:hAnsi="宋体"/>
          <w:bCs/>
          <w:sz w:val="24"/>
          <w:lang w:val="en-GB"/>
        </w:rPr>
        <w:t>.3 响应文件正本中，文字材料需打印或用不褪色</w:t>
      </w:r>
      <w:r>
        <w:rPr>
          <w:rFonts w:hint="eastAsia" w:ascii="宋体" w:hAnsi="宋体"/>
          <w:bCs/>
          <w:sz w:val="24"/>
        </w:rPr>
        <w:t>黑色</w:t>
      </w:r>
      <w:r>
        <w:rPr>
          <w:rFonts w:hint="eastAsia" w:ascii="宋体" w:hAnsi="宋体"/>
          <w:bCs/>
          <w:sz w:val="24"/>
          <w:lang w:val="en-GB"/>
        </w:rPr>
        <w:t>墨水书写。</w:t>
      </w:r>
      <w:r>
        <w:rPr>
          <w:rFonts w:hint="eastAsia" w:ascii="宋体" w:hAnsi="宋体"/>
          <w:bCs/>
          <w:sz w:val="24"/>
        </w:rPr>
        <w:t>投标文件的正本须经法定代表人或授权代表签署和加盖投标人公章，响应文件右下角需逐页签字盖章，不符合以上签署要求的将视为无效投标。</w:t>
      </w:r>
    </w:p>
    <w:p>
      <w:pPr>
        <w:pStyle w:val="3"/>
        <w:bidi w:val="0"/>
      </w:pPr>
      <w:bookmarkStart w:id="82" w:name="_Toc27162_WPSOffice_Level2"/>
      <w:r>
        <w:rPr>
          <w:rFonts w:hint="eastAsia"/>
        </w:rPr>
        <w:t>四</w:t>
      </w:r>
      <w:r>
        <w:rPr>
          <w:rFonts w:hint="eastAsia"/>
          <w:lang w:eastAsia="zh-CN"/>
        </w:rPr>
        <w:t>、</w:t>
      </w:r>
      <w:r>
        <w:rPr>
          <w:rFonts w:hint="eastAsia"/>
        </w:rPr>
        <w:t>响应文件的递交</w:t>
      </w:r>
      <w:bookmarkEnd w:id="82"/>
    </w:p>
    <w:p>
      <w:pPr>
        <w:spacing w:line="440" w:lineRule="exact"/>
        <w:rPr>
          <w:rFonts w:ascii="宋体" w:hAnsi="宋体"/>
          <w:b/>
          <w:sz w:val="24"/>
        </w:rPr>
      </w:pPr>
      <w:r>
        <w:rPr>
          <w:rFonts w:hint="eastAsia" w:ascii="宋体" w:hAnsi="宋体"/>
          <w:b/>
          <w:sz w:val="24"/>
        </w:rPr>
        <w:t>17、响应文件的密封及标记</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7</w:t>
      </w:r>
      <w:r>
        <w:rPr>
          <w:rFonts w:hint="eastAsia" w:ascii="宋体" w:hAnsi="宋体"/>
          <w:bCs/>
          <w:sz w:val="24"/>
          <w:lang w:val="en-GB"/>
        </w:rPr>
        <w:t>.l 供应商应将响应文件正本和所有副本分别密封在两个投标专用袋（箱）中</w:t>
      </w:r>
      <w:r>
        <w:rPr>
          <w:rFonts w:hint="eastAsia" w:ascii="宋体" w:hAnsi="宋体"/>
          <w:b/>
          <w:sz w:val="24"/>
          <w:lang w:val="en-GB"/>
        </w:rPr>
        <w:t>（正本一份共一袋，副本三份共一袋）</w:t>
      </w:r>
      <w:r>
        <w:rPr>
          <w:rFonts w:hint="eastAsia" w:ascii="宋体" w:hAnsi="宋体"/>
          <w:bCs/>
          <w:sz w:val="24"/>
          <w:lang w:val="en-GB"/>
        </w:rPr>
        <w:t>及</w:t>
      </w:r>
      <w:r>
        <w:rPr>
          <w:rFonts w:hint="eastAsia" w:ascii="宋体" w:hAnsi="宋体"/>
          <w:b/>
          <w:sz w:val="24"/>
          <w:lang w:val="en-GB"/>
        </w:rPr>
        <w:t>报价一览表（独立信封另密封一份）</w:t>
      </w:r>
      <w:r>
        <w:rPr>
          <w:rFonts w:hint="eastAsia" w:ascii="宋体" w:hAnsi="宋体"/>
          <w:bCs/>
          <w:sz w:val="24"/>
          <w:lang w:val="en-GB"/>
        </w:rPr>
        <w:t>，并在投标专用袋（箱）上标明“</w:t>
      </w:r>
      <w:r>
        <w:rPr>
          <w:rFonts w:hint="eastAsia" w:ascii="宋体" w:hAnsi="宋体"/>
          <w:b/>
          <w:sz w:val="24"/>
          <w:lang w:val="en-GB"/>
        </w:rPr>
        <w:t>正本</w:t>
      </w:r>
      <w:r>
        <w:rPr>
          <w:rFonts w:hint="eastAsia" w:ascii="宋体" w:hAnsi="宋体"/>
          <w:bCs/>
          <w:sz w:val="24"/>
          <w:lang w:val="en-GB"/>
        </w:rPr>
        <w:t>”、“</w:t>
      </w:r>
      <w:r>
        <w:rPr>
          <w:rFonts w:hint="eastAsia" w:ascii="宋体" w:hAnsi="宋体"/>
          <w:b/>
          <w:sz w:val="24"/>
          <w:lang w:val="en-GB"/>
        </w:rPr>
        <w:t>副本</w:t>
      </w:r>
      <w:r>
        <w:rPr>
          <w:rFonts w:hint="eastAsia" w:ascii="宋体" w:hAnsi="宋体"/>
          <w:bCs/>
          <w:sz w:val="24"/>
          <w:lang w:val="en-GB"/>
        </w:rPr>
        <w:t>”、“</w:t>
      </w:r>
      <w:r>
        <w:rPr>
          <w:rFonts w:hint="eastAsia" w:ascii="宋体" w:hAnsi="宋体"/>
          <w:b/>
          <w:sz w:val="24"/>
          <w:lang w:val="en-GB"/>
        </w:rPr>
        <w:t>报价一览表</w:t>
      </w:r>
      <w:r>
        <w:rPr>
          <w:rFonts w:hint="eastAsia" w:ascii="宋体" w:hAnsi="宋体"/>
          <w:bCs/>
          <w:sz w:val="24"/>
          <w:lang w:val="en-GB"/>
        </w:rPr>
        <w:t>”字样，封口处应加盖骑缝章。封皮上均应写明：</w:t>
      </w:r>
    </w:p>
    <w:p>
      <w:pPr>
        <w:spacing w:line="440" w:lineRule="exact"/>
        <w:ind w:firstLine="482" w:firstLineChars="200"/>
        <w:rPr>
          <w:rFonts w:ascii="宋体" w:hAnsi="宋体"/>
          <w:b/>
          <w:sz w:val="24"/>
        </w:rPr>
      </w:pPr>
      <w:r>
        <w:rPr>
          <w:rFonts w:hint="eastAsia" w:ascii="宋体" w:hAnsi="宋体"/>
          <w:b/>
          <w:sz w:val="24"/>
        </w:rPr>
        <w:t>致：中天世纪国际招标有限公司</w:t>
      </w:r>
    </w:p>
    <w:p>
      <w:pPr>
        <w:spacing w:line="440" w:lineRule="exact"/>
        <w:ind w:firstLine="482" w:firstLineChars="200"/>
        <w:rPr>
          <w:rFonts w:hint="eastAsia" w:ascii="宋体" w:hAnsi="宋体" w:eastAsia="宋体"/>
          <w:b/>
          <w:sz w:val="24"/>
          <w:lang w:eastAsia="zh-CN"/>
        </w:rPr>
      </w:pPr>
      <w:r>
        <w:rPr>
          <w:rFonts w:hint="eastAsia" w:ascii="宋体" w:hAnsi="宋体"/>
          <w:b/>
          <w:sz w:val="24"/>
        </w:rPr>
        <w:t>项目名称：</w:t>
      </w:r>
      <w:r>
        <w:rPr>
          <w:rFonts w:hint="eastAsia" w:ascii="宋体" w:hAnsi="宋体"/>
          <w:b/>
          <w:sz w:val="24"/>
          <w:lang w:eastAsia="zh-CN"/>
        </w:rPr>
        <w:t>万宁市移动式水冲公厕项目</w:t>
      </w:r>
    </w:p>
    <w:p>
      <w:pPr>
        <w:spacing w:line="440" w:lineRule="exact"/>
        <w:ind w:firstLine="482" w:firstLineChars="200"/>
        <w:rPr>
          <w:rFonts w:hint="eastAsia" w:ascii="宋体" w:hAnsi="宋体" w:eastAsia="宋体"/>
          <w:b/>
          <w:sz w:val="24"/>
          <w:lang w:val="en-US" w:eastAsia="zh-CN"/>
        </w:rPr>
      </w:pPr>
      <w:r>
        <w:rPr>
          <w:rFonts w:hint="eastAsia" w:ascii="宋体" w:hAnsi="宋体"/>
          <w:b/>
          <w:sz w:val="24"/>
        </w:rPr>
        <w:t>项目编号：ZTSJ-HN201901</w:t>
      </w:r>
      <w:r>
        <w:rPr>
          <w:rFonts w:hint="eastAsia" w:ascii="宋体" w:hAnsi="宋体"/>
          <w:b/>
          <w:sz w:val="24"/>
          <w:lang w:val="en-US" w:eastAsia="zh-CN"/>
        </w:rPr>
        <w:t>4</w:t>
      </w:r>
    </w:p>
    <w:p>
      <w:pPr>
        <w:spacing w:line="440" w:lineRule="exact"/>
        <w:ind w:firstLine="482" w:firstLineChars="200"/>
        <w:rPr>
          <w:rFonts w:ascii="宋体" w:hAnsi="宋体"/>
          <w:b/>
          <w:sz w:val="24"/>
        </w:rPr>
      </w:pPr>
      <w:r>
        <w:rPr>
          <w:rFonts w:hint="eastAsia" w:ascii="宋体" w:hAnsi="宋体"/>
          <w:b/>
          <w:sz w:val="24"/>
        </w:rPr>
        <w:t>注明：“请勿在开标时间之前启封”</w:t>
      </w:r>
    </w:p>
    <w:p>
      <w:pPr>
        <w:spacing w:line="440" w:lineRule="exact"/>
        <w:ind w:firstLine="482" w:firstLineChars="200"/>
        <w:rPr>
          <w:rFonts w:ascii="宋体" w:hAnsi="宋体"/>
          <w:b/>
          <w:sz w:val="24"/>
        </w:rPr>
      </w:pPr>
      <w:r>
        <w:rPr>
          <w:rFonts w:hint="eastAsia" w:ascii="宋体" w:hAnsi="宋体"/>
          <w:b/>
          <w:sz w:val="24"/>
        </w:rPr>
        <w:t>投标单位名称、联系人姓名和电话</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7</w:t>
      </w:r>
      <w:r>
        <w:rPr>
          <w:rFonts w:hint="eastAsia" w:ascii="宋体" w:hAnsi="宋体"/>
          <w:bCs/>
          <w:sz w:val="24"/>
          <w:lang w:val="en-GB"/>
        </w:rPr>
        <w:t>.2 响应文件未按上述规定书写标记和密封者，采购代理机构将有权拒收其响应文件。</w:t>
      </w:r>
    </w:p>
    <w:bookmarkEnd w:id="76"/>
    <w:bookmarkEnd w:id="77"/>
    <w:bookmarkEnd w:id="78"/>
    <w:p>
      <w:pPr>
        <w:spacing w:line="440" w:lineRule="exact"/>
        <w:rPr>
          <w:rFonts w:ascii="宋体" w:hAnsi="宋体"/>
          <w:b/>
          <w:sz w:val="24"/>
        </w:rPr>
      </w:pPr>
      <w:r>
        <w:rPr>
          <w:rFonts w:hint="eastAsia" w:ascii="宋体" w:hAnsi="宋体"/>
          <w:b/>
          <w:sz w:val="24"/>
        </w:rPr>
        <w:t>18、递交响应文件截止时间</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8</w:t>
      </w:r>
      <w:r>
        <w:rPr>
          <w:rFonts w:hint="eastAsia" w:ascii="宋体" w:hAnsi="宋体"/>
          <w:bCs/>
          <w:sz w:val="24"/>
          <w:lang w:val="en-GB"/>
        </w:rPr>
        <w:t>.l 供应商须在递交响应文件截止时间前将响应文件送达采购代理机构规定的地点。</w:t>
      </w:r>
    </w:p>
    <w:p>
      <w:pPr>
        <w:spacing w:line="440" w:lineRule="exact"/>
        <w:ind w:firstLine="482" w:firstLineChars="200"/>
        <w:rPr>
          <w:rFonts w:ascii="宋体" w:hAnsi="宋体"/>
          <w:b/>
          <w:color w:val="000000" w:themeColor="text1"/>
          <w:sz w:val="24"/>
          <w:lang w:val="en-GB"/>
          <w14:textFill>
            <w14:solidFill>
              <w14:schemeClr w14:val="tx1"/>
            </w14:solidFill>
          </w14:textFill>
        </w:rPr>
      </w:pPr>
      <w:r>
        <w:rPr>
          <w:rFonts w:ascii="宋体" w:hAnsi="宋体"/>
          <w:b/>
          <w:color w:val="000000" w:themeColor="text1"/>
          <w:sz w:val="24"/>
          <w:lang w:val="en-GB"/>
          <w14:textFill>
            <w14:solidFill>
              <w14:schemeClr w14:val="tx1"/>
            </w14:solidFill>
          </w14:textFill>
        </w:rPr>
        <w:t>1</w:t>
      </w:r>
      <w:r>
        <w:rPr>
          <w:rFonts w:hint="eastAsia" w:ascii="宋体" w:hAnsi="宋体"/>
          <w:b/>
          <w:color w:val="000000" w:themeColor="text1"/>
          <w:sz w:val="24"/>
          <w14:textFill>
            <w14:solidFill>
              <w14:schemeClr w14:val="tx1"/>
            </w14:solidFill>
          </w14:textFill>
        </w:rPr>
        <w:t>8</w:t>
      </w:r>
      <w:r>
        <w:rPr>
          <w:rFonts w:ascii="宋体" w:hAnsi="宋体"/>
          <w:b/>
          <w:color w:val="000000" w:themeColor="text1"/>
          <w:sz w:val="24"/>
          <w:lang w:val="en-GB"/>
          <w14:textFill>
            <w14:solidFill>
              <w14:schemeClr w14:val="tx1"/>
            </w14:solidFill>
          </w14:textFill>
        </w:rPr>
        <w:t>.2 供应商的授权</w:t>
      </w:r>
      <w:r>
        <w:rPr>
          <w:rFonts w:hint="eastAsia" w:ascii="宋体" w:hAnsi="宋体"/>
          <w:b/>
          <w:color w:val="000000" w:themeColor="text1"/>
          <w:sz w:val="24"/>
          <w:lang w:val="en-GB"/>
          <w14:textFill>
            <w14:solidFill>
              <w14:schemeClr w14:val="tx1"/>
            </w14:solidFill>
          </w14:textFill>
        </w:rPr>
        <w:t>代表</w:t>
      </w:r>
      <w:r>
        <w:rPr>
          <w:rFonts w:ascii="宋体" w:hAnsi="宋体"/>
          <w:b/>
          <w:color w:val="000000" w:themeColor="text1"/>
          <w:sz w:val="24"/>
          <w:lang w:val="en-GB"/>
          <w14:textFill>
            <w14:solidFill>
              <w14:schemeClr w14:val="tx1"/>
            </w14:solidFill>
          </w14:textFill>
        </w:rPr>
        <w:t>须携带</w:t>
      </w:r>
      <w:r>
        <w:rPr>
          <w:rFonts w:hint="eastAsia" w:ascii="宋体" w:hAnsi="宋体"/>
          <w:b/>
          <w:color w:val="000000" w:themeColor="text1"/>
          <w:sz w:val="24"/>
          <w:lang w:val="en-GB"/>
          <w14:textFill>
            <w14:solidFill>
              <w14:schemeClr w14:val="tx1"/>
            </w14:solidFill>
          </w14:textFill>
        </w:rPr>
        <w:t>营业执照</w:t>
      </w:r>
      <w:r>
        <w:rPr>
          <w:rFonts w:hint="eastAsia" w:ascii="宋体" w:hAnsi="宋体"/>
          <w:b/>
          <w:color w:val="000000" w:themeColor="text1"/>
          <w:sz w:val="24"/>
          <w:lang w:val="en-GB" w:eastAsia="zh-CN"/>
          <w14:textFill>
            <w14:solidFill>
              <w14:schemeClr w14:val="tx1"/>
            </w14:solidFill>
          </w14:textFill>
        </w:rPr>
        <w:t>复印件</w:t>
      </w:r>
      <w:r>
        <w:rPr>
          <w:rFonts w:hint="eastAsia" w:ascii="宋体" w:hAnsi="宋体"/>
          <w:b/>
          <w:color w:val="000000" w:themeColor="text1"/>
          <w:sz w:val="24"/>
          <w:lang w:val="en-GB"/>
          <w14:textFill>
            <w14:solidFill>
              <w14:schemeClr w14:val="tx1"/>
            </w14:solidFill>
          </w14:textFill>
        </w:rPr>
        <w:t>、法定代表人身份证复印件、</w:t>
      </w:r>
      <w:r>
        <w:rPr>
          <w:rFonts w:ascii="宋体" w:hAnsi="宋体"/>
          <w:b/>
          <w:color w:val="000000" w:themeColor="text1"/>
          <w:sz w:val="24"/>
          <w:lang w:val="en-GB"/>
          <w14:textFill>
            <w14:solidFill>
              <w14:schemeClr w14:val="tx1"/>
            </w14:solidFill>
          </w14:textFill>
        </w:rPr>
        <w:t>《法定代表人授权书》及保证金转</w:t>
      </w:r>
      <w:r>
        <w:rPr>
          <w:rFonts w:hint="eastAsia" w:ascii="宋体" w:hAnsi="宋体"/>
          <w:b/>
          <w:color w:val="000000" w:themeColor="text1"/>
          <w:sz w:val="24"/>
          <w:lang w:val="en-GB"/>
          <w14:textFill>
            <w14:solidFill>
              <w14:schemeClr w14:val="tx1"/>
            </w14:solidFill>
          </w14:textFill>
        </w:rPr>
        <w:t>账</w:t>
      </w:r>
      <w:r>
        <w:rPr>
          <w:rFonts w:ascii="宋体" w:hAnsi="宋体"/>
          <w:b/>
          <w:color w:val="000000" w:themeColor="text1"/>
          <w:sz w:val="24"/>
          <w:lang w:val="en-GB"/>
          <w14:textFill>
            <w14:solidFill>
              <w14:schemeClr w14:val="tx1"/>
            </w14:solidFill>
          </w14:textFill>
        </w:rPr>
        <w:t>、汇款的银行回单（均要求复印件</w:t>
      </w:r>
      <w:r>
        <w:rPr>
          <w:rFonts w:hint="eastAsia" w:ascii="宋体" w:hAnsi="宋体"/>
          <w:b/>
          <w:color w:val="000000" w:themeColor="text1"/>
          <w:sz w:val="24"/>
          <w:lang w:val="en-GB"/>
          <w14:textFill>
            <w14:solidFill>
              <w14:schemeClr w14:val="tx1"/>
            </w14:solidFill>
          </w14:textFill>
        </w:rPr>
        <w:t>加盖公章</w:t>
      </w:r>
      <w:r>
        <w:rPr>
          <w:rFonts w:ascii="宋体" w:hAnsi="宋体"/>
          <w:b/>
          <w:color w:val="000000" w:themeColor="text1"/>
          <w:sz w:val="24"/>
          <w:lang w:val="en-GB"/>
          <w14:textFill>
            <w14:solidFill>
              <w14:schemeClr w14:val="tx1"/>
            </w14:solidFill>
          </w14:textFill>
        </w:rPr>
        <w:t>）及个人身份证</w:t>
      </w:r>
      <w:r>
        <w:rPr>
          <w:rFonts w:hint="eastAsia" w:ascii="宋体" w:hAnsi="宋体"/>
          <w:b/>
          <w:color w:val="000000" w:themeColor="text1"/>
          <w:sz w:val="24"/>
          <w:lang w:val="en-GB"/>
          <w14:textFill>
            <w14:solidFill>
              <w14:schemeClr w14:val="tx1"/>
            </w14:solidFill>
          </w14:textFill>
        </w:rPr>
        <w:t>原件</w:t>
      </w:r>
      <w:r>
        <w:rPr>
          <w:rFonts w:ascii="宋体" w:hAnsi="宋体"/>
          <w:b/>
          <w:color w:val="000000" w:themeColor="text1"/>
          <w:sz w:val="24"/>
          <w:lang w:val="en-GB"/>
          <w14:textFill>
            <w14:solidFill>
              <w14:schemeClr w14:val="tx1"/>
            </w14:solidFill>
          </w14:textFill>
        </w:rPr>
        <w:t>亲临</w:t>
      </w:r>
      <w:r>
        <w:rPr>
          <w:rFonts w:hint="eastAsia" w:ascii="宋体" w:hAnsi="宋体"/>
          <w:b/>
          <w:color w:val="000000" w:themeColor="text1"/>
          <w:sz w:val="24"/>
          <w:lang w:val="en-GB"/>
          <w14:textFill>
            <w14:solidFill>
              <w14:schemeClr w14:val="tx1"/>
            </w14:solidFill>
          </w14:textFill>
        </w:rPr>
        <w:t>谈判</w:t>
      </w:r>
      <w:r>
        <w:rPr>
          <w:rFonts w:ascii="宋体" w:hAnsi="宋体"/>
          <w:b/>
          <w:color w:val="000000" w:themeColor="text1"/>
          <w:sz w:val="24"/>
          <w:lang w:val="en-GB"/>
          <w14:textFill>
            <w14:solidFill>
              <w14:schemeClr w14:val="tx1"/>
            </w14:solidFill>
          </w14:textFill>
        </w:rPr>
        <w:t>现场以备查验。其现场所签署确认的文件均代表供应商的决定，并作为响应文件的补充内容，具有同等法律效力。</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8</w:t>
      </w:r>
      <w:r>
        <w:rPr>
          <w:rFonts w:hint="eastAsia" w:ascii="宋体" w:hAnsi="宋体"/>
          <w:bCs/>
          <w:sz w:val="24"/>
          <w:lang w:val="en-GB"/>
        </w:rPr>
        <w:t>.</w:t>
      </w:r>
      <w:r>
        <w:rPr>
          <w:rFonts w:hint="eastAsia" w:ascii="宋体" w:hAnsi="宋体"/>
          <w:bCs/>
          <w:sz w:val="24"/>
        </w:rPr>
        <w:t>3</w:t>
      </w:r>
      <w:r>
        <w:rPr>
          <w:rFonts w:hint="eastAsia" w:ascii="宋体" w:hAnsi="宋体"/>
          <w:bCs/>
          <w:sz w:val="24"/>
          <w:lang w:val="en-GB"/>
        </w:rPr>
        <w:t xml:space="preserve"> 若采购代理机构推迟了递交响应文件截止时间，应以公告的形式通知所有供应商。在这种情况下，采购代理机构、采购人和供应商的权利和义务均应以新的递交响应文件截止时间为准。</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8</w:t>
      </w:r>
      <w:r>
        <w:rPr>
          <w:rFonts w:hint="eastAsia" w:ascii="宋体" w:hAnsi="宋体"/>
          <w:bCs/>
          <w:sz w:val="24"/>
          <w:lang w:val="en-GB"/>
        </w:rPr>
        <w:t>.</w:t>
      </w:r>
      <w:r>
        <w:rPr>
          <w:rFonts w:hint="eastAsia" w:ascii="宋体" w:hAnsi="宋体"/>
          <w:bCs/>
          <w:sz w:val="24"/>
        </w:rPr>
        <w:t>4</w:t>
      </w:r>
      <w:r>
        <w:rPr>
          <w:rFonts w:hint="eastAsia" w:ascii="宋体" w:hAnsi="宋体"/>
          <w:bCs/>
          <w:sz w:val="24"/>
          <w:lang w:val="en-GB"/>
        </w:rPr>
        <w:t xml:space="preserve"> 在递交响应文件截止时间后递交的响应文件，采购代理机构将拒绝接收。</w:t>
      </w:r>
    </w:p>
    <w:p>
      <w:pPr>
        <w:pStyle w:val="3"/>
        <w:bidi w:val="0"/>
        <w:rPr>
          <w:lang w:val="en-GB"/>
        </w:rPr>
      </w:pPr>
      <w:bookmarkStart w:id="83" w:name="_Toc7062_WPSOffice_Level2"/>
      <w:r>
        <w:rPr>
          <w:rFonts w:hint="eastAsia"/>
          <w:lang w:val="en-GB"/>
        </w:rPr>
        <w:t>五</w:t>
      </w:r>
      <w:r>
        <w:rPr>
          <w:rFonts w:hint="eastAsia"/>
          <w:lang w:val="en-GB" w:eastAsia="zh-CN"/>
        </w:rPr>
        <w:t>、</w:t>
      </w:r>
      <w:r>
        <w:rPr>
          <w:rFonts w:hint="eastAsia"/>
          <w:lang w:val="en-GB"/>
        </w:rPr>
        <w:t>谈判</w:t>
      </w:r>
      <w:bookmarkEnd w:id="83"/>
    </w:p>
    <w:p>
      <w:pPr>
        <w:spacing w:line="440" w:lineRule="exact"/>
        <w:rPr>
          <w:rFonts w:ascii="宋体" w:hAnsi="宋体"/>
          <w:b/>
          <w:sz w:val="24"/>
        </w:rPr>
      </w:pPr>
      <w:r>
        <w:rPr>
          <w:rFonts w:hint="eastAsia" w:ascii="宋体" w:hAnsi="宋体"/>
          <w:b/>
          <w:sz w:val="24"/>
        </w:rPr>
        <w:t>19、谈判</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9</w:t>
      </w:r>
      <w:r>
        <w:rPr>
          <w:rFonts w:hint="eastAsia" w:ascii="宋体" w:hAnsi="宋体"/>
          <w:bCs/>
          <w:sz w:val="24"/>
          <w:lang w:val="en-GB"/>
        </w:rPr>
        <w:t>.l 采购代理机构按“谈判公告”或“谈判邀请函”中规定的时间和地点组织开标，采购人代表、采购代理机构有关工作人员参加。供应商应委派授权代表参加谈判活动，参加活动的代表须持本人身份证件及相关授权证明材料签名报到以证明其出席。供应商未派授权代表或不能证明其授权代表身份的，采购代理机构对响应文件的处理不承担责任。</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9</w:t>
      </w:r>
      <w:r>
        <w:rPr>
          <w:rFonts w:hint="eastAsia" w:ascii="宋体" w:hAnsi="宋体"/>
          <w:bCs/>
          <w:sz w:val="24"/>
          <w:lang w:val="en-GB"/>
        </w:rPr>
        <w:t>.2</w:t>
      </w:r>
      <w:r>
        <w:rPr>
          <w:rFonts w:hint="eastAsia" w:ascii="宋体" w:hAnsi="宋体"/>
          <w:bCs/>
          <w:sz w:val="24"/>
        </w:rPr>
        <w:t xml:space="preserve"> </w:t>
      </w:r>
      <w:r>
        <w:rPr>
          <w:rFonts w:hint="eastAsia" w:ascii="宋体" w:hAnsi="宋体"/>
          <w:bCs/>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bCs/>
          <w:sz w:val="24"/>
          <w:lang w:val="en-GB"/>
        </w:rPr>
      </w:pPr>
      <w:r>
        <w:rPr>
          <w:rFonts w:hint="eastAsia" w:ascii="宋体" w:hAnsi="宋体"/>
          <w:bCs/>
          <w:sz w:val="24"/>
          <w:lang w:val="en-GB"/>
        </w:rPr>
        <w:t>1</w:t>
      </w:r>
      <w:r>
        <w:rPr>
          <w:rFonts w:hint="eastAsia" w:ascii="宋体" w:hAnsi="宋体"/>
          <w:bCs/>
          <w:sz w:val="24"/>
        </w:rPr>
        <w:t>9</w:t>
      </w:r>
      <w:r>
        <w:rPr>
          <w:rFonts w:hint="eastAsia" w:ascii="宋体" w:hAnsi="宋体"/>
          <w:bCs/>
          <w:sz w:val="24"/>
          <w:lang w:val="en-GB"/>
        </w:rPr>
        <w:t>.3谈判时，供应商授权代表将查验响应文件的密封情况，确认无误后拆封，公布每份响应文件中“报价一览表”的内容，以及采购代理机构认为合适的其他内容，采购代理机构将作谈判记录。</w:t>
      </w:r>
    </w:p>
    <w:p>
      <w:pPr>
        <w:spacing w:line="440" w:lineRule="exact"/>
        <w:ind w:firstLine="480" w:firstLineChars="200"/>
        <w:rPr>
          <w:rFonts w:ascii="宋体" w:hAnsi="宋体"/>
          <w:bCs/>
          <w:sz w:val="24"/>
        </w:rPr>
      </w:pPr>
      <w:r>
        <w:rPr>
          <w:rFonts w:hint="eastAsia" w:ascii="宋体" w:hAnsi="宋体"/>
          <w:bCs/>
          <w:sz w:val="24"/>
          <w:lang w:val="en-GB"/>
        </w:rPr>
        <w:t>1</w:t>
      </w:r>
      <w:r>
        <w:rPr>
          <w:rFonts w:hint="eastAsia" w:ascii="宋体" w:hAnsi="宋体"/>
          <w:bCs/>
          <w:sz w:val="24"/>
        </w:rPr>
        <w:t>9</w:t>
      </w:r>
      <w:r>
        <w:rPr>
          <w:rFonts w:hint="eastAsia" w:ascii="宋体" w:hAnsi="宋体"/>
          <w:bCs/>
          <w:sz w:val="24"/>
          <w:lang w:val="en-GB"/>
        </w:rPr>
        <w:t>.4 若响应文件未密封，采购代理机构将拒绝接收该供应商的响应文件。</w:t>
      </w:r>
    </w:p>
    <w:p>
      <w:pPr>
        <w:pStyle w:val="3"/>
        <w:bidi w:val="0"/>
        <w:rPr>
          <w:lang w:val="en-GB"/>
        </w:rPr>
      </w:pPr>
      <w:bookmarkStart w:id="84" w:name="_Toc1291_WPSOffice_Level2"/>
      <w:r>
        <w:rPr>
          <w:rFonts w:hint="eastAsia"/>
          <w:lang w:val="en-GB"/>
        </w:rPr>
        <w:t>六</w:t>
      </w:r>
      <w:r>
        <w:rPr>
          <w:rFonts w:hint="eastAsia"/>
          <w:lang w:val="en-GB" w:eastAsia="zh-CN"/>
        </w:rPr>
        <w:t>、</w:t>
      </w:r>
      <w:r>
        <w:rPr>
          <w:rFonts w:hint="eastAsia"/>
          <w:lang w:val="en-GB"/>
        </w:rPr>
        <w:t>谈判程序</w:t>
      </w:r>
      <w:bookmarkEnd w:id="84"/>
    </w:p>
    <w:p>
      <w:pPr>
        <w:spacing w:line="440" w:lineRule="exact"/>
        <w:rPr>
          <w:rFonts w:ascii="宋体" w:hAnsi="宋体"/>
          <w:b/>
          <w:bCs/>
          <w:sz w:val="24"/>
        </w:rPr>
      </w:pPr>
      <w:r>
        <w:rPr>
          <w:rFonts w:hint="eastAsia" w:ascii="宋体" w:hAnsi="宋体"/>
          <w:b/>
          <w:bCs/>
          <w:sz w:val="24"/>
        </w:rPr>
        <w:t>20、</w:t>
      </w:r>
      <w:r>
        <w:rPr>
          <w:rFonts w:hint="eastAsia" w:ascii="宋体" w:hAnsi="宋体"/>
          <w:b/>
          <w:bCs/>
          <w:sz w:val="24"/>
          <w:lang w:val="en-GB"/>
        </w:rPr>
        <w:t>谈判小组的组成</w:t>
      </w:r>
    </w:p>
    <w:p>
      <w:pPr>
        <w:adjustRightInd w:val="0"/>
        <w:snapToGrid w:val="0"/>
        <w:spacing w:line="440" w:lineRule="exact"/>
        <w:ind w:firstLine="480" w:firstLineChars="200"/>
        <w:jc w:val="left"/>
        <w:rPr>
          <w:rFonts w:ascii="宋体" w:hAnsi="宋体"/>
          <w:sz w:val="24"/>
        </w:rPr>
      </w:pPr>
      <w:r>
        <w:rPr>
          <w:rFonts w:hint="eastAsia" w:ascii="宋体" w:hAnsi="宋体"/>
          <w:sz w:val="24"/>
        </w:rPr>
        <w:t>谈判小组由采购人代表和从海南省综合评审专家库中随机抽取的相关专家共3人以上单数组成，其中，技术、经济等方面的专家人数不得少于成员总数的2/3。该谈判小组独立评审，负责评审所有响应文件并确定成交侯选人，提交评审报告。</w:t>
      </w:r>
    </w:p>
    <w:p>
      <w:pPr>
        <w:spacing w:line="440" w:lineRule="exact"/>
        <w:rPr>
          <w:rFonts w:ascii="宋体" w:hAnsi="宋体"/>
          <w:b/>
          <w:bCs/>
          <w:sz w:val="24"/>
        </w:rPr>
      </w:pPr>
      <w:r>
        <w:rPr>
          <w:rFonts w:hint="eastAsia" w:ascii="宋体" w:hAnsi="宋体"/>
          <w:b/>
          <w:bCs/>
          <w:sz w:val="24"/>
        </w:rPr>
        <w:t>21、谈判方法和标准</w:t>
      </w:r>
    </w:p>
    <w:p>
      <w:pPr>
        <w:adjustRightInd w:val="0"/>
        <w:snapToGrid w:val="0"/>
        <w:spacing w:line="440" w:lineRule="exact"/>
        <w:ind w:firstLine="480" w:firstLineChars="200"/>
        <w:rPr>
          <w:rFonts w:ascii="宋体" w:hAnsi="宋体"/>
          <w:sz w:val="24"/>
        </w:rPr>
      </w:pPr>
      <w:r>
        <w:rPr>
          <w:rFonts w:hint="eastAsia" w:ascii="宋体" w:hAnsi="宋体"/>
          <w:sz w:val="24"/>
        </w:rPr>
        <w:t>21.1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分的响应报价取值按响应报价的90%计（即按响应报价扣除10%后计算）。</w:t>
      </w:r>
    </w:p>
    <w:p>
      <w:pPr>
        <w:shd w:val="clear" w:color="auto" w:fill="FFFFFF"/>
        <w:tabs>
          <w:tab w:val="left" w:pos="720"/>
        </w:tabs>
        <w:snapToGrid w:val="0"/>
        <w:spacing w:line="440" w:lineRule="exact"/>
        <w:ind w:firstLine="480" w:firstLineChars="200"/>
        <w:rPr>
          <w:rFonts w:ascii="宋体" w:hAnsi="宋体"/>
          <w:sz w:val="24"/>
        </w:rPr>
      </w:pPr>
      <w:r>
        <w:rPr>
          <w:rFonts w:hint="eastAsia" w:ascii="宋体" w:hAnsi="宋体"/>
          <w:sz w:val="24"/>
        </w:rPr>
        <w:t>21.2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adjustRightInd w:val="0"/>
        <w:snapToGrid w:val="0"/>
        <w:spacing w:line="440" w:lineRule="exact"/>
        <w:ind w:firstLine="480" w:firstLineChars="200"/>
        <w:rPr>
          <w:rFonts w:ascii="宋体" w:hAnsi="宋体"/>
          <w:sz w:val="24"/>
        </w:rPr>
      </w:pPr>
      <w:r>
        <w:rPr>
          <w:rFonts w:hint="eastAsia" w:ascii="宋体" w:hAnsi="宋体"/>
          <w:sz w:val="24"/>
        </w:rPr>
        <w:t>21.3本项目的评审方法为最低</w:t>
      </w:r>
      <w:r>
        <w:rPr>
          <w:rFonts w:hint="eastAsia" w:ascii="宋体" w:hAnsi="宋体"/>
          <w:sz w:val="24"/>
          <w:lang w:eastAsia="zh-CN"/>
        </w:rPr>
        <w:t>评标</w:t>
      </w:r>
      <w:r>
        <w:rPr>
          <w:rFonts w:hint="eastAsia" w:ascii="宋体" w:hAnsi="宋体"/>
          <w:sz w:val="24"/>
        </w:rPr>
        <w:t>价法：</w:t>
      </w:r>
      <w:r>
        <w:rPr>
          <w:rFonts w:hint="eastAsia" w:ascii="宋体" w:hAnsi="宋体"/>
          <w:sz w:val="24"/>
          <w:lang w:val="en-GB"/>
        </w:rPr>
        <w:t>在</w:t>
      </w:r>
      <w:r>
        <w:rPr>
          <w:rFonts w:hint="eastAsia" w:ascii="宋体" w:hAnsi="宋体"/>
          <w:sz w:val="24"/>
          <w:lang w:val="en-GB" w:eastAsia="zh-CN"/>
        </w:rPr>
        <w:t>投标文件</w:t>
      </w:r>
      <w:r>
        <w:rPr>
          <w:rFonts w:hint="eastAsia" w:ascii="宋体" w:hAnsi="宋体"/>
          <w:sz w:val="24"/>
          <w:lang w:val="en-GB"/>
        </w:rPr>
        <w:t>满足</w:t>
      </w:r>
      <w:r>
        <w:rPr>
          <w:rFonts w:hint="eastAsia" w:ascii="宋体" w:hAnsi="宋体"/>
          <w:sz w:val="24"/>
          <w:lang w:val="en-GB" w:eastAsia="zh-CN"/>
        </w:rPr>
        <w:t>招标</w:t>
      </w:r>
      <w:r>
        <w:rPr>
          <w:rFonts w:hint="eastAsia" w:ascii="宋体" w:hAnsi="宋体"/>
          <w:sz w:val="24"/>
          <w:lang w:val="en-GB"/>
        </w:rPr>
        <w:t>文件</w:t>
      </w:r>
      <w:r>
        <w:rPr>
          <w:rFonts w:hint="eastAsia" w:ascii="宋体" w:hAnsi="宋体"/>
          <w:sz w:val="24"/>
          <w:lang w:val="en-GB" w:eastAsia="zh-CN"/>
        </w:rPr>
        <w:t>全部实质性要求且报价最低的供应商为中标候选人</w:t>
      </w:r>
      <w:r>
        <w:rPr>
          <w:rFonts w:hint="eastAsia" w:ascii="宋体" w:hAnsi="宋体"/>
          <w:sz w:val="24"/>
          <w:lang w:val="en-GB"/>
        </w:rPr>
        <w:t>，按照报价由低至高的顺序推荐</w:t>
      </w:r>
      <w:r>
        <w:rPr>
          <w:rFonts w:hint="eastAsia" w:ascii="宋体" w:hAnsi="宋体"/>
          <w:sz w:val="24"/>
        </w:rPr>
        <w:t>1-</w:t>
      </w:r>
      <w:r>
        <w:rPr>
          <w:rFonts w:hint="eastAsia" w:ascii="宋体" w:hAnsi="宋体"/>
          <w:sz w:val="24"/>
          <w:lang w:val="en-GB"/>
        </w:rPr>
        <w:t>3名为成交候选供应商。</w:t>
      </w:r>
    </w:p>
    <w:p>
      <w:pPr>
        <w:adjustRightInd w:val="0"/>
        <w:snapToGrid w:val="0"/>
        <w:spacing w:line="440" w:lineRule="exact"/>
        <w:ind w:firstLine="480" w:firstLineChars="200"/>
        <w:rPr>
          <w:rFonts w:ascii="宋体" w:hAnsi="宋体"/>
          <w:sz w:val="24"/>
        </w:rPr>
      </w:pPr>
      <w:r>
        <w:rPr>
          <w:rFonts w:hint="eastAsia" w:ascii="宋体" w:hAnsi="宋体"/>
          <w:sz w:val="24"/>
        </w:rPr>
        <w:t>21.4 评审流程分为两个阶段：</w:t>
      </w:r>
    </w:p>
    <w:p>
      <w:pPr>
        <w:adjustRightInd w:val="0"/>
        <w:snapToGrid w:val="0"/>
        <w:spacing w:line="440" w:lineRule="exact"/>
        <w:ind w:firstLine="480" w:firstLineChars="200"/>
        <w:rPr>
          <w:rFonts w:ascii="宋体" w:hAnsi="宋体"/>
          <w:sz w:val="24"/>
        </w:rPr>
      </w:pPr>
      <w:r>
        <w:rPr>
          <w:rFonts w:hint="eastAsia" w:ascii="宋体" w:hAnsi="宋体"/>
          <w:sz w:val="24"/>
        </w:rPr>
        <w:t>第一阶段：</w:t>
      </w:r>
      <w:r>
        <w:rPr>
          <w:rFonts w:hint="eastAsia" w:ascii="宋体" w:hAnsi="宋体"/>
          <w:sz w:val="24"/>
          <w:lang w:val="en-GB"/>
        </w:rPr>
        <w:t>资格审查</w:t>
      </w:r>
      <w:r>
        <w:rPr>
          <w:rFonts w:hint="eastAsia" w:ascii="宋体" w:hAnsi="宋体"/>
          <w:sz w:val="24"/>
        </w:rPr>
        <w:t>（对各供应商的资质进行资格性和符合性审查）</w:t>
      </w:r>
    </w:p>
    <w:p>
      <w:pPr>
        <w:adjustRightInd w:val="0"/>
        <w:snapToGrid w:val="0"/>
        <w:spacing w:line="440" w:lineRule="exact"/>
        <w:ind w:firstLine="480" w:firstLineChars="200"/>
        <w:jc w:val="left"/>
        <w:rPr>
          <w:rFonts w:ascii="宋体" w:hAnsi="宋体"/>
          <w:sz w:val="24"/>
        </w:rPr>
      </w:pPr>
      <w:r>
        <w:rPr>
          <w:rFonts w:hint="eastAsia" w:ascii="宋体" w:hAnsi="宋体"/>
          <w:sz w:val="24"/>
        </w:rPr>
        <w:t>（1）资格性审查。依据法律法规和竞争性谈判文件的规定，对响应文件中的资格证明进行审查，以确定供应商是否具备响应资格。</w:t>
      </w:r>
    </w:p>
    <w:p>
      <w:pPr>
        <w:adjustRightInd w:val="0"/>
        <w:snapToGrid w:val="0"/>
        <w:spacing w:line="440" w:lineRule="exact"/>
        <w:ind w:firstLine="480" w:firstLineChars="200"/>
        <w:jc w:val="left"/>
        <w:rPr>
          <w:rFonts w:ascii="宋体" w:hAnsi="宋体"/>
          <w:sz w:val="24"/>
        </w:rPr>
      </w:pPr>
      <w:r>
        <w:rPr>
          <w:rFonts w:hint="eastAsia" w:ascii="宋体" w:hAnsi="宋体"/>
          <w:sz w:val="24"/>
        </w:rPr>
        <w:t>（2）符合性审查。依据竞争性谈判文件的规定，从响应文件的有效性、完整性和对竞争性谈判文件的响应程度进行审查，以确定是否对竞争性谈判文件的实质性要求作出响应</w:t>
      </w:r>
      <w:r>
        <w:rPr>
          <w:rFonts w:hint="eastAsia" w:ascii="宋体" w:hAnsi="宋体"/>
          <w:sz w:val="24"/>
          <w:lang w:eastAsia="zh-CN"/>
        </w:rPr>
        <w:t>（详见附表</w:t>
      </w:r>
      <w:r>
        <w:rPr>
          <w:rFonts w:hint="eastAsia" w:ascii="宋体" w:hAnsi="宋体"/>
          <w:sz w:val="24"/>
          <w:lang w:val="en-US" w:eastAsia="zh-CN"/>
        </w:rPr>
        <w:t>2）</w:t>
      </w:r>
      <w:r>
        <w:rPr>
          <w:rFonts w:hint="eastAsia" w:ascii="宋体" w:hAnsi="宋体"/>
          <w:sz w:val="24"/>
        </w:rPr>
        <w:t>。</w:t>
      </w:r>
    </w:p>
    <w:p>
      <w:pPr>
        <w:adjustRightInd w:val="0"/>
        <w:snapToGrid w:val="0"/>
        <w:spacing w:line="440" w:lineRule="exact"/>
        <w:ind w:firstLine="480" w:firstLineChars="200"/>
        <w:rPr>
          <w:rFonts w:ascii="宋体" w:hAnsi="宋体"/>
          <w:sz w:val="24"/>
        </w:rPr>
      </w:pPr>
      <w:r>
        <w:rPr>
          <w:rFonts w:hint="eastAsia" w:ascii="宋体" w:hAnsi="宋体"/>
          <w:sz w:val="24"/>
        </w:rPr>
        <w:t>第二阶段：由谈判小组所有成员集中与单一供应商分别进行谈判，给予所有参加谈判的供应商平等的谈判机会，并进行最终报价（即第二轮报价）</w:t>
      </w:r>
    </w:p>
    <w:p>
      <w:pPr>
        <w:adjustRightInd w:val="0"/>
        <w:snapToGrid w:val="0"/>
        <w:spacing w:line="440" w:lineRule="exact"/>
        <w:ind w:firstLine="482" w:firstLineChars="200"/>
        <w:rPr>
          <w:rFonts w:ascii="宋体" w:hAnsi="宋体"/>
          <w:sz w:val="24"/>
        </w:rPr>
      </w:pPr>
      <w:r>
        <w:rPr>
          <w:rFonts w:hint="eastAsia" w:ascii="宋体" w:hAnsi="宋体"/>
          <w:b/>
          <w:bCs/>
          <w:sz w:val="24"/>
        </w:rPr>
        <w:t>注：</w:t>
      </w:r>
      <w:r>
        <w:rPr>
          <w:rFonts w:hint="eastAsia" w:ascii="宋体" w:hAnsi="宋体"/>
          <w:sz w:val="24"/>
        </w:rPr>
        <w:t>只有通过资格审查的供应商才能进入第二轮报价环节。在谈判过程中谈判的任何一方不得向他人透露与谈判有关的技术资料、价格或其他信息。</w:t>
      </w:r>
    </w:p>
    <w:p>
      <w:pPr>
        <w:adjustRightInd w:val="0"/>
        <w:snapToGrid w:val="0"/>
        <w:spacing w:line="440" w:lineRule="exact"/>
        <w:ind w:firstLine="480" w:firstLineChars="200"/>
        <w:rPr>
          <w:rFonts w:ascii="宋体" w:hAnsi="宋体"/>
          <w:sz w:val="24"/>
          <w:lang w:val="en-GB"/>
        </w:rPr>
      </w:pPr>
      <w:r>
        <w:rPr>
          <w:rFonts w:hint="eastAsia" w:ascii="宋体" w:hAnsi="宋体"/>
          <w:sz w:val="24"/>
        </w:rPr>
        <w:t xml:space="preserve">21.5 </w:t>
      </w:r>
      <w:r>
        <w:rPr>
          <w:rFonts w:hint="eastAsia" w:ascii="宋体" w:hAnsi="宋体"/>
          <w:sz w:val="24"/>
          <w:lang w:val="en-GB"/>
        </w:rPr>
        <w:t>资格审查：谈判小组根据国家相关法律法规和</w:t>
      </w:r>
      <w:r>
        <w:rPr>
          <w:rFonts w:hint="eastAsia" w:ascii="宋体" w:hAnsi="宋体"/>
          <w:sz w:val="24"/>
        </w:rPr>
        <w:t>谈判文件</w:t>
      </w:r>
      <w:r>
        <w:rPr>
          <w:rFonts w:hint="eastAsia" w:ascii="宋体" w:hAnsi="宋体"/>
          <w:sz w:val="24"/>
          <w:lang w:val="en-GB"/>
        </w:rPr>
        <w:t>的规定，对供应商的资格证明文件进行资格性和符合性审查，如供应商不具备响应资格，谈判小组可按投票方式决定是否作无效报价处理（详见</w:t>
      </w:r>
      <w:r>
        <w:rPr>
          <w:rFonts w:hint="eastAsia" w:ascii="宋体" w:hAnsi="宋体"/>
          <w:sz w:val="24"/>
        </w:rPr>
        <w:t>附表1</w:t>
      </w:r>
      <w:r>
        <w:rPr>
          <w:rFonts w:hint="eastAsia" w:ascii="宋体" w:hAnsi="宋体"/>
          <w:sz w:val="24"/>
          <w:lang w:val="en-GB"/>
        </w:rPr>
        <w:t>）。</w:t>
      </w:r>
    </w:p>
    <w:p>
      <w:pPr>
        <w:adjustRightInd w:val="0"/>
        <w:snapToGrid w:val="0"/>
        <w:spacing w:line="440" w:lineRule="exact"/>
        <w:ind w:firstLine="480" w:firstLineChars="200"/>
        <w:rPr>
          <w:rFonts w:ascii="宋体" w:hAnsi="宋体"/>
          <w:sz w:val="24"/>
        </w:rPr>
      </w:pPr>
      <w:r>
        <w:rPr>
          <w:rFonts w:hint="eastAsia" w:ascii="宋体" w:hAnsi="宋体"/>
          <w:sz w:val="24"/>
        </w:rPr>
        <w:t>21.5.1</w:t>
      </w:r>
      <w:r>
        <w:rPr>
          <w:rFonts w:hint="eastAsia" w:ascii="宋体" w:hAnsi="宋体"/>
          <w:color w:val="000000" w:themeColor="text1"/>
          <w:sz w:val="24"/>
          <w14:textFill>
            <w14:solidFill>
              <w14:schemeClr w14:val="tx1"/>
            </w14:solidFill>
          </w14:textFill>
        </w:rPr>
        <w:t xml:space="preserve"> 谈判小组根据《资格审查表》对响应文件的资格性和符合性进行审查，只有对《资格审查表》所列各项作出实质性响应的响应文件才能通过初步评审</w:t>
      </w:r>
      <w:r>
        <w:rPr>
          <w:rFonts w:hint="eastAsia" w:ascii="宋体" w:hAnsi="宋体"/>
          <w:sz w:val="24"/>
        </w:rPr>
        <w:t>。对是否实质性响应谈判文件的要求有争议的响应内容，谈判小组将以记名方式表决，得票超过半数的供应商有资格进入下一阶段的评审，否则将被淘汰。有以下情况的将不能通过初步评审：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bookmarkStart w:id="85" w:name="_Toc6355_WPSOffice_Level3"/>
      <w:r>
        <w:rPr>
          <w:rFonts w:hint="eastAsia" w:ascii="宋体" w:hAnsi="宋体"/>
          <w:sz w:val="24"/>
        </w:rPr>
        <w:t>（1）供应商未能满足供应商资格要求的；</w:t>
      </w:r>
      <w:bookmarkEnd w:id="85"/>
    </w:p>
    <w:p>
      <w:pPr>
        <w:adjustRightInd w:val="0"/>
        <w:snapToGrid w:val="0"/>
        <w:spacing w:line="440" w:lineRule="exact"/>
        <w:ind w:firstLine="480" w:firstLineChars="200"/>
        <w:rPr>
          <w:rFonts w:ascii="宋体" w:hAnsi="宋体"/>
          <w:sz w:val="24"/>
        </w:rPr>
      </w:pPr>
      <w:bookmarkStart w:id="86" w:name="_Toc9961_WPSOffice_Level3"/>
      <w:r>
        <w:rPr>
          <w:rFonts w:hint="eastAsia" w:ascii="宋体" w:hAnsi="宋体"/>
          <w:sz w:val="24"/>
        </w:rPr>
        <w:t>（2）供应商未提交法人授权委托书的；</w:t>
      </w:r>
      <w:bookmarkEnd w:id="86"/>
      <w:r>
        <w:rPr>
          <w:rFonts w:hint="eastAsia" w:ascii="宋体" w:hAnsi="宋体"/>
          <w:sz w:val="24"/>
        </w:rPr>
        <w:t xml:space="preserve"> </w:t>
      </w:r>
    </w:p>
    <w:p>
      <w:pPr>
        <w:adjustRightInd w:val="0"/>
        <w:snapToGrid w:val="0"/>
        <w:spacing w:line="440" w:lineRule="exact"/>
        <w:ind w:firstLine="480" w:firstLineChars="200"/>
        <w:rPr>
          <w:rFonts w:ascii="宋体" w:hAnsi="宋体"/>
          <w:sz w:val="24"/>
        </w:rPr>
      </w:pPr>
      <w:bookmarkStart w:id="87" w:name="_Toc24032_WPSOffice_Level3"/>
      <w:r>
        <w:rPr>
          <w:rFonts w:hint="eastAsia" w:ascii="宋体" w:hAnsi="宋体"/>
          <w:sz w:val="24"/>
        </w:rPr>
        <w:t>（3）供应商未按谈判文件要求的金额提交谈判保证金的；</w:t>
      </w:r>
      <w:bookmarkEnd w:id="87"/>
    </w:p>
    <w:p>
      <w:pPr>
        <w:adjustRightInd w:val="0"/>
        <w:snapToGrid w:val="0"/>
        <w:spacing w:line="440" w:lineRule="exact"/>
        <w:ind w:firstLine="480" w:firstLineChars="200"/>
        <w:rPr>
          <w:rFonts w:ascii="宋体" w:hAnsi="宋体"/>
          <w:sz w:val="24"/>
        </w:rPr>
      </w:pPr>
      <w:bookmarkStart w:id="88" w:name="_Toc24704_WPSOffice_Level3"/>
      <w:r>
        <w:rPr>
          <w:rFonts w:hint="eastAsia" w:ascii="宋体" w:hAnsi="宋体"/>
          <w:sz w:val="24"/>
        </w:rPr>
        <w:t>（4）响应有效期不足的；</w:t>
      </w:r>
      <w:bookmarkEnd w:id="88"/>
    </w:p>
    <w:p>
      <w:pPr>
        <w:adjustRightInd w:val="0"/>
        <w:snapToGrid w:val="0"/>
        <w:spacing w:line="440" w:lineRule="exact"/>
        <w:ind w:firstLine="480" w:firstLineChars="200"/>
        <w:rPr>
          <w:rFonts w:ascii="宋体" w:hAnsi="宋体"/>
          <w:sz w:val="24"/>
        </w:rPr>
      </w:pPr>
      <w:bookmarkStart w:id="89" w:name="_Toc16514_WPSOffice_Level3"/>
      <w:r>
        <w:rPr>
          <w:rFonts w:hint="eastAsia" w:ascii="宋体" w:hAnsi="宋体"/>
          <w:sz w:val="24"/>
        </w:rPr>
        <w:t>（5）交付时间或服务期限不满足要求的；</w:t>
      </w:r>
      <w:bookmarkEnd w:id="89"/>
    </w:p>
    <w:p>
      <w:pPr>
        <w:adjustRightInd w:val="0"/>
        <w:snapToGrid w:val="0"/>
        <w:spacing w:line="440" w:lineRule="exact"/>
        <w:ind w:firstLine="480" w:firstLineChars="200"/>
        <w:rPr>
          <w:rFonts w:ascii="宋体" w:hAnsi="宋体"/>
          <w:sz w:val="24"/>
        </w:rPr>
      </w:pPr>
      <w:bookmarkStart w:id="90" w:name="_Toc3464_WPSOffice_Level3"/>
      <w:r>
        <w:rPr>
          <w:rFonts w:hint="eastAsia" w:ascii="宋体" w:hAnsi="宋体"/>
          <w:sz w:val="24"/>
        </w:rPr>
        <w:t>（6）响应文件未按谈判文件规定要求填写响应内容及签名盖章的；</w:t>
      </w:r>
      <w:bookmarkEnd w:id="90"/>
    </w:p>
    <w:p>
      <w:pPr>
        <w:adjustRightInd w:val="0"/>
        <w:snapToGrid w:val="0"/>
        <w:spacing w:line="440" w:lineRule="exact"/>
        <w:ind w:firstLine="480" w:firstLineChars="200"/>
        <w:rPr>
          <w:rFonts w:ascii="宋体" w:hAnsi="宋体"/>
          <w:sz w:val="24"/>
        </w:rPr>
      </w:pPr>
      <w:bookmarkStart w:id="91" w:name="_Toc12611_WPSOffice_Level3"/>
      <w:r>
        <w:rPr>
          <w:rFonts w:hint="eastAsia" w:ascii="宋体" w:hAnsi="宋体"/>
          <w:sz w:val="24"/>
        </w:rPr>
        <w:t>（7）报价不是固定价或者报价不是唯一的；</w:t>
      </w:r>
      <w:bookmarkEnd w:id="91"/>
    </w:p>
    <w:p>
      <w:pPr>
        <w:adjustRightInd w:val="0"/>
        <w:snapToGrid w:val="0"/>
        <w:spacing w:line="440" w:lineRule="exact"/>
        <w:ind w:firstLine="480" w:firstLineChars="200"/>
        <w:rPr>
          <w:rFonts w:ascii="宋体" w:hAnsi="宋体"/>
          <w:sz w:val="24"/>
        </w:rPr>
      </w:pPr>
      <w:bookmarkStart w:id="92" w:name="_Toc28635_WPSOffice_Level3"/>
      <w:r>
        <w:rPr>
          <w:rFonts w:hint="eastAsia" w:ascii="宋体" w:hAnsi="宋体"/>
          <w:sz w:val="24"/>
        </w:rPr>
        <w:t>（8）不符合谈判文件规定的其它条件。</w:t>
      </w:r>
      <w:bookmarkEnd w:id="92"/>
    </w:p>
    <w:p>
      <w:pPr>
        <w:adjustRightInd w:val="0"/>
        <w:snapToGrid w:val="0"/>
        <w:spacing w:line="440" w:lineRule="exact"/>
        <w:ind w:firstLine="480" w:firstLineChars="200"/>
        <w:jc w:val="left"/>
        <w:rPr>
          <w:rFonts w:ascii="宋体" w:hAnsi="宋体"/>
          <w:sz w:val="24"/>
        </w:rPr>
      </w:pPr>
      <w:r>
        <w:rPr>
          <w:rFonts w:hint="eastAsia" w:ascii="宋体" w:hAnsi="宋体"/>
          <w:sz w:val="24"/>
        </w:rPr>
        <w:t>21.5.2在详细评审之前，谈判小组要审查每份响应文件是否实质上响应了谈判文件的要求。实质上响应应该是与谈判文件要求的全部条款、条件和规格相符，没有重大偏离。</w:t>
      </w:r>
    </w:p>
    <w:p>
      <w:pPr>
        <w:adjustRightInd w:val="0"/>
        <w:snapToGrid w:val="0"/>
        <w:spacing w:line="440" w:lineRule="exact"/>
        <w:ind w:firstLine="480" w:firstLineChars="200"/>
        <w:jc w:val="left"/>
        <w:rPr>
          <w:rFonts w:ascii="宋体" w:hAnsi="宋体"/>
          <w:sz w:val="24"/>
        </w:rPr>
      </w:pPr>
      <w:r>
        <w:rPr>
          <w:rFonts w:hint="eastAsia" w:ascii="宋体" w:hAnsi="宋体"/>
          <w:sz w:val="24"/>
        </w:rPr>
        <w:t xml:space="preserve">21.5.3 经审查符合资格条件，但技术参数存在负偏离的，供应商不得通过修正或撤销不合要求的偏离或保留从而使其响应文件成为实质性响应的响应文件。该供应商失去成交资格，不作无效响应处理。 </w:t>
      </w:r>
    </w:p>
    <w:p>
      <w:pPr>
        <w:adjustRightInd w:val="0"/>
        <w:snapToGrid w:val="0"/>
        <w:spacing w:line="440" w:lineRule="exact"/>
        <w:ind w:firstLine="480" w:firstLineChars="200"/>
        <w:rPr>
          <w:rFonts w:ascii="宋体" w:hAnsi="宋体"/>
          <w:sz w:val="24"/>
        </w:rPr>
      </w:pPr>
      <w:r>
        <w:rPr>
          <w:rFonts w:hint="eastAsia" w:ascii="宋体" w:hAnsi="宋体"/>
          <w:sz w:val="24"/>
        </w:rPr>
        <w:t>21.5.4提供相同品牌产品且通过资格审查、符合性审查的不同供应商参加同一合同项下报价的，按一家供应商计算；非单一产品采购项目，根据采购项目技术构成、产品价格比重等合理确定核心产品，并在谈判文件中载明。多家供应商提供的核心产品品牌相同的，按前上述规定处理。</w:t>
      </w:r>
    </w:p>
    <w:p>
      <w:pPr>
        <w:spacing w:line="440" w:lineRule="exact"/>
        <w:ind w:firstLine="480" w:firstLineChars="200"/>
        <w:rPr>
          <w:rFonts w:ascii="宋体" w:hAnsi="宋体"/>
          <w:sz w:val="24"/>
        </w:rPr>
      </w:pPr>
      <w:r>
        <w:rPr>
          <w:rFonts w:hint="eastAsia" w:ascii="宋体" w:hAnsi="宋体"/>
          <w:bCs/>
          <w:sz w:val="24"/>
        </w:rPr>
        <w:t>20.5.5 判断响应文件的响应与否只根据谈判文件本身，而不寻求外部证据。</w:t>
      </w:r>
    </w:p>
    <w:p>
      <w:pPr>
        <w:spacing w:line="440" w:lineRule="exact"/>
        <w:ind w:firstLine="480" w:firstLineChars="200"/>
        <w:rPr>
          <w:rFonts w:ascii="宋体" w:hAnsi="宋体"/>
          <w:bCs/>
          <w:sz w:val="24"/>
        </w:rPr>
      </w:pPr>
      <w:r>
        <w:rPr>
          <w:rFonts w:hint="eastAsia" w:ascii="宋体" w:hAnsi="宋体"/>
          <w:sz w:val="24"/>
        </w:rPr>
        <w:t>21.5.6 谈判小组在初审中</w:t>
      </w:r>
      <w:r>
        <w:rPr>
          <w:rFonts w:hint="eastAsia" w:ascii="宋体" w:hAnsi="宋体"/>
          <w:bCs/>
          <w:sz w:val="24"/>
        </w:rPr>
        <w:t>响应文件报价出现前后不一致的，除谈判文件另有规定外，按照下列规定修正：</w:t>
      </w:r>
    </w:p>
    <w:p>
      <w:pPr>
        <w:spacing w:line="440" w:lineRule="exact"/>
        <w:ind w:firstLine="480" w:firstLineChars="200"/>
        <w:rPr>
          <w:rFonts w:ascii="宋体" w:hAnsi="宋体"/>
          <w:sz w:val="24"/>
        </w:rPr>
      </w:pPr>
      <w:r>
        <w:rPr>
          <w:rFonts w:hint="eastAsia" w:ascii="宋体" w:hAnsi="宋体"/>
          <w:sz w:val="24"/>
        </w:rPr>
        <w:t>（1）响应文件中报价一览表内容与响应文件中相应内容不一致的，以报价一览表为准；</w:t>
      </w:r>
    </w:p>
    <w:p>
      <w:pPr>
        <w:spacing w:line="440" w:lineRule="exact"/>
        <w:ind w:firstLine="480" w:firstLineChars="200"/>
        <w:rPr>
          <w:rFonts w:ascii="宋体" w:hAnsi="宋体"/>
          <w:sz w:val="24"/>
        </w:rPr>
      </w:pPr>
      <w:r>
        <w:rPr>
          <w:rFonts w:hint="eastAsia" w:ascii="宋体" w:hAnsi="宋体"/>
          <w:sz w:val="24"/>
        </w:rPr>
        <w:t>（2）大写金额和小写金额不一致的，以大写金额为准；</w:t>
      </w:r>
    </w:p>
    <w:p>
      <w:pPr>
        <w:spacing w:line="440" w:lineRule="exact"/>
        <w:ind w:firstLine="480" w:firstLineChars="200"/>
        <w:rPr>
          <w:rFonts w:ascii="宋体" w:hAnsi="宋体"/>
          <w:sz w:val="24"/>
        </w:rPr>
      </w:pPr>
      <w:r>
        <w:rPr>
          <w:rFonts w:hint="eastAsia" w:ascii="宋体" w:hAnsi="宋体"/>
          <w:sz w:val="24"/>
        </w:rPr>
        <w:t>（3）单价金额小数点或者百分比有明显错位的，以报价一览表的总价为准，并修改单价；</w:t>
      </w:r>
    </w:p>
    <w:p>
      <w:pPr>
        <w:spacing w:line="440" w:lineRule="exact"/>
        <w:ind w:firstLine="480" w:firstLineChars="200"/>
        <w:rPr>
          <w:rFonts w:ascii="宋体" w:hAnsi="宋体"/>
          <w:sz w:val="24"/>
        </w:rPr>
      </w:pPr>
      <w:r>
        <w:rPr>
          <w:rFonts w:hint="eastAsia" w:ascii="宋体" w:hAnsi="宋体"/>
          <w:sz w:val="24"/>
        </w:rPr>
        <w:t>（4）总价金额与按单价汇总金额不一致的，以单价金额计算结果为准。</w:t>
      </w:r>
    </w:p>
    <w:p>
      <w:pPr>
        <w:spacing w:line="440" w:lineRule="exact"/>
        <w:ind w:firstLine="480" w:firstLineChars="200"/>
        <w:rPr>
          <w:rFonts w:ascii="宋体" w:hAnsi="宋体"/>
          <w:sz w:val="24"/>
        </w:rPr>
      </w:pPr>
      <w:r>
        <w:rPr>
          <w:rFonts w:hint="eastAsia" w:ascii="宋体" w:hAnsi="宋体"/>
          <w:sz w:val="24"/>
        </w:rPr>
        <w:t>（5）若供应商不同意以上修正，其响应文件将视为无效。</w:t>
      </w:r>
    </w:p>
    <w:p>
      <w:pPr>
        <w:spacing w:line="440" w:lineRule="exact"/>
        <w:ind w:firstLine="480" w:firstLineChars="200"/>
        <w:rPr>
          <w:rFonts w:ascii="宋体" w:hAnsi="宋体"/>
          <w:sz w:val="24"/>
        </w:rPr>
      </w:pPr>
      <w:r>
        <w:rPr>
          <w:rFonts w:hint="eastAsia" w:ascii="宋体" w:hAnsi="宋体"/>
          <w:bCs/>
          <w:sz w:val="24"/>
        </w:rPr>
        <w:t>21.6</w:t>
      </w:r>
      <w:r>
        <w:rPr>
          <w:rFonts w:hint="eastAsia" w:ascii="宋体" w:hAnsi="宋体"/>
          <w:sz w:val="24"/>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pPr>
        <w:spacing w:line="440" w:lineRule="exact"/>
        <w:ind w:firstLine="480" w:firstLineChars="200"/>
        <w:rPr>
          <w:rFonts w:ascii="宋体" w:hAnsi="宋体"/>
          <w:sz w:val="24"/>
        </w:rPr>
      </w:pPr>
      <w:r>
        <w:rPr>
          <w:rFonts w:hint="eastAsia" w:ascii="宋体" w:hAnsi="宋体"/>
          <w:sz w:val="24"/>
        </w:rPr>
        <w:t>21.7谈判小组成员对需要共同认定的事项存在争议的，应当按照少数服从多数的原则作出结论。持不同意见的谈判小组成员应当在评审报告上签署不同意见及理由，否则视为同意评审报告。</w:t>
      </w:r>
    </w:p>
    <w:p>
      <w:pPr>
        <w:spacing w:line="440" w:lineRule="exact"/>
        <w:ind w:firstLine="482" w:firstLineChars="200"/>
        <w:rPr>
          <w:b/>
          <w:bCs/>
          <w:sz w:val="24"/>
        </w:rPr>
      </w:pPr>
      <w:r>
        <w:rPr>
          <w:rFonts w:hint="eastAsia" w:ascii="宋体" w:hAnsi="宋体"/>
          <w:b/>
          <w:bCs/>
          <w:sz w:val="24"/>
        </w:rPr>
        <w:t>21.8成交原则：供应商有效报价达到3家或以上，</w:t>
      </w:r>
      <w:r>
        <w:rPr>
          <w:rFonts w:hint="eastAsia"/>
          <w:b/>
          <w:bCs/>
          <w:sz w:val="24"/>
        </w:rPr>
        <w:t>谈判小组应当从质量和服务均能满足采购文件实质性响应要求的供应商中，按照最终报价由低到高的顺序推荐成交候选人。谈判小组成员有异议的，按照少数服从多数的原则推荐成交候选人，采购程序继续进行。</w:t>
      </w:r>
    </w:p>
    <w:p>
      <w:pPr>
        <w:spacing w:line="440" w:lineRule="exact"/>
        <w:ind w:firstLine="482" w:firstLineChars="200"/>
        <w:rPr>
          <w:rFonts w:ascii="宋体" w:hAnsi="宋体"/>
          <w:sz w:val="24"/>
        </w:rPr>
      </w:pPr>
      <w:r>
        <w:rPr>
          <w:rFonts w:hint="eastAsia" w:ascii="宋体" w:hAnsi="宋体"/>
          <w:b/>
          <w:bCs/>
          <w:sz w:val="24"/>
        </w:rPr>
        <w:t>注：</w:t>
      </w:r>
      <w:r>
        <w:rPr>
          <w:rFonts w:hint="eastAsia" w:ascii="宋体" w:hAnsi="宋体"/>
          <w:sz w:val="24"/>
        </w:rPr>
        <w:t>“有效报价”是指通过文件初审的供应商最终报价经价格核对后的评审价格，且不超过采购人的预算。</w:t>
      </w:r>
    </w:p>
    <w:p>
      <w:pPr>
        <w:spacing w:beforeLines="50" w:afterLines="50" w:line="440" w:lineRule="exact"/>
        <w:rPr>
          <w:rFonts w:hint="eastAsia" w:ascii="宋体" w:hAnsi="宋体"/>
          <w:b/>
          <w:sz w:val="24"/>
        </w:rPr>
      </w:pPr>
    </w:p>
    <w:p>
      <w:pPr>
        <w:spacing w:beforeLines="50" w:afterLines="50" w:line="440" w:lineRule="exact"/>
        <w:rPr>
          <w:rFonts w:hint="eastAsia" w:ascii="宋体" w:hAnsi="宋体"/>
          <w:b/>
          <w:sz w:val="24"/>
        </w:rPr>
      </w:pPr>
    </w:p>
    <w:p>
      <w:pPr>
        <w:spacing w:beforeLines="50" w:afterLines="50" w:line="440" w:lineRule="exact"/>
        <w:rPr>
          <w:rFonts w:hint="eastAsia" w:ascii="宋体" w:hAnsi="宋体"/>
          <w:b/>
          <w:sz w:val="24"/>
        </w:rPr>
      </w:pPr>
    </w:p>
    <w:p>
      <w:pPr>
        <w:spacing w:beforeLines="50" w:afterLines="50" w:line="440" w:lineRule="exact"/>
        <w:rPr>
          <w:rFonts w:hint="eastAsia" w:ascii="宋体" w:hAnsi="宋体"/>
          <w:b/>
          <w:sz w:val="24"/>
        </w:rPr>
      </w:pPr>
    </w:p>
    <w:p>
      <w:pPr>
        <w:spacing w:beforeLines="50" w:afterLines="50" w:line="440" w:lineRule="exact"/>
        <w:ind w:firstLine="241" w:firstLineChars="100"/>
        <w:rPr>
          <w:rFonts w:ascii="宋体" w:hAnsi="宋体"/>
          <w:sz w:val="24"/>
          <w:lang w:val="en-GB"/>
        </w:rPr>
      </w:pPr>
      <w:r>
        <w:rPr>
          <w:rFonts w:hint="eastAsia" w:ascii="宋体" w:hAnsi="宋体"/>
          <w:b/>
          <w:sz w:val="24"/>
        </w:rPr>
        <w:t>（附表1）</w:t>
      </w:r>
    </w:p>
    <w:p>
      <w:pPr>
        <w:spacing w:beforeLines="50" w:afterLines="50" w:line="440" w:lineRule="exact"/>
        <w:jc w:val="center"/>
        <w:rPr>
          <w:rFonts w:hint="eastAsia" w:ascii="宋体" w:hAnsi="宋体"/>
          <w:b/>
          <w:bCs/>
          <w:sz w:val="36"/>
          <w:szCs w:val="36"/>
          <w:lang w:val="en-GB"/>
        </w:rPr>
      </w:pPr>
      <w:bookmarkStart w:id="93" w:name="_Toc6183_WPSOffice_Level3"/>
    </w:p>
    <w:p>
      <w:pPr>
        <w:spacing w:beforeLines="50" w:afterLines="50" w:line="440" w:lineRule="exact"/>
        <w:jc w:val="center"/>
        <w:rPr>
          <w:rFonts w:ascii="宋体" w:hAnsi="宋体"/>
          <w:b/>
          <w:bCs/>
          <w:sz w:val="36"/>
          <w:szCs w:val="36"/>
          <w:lang w:val="en-GB"/>
        </w:rPr>
      </w:pPr>
      <w:r>
        <w:rPr>
          <w:rFonts w:hint="eastAsia" w:ascii="宋体" w:hAnsi="宋体"/>
          <w:b/>
          <w:bCs/>
          <w:sz w:val="36"/>
          <w:szCs w:val="36"/>
          <w:lang w:val="en-GB"/>
        </w:rPr>
        <w:t>资格审查表</w:t>
      </w:r>
      <w:bookmarkEnd w:id="93"/>
    </w:p>
    <w:p>
      <w:pPr>
        <w:spacing w:beforeLines="50" w:afterLines="100" w:line="440" w:lineRule="exact"/>
        <w:rPr>
          <w:rFonts w:hint="eastAsia" w:ascii="宋体" w:hAnsi="宋体"/>
          <w:b/>
          <w:sz w:val="24"/>
        </w:rPr>
      </w:pPr>
      <w:r>
        <w:rPr>
          <w:rFonts w:hint="eastAsia" w:ascii="宋体" w:hAnsi="宋体"/>
          <w:b/>
          <w:sz w:val="24"/>
        </w:rPr>
        <w:t>项目名称：</w:t>
      </w:r>
      <w:r>
        <w:rPr>
          <w:rFonts w:hint="eastAsia" w:ascii="宋体" w:hAnsi="宋体"/>
          <w:b/>
          <w:sz w:val="24"/>
          <w:lang w:val="zh-CN"/>
        </w:rPr>
        <w:t>万宁市移动式水冲公厕项目</w:t>
      </w:r>
      <w:r>
        <w:rPr>
          <w:rFonts w:hint="eastAsia" w:ascii="宋体" w:hAnsi="宋体"/>
          <w:b/>
          <w:sz w:val="24"/>
        </w:rPr>
        <w:t xml:space="preserve">             </w:t>
      </w:r>
    </w:p>
    <w:p>
      <w:pPr>
        <w:spacing w:beforeLines="50" w:afterLines="100" w:line="440" w:lineRule="exact"/>
        <w:rPr>
          <w:rFonts w:hint="eastAsia" w:ascii="宋体" w:hAnsi="宋体" w:eastAsia="宋体"/>
          <w:b/>
          <w:sz w:val="24"/>
          <w:lang w:val="en-US" w:eastAsia="zh-CN"/>
        </w:rPr>
      </w:pPr>
      <w:r>
        <w:rPr>
          <w:rFonts w:hint="eastAsia" w:ascii="宋体" w:hAnsi="宋体"/>
          <w:b/>
          <w:sz w:val="24"/>
        </w:rPr>
        <w:t>项目编号：ZTSJ-HN201901</w:t>
      </w:r>
      <w:r>
        <w:rPr>
          <w:rFonts w:hint="eastAsia" w:ascii="宋体" w:hAnsi="宋体"/>
          <w:b/>
          <w:sz w:val="24"/>
          <w:lang w:val="en-US" w:eastAsia="zh-CN"/>
        </w:rPr>
        <w:t>4</w:t>
      </w:r>
    </w:p>
    <w:tbl>
      <w:tblPr>
        <w:tblStyle w:val="14"/>
        <w:tblW w:w="9320" w:type="dxa"/>
        <w:jc w:val="center"/>
        <w:tblInd w:w="-198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5"/>
        <w:gridCol w:w="1620"/>
        <w:gridCol w:w="3801"/>
        <w:gridCol w:w="928"/>
        <w:gridCol w:w="928"/>
        <w:gridCol w:w="9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5" w:hRule="atLeast"/>
          <w:jc w:val="center"/>
        </w:trPr>
        <w:tc>
          <w:tcPr>
            <w:tcW w:w="1115" w:type="dxa"/>
            <w:tcBorders>
              <w:top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r>
              <w:rPr>
                <w:rFonts w:hint="eastAsia" w:ascii="宋体" w:hAnsi="宋体" w:cs="宋体"/>
                <w:b/>
                <w:bCs/>
                <w:color w:val="auto"/>
                <w:sz w:val="24"/>
                <w:szCs w:val="24"/>
              </w:rPr>
              <w:t>审查项目</w:t>
            </w:r>
          </w:p>
        </w:tc>
        <w:tc>
          <w:tcPr>
            <w:tcW w:w="380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r>
              <w:rPr>
                <w:rFonts w:hint="eastAsia" w:ascii="宋体" w:hAnsi="宋体" w:cs="宋体"/>
                <w:b/>
                <w:bCs/>
                <w:color w:val="auto"/>
                <w:sz w:val="24"/>
                <w:szCs w:val="24"/>
              </w:rPr>
              <w:t>评议内容</w:t>
            </w:r>
          </w:p>
        </w:tc>
        <w:tc>
          <w:tcPr>
            <w:tcW w:w="928" w:type="dxa"/>
            <w:tcBorders>
              <w:top w:val="single" w:color="auto" w:sz="4" w:space="0"/>
              <w:left w:val="single" w:color="auto" w:sz="4" w:space="0"/>
              <w:bottom w:val="single" w:color="auto" w:sz="4" w:space="0"/>
            </w:tcBorders>
            <w:noWrap w:val="0"/>
            <w:vAlign w:val="center"/>
          </w:tcPr>
          <w:p>
            <w:pPr>
              <w:shd w:val="clear" w:color="auto" w:fill="FFFFFF"/>
              <w:snapToGrid w:val="0"/>
              <w:spacing w:line="360" w:lineRule="auto"/>
              <w:jc w:val="center"/>
              <w:rPr>
                <w:rFonts w:ascii="宋体" w:hAnsi="宋体" w:cs="宋体"/>
                <w:b/>
                <w:bCs/>
                <w:color w:val="auto"/>
                <w:sz w:val="24"/>
                <w:szCs w:val="24"/>
              </w:rPr>
            </w:pPr>
            <w:r>
              <w:rPr>
                <w:rFonts w:hint="eastAsia" w:ascii="宋体" w:hAnsi="宋体" w:cs="宋体"/>
                <w:b/>
                <w:bCs/>
                <w:color w:val="auto"/>
                <w:sz w:val="24"/>
                <w:szCs w:val="24"/>
              </w:rPr>
              <w:t>投标人1</w:t>
            </w:r>
          </w:p>
        </w:tc>
        <w:tc>
          <w:tcPr>
            <w:tcW w:w="928" w:type="dxa"/>
            <w:tcBorders>
              <w:top w:val="single" w:color="auto" w:sz="4" w:space="0"/>
              <w:left w:val="single" w:color="auto" w:sz="4" w:space="0"/>
              <w:bottom w:val="single" w:color="auto" w:sz="4" w:space="0"/>
            </w:tcBorders>
            <w:noWrap w:val="0"/>
            <w:vAlign w:val="center"/>
          </w:tcPr>
          <w:p>
            <w:pPr>
              <w:shd w:val="clear" w:color="auto" w:fill="FFFFFF"/>
              <w:snapToGrid w:val="0"/>
              <w:spacing w:line="360" w:lineRule="auto"/>
              <w:jc w:val="center"/>
              <w:rPr>
                <w:rFonts w:ascii="宋体" w:hAnsi="宋体" w:cs="宋体"/>
                <w:b/>
                <w:bCs/>
                <w:color w:val="auto"/>
                <w:sz w:val="24"/>
                <w:szCs w:val="24"/>
              </w:rPr>
            </w:pPr>
            <w:r>
              <w:rPr>
                <w:rFonts w:hint="eastAsia" w:ascii="宋体" w:hAnsi="宋体" w:cs="宋体"/>
                <w:b/>
                <w:bCs/>
                <w:color w:val="auto"/>
                <w:sz w:val="24"/>
                <w:szCs w:val="24"/>
              </w:rPr>
              <w:t>投标人2</w:t>
            </w:r>
          </w:p>
        </w:tc>
        <w:tc>
          <w:tcPr>
            <w:tcW w:w="928" w:type="dxa"/>
            <w:tcBorders>
              <w:top w:val="single" w:color="auto" w:sz="4" w:space="0"/>
              <w:left w:val="single" w:color="auto" w:sz="4" w:space="0"/>
              <w:bottom w:val="single" w:color="auto" w:sz="4" w:space="0"/>
            </w:tcBorders>
            <w:noWrap w:val="0"/>
            <w:vAlign w:val="center"/>
          </w:tcPr>
          <w:p>
            <w:pPr>
              <w:shd w:val="clear" w:color="auto" w:fill="FFFFFF"/>
              <w:snapToGrid w:val="0"/>
              <w:spacing w:line="360" w:lineRule="auto"/>
              <w:jc w:val="center"/>
              <w:rPr>
                <w:rFonts w:ascii="宋体" w:hAnsi="宋体" w:cs="宋体"/>
                <w:b/>
                <w:bCs/>
                <w:color w:val="auto"/>
                <w:sz w:val="24"/>
                <w:szCs w:val="24"/>
              </w:rPr>
            </w:pPr>
            <w:r>
              <w:rPr>
                <w:rFonts w:hint="eastAsia" w:ascii="宋体" w:hAnsi="宋体" w:cs="宋体"/>
                <w:b/>
                <w:bCs/>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29" w:hRule="exact"/>
          <w:jc w:val="center"/>
        </w:trPr>
        <w:tc>
          <w:tcPr>
            <w:tcW w:w="1115" w:type="dxa"/>
            <w:tcBorders>
              <w:top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ascii="宋体" w:hAnsi="宋体" w:cs="宋体"/>
                <w:color w:val="auto"/>
                <w:sz w:val="24"/>
                <w:szCs w:val="24"/>
              </w:rPr>
              <w:t>营业执照</w:t>
            </w:r>
          </w:p>
        </w:tc>
        <w:tc>
          <w:tcPr>
            <w:tcW w:w="3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提供营业执照副本、税务登记证</w:t>
            </w:r>
          </w:p>
          <w:p>
            <w:pPr>
              <w:spacing w:line="360" w:lineRule="auto"/>
              <w:jc w:val="center"/>
              <w:rPr>
                <w:rFonts w:ascii="宋体" w:hAnsi="宋体" w:cs="宋体"/>
                <w:color w:val="auto"/>
                <w:sz w:val="24"/>
                <w:szCs w:val="24"/>
              </w:rPr>
            </w:pPr>
            <w:r>
              <w:rPr>
                <w:rFonts w:hint="eastAsia" w:ascii="宋体" w:hAnsi="宋体" w:cs="宋体"/>
                <w:color w:val="auto"/>
                <w:sz w:val="24"/>
                <w:szCs w:val="24"/>
              </w:rPr>
              <w:t>副本、组织机构代码证副本或</w:t>
            </w:r>
          </w:p>
          <w:p>
            <w:pPr>
              <w:spacing w:line="360" w:lineRule="auto"/>
              <w:jc w:val="center"/>
              <w:rPr>
                <w:rFonts w:ascii="宋体" w:hAnsi="宋体" w:cs="宋体"/>
                <w:color w:val="auto"/>
                <w:sz w:val="24"/>
                <w:szCs w:val="24"/>
              </w:rPr>
            </w:pPr>
            <w:r>
              <w:rPr>
                <w:rFonts w:hint="eastAsia" w:ascii="宋体" w:hAnsi="宋体" w:cs="宋体"/>
                <w:color w:val="auto"/>
                <w:sz w:val="24"/>
                <w:szCs w:val="24"/>
              </w:rPr>
              <w:t>“三证合一”营业执照副本（复</w:t>
            </w:r>
          </w:p>
          <w:p>
            <w:pPr>
              <w:spacing w:line="360" w:lineRule="auto"/>
              <w:jc w:val="center"/>
              <w:rPr>
                <w:rFonts w:ascii="宋体" w:hAnsi="宋体" w:cs="宋体"/>
                <w:color w:val="auto"/>
                <w:sz w:val="24"/>
                <w:szCs w:val="24"/>
              </w:rPr>
            </w:pPr>
            <w:r>
              <w:rPr>
                <w:rFonts w:hint="eastAsia" w:ascii="宋体" w:hAnsi="宋体" w:cs="宋体"/>
                <w:color w:val="auto"/>
                <w:sz w:val="24"/>
                <w:szCs w:val="24"/>
              </w:rPr>
              <w:t>印件加盖公章）。</w:t>
            </w:r>
          </w:p>
          <w:p>
            <w:pPr>
              <w:shd w:val="clear" w:color="auto" w:fill="FFFFFF"/>
              <w:spacing w:line="360" w:lineRule="auto"/>
              <w:jc w:val="center"/>
              <w:rPr>
                <w:rFonts w:ascii="宋体" w:hAnsi="宋体" w:cs="宋体"/>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94" w:hRule="exact"/>
          <w:jc w:val="center"/>
        </w:trPr>
        <w:tc>
          <w:tcPr>
            <w:tcW w:w="1115" w:type="dxa"/>
            <w:tcBorders>
              <w:top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良好的商业信誉和健全的财务会计制度</w:t>
            </w:r>
          </w:p>
        </w:tc>
        <w:tc>
          <w:tcPr>
            <w:tcW w:w="3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eastAsia="zh-CN"/>
              </w:rPr>
            </w:pPr>
            <w:r>
              <w:rPr>
                <w:rFonts w:hint="eastAsia"/>
                <w:sz w:val="24"/>
                <w:szCs w:val="24"/>
              </w:rPr>
              <w:t>提供</w:t>
            </w:r>
            <w:r>
              <w:rPr>
                <w:rFonts w:hint="eastAsia"/>
                <w:kern w:val="10"/>
                <w:sz w:val="24"/>
                <w:szCs w:val="24"/>
                <w:lang w:val="en-US" w:eastAsia="zh-CN"/>
              </w:rPr>
              <w:t>2018年下半年至2019年上半年任意3个月</w:t>
            </w:r>
            <w:r>
              <w:rPr>
                <w:rFonts w:hint="eastAsia"/>
                <w:sz w:val="24"/>
                <w:szCs w:val="24"/>
              </w:rPr>
              <w:t>企业财务报表（资产负债表、</w:t>
            </w:r>
            <w:r>
              <w:rPr>
                <w:rFonts w:hint="eastAsia"/>
                <w:sz w:val="24"/>
                <w:szCs w:val="24"/>
                <w:lang w:eastAsia="zh-CN"/>
              </w:rPr>
              <w:t>利润</w:t>
            </w:r>
            <w:r>
              <w:rPr>
                <w:rFonts w:hint="eastAsia"/>
                <w:sz w:val="24"/>
                <w:szCs w:val="24"/>
              </w:rPr>
              <w:t>表、现金流量表）或201</w:t>
            </w:r>
            <w:r>
              <w:rPr>
                <w:rFonts w:hint="eastAsia"/>
                <w:sz w:val="24"/>
                <w:szCs w:val="24"/>
                <w:lang w:val="en-US" w:eastAsia="zh-CN"/>
              </w:rPr>
              <w:t>8</w:t>
            </w:r>
            <w:r>
              <w:rPr>
                <w:rFonts w:hint="eastAsia"/>
                <w:sz w:val="24"/>
                <w:szCs w:val="24"/>
              </w:rPr>
              <w:t>年度会计事务所出具的财务审计报告（复印件加盖公章）</w:t>
            </w:r>
            <w:r>
              <w:rPr>
                <w:rFonts w:hint="eastAsia"/>
                <w:sz w:val="24"/>
                <w:szCs w:val="24"/>
                <w:lang w:eastAsia="zh-CN"/>
              </w:rPr>
              <w:t>。</w:t>
            </w: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0" w:hRule="exact"/>
          <w:jc w:val="center"/>
        </w:trPr>
        <w:tc>
          <w:tcPr>
            <w:tcW w:w="1115"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依法缴纳社会保障资金的良好记录</w:t>
            </w:r>
          </w:p>
        </w:tc>
        <w:tc>
          <w:tcPr>
            <w:tcW w:w="3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 w:val="24"/>
                <w:szCs w:val="24"/>
              </w:rPr>
            </w:pPr>
            <w:r>
              <w:rPr>
                <w:rFonts w:hint="eastAsia"/>
                <w:sz w:val="24"/>
                <w:szCs w:val="24"/>
              </w:rPr>
              <w:t>有依法缴纳税收和社会保障资金的良好记录，需提供</w:t>
            </w:r>
            <w:r>
              <w:rPr>
                <w:rFonts w:hint="eastAsia"/>
                <w:kern w:val="10"/>
                <w:sz w:val="24"/>
                <w:szCs w:val="24"/>
                <w:lang w:val="en-US" w:eastAsia="zh-CN"/>
              </w:rPr>
              <w:t>2018年下半年至2019年上半年任意3个月</w:t>
            </w:r>
            <w:r>
              <w:rPr>
                <w:rFonts w:hint="eastAsia"/>
                <w:sz w:val="24"/>
                <w:szCs w:val="24"/>
              </w:rPr>
              <w:t>的完税证明及社会保障金缴纳证明（复印件加盖公章）。</w:t>
            </w: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2" w:hRule="exact"/>
          <w:jc w:val="center"/>
        </w:trPr>
        <w:tc>
          <w:tcPr>
            <w:tcW w:w="1115" w:type="dxa"/>
            <w:tcBorders>
              <w:top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ascii="宋体" w:hAnsi="宋体" w:cs="宋体"/>
                <w:color w:val="auto"/>
                <w:sz w:val="24"/>
                <w:szCs w:val="24"/>
              </w:rPr>
              <w:t>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ascii="宋体" w:hAnsi="宋体" w:cs="宋体"/>
                <w:color w:val="auto"/>
                <w:sz w:val="24"/>
                <w:szCs w:val="24"/>
              </w:rPr>
              <w:t>重大违法记录声明</w:t>
            </w:r>
          </w:p>
        </w:tc>
        <w:tc>
          <w:tcPr>
            <w:tcW w:w="380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sz w:val="24"/>
                <w:szCs w:val="24"/>
              </w:rPr>
              <w:t>提供参加政府采购活动前三年内，在经营活动中没有重大违法记录的声明函。</w:t>
            </w: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3" w:hRule="exact"/>
          <w:jc w:val="center"/>
        </w:trPr>
        <w:tc>
          <w:tcPr>
            <w:tcW w:w="1115" w:type="dxa"/>
            <w:tcBorders>
              <w:top w:val="single" w:color="auto" w:sz="4" w:space="0"/>
              <w:bottom w:val="single" w:color="auto" w:sz="4" w:space="0"/>
              <w:right w:val="single" w:color="auto" w:sz="4" w:space="0"/>
            </w:tcBorders>
            <w:noWrap w:val="0"/>
            <w:vAlign w:val="center"/>
          </w:tcPr>
          <w:p>
            <w:pPr>
              <w:shd w:val="clear" w:color="auto" w:fill="FFFFFF"/>
              <w:tabs>
                <w:tab w:val="left" w:pos="342"/>
              </w:tabs>
              <w:spacing w:line="360" w:lineRule="auto"/>
              <w:jc w:val="center"/>
              <w:rPr>
                <w:rFonts w:ascii="宋体" w:hAnsi="宋体" w:cs="宋体"/>
                <w:color w:val="auto"/>
                <w:sz w:val="24"/>
                <w:szCs w:val="24"/>
              </w:rPr>
            </w:pPr>
            <w:r>
              <w:rPr>
                <w:rFonts w:hint="eastAsia" w:ascii="宋体" w:hAnsi="宋体" w:cs="宋体"/>
                <w:color w:val="auto"/>
                <w:sz w:val="24"/>
                <w:szCs w:val="24"/>
              </w:rPr>
              <w:t>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ascii="宋体" w:hAnsi="宋体" w:cs="宋体"/>
                <w:color w:val="auto"/>
                <w:sz w:val="24"/>
                <w:szCs w:val="24"/>
              </w:rPr>
              <w:t>信用中国：www.creditchina.gov.cn</w:t>
            </w:r>
          </w:p>
        </w:tc>
        <w:tc>
          <w:tcPr>
            <w:tcW w:w="380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ascii="宋体" w:hAnsi="宋体" w:cs="宋体"/>
                <w:color w:val="auto"/>
                <w:sz w:val="24"/>
                <w:szCs w:val="24"/>
              </w:rPr>
              <w:t>投标人须提供无不良信用记录查询结果。</w:t>
            </w: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exact"/>
          <w:jc w:val="center"/>
        </w:trPr>
        <w:tc>
          <w:tcPr>
            <w:tcW w:w="1115" w:type="dxa"/>
            <w:tcBorders>
              <w:top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宋体" w:hAnsi="宋体" w:cs="宋体"/>
                <w:color w:val="auto"/>
                <w:sz w:val="24"/>
                <w:szCs w:val="24"/>
              </w:rPr>
            </w:pPr>
            <w:r>
              <w:rPr>
                <w:rFonts w:hint="eastAsia" w:ascii="宋体" w:hAnsi="宋体" w:cs="宋体"/>
                <w:color w:val="auto"/>
                <w:sz w:val="24"/>
                <w:szCs w:val="24"/>
              </w:rPr>
              <w:t>其他</w:t>
            </w:r>
          </w:p>
        </w:tc>
        <w:tc>
          <w:tcPr>
            <w:tcW w:w="380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ascii="宋体" w:hAnsi="宋体" w:cs="宋体"/>
                <w:color w:val="auto"/>
                <w:sz w:val="24"/>
                <w:szCs w:val="24"/>
              </w:rPr>
              <w:t>不是联合体投标</w:t>
            </w: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536" w:type="dxa"/>
            <w:gridSpan w:val="3"/>
            <w:tcBorders>
              <w:top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cs="宋体"/>
                <w:color w:val="auto"/>
                <w:sz w:val="24"/>
                <w:szCs w:val="24"/>
              </w:rPr>
            </w:pPr>
            <w:r>
              <w:rPr>
                <w:rFonts w:hint="eastAsia" w:ascii="宋体" w:hAnsi="宋体" w:cs="宋体"/>
                <w:b/>
                <w:bCs/>
                <w:color w:val="auto"/>
                <w:sz w:val="24"/>
                <w:szCs w:val="24"/>
              </w:rPr>
              <w:t>结    论</w:t>
            </w: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c>
          <w:tcPr>
            <w:tcW w:w="928" w:type="dxa"/>
            <w:tcBorders>
              <w:top w:val="single" w:color="auto" w:sz="4" w:space="0"/>
              <w:left w:val="single" w:color="auto" w:sz="4" w:space="0"/>
              <w:bottom w:val="single" w:color="auto" w:sz="4" w:space="0"/>
            </w:tcBorders>
            <w:noWrap w:val="0"/>
            <w:vAlign w:val="center"/>
          </w:tcPr>
          <w:p>
            <w:pPr>
              <w:shd w:val="clear" w:color="auto" w:fill="FFFFFF"/>
              <w:spacing w:line="360" w:lineRule="auto"/>
              <w:jc w:val="center"/>
              <w:rPr>
                <w:rFonts w:ascii="宋体" w:hAnsi="宋体" w:cs="宋体"/>
                <w:b/>
                <w:bCs/>
                <w:color w:val="auto"/>
                <w:sz w:val="24"/>
                <w:szCs w:val="24"/>
              </w:rPr>
            </w:pPr>
          </w:p>
        </w:tc>
      </w:tr>
    </w:tbl>
    <w:p>
      <w:pPr>
        <w:spacing w:beforeLines="50" w:afterLines="50" w:line="440" w:lineRule="exact"/>
        <w:rPr>
          <w:rFonts w:ascii="宋体" w:hAnsi="宋体"/>
          <w:b/>
          <w:bCs/>
          <w:sz w:val="24"/>
        </w:rPr>
      </w:pPr>
      <w:r>
        <w:rPr>
          <w:rFonts w:hint="eastAsia" w:ascii="宋体" w:hAnsi="宋体"/>
          <w:b/>
          <w:bCs/>
          <w:sz w:val="24"/>
        </w:rPr>
        <w:t>注：</w:t>
      </w:r>
    </w:p>
    <w:p>
      <w:pPr>
        <w:spacing w:line="440" w:lineRule="exact"/>
        <w:ind w:firstLine="480" w:firstLineChars="200"/>
        <w:rPr>
          <w:rFonts w:ascii="宋体" w:hAnsi="宋体"/>
          <w:sz w:val="24"/>
        </w:rPr>
      </w:pPr>
      <w:r>
        <w:rPr>
          <w:rFonts w:hint="eastAsia" w:ascii="宋体" w:hAnsi="宋体"/>
          <w:sz w:val="24"/>
        </w:rPr>
        <w:t>1、表中只需填写“√”通过或“×”不通过；</w:t>
      </w:r>
    </w:p>
    <w:p>
      <w:pPr>
        <w:spacing w:line="440" w:lineRule="exact"/>
        <w:ind w:firstLine="480" w:firstLineChars="200"/>
        <w:rPr>
          <w:rFonts w:ascii="宋体" w:hAnsi="宋体"/>
          <w:sz w:val="24"/>
        </w:rPr>
      </w:pPr>
      <w:r>
        <w:rPr>
          <w:rFonts w:hint="eastAsia" w:ascii="宋体" w:hAnsi="宋体"/>
          <w:sz w:val="24"/>
        </w:rPr>
        <w:t>2、在结论中按“一项否决”的原则，只有全部是“√”通过的，填写“合格”；只要其中有一项是“×”不通过的，填写“不合格”；</w:t>
      </w:r>
    </w:p>
    <w:p>
      <w:pPr>
        <w:spacing w:line="440" w:lineRule="exact"/>
        <w:ind w:firstLine="480" w:firstLineChars="200"/>
        <w:rPr>
          <w:rFonts w:hint="eastAsia" w:ascii="宋体" w:hAnsi="宋体"/>
          <w:sz w:val="24"/>
        </w:rPr>
      </w:pPr>
      <w:r>
        <w:rPr>
          <w:rFonts w:hint="eastAsia" w:ascii="宋体" w:hAnsi="宋体"/>
          <w:sz w:val="24"/>
        </w:rPr>
        <w:t>3、结论是合格的，才能进入下一轮，不合格的被淘汰。</w:t>
      </w:r>
    </w:p>
    <w:p>
      <w:pPr>
        <w:spacing w:beforeLines="50" w:afterLines="50" w:line="440" w:lineRule="exact"/>
        <w:rPr>
          <w:rFonts w:hint="eastAsia" w:ascii="宋体" w:hAnsi="宋体"/>
          <w:b/>
          <w:sz w:val="24"/>
          <w:lang w:eastAsia="zh-CN"/>
        </w:rPr>
      </w:pPr>
    </w:p>
    <w:p>
      <w:pPr>
        <w:spacing w:beforeLines="50" w:afterLines="50" w:line="440" w:lineRule="exact"/>
        <w:rPr>
          <w:rFonts w:hint="default" w:ascii="宋体" w:hAnsi="宋体"/>
          <w:b/>
          <w:sz w:val="24"/>
          <w:lang w:val="en-US" w:eastAsia="zh-CN"/>
        </w:rPr>
      </w:pPr>
      <w:r>
        <w:rPr>
          <w:rFonts w:hint="eastAsia" w:ascii="宋体" w:hAnsi="宋体"/>
          <w:b/>
          <w:sz w:val="24"/>
          <w:lang w:eastAsia="zh-CN"/>
        </w:rPr>
        <w:t>（附表</w:t>
      </w:r>
      <w:r>
        <w:rPr>
          <w:rFonts w:hint="eastAsia" w:ascii="宋体" w:hAnsi="宋体"/>
          <w:b/>
          <w:sz w:val="24"/>
          <w:lang w:val="en-US" w:eastAsia="zh-CN"/>
        </w:rPr>
        <w:t>2）</w:t>
      </w:r>
    </w:p>
    <w:p>
      <w:pPr>
        <w:spacing w:line="600" w:lineRule="exact"/>
        <w:jc w:val="center"/>
        <w:rPr>
          <w:rFonts w:hint="eastAsia" w:ascii="宋体" w:hAnsi="宋体"/>
          <w:b/>
          <w:sz w:val="36"/>
          <w:szCs w:val="36"/>
        </w:rPr>
      </w:pPr>
      <w:bookmarkStart w:id="94" w:name="_Toc3769_WPSOffice_Level3"/>
      <w:r>
        <w:rPr>
          <w:rFonts w:hint="eastAsia" w:ascii="宋体" w:hAnsi="宋体"/>
          <w:b/>
          <w:sz w:val="36"/>
          <w:szCs w:val="36"/>
        </w:rPr>
        <w:t>符合性审查表</w:t>
      </w:r>
      <w:bookmarkEnd w:id="94"/>
    </w:p>
    <w:p>
      <w:pPr>
        <w:spacing w:beforeLines="50" w:afterLines="100" w:line="440" w:lineRule="exact"/>
        <w:jc w:val="left"/>
        <w:rPr>
          <w:rFonts w:hint="eastAsia" w:ascii="宋体" w:hAnsi="宋体"/>
          <w:b/>
          <w:sz w:val="24"/>
        </w:rPr>
      </w:pPr>
      <w:r>
        <w:rPr>
          <w:rFonts w:hint="eastAsia" w:ascii="宋体" w:hAnsi="宋体"/>
          <w:b/>
          <w:sz w:val="24"/>
        </w:rPr>
        <w:t>项目名称：</w:t>
      </w:r>
      <w:r>
        <w:rPr>
          <w:rFonts w:hint="eastAsia" w:ascii="宋体" w:hAnsi="宋体"/>
          <w:b/>
          <w:sz w:val="24"/>
          <w:lang w:val="zh-CN"/>
        </w:rPr>
        <w:t>万宁市移动式水冲公厕项目</w:t>
      </w:r>
    </w:p>
    <w:p>
      <w:pPr>
        <w:spacing w:beforeLines="50" w:afterLines="100" w:line="440" w:lineRule="exact"/>
        <w:jc w:val="left"/>
        <w:rPr>
          <w:rFonts w:hint="eastAsia" w:ascii="宋体" w:hAnsi="宋体" w:eastAsia="宋体"/>
          <w:szCs w:val="21"/>
          <w:lang w:val="en-US" w:eastAsia="zh-CN"/>
        </w:rPr>
      </w:pPr>
      <w:r>
        <w:rPr>
          <w:rFonts w:hint="eastAsia" w:ascii="宋体" w:hAnsi="宋体"/>
          <w:b/>
          <w:sz w:val="24"/>
        </w:rPr>
        <w:t>项目编号：ZTSJ-HN201901</w:t>
      </w:r>
      <w:r>
        <w:rPr>
          <w:rFonts w:hint="eastAsia" w:ascii="宋体" w:hAnsi="宋体"/>
          <w:b/>
          <w:sz w:val="24"/>
          <w:lang w:val="en-US" w:eastAsia="zh-CN"/>
        </w:rPr>
        <w:t>4</w:t>
      </w:r>
    </w:p>
    <w:tbl>
      <w:tblPr>
        <w:tblStyle w:val="14"/>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066"/>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序号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审查项目</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评议内容（无效投标认定条件）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投标人1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投标人2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投标文件有效性、完整性</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宋体" w:hAnsi="宋体" w:cs="Tahoma"/>
                <w:kern w:val="28"/>
                <w:szCs w:val="21"/>
              </w:rPr>
            </w:pPr>
            <w:r>
              <w:rPr>
                <w:rFonts w:hint="eastAsia" w:ascii="宋体" w:hAnsi="宋体"/>
                <w:szCs w:val="21"/>
              </w:rPr>
              <w:t>是否符合招标文件的式样和签署要求且内容完整无缺漏。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报价项目完整性</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Cs w:val="21"/>
              </w:rPr>
            </w:pPr>
            <w:r>
              <w:rPr>
                <w:rFonts w:hint="eastAsia" w:ascii="宋体" w:hAnsi="宋体"/>
                <w:szCs w:val="21"/>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保证金</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Cs w:val="21"/>
              </w:rPr>
            </w:pPr>
            <w:r>
              <w:rPr>
                <w:rFonts w:hint="eastAsia" w:ascii="宋体" w:hAnsi="宋体"/>
                <w:szCs w:val="21"/>
              </w:rPr>
              <w:t>是否提交保证金的。</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投标有效期</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Cs w:val="21"/>
              </w:rPr>
            </w:pPr>
            <w:r>
              <w:rPr>
                <w:rFonts w:hint="eastAsia" w:ascii="宋体" w:hAnsi="宋体"/>
                <w:szCs w:val="21"/>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Cs w:val="21"/>
                <w:lang w:eastAsia="zh-CN"/>
              </w:rPr>
            </w:pPr>
            <w:r>
              <w:rPr>
                <w:rFonts w:hint="eastAsia" w:ascii="宋体" w:hAnsi="宋体"/>
                <w:szCs w:val="21"/>
                <w:lang w:eastAsia="zh-CN"/>
              </w:rPr>
              <w:t>交货期</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Cs w:val="21"/>
              </w:rPr>
            </w:pPr>
            <w:r>
              <w:rPr>
                <w:rFonts w:hint="eastAsia" w:ascii="宋体" w:hAnsi="宋体"/>
                <w:szCs w:val="21"/>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其它</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Cs w:val="21"/>
              </w:rPr>
            </w:pPr>
            <w:r>
              <w:rPr>
                <w:rFonts w:hint="eastAsia" w:ascii="宋体" w:hAnsi="宋体"/>
                <w:kern w:val="0"/>
                <w:szCs w:val="21"/>
              </w:rPr>
              <w:t>无其他无效认定条件。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jc w:val="center"/>
        </w:trPr>
        <w:tc>
          <w:tcPr>
            <w:tcW w:w="586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                  结         论</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eastAsia" w:ascii="宋体" w:hAnsi="宋体"/>
                <w:szCs w:val="21"/>
              </w:rPr>
            </w:pPr>
          </w:p>
        </w:tc>
      </w:tr>
    </w:tbl>
    <w:p>
      <w:pPr>
        <w:spacing w:line="400" w:lineRule="exact"/>
        <w:ind w:firstLine="420" w:firstLineChars="200"/>
        <w:rPr>
          <w:rFonts w:hint="eastAsia" w:ascii="宋体" w:hAnsi="宋体"/>
          <w:szCs w:val="21"/>
        </w:rPr>
      </w:pPr>
      <w:r>
        <w:rPr>
          <w:rFonts w:hint="eastAsia" w:ascii="宋体" w:hAnsi="宋体"/>
          <w:szCs w:val="21"/>
        </w:rPr>
        <w:t>1、表中只需填写“√/通过”或“×/不通过”。</w:t>
      </w:r>
    </w:p>
    <w:p>
      <w:pPr>
        <w:spacing w:line="400" w:lineRule="exact"/>
        <w:ind w:firstLine="420" w:firstLineChars="200"/>
        <w:rPr>
          <w:rFonts w:hint="eastAsia" w:ascii="宋体" w:hAnsi="宋体"/>
          <w:szCs w:val="21"/>
        </w:rPr>
      </w:pPr>
      <w:r>
        <w:rPr>
          <w:rFonts w:hint="eastAsia" w:ascii="宋体" w:hAnsi="宋体"/>
          <w:szCs w:val="21"/>
        </w:rPr>
        <w:t>2、在结论中按“一项否决”的原则，只有全部是√/通过的，填写“合格”；只要其中有一项是×/不通过的，填写“不合格”。</w:t>
      </w:r>
    </w:p>
    <w:p>
      <w:pPr>
        <w:spacing w:line="400" w:lineRule="exact"/>
        <w:ind w:firstLine="420" w:firstLineChars="200"/>
        <w:rPr>
          <w:rFonts w:hint="eastAsia" w:ascii="宋体" w:hAnsi="宋体"/>
          <w:szCs w:val="21"/>
        </w:rPr>
      </w:pPr>
      <w:r>
        <w:rPr>
          <w:rFonts w:hint="eastAsia" w:ascii="宋体" w:hAnsi="宋体"/>
          <w:szCs w:val="21"/>
        </w:rPr>
        <w:t>3、结论是合格的，才能进入下一轮；不合格的被淘汰。</w:t>
      </w:r>
    </w:p>
    <w:p>
      <w:pPr>
        <w:spacing w:line="400" w:lineRule="exact"/>
        <w:ind w:firstLine="420" w:firstLineChars="200"/>
        <w:rPr>
          <w:rFonts w:hint="eastAsia" w:ascii="宋体" w:hAnsi="宋体"/>
          <w:szCs w:val="21"/>
        </w:rPr>
      </w:pPr>
      <w:r>
        <w:rPr>
          <w:rFonts w:hint="eastAsia" w:ascii="宋体" w:hAnsi="宋体"/>
          <w:szCs w:val="21"/>
        </w:rPr>
        <w:t>评委：</w:t>
      </w:r>
    </w:p>
    <w:p>
      <w:pPr>
        <w:spacing w:line="440" w:lineRule="exact"/>
        <w:ind w:firstLine="480" w:firstLineChars="200"/>
        <w:rPr>
          <w:rFonts w:hint="eastAsia" w:ascii="宋体" w:hAnsi="宋体"/>
          <w:sz w:val="24"/>
        </w:rPr>
      </w:pPr>
    </w:p>
    <w:p>
      <w:pPr>
        <w:pStyle w:val="3"/>
        <w:bidi w:val="0"/>
        <w:rPr>
          <w:lang w:val="en-GB"/>
        </w:rPr>
      </w:pPr>
      <w:bookmarkStart w:id="95" w:name="_Toc24417_WPSOffice_Level2"/>
      <w:r>
        <w:rPr>
          <w:rFonts w:hint="eastAsia"/>
          <w:lang w:val="en-GB"/>
        </w:rPr>
        <w:t>七</w:t>
      </w:r>
      <w:r>
        <w:rPr>
          <w:rFonts w:hint="eastAsia"/>
          <w:lang w:val="en-GB" w:eastAsia="zh-CN"/>
        </w:rPr>
        <w:t>、</w:t>
      </w:r>
      <w:r>
        <w:rPr>
          <w:rFonts w:hint="eastAsia"/>
          <w:lang w:val="en-GB"/>
        </w:rPr>
        <w:t>确定成交供应商</w:t>
      </w:r>
      <w:bookmarkEnd w:id="95"/>
    </w:p>
    <w:p>
      <w:pPr>
        <w:tabs>
          <w:tab w:val="left" w:pos="0"/>
        </w:tabs>
        <w:adjustRightInd w:val="0"/>
        <w:snapToGrid w:val="0"/>
        <w:spacing w:line="440" w:lineRule="exact"/>
        <w:ind w:firstLine="482" w:firstLineChars="200"/>
        <w:rPr>
          <w:rFonts w:ascii="宋体" w:hAnsi="宋体"/>
          <w:b/>
          <w:sz w:val="24"/>
        </w:rPr>
      </w:pPr>
      <w:r>
        <w:rPr>
          <w:rFonts w:hint="eastAsia" w:ascii="宋体" w:hAnsi="宋体"/>
          <w:b/>
          <w:sz w:val="24"/>
        </w:rPr>
        <w:t>22、</w:t>
      </w:r>
      <w:r>
        <w:rPr>
          <w:rFonts w:hint="eastAsia" w:ascii="宋体" w:hAnsi="宋体"/>
          <w:b/>
          <w:sz w:val="24"/>
          <w:lang w:val="en-GB"/>
        </w:rPr>
        <w:t>确定成交供应商的标准</w:t>
      </w:r>
    </w:p>
    <w:p>
      <w:pPr>
        <w:tabs>
          <w:tab w:val="left" w:pos="0"/>
        </w:tabs>
        <w:adjustRightInd w:val="0"/>
        <w:snapToGrid w:val="0"/>
        <w:spacing w:line="440" w:lineRule="exact"/>
        <w:ind w:firstLine="480" w:firstLineChars="200"/>
        <w:rPr>
          <w:rFonts w:ascii="宋体" w:hAnsi="宋体"/>
          <w:kern w:val="0"/>
          <w:sz w:val="24"/>
          <w:lang w:val="en-GB"/>
        </w:rPr>
      </w:pPr>
      <w:r>
        <w:rPr>
          <w:rFonts w:hint="eastAsia" w:ascii="宋体" w:hAnsi="宋体"/>
          <w:kern w:val="0"/>
          <w:sz w:val="24"/>
          <w:lang w:val="en-GB"/>
        </w:rPr>
        <w:t>2</w:t>
      </w:r>
      <w:r>
        <w:rPr>
          <w:rFonts w:hint="eastAsia" w:ascii="宋体" w:hAnsi="宋体"/>
          <w:kern w:val="0"/>
          <w:sz w:val="24"/>
        </w:rPr>
        <w:t>2</w:t>
      </w:r>
      <w:r>
        <w:rPr>
          <w:rFonts w:hint="eastAsia" w:ascii="宋体" w:hAnsi="宋体"/>
          <w:kern w:val="0"/>
          <w:sz w:val="24"/>
          <w:lang w:val="en-GB"/>
        </w:rPr>
        <w:t>.1</w:t>
      </w:r>
      <w:r>
        <w:rPr>
          <w:rFonts w:hint="eastAsia" w:ascii="宋体" w:hAnsi="宋体"/>
          <w:kern w:val="0"/>
          <w:sz w:val="24"/>
        </w:rPr>
        <w:t xml:space="preserve"> </w:t>
      </w:r>
      <w:r>
        <w:rPr>
          <w:rFonts w:hint="eastAsia" w:ascii="宋体" w:hAnsi="宋体"/>
          <w:kern w:val="0"/>
          <w:sz w:val="24"/>
          <w:lang w:val="en-GB"/>
        </w:rPr>
        <w:t>谈判小组依据对各响应文件的评审结果，提出书面评审报告，并根据谈判文件的规定，在质量和服务均相等的情况下，以最终报价由低至高的顺序向采购人推荐前三名为成交候选供应商，排名第一的为成交候选供应商，排名靠后的前</w:t>
      </w:r>
      <w:r>
        <w:rPr>
          <w:rFonts w:hint="eastAsia" w:ascii="宋体" w:hAnsi="宋体"/>
          <w:kern w:val="0"/>
          <w:sz w:val="24"/>
        </w:rPr>
        <w:t>2</w:t>
      </w:r>
      <w:r>
        <w:rPr>
          <w:rFonts w:hint="eastAsia" w:ascii="宋体" w:hAnsi="宋体"/>
          <w:kern w:val="0"/>
          <w:sz w:val="24"/>
          <w:lang w:val="en-GB"/>
        </w:rPr>
        <w:t>名为备选成交候选供应商。</w:t>
      </w:r>
    </w:p>
    <w:p>
      <w:pPr>
        <w:tabs>
          <w:tab w:val="left" w:pos="0"/>
        </w:tabs>
        <w:adjustRightInd w:val="0"/>
        <w:snapToGrid w:val="0"/>
        <w:spacing w:line="440" w:lineRule="exact"/>
        <w:ind w:firstLine="480" w:firstLineChars="200"/>
        <w:rPr>
          <w:rFonts w:ascii="宋体" w:hAnsi="宋体"/>
          <w:kern w:val="0"/>
          <w:sz w:val="24"/>
          <w:lang w:val="en-GB"/>
        </w:rPr>
      </w:pPr>
      <w:r>
        <w:rPr>
          <w:rFonts w:hint="eastAsia" w:ascii="宋体" w:hAnsi="宋体"/>
          <w:kern w:val="0"/>
          <w:sz w:val="24"/>
          <w:lang w:val="en-GB"/>
        </w:rPr>
        <w:t>2</w:t>
      </w:r>
      <w:r>
        <w:rPr>
          <w:rFonts w:hint="eastAsia" w:ascii="宋体" w:hAnsi="宋体"/>
          <w:kern w:val="0"/>
          <w:sz w:val="24"/>
        </w:rPr>
        <w:t>2</w:t>
      </w:r>
      <w:r>
        <w:rPr>
          <w:rFonts w:hint="eastAsia" w:ascii="宋体" w:hAnsi="宋体"/>
          <w:kern w:val="0"/>
          <w:sz w:val="24"/>
          <w:lang w:val="en-GB"/>
        </w:rPr>
        <w:t>.2</w:t>
      </w:r>
      <w:r>
        <w:rPr>
          <w:rFonts w:hint="eastAsia" w:ascii="宋体" w:hAnsi="宋体"/>
          <w:kern w:val="0"/>
          <w:sz w:val="24"/>
        </w:rPr>
        <w:t xml:space="preserve"> </w:t>
      </w:r>
      <w:r>
        <w:rPr>
          <w:rFonts w:hint="eastAsia" w:ascii="宋体" w:hAnsi="宋体"/>
          <w:kern w:val="0"/>
          <w:sz w:val="24"/>
          <w:lang w:val="en-GB"/>
        </w:rPr>
        <w:t>成交候选供应商因特殊原因放弃成交或因不可抗力提出不能履行合同，才可依评审排名次序的备选成交候选供应商依次递补为成交供应商。</w:t>
      </w:r>
    </w:p>
    <w:p>
      <w:pPr>
        <w:adjustRightInd w:val="0"/>
        <w:snapToGrid w:val="0"/>
        <w:spacing w:line="440" w:lineRule="exact"/>
        <w:ind w:firstLine="480" w:firstLineChars="200"/>
        <w:rPr>
          <w:rFonts w:ascii="宋体" w:hAnsi="宋体"/>
          <w:kern w:val="0"/>
          <w:sz w:val="24"/>
          <w:lang w:val="en-GB"/>
        </w:rPr>
      </w:pPr>
      <w:r>
        <w:rPr>
          <w:rFonts w:hint="eastAsia" w:ascii="宋体" w:hAnsi="宋体"/>
          <w:kern w:val="0"/>
          <w:sz w:val="24"/>
          <w:lang w:val="en-GB"/>
        </w:rPr>
        <w:t>2</w:t>
      </w:r>
      <w:r>
        <w:rPr>
          <w:rFonts w:hint="eastAsia" w:ascii="宋体" w:hAnsi="宋体"/>
          <w:kern w:val="0"/>
          <w:sz w:val="24"/>
        </w:rPr>
        <w:t>2</w:t>
      </w:r>
      <w:r>
        <w:rPr>
          <w:rFonts w:hint="eastAsia" w:ascii="宋体" w:hAnsi="宋体"/>
          <w:kern w:val="0"/>
          <w:sz w:val="24"/>
          <w:lang w:val="en-GB"/>
        </w:rPr>
        <w:t>.3</w:t>
      </w:r>
      <w:r>
        <w:rPr>
          <w:rFonts w:hint="eastAsia" w:ascii="宋体" w:hAnsi="宋体"/>
          <w:kern w:val="0"/>
          <w:sz w:val="24"/>
        </w:rPr>
        <w:t xml:space="preserve"> </w:t>
      </w:r>
      <w:r>
        <w:rPr>
          <w:rFonts w:hint="eastAsia" w:ascii="宋体" w:hAnsi="宋体"/>
          <w:kern w:val="0"/>
          <w:sz w:val="24"/>
          <w:lang w:val="en-GB"/>
        </w:rPr>
        <w:t>成交供应商确定后，采购代理机构将在政府采购指定媒体上公示成交结果。</w:t>
      </w:r>
    </w:p>
    <w:p>
      <w:pPr>
        <w:pStyle w:val="8"/>
        <w:adjustRightInd w:val="0"/>
        <w:snapToGrid w:val="0"/>
        <w:spacing w:line="440" w:lineRule="exact"/>
        <w:ind w:firstLine="480" w:firstLineChars="200"/>
        <w:rPr>
          <w:rFonts w:hAnsi="宋体"/>
          <w:kern w:val="0"/>
          <w:sz w:val="24"/>
          <w:lang w:val="en-GB"/>
        </w:rPr>
      </w:pPr>
      <w:r>
        <w:rPr>
          <w:rFonts w:hint="eastAsia" w:hAnsi="宋体"/>
          <w:kern w:val="0"/>
          <w:sz w:val="24"/>
          <w:lang w:val="en-GB"/>
        </w:rPr>
        <w:t>2</w:t>
      </w:r>
      <w:r>
        <w:rPr>
          <w:rFonts w:hint="eastAsia" w:hAnsi="宋体"/>
          <w:kern w:val="0"/>
          <w:sz w:val="24"/>
        </w:rPr>
        <w:t>2</w:t>
      </w:r>
      <w:r>
        <w:rPr>
          <w:rFonts w:hint="eastAsia" w:hAnsi="宋体"/>
          <w:kern w:val="0"/>
          <w:sz w:val="24"/>
          <w:lang w:val="en-GB"/>
        </w:rPr>
        <w:t>.4</w:t>
      </w:r>
      <w:r>
        <w:rPr>
          <w:rFonts w:hint="eastAsia" w:hAnsi="宋体"/>
          <w:kern w:val="0"/>
          <w:sz w:val="24"/>
        </w:rPr>
        <w:t xml:space="preserve"> </w:t>
      </w:r>
      <w:r>
        <w:rPr>
          <w:rFonts w:hint="eastAsia" w:hAnsi="宋体"/>
          <w:kern w:val="0"/>
          <w:sz w:val="24"/>
          <w:lang w:val="en-GB"/>
        </w:rPr>
        <w:t>凡是属于审查、澄清、评价和比较报价的有关资料以及成交意向等，谈判小组及有关工作人员自始至终均不得向供应商或其它无关的人员透露。</w:t>
      </w:r>
    </w:p>
    <w:p>
      <w:pPr>
        <w:tabs>
          <w:tab w:val="left" w:pos="360"/>
          <w:tab w:val="left" w:pos="960"/>
        </w:tabs>
        <w:adjustRightInd w:val="0"/>
        <w:snapToGrid w:val="0"/>
        <w:spacing w:line="440" w:lineRule="exact"/>
        <w:ind w:firstLine="480" w:firstLineChars="200"/>
        <w:rPr>
          <w:rFonts w:ascii="宋体" w:hAnsi="宋体"/>
          <w:kern w:val="0"/>
          <w:sz w:val="24"/>
          <w:lang w:val="en-GB"/>
        </w:rPr>
      </w:pPr>
      <w:r>
        <w:rPr>
          <w:rFonts w:hint="eastAsia" w:ascii="宋体" w:hAnsi="宋体"/>
          <w:kern w:val="0"/>
          <w:sz w:val="24"/>
          <w:lang w:val="en-GB"/>
        </w:rPr>
        <w:t>2</w:t>
      </w:r>
      <w:r>
        <w:rPr>
          <w:rFonts w:hint="eastAsia" w:ascii="宋体" w:hAnsi="宋体"/>
          <w:kern w:val="0"/>
          <w:sz w:val="24"/>
        </w:rPr>
        <w:t>2</w:t>
      </w:r>
      <w:r>
        <w:rPr>
          <w:rFonts w:hint="eastAsia" w:ascii="宋体" w:hAnsi="宋体"/>
          <w:kern w:val="0"/>
          <w:sz w:val="24"/>
          <w:lang w:val="en-GB"/>
        </w:rPr>
        <w:t>.5</w:t>
      </w:r>
      <w:r>
        <w:rPr>
          <w:rFonts w:hint="eastAsia" w:ascii="宋体" w:hAnsi="宋体"/>
          <w:kern w:val="0"/>
          <w:sz w:val="24"/>
        </w:rPr>
        <w:t xml:space="preserve"> </w:t>
      </w:r>
      <w:r>
        <w:rPr>
          <w:rFonts w:hint="eastAsia" w:ascii="宋体" w:hAnsi="宋体"/>
          <w:kern w:val="0"/>
          <w:sz w:val="24"/>
          <w:lang w:val="en-GB"/>
        </w:rPr>
        <w:t>在评审期间，供应商企图影响采购人、采购代理机构和谈判小组而获得评审信息的任何活动，都将导致其响应文件被拒绝，并承担相应的法律责任。</w:t>
      </w:r>
    </w:p>
    <w:p>
      <w:pPr>
        <w:tabs>
          <w:tab w:val="left" w:pos="0"/>
        </w:tabs>
        <w:adjustRightInd w:val="0"/>
        <w:snapToGrid w:val="0"/>
        <w:spacing w:line="440" w:lineRule="exact"/>
        <w:rPr>
          <w:rFonts w:ascii="宋体" w:hAnsi="宋体"/>
          <w:b/>
          <w:bCs/>
          <w:kern w:val="0"/>
          <w:sz w:val="24"/>
          <w:highlight w:val="none"/>
          <w:lang w:val="en-GB"/>
        </w:rPr>
      </w:pPr>
      <w:r>
        <w:rPr>
          <w:rFonts w:hint="eastAsia" w:ascii="宋体" w:hAnsi="宋体"/>
          <w:b/>
          <w:bCs/>
          <w:kern w:val="0"/>
          <w:sz w:val="24"/>
          <w:highlight w:val="none"/>
          <w:lang w:val="en-GB"/>
        </w:rPr>
        <w:t>2</w:t>
      </w:r>
      <w:r>
        <w:rPr>
          <w:rFonts w:hint="eastAsia" w:ascii="宋体" w:hAnsi="宋体"/>
          <w:b/>
          <w:bCs/>
          <w:kern w:val="0"/>
          <w:sz w:val="24"/>
          <w:highlight w:val="none"/>
        </w:rPr>
        <w:t>3、</w:t>
      </w:r>
      <w:r>
        <w:rPr>
          <w:rFonts w:hint="eastAsia" w:ascii="宋体" w:hAnsi="宋体"/>
          <w:b/>
          <w:bCs/>
          <w:kern w:val="0"/>
          <w:sz w:val="24"/>
          <w:highlight w:val="none"/>
          <w:lang w:val="en-GB"/>
        </w:rPr>
        <w:t>公告</w:t>
      </w:r>
    </w:p>
    <w:p>
      <w:pPr>
        <w:keepNext w:val="0"/>
        <w:keepLines w:val="0"/>
        <w:widowControl/>
        <w:suppressLineNumbers w:val="0"/>
        <w:ind w:firstLine="480" w:firstLineChars="200"/>
        <w:jc w:val="left"/>
        <w:rPr>
          <w:rFonts w:hint="eastAsia" w:ascii="宋体" w:hAnsi="宋体"/>
          <w:sz w:val="24"/>
          <w:highlight w:val="none"/>
        </w:rPr>
      </w:pPr>
      <w:r>
        <w:rPr>
          <w:rFonts w:hint="eastAsia" w:ascii="宋体" w:hAnsi="宋体"/>
          <w:sz w:val="24"/>
          <w:highlight w:val="none"/>
        </w:rPr>
        <w:t>代理机构将在指定的网站</w:t>
      </w:r>
    </w:p>
    <w:p>
      <w:pPr>
        <w:keepNext w:val="0"/>
        <w:keepLines w:val="0"/>
        <w:widowControl/>
        <w:suppressLineNumbers w:val="0"/>
        <w:ind w:firstLine="480" w:firstLineChars="200"/>
        <w:jc w:val="left"/>
        <w:rPr>
          <w:rFonts w:ascii="宋体" w:hAnsi="宋体"/>
          <w:kern w:val="0"/>
          <w:sz w:val="24"/>
          <w:highlight w:val="none"/>
          <w:lang w:val="en-GB"/>
        </w:rPr>
      </w:pPr>
      <w:r>
        <w:rPr>
          <w:rFonts w:hint="eastAsia" w:ascii="宋体" w:hAnsi="宋体"/>
          <w:sz w:val="24"/>
          <w:highlight w:val="none"/>
        </w:rPr>
        <w:t>（</w:t>
      </w:r>
      <w:r>
        <w:rPr>
          <w:rFonts w:hint="eastAsia" w:ascii="宋体" w:hAnsi="宋体"/>
          <w:sz w:val="24"/>
          <w:highlight w:val="none"/>
          <w:lang w:val="en-US" w:eastAsia="zh-CN"/>
        </w:rPr>
        <w:t>海南省公共资</w:t>
      </w:r>
      <w:r>
        <w:rPr>
          <w:rFonts w:hint="eastAsia" w:ascii="宋体" w:hAnsi="宋体"/>
          <w:kern w:val="0"/>
          <w:sz w:val="24"/>
          <w:highlight w:val="none"/>
          <w:lang w:val="en-US" w:eastAsia="zh-CN"/>
        </w:rPr>
        <w:t>源交易服务中心 </w:t>
      </w:r>
      <w:r>
        <w:rPr>
          <w:rFonts w:hint="eastAsia" w:ascii="宋体" w:hAnsi="宋体"/>
          <w:kern w:val="0"/>
          <w:sz w:val="24"/>
          <w:highlight w:val="none"/>
          <w:lang w:val="en-US" w:eastAsia="zh-CN"/>
        </w:rPr>
        <w:fldChar w:fldCharType="begin"/>
      </w:r>
      <w:r>
        <w:rPr>
          <w:rFonts w:hint="eastAsia" w:ascii="宋体" w:hAnsi="宋体"/>
          <w:kern w:val="0"/>
          <w:sz w:val="24"/>
          <w:highlight w:val="none"/>
          <w:lang w:val="en-US" w:eastAsia="zh-CN"/>
        </w:rPr>
        <w:instrText xml:space="preserve"> HYPERLINK "http://zw.hainan.gov.cn/" </w:instrText>
      </w:r>
      <w:r>
        <w:rPr>
          <w:rFonts w:hint="eastAsia" w:ascii="宋体" w:hAnsi="宋体"/>
          <w:kern w:val="0"/>
          <w:sz w:val="24"/>
          <w:highlight w:val="none"/>
          <w:lang w:val="en-US" w:eastAsia="zh-CN"/>
        </w:rPr>
        <w:fldChar w:fldCharType="separate"/>
      </w:r>
      <w:r>
        <w:rPr>
          <w:rFonts w:hint="eastAsia" w:ascii="宋体" w:hAnsi="宋体"/>
          <w:kern w:val="0"/>
          <w:sz w:val="24"/>
          <w:highlight w:val="none"/>
          <w:lang w:val="en-US" w:eastAsia="zh-CN"/>
        </w:rPr>
        <w:t>http://zw.hainan.gov.cn/</w:t>
      </w:r>
      <w:r>
        <w:rPr>
          <w:rFonts w:hint="eastAsia" w:ascii="宋体" w:hAnsi="宋体"/>
          <w:kern w:val="0"/>
          <w:sz w:val="24"/>
          <w:highlight w:val="none"/>
          <w:lang w:val="en-US" w:eastAsia="zh-CN"/>
        </w:rPr>
        <w:fldChar w:fldCharType="end"/>
      </w:r>
      <w:r>
        <w:rPr>
          <w:rFonts w:hint="eastAsia" w:ascii="宋体" w:hAnsi="宋体"/>
          <w:kern w:val="0"/>
          <w:sz w:val="24"/>
          <w:highlight w:val="none"/>
          <w:lang w:val="en-US" w:eastAsia="zh-CN"/>
        </w:rPr>
        <w:t> ；中国海南政</w:t>
      </w:r>
      <w:r>
        <w:rPr>
          <w:rFonts w:hint="eastAsia" w:ascii="宋体" w:hAnsi="宋体"/>
          <w:sz w:val="24"/>
          <w:highlight w:val="none"/>
          <w:lang w:val="en-US" w:eastAsia="zh-CN"/>
        </w:rPr>
        <w:t>府采购网 </w:t>
      </w:r>
      <w:r>
        <w:rPr>
          <w:rFonts w:hint="eastAsia" w:ascii="宋体" w:hAnsi="宋体"/>
          <w:sz w:val="24"/>
          <w:highlight w:val="none"/>
          <w:lang w:val="en-US" w:eastAsia="zh-CN"/>
        </w:rPr>
        <w:fldChar w:fldCharType="begin"/>
      </w:r>
      <w:r>
        <w:rPr>
          <w:rFonts w:hint="eastAsia" w:ascii="宋体" w:hAnsi="宋体"/>
          <w:sz w:val="24"/>
          <w:highlight w:val="none"/>
          <w:lang w:val="en-US" w:eastAsia="zh-CN"/>
        </w:rPr>
        <w:instrText xml:space="preserve"> HYPERLINK "http://www.ccgp-hainan.gov.cn/" </w:instrText>
      </w:r>
      <w:r>
        <w:rPr>
          <w:rFonts w:hint="eastAsia" w:ascii="宋体" w:hAnsi="宋体"/>
          <w:sz w:val="24"/>
          <w:highlight w:val="none"/>
          <w:lang w:val="en-US" w:eastAsia="zh-CN"/>
        </w:rPr>
        <w:fldChar w:fldCharType="separate"/>
      </w:r>
      <w:r>
        <w:rPr>
          <w:rFonts w:hint="eastAsia" w:ascii="宋体" w:hAnsi="宋体"/>
          <w:sz w:val="24"/>
          <w:highlight w:val="none"/>
        </w:rPr>
        <w:t>http://www.ccgp-hainan.gov.cn/</w:t>
      </w:r>
      <w:r>
        <w:rPr>
          <w:rFonts w:hint="eastAsia" w:ascii="宋体" w:hAnsi="宋体"/>
          <w:sz w:val="24"/>
          <w:highlight w:val="none"/>
          <w:lang w:val="en-US" w:eastAsia="zh-CN"/>
        </w:rPr>
        <w:fldChar w:fldCharType="end"/>
      </w:r>
      <w:r>
        <w:rPr>
          <w:rFonts w:hint="eastAsia" w:ascii="宋体" w:hAnsi="宋体"/>
          <w:sz w:val="24"/>
          <w:highlight w:val="none"/>
          <w:lang w:val="en-US" w:eastAsia="zh-CN"/>
        </w:rPr>
        <w:t xml:space="preserve"> </w:t>
      </w:r>
      <w:r>
        <w:rPr>
          <w:rFonts w:hint="eastAsia" w:ascii="宋体" w:hAnsi="宋体"/>
          <w:sz w:val="24"/>
          <w:highlight w:val="none"/>
        </w:rPr>
        <w:t>）</w:t>
      </w:r>
      <w:r>
        <w:rPr>
          <w:rFonts w:hint="eastAsia" w:ascii="宋体" w:hAnsi="宋体"/>
          <w:kern w:val="0"/>
          <w:sz w:val="24"/>
          <w:highlight w:val="none"/>
          <w:lang w:val="en-GB"/>
        </w:rPr>
        <w:t>上发布谈判公告、更正公告、通知、成交公告等谈判采购过程中的所有信息，请务必关注网上公告。成交结果公示期为</w:t>
      </w:r>
      <w:r>
        <w:rPr>
          <w:rFonts w:hint="eastAsia" w:ascii="宋体" w:hAnsi="宋体"/>
          <w:kern w:val="0"/>
          <w:sz w:val="24"/>
          <w:highlight w:val="none"/>
        </w:rPr>
        <w:t>1个工作</w:t>
      </w:r>
      <w:r>
        <w:rPr>
          <w:rFonts w:hint="eastAsia" w:ascii="宋体" w:hAnsi="宋体"/>
          <w:kern w:val="0"/>
          <w:sz w:val="24"/>
          <w:highlight w:val="none"/>
          <w:lang w:val="en-GB"/>
        </w:rPr>
        <w:t>日。</w:t>
      </w:r>
    </w:p>
    <w:p>
      <w:pPr>
        <w:tabs>
          <w:tab w:val="left" w:pos="0"/>
        </w:tabs>
        <w:adjustRightInd w:val="0"/>
        <w:snapToGrid w:val="0"/>
        <w:spacing w:line="440" w:lineRule="exact"/>
        <w:rPr>
          <w:rFonts w:ascii="宋体" w:hAnsi="宋体"/>
          <w:b/>
          <w:bCs/>
          <w:kern w:val="0"/>
          <w:sz w:val="24"/>
          <w:lang w:val="en-GB"/>
        </w:rPr>
      </w:pPr>
      <w:r>
        <w:rPr>
          <w:rFonts w:hint="eastAsia" w:ascii="宋体" w:hAnsi="宋体"/>
          <w:b/>
          <w:bCs/>
          <w:kern w:val="0"/>
          <w:sz w:val="24"/>
        </w:rPr>
        <w:t>24、</w:t>
      </w:r>
      <w:r>
        <w:rPr>
          <w:rFonts w:hint="eastAsia" w:ascii="宋体" w:hAnsi="宋体"/>
          <w:b/>
          <w:bCs/>
          <w:kern w:val="0"/>
          <w:sz w:val="24"/>
          <w:lang w:val="en-GB"/>
        </w:rPr>
        <w:t>质疑和投诉</w:t>
      </w:r>
    </w:p>
    <w:p>
      <w:pPr>
        <w:tabs>
          <w:tab w:val="left" w:pos="0"/>
        </w:tabs>
        <w:adjustRightInd w:val="0"/>
        <w:snapToGrid w:val="0"/>
        <w:spacing w:line="440" w:lineRule="exact"/>
        <w:ind w:firstLine="480" w:firstLineChars="200"/>
        <w:rPr>
          <w:rFonts w:ascii="宋体" w:hAnsi="宋体"/>
          <w:kern w:val="0"/>
          <w:sz w:val="24"/>
          <w:lang w:val="en-GB"/>
        </w:rPr>
      </w:pPr>
      <w:r>
        <w:rPr>
          <w:rFonts w:hint="eastAsia" w:ascii="宋体" w:hAnsi="宋体"/>
          <w:kern w:val="0"/>
          <w:sz w:val="24"/>
        </w:rPr>
        <w:t>24</w:t>
      </w:r>
      <w:r>
        <w:rPr>
          <w:rFonts w:hint="eastAsia" w:ascii="宋体" w:hAnsi="宋体"/>
          <w:kern w:val="0"/>
          <w:sz w:val="24"/>
          <w:lang w:val="en-GB"/>
        </w:rPr>
        <w:t>.1提出质疑</w:t>
      </w:r>
    </w:p>
    <w:p>
      <w:pPr>
        <w:tabs>
          <w:tab w:val="left" w:pos="0"/>
        </w:tabs>
        <w:adjustRightInd w:val="0"/>
        <w:snapToGrid w:val="0"/>
        <w:spacing w:line="440" w:lineRule="exact"/>
        <w:ind w:firstLine="480" w:firstLineChars="200"/>
        <w:rPr>
          <w:rFonts w:ascii="宋体" w:hAnsi="宋体"/>
          <w:kern w:val="0"/>
          <w:sz w:val="24"/>
          <w:lang w:val="en-GB"/>
        </w:rPr>
      </w:pPr>
      <w:r>
        <w:rPr>
          <w:rFonts w:hint="eastAsia" w:ascii="宋体" w:hAnsi="宋体"/>
          <w:kern w:val="0"/>
          <w:sz w:val="24"/>
        </w:rPr>
        <w:t>24.1.1</w:t>
      </w:r>
      <w:r>
        <w:rPr>
          <w:rFonts w:hint="eastAsia" w:ascii="宋体" w:hAnsi="宋体"/>
          <w:kern w:val="0"/>
          <w:sz w:val="24"/>
          <w:lang w:val="en-GB"/>
        </w:rPr>
        <w:t>如果供应商认为采购文件、采购过程、成交结果使自己的权益受到损害的，可以在知道或者应知其权益受到损害之日起</w:t>
      </w:r>
      <w:r>
        <w:rPr>
          <w:rFonts w:hint="eastAsia" w:ascii="宋体" w:hAnsi="宋体"/>
          <w:kern w:val="0"/>
          <w:sz w:val="24"/>
        </w:rPr>
        <w:t>7个工作日内，以书面形式向采购人、采购代理机构提出质疑。</w:t>
      </w:r>
      <w:r>
        <w:rPr>
          <w:rFonts w:hint="eastAsia" w:ascii="宋体" w:hAnsi="宋体"/>
          <w:kern w:val="0"/>
          <w:sz w:val="24"/>
          <w:lang w:val="en-GB"/>
        </w:rPr>
        <w:t>供应商应在法定质疑期内一次性提出针对同一采购程序环节的质疑事项。</w:t>
      </w:r>
    </w:p>
    <w:p>
      <w:pPr>
        <w:tabs>
          <w:tab w:val="left" w:pos="0"/>
        </w:tabs>
        <w:adjustRightInd w:val="0"/>
        <w:snapToGrid w:val="0"/>
        <w:spacing w:line="440" w:lineRule="exact"/>
        <w:ind w:firstLine="480" w:firstLineChars="200"/>
        <w:rPr>
          <w:rFonts w:ascii="宋体" w:hAnsi="宋体"/>
          <w:kern w:val="0"/>
          <w:sz w:val="24"/>
        </w:rPr>
      </w:pPr>
      <w:r>
        <w:rPr>
          <w:rFonts w:hint="eastAsia" w:ascii="宋体" w:hAnsi="宋体"/>
          <w:kern w:val="0"/>
          <w:sz w:val="24"/>
        </w:rPr>
        <w:t>24.1.2</w:t>
      </w:r>
      <w:r>
        <w:rPr>
          <w:rFonts w:hint="eastAsia" w:ascii="宋体" w:hAnsi="宋体"/>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hint="eastAsia" w:ascii="宋体" w:hAnsi="宋体"/>
          <w:kern w:val="0"/>
          <w:sz w:val="24"/>
        </w:rPr>
        <w:t>7个工作日内以书面形式向招标代理机构或采购人提出。</w:t>
      </w:r>
    </w:p>
    <w:p>
      <w:pPr>
        <w:tabs>
          <w:tab w:val="left" w:pos="0"/>
        </w:tabs>
        <w:adjustRightInd w:val="0"/>
        <w:snapToGrid w:val="0"/>
        <w:spacing w:line="440" w:lineRule="exact"/>
        <w:ind w:firstLine="480" w:firstLineChars="200"/>
        <w:rPr>
          <w:rFonts w:ascii="宋体" w:hAnsi="宋体"/>
          <w:kern w:val="0"/>
          <w:sz w:val="24"/>
          <w:lang w:val="en-GB"/>
        </w:rPr>
      </w:pPr>
      <w:r>
        <w:rPr>
          <w:rFonts w:hint="eastAsia" w:ascii="宋体" w:hAnsi="宋体"/>
          <w:kern w:val="0"/>
          <w:sz w:val="24"/>
        </w:rPr>
        <w:t>24.1.3</w:t>
      </w:r>
      <w:r>
        <w:rPr>
          <w:rFonts w:hint="eastAsia" w:ascii="宋体" w:hAnsi="宋体"/>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pPr>
        <w:tabs>
          <w:tab w:val="left" w:pos="0"/>
        </w:tabs>
        <w:adjustRightInd w:val="0"/>
        <w:snapToGrid w:val="0"/>
        <w:spacing w:line="440" w:lineRule="exact"/>
        <w:ind w:firstLine="480" w:firstLineChars="200"/>
        <w:rPr>
          <w:rFonts w:ascii="宋体" w:hAnsi="宋体"/>
          <w:kern w:val="0"/>
          <w:sz w:val="24"/>
          <w:lang w:val="en-GB"/>
        </w:rPr>
      </w:pPr>
      <w:r>
        <w:rPr>
          <w:rFonts w:hint="eastAsia" w:ascii="宋体" w:hAnsi="宋体"/>
          <w:kern w:val="0"/>
          <w:sz w:val="24"/>
        </w:rPr>
        <w:t>24.1.4</w:t>
      </w:r>
      <w:r>
        <w:rPr>
          <w:rFonts w:hint="eastAsia" w:ascii="宋体" w:hAnsi="宋体"/>
          <w:kern w:val="0"/>
          <w:sz w:val="24"/>
          <w:lang w:val="en-GB"/>
        </w:rPr>
        <w:t>质疑函应当包括下列内容：（一）供应商的姓名或者名称、地址、邮编、联系人及联系电话；（二）质疑项目的名称、编号；（三）具体、明确的质疑事项和与质疑事项相关的请求；（四）事实依据；（五）必要的法律依据；（六）提出质疑的日期。</w:t>
      </w:r>
    </w:p>
    <w:p>
      <w:pPr>
        <w:tabs>
          <w:tab w:val="left" w:pos="0"/>
        </w:tabs>
        <w:adjustRightInd w:val="0"/>
        <w:snapToGrid w:val="0"/>
        <w:spacing w:line="440" w:lineRule="exact"/>
        <w:ind w:firstLine="480" w:firstLineChars="200"/>
        <w:rPr>
          <w:rFonts w:ascii="宋体" w:hAnsi="宋体"/>
          <w:kern w:val="0"/>
          <w:sz w:val="24"/>
          <w:lang w:val="en-GB"/>
        </w:rPr>
      </w:pPr>
      <w:r>
        <w:rPr>
          <w:rFonts w:hint="eastAsia" w:ascii="宋体" w:hAnsi="宋体"/>
          <w:kern w:val="0"/>
          <w:sz w:val="24"/>
          <w:lang w:val="en-GB"/>
        </w:rPr>
        <w:t>供应商为自然人的，质疑函应当由本人签字；供应商为法人或者其他组织的，应当由法定代表人、主要负责人、或者其授权代表签字或者盖章，并加盖公章。</w:t>
      </w:r>
    </w:p>
    <w:p>
      <w:pPr>
        <w:tabs>
          <w:tab w:val="left" w:pos="0"/>
        </w:tabs>
        <w:adjustRightInd w:val="0"/>
        <w:snapToGrid w:val="0"/>
        <w:spacing w:line="440" w:lineRule="exact"/>
        <w:ind w:firstLine="480" w:firstLineChars="200"/>
        <w:rPr>
          <w:rFonts w:ascii="宋体" w:hAnsi="宋体"/>
          <w:kern w:val="0"/>
          <w:sz w:val="24"/>
        </w:rPr>
      </w:pPr>
      <w:r>
        <w:rPr>
          <w:rFonts w:hint="eastAsia" w:ascii="宋体" w:hAnsi="宋体"/>
          <w:kern w:val="0"/>
          <w:sz w:val="24"/>
        </w:rPr>
        <w:t>24.1.5</w:t>
      </w:r>
      <w:r>
        <w:rPr>
          <w:rFonts w:hint="eastAsia" w:ascii="宋体" w:hAnsi="宋体"/>
          <w:kern w:val="0"/>
          <w:sz w:val="24"/>
          <w:lang w:val="en-GB"/>
        </w:rPr>
        <w:t>提出质疑的供应商应按</w:t>
      </w:r>
      <w:r>
        <w:rPr>
          <w:rFonts w:hint="eastAsia" w:ascii="宋体" w:hAnsi="宋体"/>
          <w:kern w:val="0"/>
          <w:sz w:val="24"/>
        </w:rPr>
        <w:t>23.1.3规定的</w:t>
      </w:r>
      <w:r>
        <w:rPr>
          <w:rFonts w:hint="eastAsia" w:ascii="宋体" w:hAnsi="宋体"/>
          <w:kern w:val="0"/>
          <w:sz w:val="24"/>
          <w:lang w:val="en-GB"/>
        </w:rPr>
        <w:t>材料及</w:t>
      </w:r>
      <w:r>
        <w:rPr>
          <w:rFonts w:hint="eastAsia" w:ascii="宋体" w:hAnsi="宋体"/>
          <w:kern w:val="0"/>
          <w:sz w:val="24"/>
        </w:rPr>
        <w:t>23.1.4规定的</w:t>
      </w:r>
      <w:r>
        <w:rPr>
          <w:rFonts w:hint="eastAsia" w:ascii="宋体" w:hAnsi="宋体"/>
          <w:kern w:val="0"/>
          <w:sz w:val="24"/>
          <w:lang w:val="en-GB"/>
        </w:rPr>
        <w:t>质疑函一次性向代理机构或采购人提交，提交的材料及质疑函不符合以上规定或有遗漏的，质疑供应商须在法定质疑期限内一次性向招标代理机构补齐或修正。超过法定质疑期限提交的质疑函或补充材料，代理机构或采购人有权拒收。</w:t>
      </w:r>
    </w:p>
    <w:p>
      <w:pPr>
        <w:tabs>
          <w:tab w:val="left" w:pos="0"/>
        </w:tabs>
        <w:adjustRightInd w:val="0"/>
        <w:snapToGrid w:val="0"/>
        <w:spacing w:line="440" w:lineRule="exact"/>
        <w:ind w:firstLine="480" w:firstLineChars="200"/>
        <w:rPr>
          <w:rFonts w:ascii="宋体" w:hAnsi="宋体"/>
          <w:kern w:val="0"/>
          <w:sz w:val="24"/>
          <w:lang w:val="en-GB"/>
        </w:rPr>
      </w:pPr>
      <w:r>
        <w:rPr>
          <w:rFonts w:hint="eastAsia" w:ascii="宋体" w:hAnsi="宋体"/>
          <w:kern w:val="0"/>
          <w:sz w:val="24"/>
        </w:rPr>
        <w:t>24</w:t>
      </w:r>
      <w:r>
        <w:rPr>
          <w:rFonts w:hint="eastAsia" w:ascii="宋体" w:hAnsi="宋体"/>
          <w:kern w:val="0"/>
          <w:sz w:val="24"/>
          <w:lang w:val="en-GB"/>
        </w:rPr>
        <w:t>.2</w:t>
      </w:r>
      <w:r>
        <w:rPr>
          <w:rFonts w:hint="eastAsia" w:ascii="宋体" w:hAnsi="宋体"/>
          <w:kern w:val="0"/>
          <w:sz w:val="24"/>
        </w:rPr>
        <w:t xml:space="preserve"> </w:t>
      </w:r>
      <w:r>
        <w:rPr>
          <w:rFonts w:hint="eastAsia" w:ascii="宋体" w:hAnsi="宋体"/>
          <w:kern w:val="0"/>
          <w:sz w:val="24"/>
          <w:lang w:val="en-GB"/>
        </w:rPr>
        <w:t>招标代理机构在《中华人民共和国政府采购法》规定的时间内没有对供应商的质疑进行回复，或供应商对招标代理机构的回复不满意时，可以在答复期满后</w:t>
      </w:r>
      <w:r>
        <w:rPr>
          <w:rFonts w:hint="eastAsia" w:ascii="宋体" w:hAnsi="宋体"/>
          <w:kern w:val="0"/>
          <w:sz w:val="24"/>
        </w:rPr>
        <w:t>15个工作日内</w:t>
      </w:r>
      <w:r>
        <w:rPr>
          <w:rFonts w:hint="eastAsia" w:ascii="宋体" w:hAnsi="宋体"/>
          <w:kern w:val="0"/>
          <w:sz w:val="24"/>
          <w:lang w:val="en-GB"/>
        </w:rPr>
        <w:t>向政府采购财政部门投诉。供应商投诉的事项不得超过已质疑事项的范围，但基于质疑答复内容提出的投诉事项除外。</w:t>
      </w:r>
    </w:p>
    <w:p>
      <w:pPr>
        <w:tabs>
          <w:tab w:val="left" w:pos="0"/>
        </w:tabs>
        <w:adjustRightInd w:val="0"/>
        <w:snapToGrid w:val="0"/>
        <w:spacing w:line="440" w:lineRule="exact"/>
        <w:rPr>
          <w:rFonts w:ascii="宋体" w:hAnsi="宋体"/>
          <w:kern w:val="0"/>
          <w:sz w:val="24"/>
        </w:rPr>
      </w:pPr>
      <w:r>
        <w:rPr>
          <w:rFonts w:hint="eastAsia" w:ascii="宋体" w:hAnsi="宋体"/>
          <w:sz w:val="24"/>
        </w:rPr>
        <w:t xml:space="preserve">    24.3 供应商任何匿名、非书面形式、超过质疑期的质疑均不予受理。</w:t>
      </w:r>
    </w:p>
    <w:p>
      <w:pPr>
        <w:pStyle w:val="3"/>
        <w:bidi w:val="0"/>
        <w:rPr>
          <w:rFonts w:hint="eastAsia" w:ascii="Arial" w:hAnsi="Arial" w:eastAsia="宋体"/>
          <w:lang w:val="en-GB"/>
        </w:rPr>
      </w:pPr>
      <w:bookmarkStart w:id="96" w:name="_Toc6897_WPSOffice_Level2"/>
      <w:r>
        <w:rPr>
          <w:rFonts w:hint="eastAsia" w:ascii="Arial" w:hAnsi="Arial" w:eastAsia="宋体"/>
          <w:lang w:val="en-GB"/>
        </w:rPr>
        <w:t>八</w:t>
      </w:r>
      <w:r>
        <w:rPr>
          <w:rFonts w:hint="eastAsia" w:ascii="Arial" w:hAnsi="Arial" w:eastAsia="宋体"/>
          <w:lang w:val="en-GB" w:eastAsia="zh-CN"/>
        </w:rPr>
        <w:t>、</w:t>
      </w:r>
      <w:r>
        <w:rPr>
          <w:rFonts w:hint="eastAsia" w:ascii="Arial" w:hAnsi="Arial" w:eastAsia="宋体"/>
          <w:lang w:val="en-GB"/>
        </w:rPr>
        <w:t>合同</w:t>
      </w:r>
      <w:bookmarkEnd w:id="96"/>
    </w:p>
    <w:p>
      <w:pPr>
        <w:autoSpaceDE w:val="0"/>
        <w:autoSpaceDN w:val="0"/>
        <w:adjustRightInd w:val="0"/>
        <w:snapToGrid w:val="0"/>
        <w:spacing w:line="440" w:lineRule="exact"/>
        <w:rPr>
          <w:rFonts w:ascii="宋体" w:hAnsi="宋体"/>
          <w:b/>
          <w:bCs/>
          <w:kern w:val="0"/>
          <w:sz w:val="24"/>
          <w:lang w:val="en-GB"/>
        </w:rPr>
      </w:pPr>
      <w:r>
        <w:rPr>
          <w:rFonts w:hint="eastAsia" w:ascii="宋体" w:hAnsi="宋体"/>
          <w:b/>
          <w:bCs/>
          <w:kern w:val="0"/>
          <w:sz w:val="24"/>
        </w:rPr>
        <w:t>25、</w:t>
      </w:r>
      <w:r>
        <w:rPr>
          <w:rFonts w:hint="eastAsia" w:ascii="宋体" w:hAnsi="宋体"/>
          <w:b/>
          <w:bCs/>
          <w:kern w:val="0"/>
          <w:sz w:val="24"/>
          <w:lang w:val="en-GB"/>
        </w:rPr>
        <w:t>合同授予标准</w:t>
      </w:r>
    </w:p>
    <w:p>
      <w:pPr>
        <w:autoSpaceDE w:val="0"/>
        <w:autoSpaceDN w:val="0"/>
        <w:adjustRightInd w:val="0"/>
        <w:snapToGrid w:val="0"/>
        <w:spacing w:line="440" w:lineRule="exact"/>
        <w:ind w:firstLine="480" w:firstLineChars="200"/>
        <w:rPr>
          <w:rFonts w:ascii="宋体" w:hAnsi="宋体"/>
          <w:kern w:val="0"/>
          <w:sz w:val="24"/>
          <w:lang w:val="en-GB"/>
        </w:rPr>
      </w:pPr>
      <w:r>
        <w:rPr>
          <w:rFonts w:hint="eastAsia" w:ascii="宋体" w:hAnsi="宋体"/>
          <w:kern w:val="0"/>
          <w:sz w:val="24"/>
          <w:lang w:val="en-GB"/>
        </w:rPr>
        <w:t>除本须知第</w:t>
      </w:r>
      <w:r>
        <w:rPr>
          <w:rFonts w:hint="eastAsia" w:ascii="宋体" w:hAnsi="宋体"/>
          <w:kern w:val="0"/>
          <w:sz w:val="24"/>
        </w:rPr>
        <w:t>14.4</w:t>
      </w:r>
      <w:r>
        <w:rPr>
          <w:rFonts w:hint="eastAsia" w:ascii="宋体" w:hAnsi="宋体"/>
          <w:kern w:val="0"/>
          <w:sz w:val="24"/>
          <w:lang w:val="en-GB"/>
        </w:rPr>
        <w:t>条的规定之外，采购人将与成交供应商签订供货合同。</w:t>
      </w:r>
    </w:p>
    <w:p>
      <w:pPr>
        <w:autoSpaceDE w:val="0"/>
        <w:autoSpaceDN w:val="0"/>
        <w:adjustRightInd w:val="0"/>
        <w:snapToGrid w:val="0"/>
        <w:spacing w:line="440" w:lineRule="exact"/>
        <w:rPr>
          <w:rFonts w:ascii="宋体" w:hAnsi="宋体"/>
          <w:b/>
          <w:bCs/>
          <w:kern w:val="0"/>
          <w:sz w:val="24"/>
          <w:lang w:val="en-GB"/>
        </w:rPr>
      </w:pPr>
      <w:r>
        <w:rPr>
          <w:rFonts w:hint="eastAsia" w:ascii="宋体" w:hAnsi="宋体"/>
          <w:b/>
          <w:bCs/>
          <w:kern w:val="0"/>
          <w:sz w:val="24"/>
        </w:rPr>
        <w:t>26、</w:t>
      </w:r>
      <w:r>
        <w:rPr>
          <w:rFonts w:hint="eastAsia" w:ascii="宋体" w:hAnsi="宋体"/>
          <w:b/>
          <w:bCs/>
          <w:kern w:val="0"/>
          <w:sz w:val="24"/>
          <w:lang w:val="en-GB"/>
        </w:rPr>
        <w:t xml:space="preserve"> 接受和拒绝任何或所有响应文件的权力</w:t>
      </w:r>
    </w:p>
    <w:p>
      <w:pPr>
        <w:autoSpaceDE w:val="0"/>
        <w:autoSpaceDN w:val="0"/>
        <w:adjustRightInd w:val="0"/>
        <w:snapToGrid w:val="0"/>
        <w:spacing w:line="440" w:lineRule="exact"/>
        <w:ind w:firstLine="480" w:firstLineChars="200"/>
        <w:rPr>
          <w:rFonts w:ascii="宋体" w:hAnsi="宋体"/>
          <w:kern w:val="0"/>
          <w:sz w:val="24"/>
          <w:lang w:val="en-GB"/>
        </w:rPr>
      </w:pPr>
      <w:r>
        <w:rPr>
          <w:rFonts w:hint="eastAsia" w:ascii="宋体" w:hAnsi="宋体"/>
          <w:kern w:val="0"/>
          <w:sz w:val="24"/>
          <w:lang w:val="en-GB"/>
        </w:rPr>
        <w:t>在特殊情况下，谈判小组、采购代理机构和采购人在报经监管部门同意后，保留在授予合同之前拒绝任何报价以及宣布谈判程序无效或拒绝所有响应的权力。</w:t>
      </w:r>
    </w:p>
    <w:p>
      <w:pPr>
        <w:adjustRightInd w:val="0"/>
        <w:snapToGrid w:val="0"/>
        <w:spacing w:line="440" w:lineRule="exact"/>
        <w:rPr>
          <w:rFonts w:ascii="宋体" w:hAnsi="宋体"/>
          <w:b/>
          <w:bCs/>
          <w:kern w:val="0"/>
          <w:sz w:val="24"/>
          <w:lang w:val="en-GB"/>
        </w:rPr>
      </w:pPr>
      <w:r>
        <w:rPr>
          <w:rFonts w:hint="eastAsia" w:ascii="宋体" w:hAnsi="宋体"/>
          <w:b/>
          <w:bCs/>
          <w:kern w:val="0"/>
          <w:sz w:val="24"/>
        </w:rPr>
        <w:t>27、</w:t>
      </w:r>
      <w:r>
        <w:rPr>
          <w:rFonts w:hint="eastAsia" w:ascii="宋体" w:hAnsi="宋体"/>
          <w:b/>
          <w:bCs/>
          <w:kern w:val="0"/>
          <w:sz w:val="24"/>
          <w:lang w:val="en-GB"/>
        </w:rPr>
        <w:t>签订合同</w:t>
      </w:r>
    </w:p>
    <w:p>
      <w:pPr>
        <w:adjustRightInd w:val="0"/>
        <w:snapToGrid w:val="0"/>
        <w:spacing w:line="440" w:lineRule="exact"/>
        <w:ind w:firstLine="480" w:firstLineChars="200"/>
        <w:rPr>
          <w:rFonts w:ascii="宋体" w:hAnsi="宋体"/>
          <w:kern w:val="0"/>
          <w:sz w:val="24"/>
          <w:lang w:val="en-GB"/>
        </w:rPr>
      </w:pPr>
      <w:r>
        <w:rPr>
          <w:rFonts w:hint="eastAsia" w:ascii="宋体" w:hAnsi="宋体"/>
          <w:kern w:val="0"/>
          <w:sz w:val="24"/>
        </w:rPr>
        <w:t>27</w:t>
      </w:r>
      <w:r>
        <w:rPr>
          <w:rFonts w:hint="eastAsia" w:ascii="宋体" w:hAnsi="宋体"/>
          <w:kern w:val="0"/>
          <w:sz w:val="24"/>
          <w:lang w:val="en-GB"/>
        </w:rPr>
        <w:t>.1</w:t>
      </w:r>
      <w:r>
        <w:rPr>
          <w:rFonts w:hint="eastAsia" w:ascii="宋体" w:hAnsi="宋体"/>
          <w:kern w:val="0"/>
          <w:sz w:val="24"/>
        </w:rPr>
        <w:t xml:space="preserve"> </w:t>
      </w:r>
      <w:r>
        <w:rPr>
          <w:rFonts w:hint="eastAsia" w:ascii="宋体" w:hAnsi="宋体"/>
          <w:kern w:val="0"/>
          <w:sz w:val="24"/>
          <w:lang w:val="en-GB"/>
        </w:rPr>
        <w:t>采购人应按谈判文件和成交供应商的响应文件订立书面合同，不得超出谈判文件和成交供应商响应文件的范围，也不得另行订立背离合同实质性内容的其他协议。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kern w:val="0"/>
          <w:sz w:val="24"/>
          <w:lang w:val="en-GB"/>
        </w:rPr>
      </w:pPr>
      <w:r>
        <w:rPr>
          <w:rFonts w:hint="eastAsia" w:ascii="宋体" w:hAnsi="宋体"/>
          <w:kern w:val="0"/>
          <w:sz w:val="24"/>
        </w:rPr>
        <w:t>27</w:t>
      </w:r>
      <w:r>
        <w:rPr>
          <w:rFonts w:hint="eastAsia" w:ascii="宋体" w:hAnsi="宋体"/>
          <w:kern w:val="0"/>
          <w:sz w:val="24"/>
          <w:lang w:val="en-GB"/>
        </w:rPr>
        <w:t>.2</w:t>
      </w:r>
      <w:r>
        <w:rPr>
          <w:rFonts w:hint="eastAsia" w:ascii="宋体" w:hAnsi="宋体"/>
          <w:kern w:val="0"/>
          <w:sz w:val="24"/>
        </w:rPr>
        <w:t xml:space="preserve"> </w:t>
      </w:r>
      <w:r>
        <w:rPr>
          <w:rFonts w:hint="eastAsia" w:ascii="宋体" w:hAnsi="宋体"/>
          <w:kern w:val="0"/>
          <w:sz w:val="24"/>
          <w:lang w:val="en-GB"/>
        </w:rPr>
        <w:t>采购人应在成交通知书发出之日起</w:t>
      </w:r>
      <w:r>
        <w:rPr>
          <w:rFonts w:hint="eastAsia" w:ascii="宋体" w:hAnsi="宋体"/>
          <w:b/>
          <w:bCs/>
          <w:kern w:val="0"/>
          <w:sz w:val="24"/>
          <w:u w:val="single"/>
          <w:lang w:val="en-GB"/>
        </w:rPr>
        <w:t>30天内</w:t>
      </w:r>
      <w:r>
        <w:rPr>
          <w:rFonts w:hint="eastAsia" w:ascii="宋体" w:hAnsi="宋体"/>
          <w:kern w:val="0"/>
          <w:sz w:val="24"/>
          <w:lang w:val="en-GB"/>
        </w:rPr>
        <w:t>与成交供应商签订政府采购合同。</w:t>
      </w:r>
    </w:p>
    <w:p>
      <w:pPr>
        <w:autoSpaceDE w:val="0"/>
        <w:autoSpaceDN w:val="0"/>
        <w:adjustRightInd w:val="0"/>
        <w:snapToGrid w:val="0"/>
        <w:spacing w:line="440" w:lineRule="exact"/>
        <w:rPr>
          <w:rFonts w:ascii="宋体" w:hAnsi="宋体"/>
          <w:kern w:val="0"/>
          <w:sz w:val="24"/>
          <w:lang w:val="en-GB"/>
        </w:rPr>
      </w:pPr>
      <w:r>
        <w:rPr>
          <w:rFonts w:hint="eastAsia" w:ascii="宋体" w:hAnsi="宋体"/>
          <w:b/>
          <w:bCs/>
          <w:kern w:val="0"/>
          <w:sz w:val="24"/>
        </w:rPr>
        <w:t>2</w:t>
      </w:r>
      <w:r>
        <w:rPr>
          <w:rFonts w:hint="eastAsia" w:ascii="宋体" w:hAnsi="宋体"/>
          <w:b/>
          <w:bCs/>
          <w:kern w:val="0"/>
          <w:sz w:val="24"/>
          <w:lang w:val="en-US" w:eastAsia="zh-CN"/>
        </w:rPr>
        <w:t>8</w:t>
      </w:r>
      <w:r>
        <w:rPr>
          <w:rFonts w:hint="eastAsia" w:ascii="宋体" w:hAnsi="宋体"/>
          <w:b/>
          <w:bCs/>
          <w:kern w:val="0"/>
          <w:sz w:val="24"/>
          <w:lang w:val="en-GB"/>
        </w:rPr>
        <w:t>、适用法律</w:t>
      </w:r>
    </w:p>
    <w:p>
      <w:pPr>
        <w:autoSpaceDE w:val="0"/>
        <w:autoSpaceDN w:val="0"/>
        <w:adjustRightInd w:val="0"/>
        <w:snapToGrid w:val="0"/>
        <w:spacing w:line="440" w:lineRule="exact"/>
        <w:ind w:firstLine="480" w:firstLineChars="200"/>
        <w:rPr>
          <w:rFonts w:ascii="宋体" w:hAnsi="宋体"/>
          <w:kern w:val="0"/>
          <w:sz w:val="24"/>
          <w:lang w:val="en-GB"/>
        </w:rPr>
      </w:pPr>
      <w:r>
        <w:rPr>
          <w:rFonts w:hint="eastAsia" w:ascii="宋体" w:hAnsi="宋体"/>
          <w:kern w:val="0"/>
          <w:sz w:val="24"/>
          <w:lang w:val="en-GB"/>
        </w:rPr>
        <w:t>采购人、采购代理机构及供应商的一切谈判活动均适用于《中华人民共和国政府采购法》及相关规定。</w:t>
      </w:r>
    </w:p>
    <w:p>
      <w:pPr>
        <w:pStyle w:val="2"/>
        <w:bidi w:val="0"/>
        <w:jc w:val="center"/>
        <w:rPr>
          <w:rFonts w:hint="eastAsia"/>
        </w:rPr>
      </w:pPr>
      <w:bookmarkStart w:id="97" w:name="_Toc20331_WPSOffice_Level1"/>
      <w:r>
        <w:rPr>
          <w:rFonts w:hint="eastAsia"/>
          <w:lang w:eastAsia="zh-CN"/>
        </w:rPr>
        <w:t>第三部分</w:t>
      </w:r>
      <w:r>
        <w:rPr>
          <w:rFonts w:hint="eastAsia"/>
        </w:rPr>
        <w:t xml:space="preserve"> 合同条款及格式</w:t>
      </w:r>
      <w:bookmarkEnd w:id="97"/>
    </w:p>
    <w:p>
      <w:pPr>
        <w:pStyle w:val="4"/>
        <w:bidi w:val="0"/>
        <w:rPr>
          <w:rFonts w:hint="eastAsia"/>
          <w:lang w:val="en-GB" w:eastAsia="zh-CN"/>
        </w:rPr>
      </w:pPr>
      <w:r>
        <w:rPr>
          <w:rFonts w:hint="eastAsia"/>
          <w:lang w:val="en-GB" w:eastAsia="zh-CN"/>
        </w:rPr>
        <w:t>万宁市移动式水冲公厕项目</w:t>
      </w:r>
    </w:p>
    <w:p>
      <w:pPr>
        <w:pStyle w:val="4"/>
        <w:bidi w:val="0"/>
        <w:rPr>
          <w:rFonts w:hint="eastAsia"/>
          <w:lang w:val="en-GB" w:eastAsia="zh-CN"/>
        </w:rPr>
      </w:pPr>
    </w:p>
    <w:p>
      <w:pPr>
        <w:pStyle w:val="4"/>
        <w:bidi w:val="0"/>
        <w:rPr>
          <w:rFonts w:hint="eastAsia"/>
          <w:lang w:val="en-GB" w:eastAsia="zh-CN"/>
        </w:rPr>
      </w:pPr>
      <w:r>
        <w:rPr>
          <w:rFonts w:hint="eastAsia"/>
          <w:lang w:val="en-GB" w:eastAsia="zh-CN"/>
        </w:rPr>
        <w:t>采购合同（仅供参考）</w:t>
      </w:r>
    </w:p>
    <w:p>
      <w:pPr>
        <w:pStyle w:val="4"/>
        <w:bidi w:val="0"/>
        <w:rPr>
          <w:rFonts w:hint="eastAsia"/>
          <w:lang w:val="en-GB"/>
        </w:rPr>
      </w:pPr>
    </w:p>
    <w:p>
      <w:pPr>
        <w:pStyle w:val="4"/>
        <w:bidi w:val="0"/>
        <w:rPr>
          <w:rFonts w:hint="eastAsia"/>
          <w:lang w:val="en-GB"/>
        </w:rPr>
      </w:pPr>
    </w:p>
    <w:p>
      <w:pPr>
        <w:pStyle w:val="4"/>
        <w:bidi w:val="0"/>
        <w:rPr>
          <w:rFonts w:hint="eastAsia"/>
          <w:lang w:val="en-US" w:eastAsia="zh-CN"/>
        </w:rPr>
      </w:pPr>
      <w:r>
        <w:rPr>
          <w:rFonts w:hint="eastAsia"/>
          <w:lang w:val="en-US" w:eastAsia="zh-CN"/>
        </w:rPr>
        <w:t xml:space="preserve"> </w:t>
      </w:r>
      <w:r>
        <w:rPr>
          <w:rFonts w:hint="eastAsia"/>
          <w:lang w:val="en-GB" w:eastAsia="zh-CN"/>
        </w:rPr>
        <w:t>项目编号： ZTSJ-HN201901</w:t>
      </w:r>
      <w:r>
        <w:rPr>
          <w:rFonts w:hint="eastAsia"/>
          <w:lang w:val="en-US" w:eastAsia="zh-CN"/>
        </w:rPr>
        <w:t>4</w:t>
      </w:r>
    </w:p>
    <w:p>
      <w:pPr>
        <w:pStyle w:val="4"/>
        <w:bidi w:val="0"/>
        <w:rPr>
          <w:rFonts w:hint="eastAsia"/>
          <w:lang w:val="en-GB" w:eastAsia="zh-CN"/>
        </w:rPr>
      </w:pPr>
      <w:r>
        <w:rPr>
          <w:rFonts w:hint="eastAsia"/>
          <w:lang w:val="en-US" w:eastAsia="zh-CN"/>
        </w:rPr>
        <w:t xml:space="preserve">          </w:t>
      </w:r>
      <w:r>
        <w:rPr>
          <w:rFonts w:hint="eastAsia"/>
          <w:lang w:val="en-GB" w:eastAsia="zh-CN"/>
        </w:rPr>
        <w:t>项目名称：万宁市移动式水冲公厕项目</w:t>
      </w:r>
    </w:p>
    <w:p>
      <w:pPr>
        <w:pStyle w:val="4"/>
        <w:bidi w:val="0"/>
        <w:rPr>
          <w:rFonts w:hint="default"/>
          <w:lang w:val="en-US" w:eastAsia="zh-CN"/>
        </w:rPr>
      </w:pPr>
      <w:r>
        <w:rPr>
          <w:rFonts w:hint="eastAsia"/>
          <w:lang w:val="en-GB" w:eastAsia="zh-CN"/>
        </w:rPr>
        <w:t>合同编号：</w:t>
      </w:r>
    </w:p>
    <w:p>
      <w:pPr>
        <w:pStyle w:val="4"/>
        <w:bidi w:val="0"/>
        <w:rPr>
          <w:rFonts w:hint="eastAsia"/>
          <w:lang w:val="en-GB"/>
        </w:rPr>
      </w:pPr>
    </w:p>
    <w:p>
      <w:pPr>
        <w:pStyle w:val="4"/>
        <w:bidi w:val="0"/>
        <w:rPr>
          <w:rFonts w:hint="eastAsia"/>
          <w:lang w:val="en-GB"/>
        </w:rPr>
      </w:pPr>
    </w:p>
    <w:p>
      <w:pPr>
        <w:pStyle w:val="4"/>
        <w:bidi w:val="0"/>
        <w:rPr>
          <w:rFonts w:hint="eastAsia"/>
          <w:lang w:val="en-GB" w:eastAsia="zh-CN"/>
        </w:rPr>
      </w:pPr>
    </w:p>
    <w:p>
      <w:pPr>
        <w:pStyle w:val="4"/>
        <w:bidi w:val="0"/>
        <w:rPr>
          <w:rFonts w:hint="eastAsia"/>
          <w:lang w:val="en-GB" w:eastAsia="zh-CN"/>
        </w:rPr>
      </w:pPr>
      <w:r>
        <w:rPr>
          <w:rFonts w:hint="eastAsia"/>
          <w:lang w:val="en-US" w:eastAsia="zh-CN"/>
        </w:rPr>
        <w:t xml:space="preserve"> </w:t>
      </w:r>
      <w:r>
        <w:rPr>
          <w:rFonts w:hint="eastAsia"/>
          <w:lang w:val="en-GB" w:eastAsia="zh-CN"/>
        </w:rPr>
        <w:t>甲方：万宁市移动式水冲公厕项目</w:t>
      </w:r>
    </w:p>
    <w:p>
      <w:pPr>
        <w:pStyle w:val="4"/>
        <w:bidi w:val="0"/>
        <w:rPr>
          <w:rFonts w:hint="eastAsia"/>
          <w:lang w:val="en-GB" w:eastAsia="zh-CN"/>
        </w:rPr>
      </w:pPr>
      <w:r>
        <w:rPr>
          <w:rFonts w:hint="eastAsia"/>
          <w:lang w:val="en-GB" w:eastAsia="zh-CN"/>
        </w:rPr>
        <w:t xml:space="preserve">乙方： </w:t>
      </w:r>
      <w:r>
        <w:rPr>
          <w:rFonts w:hint="eastAsia"/>
          <w:lang w:val="en-US" w:eastAsia="zh-CN"/>
        </w:rPr>
        <w:t xml:space="preserve"> </w:t>
      </w:r>
      <w:r>
        <w:rPr>
          <w:rFonts w:hint="eastAsia"/>
          <w:lang w:val="en-GB" w:eastAsia="zh-CN"/>
        </w:rPr>
        <w:t xml:space="preserve"> 成交供应商</w:t>
      </w:r>
    </w:p>
    <w:p>
      <w:pPr>
        <w:pStyle w:val="4"/>
        <w:bidi w:val="0"/>
        <w:rPr>
          <w:rFonts w:hint="eastAsia"/>
        </w:rPr>
      </w:pPr>
    </w:p>
    <w:p>
      <w:pPr>
        <w:pStyle w:val="4"/>
        <w:bidi w:val="0"/>
        <w:rPr>
          <w:rFonts w:hint="eastAsia"/>
        </w:rPr>
      </w:pPr>
    </w:p>
    <w:p>
      <w:pPr>
        <w:pStyle w:val="4"/>
        <w:bidi w:val="0"/>
        <w:rPr>
          <w:rFonts w:hint="eastAsia"/>
        </w:rPr>
      </w:pPr>
      <w:r>
        <w:rPr>
          <w:rFonts w:hint="eastAsia"/>
        </w:rPr>
        <w:t>签订日期：      年    月    日</w:t>
      </w:r>
    </w:p>
    <w:p>
      <w:pPr>
        <w:pStyle w:val="4"/>
        <w:bidi w:val="0"/>
        <w:rPr>
          <w:rFonts w:hint="eastAsia"/>
          <w:lang w:val="en-GB" w:eastAsia="zh-CN"/>
        </w:rPr>
      </w:pPr>
      <w:r>
        <w:rPr>
          <w:rFonts w:hint="eastAsia"/>
          <w:lang w:val="en-GB" w:eastAsia="zh-CN"/>
        </w:rPr>
        <w:t xml:space="preserve">甲方：   万宁市环卫园林局      </w:t>
      </w:r>
    </w:p>
    <w:p>
      <w:pPr>
        <w:pStyle w:val="4"/>
        <w:bidi w:val="0"/>
        <w:rPr>
          <w:rFonts w:hint="eastAsia"/>
          <w:lang w:val="en-GB" w:eastAsia="zh-CN"/>
        </w:rPr>
      </w:pPr>
      <w:r>
        <w:rPr>
          <w:rFonts w:hint="eastAsia"/>
          <w:lang w:val="en-GB" w:eastAsia="zh-CN"/>
        </w:rPr>
        <w:t xml:space="preserve">乙方：     成交供应商            </w:t>
      </w:r>
    </w:p>
    <w:p>
      <w:pPr>
        <w:pStyle w:val="4"/>
        <w:bidi w:val="0"/>
        <w:rPr>
          <w:rFonts w:hint="eastAsia"/>
          <w:lang w:val="en-GB" w:eastAsia="zh-CN"/>
        </w:rPr>
      </w:pPr>
    </w:p>
    <w:p>
      <w:pPr>
        <w:pStyle w:val="4"/>
        <w:bidi w:val="0"/>
        <w:rPr>
          <w:rFonts w:hint="eastAsia"/>
          <w:lang w:val="en-GB" w:eastAsia="zh-CN"/>
        </w:rPr>
      </w:pPr>
      <w:r>
        <w:rPr>
          <w:rFonts w:hint="eastAsia"/>
          <w:lang w:val="en-GB" w:eastAsia="zh-CN"/>
        </w:rPr>
        <w:t>甲乙双方根据      年    月    日万宁市移动式水冲公厕项目（项目编号：ZTSJ-HN201901</w:t>
      </w:r>
      <w:r>
        <w:rPr>
          <w:rFonts w:hint="eastAsia"/>
          <w:lang w:val="en-US" w:eastAsia="zh-CN"/>
        </w:rPr>
        <w:t>4</w:t>
      </w:r>
      <w:r>
        <w:rPr>
          <w:rFonts w:hint="eastAsia"/>
          <w:lang w:val="en-GB" w:eastAsia="zh-CN"/>
        </w:rPr>
        <w:t>）谈判结果及谈判通知书的要求，经协商一致，达成以下协议。</w:t>
      </w:r>
    </w:p>
    <w:p>
      <w:pPr>
        <w:pStyle w:val="3"/>
        <w:bidi w:val="0"/>
        <w:rPr>
          <w:rFonts w:hint="eastAsia"/>
        </w:rPr>
      </w:pPr>
      <w:bookmarkStart w:id="98" w:name="_Toc7285_WPSOffice_Level2"/>
      <w:r>
        <w:rPr>
          <w:rFonts w:hint="eastAsia"/>
        </w:rPr>
        <w:t>一、合同标的及金额等（详见附件清单）</w:t>
      </w:r>
      <w:bookmarkEnd w:id="98"/>
    </w:p>
    <w:tbl>
      <w:tblPr>
        <w:tblStyle w:val="14"/>
        <w:tblW w:w="9780" w:type="dxa"/>
        <w:tblInd w:w="-303" w:type="dxa"/>
        <w:tblLayout w:type="fixed"/>
        <w:tblCellMar>
          <w:top w:w="0" w:type="dxa"/>
          <w:left w:w="30" w:type="dxa"/>
          <w:bottom w:w="0" w:type="dxa"/>
          <w:right w:w="30" w:type="dxa"/>
        </w:tblCellMar>
      </w:tblPr>
      <w:tblGrid>
        <w:gridCol w:w="613"/>
        <w:gridCol w:w="1715"/>
        <w:gridCol w:w="2556"/>
        <w:gridCol w:w="1224"/>
        <w:gridCol w:w="1223"/>
        <w:gridCol w:w="1224"/>
        <w:gridCol w:w="1225"/>
      </w:tblGrid>
      <w:tr>
        <w:tblPrEx>
          <w:tblLayout w:type="fixed"/>
          <w:tblCellMar>
            <w:top w:w="0" w:type="dxa"/>
            <w:left w:w="30" w:type="dxa"/>
            <w:bottom w:w="0" w:type="dxa"/>
            <w:right w:w="30" w:type="dxa"/>
          </w:tblCellMar>
        </w:tblPrEx>
        <w:trPr>
          <w:trHeight w:val="601" w:hRule="atLeast"/>
        </w:trPr>
        <w:tc>
          <w:tcPr>
            <w:tcW w:w="613"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1715"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货物名称</w:t>
            </w:r>
          </w:p>
        </w:tc>
        <w:tc>
          <w:tcPr>
            <w:tcW w:w="2556"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品牌型号、规格配置</w:t>
            </w:r>
          </w:p>
        </w:tc>
        <w:tc>
          <w:tcPr>
            <w:tcW w:w="1224"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单价（元）</w:t>
            </w:r>
          </w:p>
        </w:tc>
        <w:tc>
          <w:tcPr>
            <w:tcW w:w="1223"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数量</w:t>
            </w:r>
          </w:p>
        </w:tc>
        <w:tc>
          <w:tcPr>
            <w:tcW w:w="1224"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合计（元）</w:t>
            </w:r>
          </w:p>
        </w:tc>
        <w:tc>
          <w:tcPr>
            <w:tcW w:w="1225"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备注</w:t>
            </w:r>
          </w:p>
        </w:tc>
      </w:tr>
      <w:tr>
        <w:tblPrEx>
          <w:tblLayout w:type="fixed"/>
          <w:tblCellMar>
            <w:top w:w="0" w:type="dxa"/>
            <w:left w:w="30" w:type="dxa"/>
            <w:bottom w:w="0" w:type="dxa"/>
            <w:right w:w="30" w:type="dxa"/>
          </w:tblCellMar>
        </w:tblPrEx>
        <w:trPr>
          <w:trHeight w:val="601" w:hRule="atLeast"/>
        </w:trPr>
        <w:tc>
          <w:tcPr>
            <w:tcW w:w="61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p>
        </w:tc>
        <w:tc>
          <w:tcPr>
            <w:tcW w:w="1715" w:type="dxa"/>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jc w:val="center"/>
              <w:rPr>
                <w:rFonts w:hint="eastAsia" w:ascii="宋体" w:hAnsi="宋体" w:cs="宋体"/>
                <w:color w:val="auto"/>
                <w:sz w:val="24"/>
                <w:highlight w:val="none"/>
              </w:rPr>
            </w:pPr>
          </w:p>
        </w:tc>
        <w:tc>
          <w:tcPr>
            <w:tcW w:w="255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122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122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1224" w:type="dxa"/>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1225" w:type="dxa"/>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jc w:val="center"/>
              <w:rPr>
                <w:rFonts w:hint="eastAsia" w:ascii="宋体" w:hAnsi="宋体" w:cs="宋体"/>
                <w:color w:val="auto"/>
                <w:sz w:val="24"/>
                <w:highlight w:val="none"/>
              </w:rPr>
            </w:pPr>
          </w:p>
        </w:tc>
      </w:tr>
      <w:tr>
        <w:tblPrEx>
          <w:tblLayout w:type="fixed"/>
          <w:tblCellMar>
            <w:top w:w="0" w:type="dxa"/>
            <w:left w:w="30" w:type="dxa"/>
            <w:bottom w:w="0" w:type="dxa"/>
            <w:right w:w="30" w:type="dxa"/>
          </w:tblCellMar>
        </w:tblPrEx>
        <w:trPr>
          <w:trHeight w:val="601" w:hRule="atLeast"/>
        </w:trPr>
        <w:tc>
          <w:tcPr>
            <w:tcW w:w="61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2</w:t>
            </w:r>
          </w:p>
        </w:tc>
        <w:tc>
          <w:tcPr>
            <w:tcW w:w="1715" w:type="dxa"/>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255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122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122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1224" w:type="dxa"/>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tc>
        <w:tc>
          <w:tcPr>
            <w:tcW w:w="1225" w:type="dxa"/>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jc w:val="center"/>
              <w:rPr>
                <w:rFonts w:hint="eastAsia" w:ascii="宋体" w:hAnsi="宋体" w:cs="宋体"/>
                <w:color w:val="auto"/>
                <w:sz w:val="24"/>
                <w:highlight w:val="none"/>
              </w:rPr>
            </w:pPr>
          </w:p>
        </w:tc>
      </w:tr>
      <w:tr>
        <w:tblPrEx>
          <w:tblLayout w:type="fixed"/>
          <w:tblCellMar>
            <w:top w:w="0" w:type="dxa"/>
            <w:left w:w="30" w:type="dxa"/>
            <w:bottom w:w="0" w:type="dxa"/>
            <w:right w:w="30" w:type="dxa"/>
          </w:tblCellMar>
        </w:tblPrEx>
        <w:trPr>
          <w:trHeight w:val="601" w:hRule="atLeast"/>
        </w:trPr>
        <w:tc>
          <w:tcPr>
            <w:tcW w:w="61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3</w:t>
            </w:r>
          </w:p>
        </w:tc>
        <w:tc>
          <w:tcPr>
            <w:tcW w:w="1715" w:type="dxa"/>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w:t>
            </w:r>
          </w:p>
        </w:tc>
        <w:tc>
          <w:tcPr>
            <w:tcW w:w="255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p>
        </w:tc>
        <w:tc>
          <w:tcPr>
            <w:tcW w:w="122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p>
        </w:tc>
        <w:tc>
          <w:tcPr>
            <w:tcW w:w="122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p>
        </w:tc>
        <w:tc>
          <w:tcPr>
            <w:tcW w:w="1224" w:type="dxa"/>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jc w:val="center"/>
              <w:rPr>
                <w:rFonts w:hint="eastAsia" w:ascii="宋体" w:hAnsi="宋体" w:cs="宋体"/>
                <w:color w:val="auto"/>
                <w:sz w:val="24"/>
                <w:highlight w:val="none"/>
              </w:rPr>
            </w:pPr>
          </w:p>
        </w:tc>
        <w:tc>
          <w:tcPr>
            <w:tcW w:w="1225" w:type="dxa"/>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jc w:val="center"/>
              <w:rPr>
                <w:rFonts w:hint="eastAsia" w:ascii="宋体" w:hAnsi="宋体" w:cs="宋体"/>
                <w:color w:val="auto"/>
                <w:sz w:val="24"/>
                <w:highlight w:val="none"/>
              </w:rPr>
            </w:pPr>
          </w:p>
        </w:tc>
      </w:tr>
      <w:tr>
        <w:tblPrEx>
          <w:tblLayout w:type="fixed"/>
          <w:tblCellMar>
            <w:top w:w="0" w:type="dxa"/>
            <w:left w:w="30" w:type="dxa"/>
            <w:bottom w:w="0" w:type="dxa"/>
            <w:right w:w="30" w:type="dxa"/>
          </w:tblCellMar>
        </w:tblPrEx>
        <w:trPr>
          <w:trHeight w:val="576" w:hRule="exact"/>
        </w:trPr>
        <w:tc>
          <w:tcPr>
            <w:tcW w:w="232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Lines="30" w:afterLines="30" w:line="440" w:lineRule="exact"/>
              <w:jc w:val="center"/>
              <w:rPr>
                <w:rFonts w:hint="eastAsia" w:ascii="宋体" w:hAnsi="宋体" w:cs="宋体"/>
                <w:color w:val="auto"/>
                <w:sz w:val="24"/>
                <w:highlight w:val="none"/>
              </w:rPr>
            </w:pPr>
            <w:r>
              <w:rPr>
                <w:rFonts w:hint="eastAsia" w:ascii="宋体" w:hAnsi="宋体" w:cs="宋体"/>
                <w:b/>
                <w:color w:val="auto"/>
                <w:sz w:val="24"/>
                <w:highlight w:val="none"/>
              </w:rPr>
              <w:t>合同总额</w:t>
            </w:r>
          </w:p>
        </w:tc>
        <w:tc>
          <w:tcPr>
            <w:tcW w:w="7452" w:type="dxa"/>
            <w:gridSpan w:val="5"/>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rPr>
                <w:rFonts w:hint="eastAsia" w:ascii="宋体" w:hAnsi="宋体" w:cs="宋体"/>
                <w:color w:val="auto"/>
                <w:sz w:val="24"/>
                <w:highlight w:val="none"/>
              </w:rPr>
            </w:pPr>
            <w:r>
              <w:rPr>
                <w:rFonts w:hint="eastAsia" w:ascii="宋体" w:hAnsi="宋体" w:cs="宋体"/>
                <w:color w:val="auto"/>
                <w:sz w:val="24"/>
                <w:highlight w:val="none"/>
              </w:rPr>
              <w:t>（小写）：</w:t>
            </w:r>
          </w:p>
        </w:tc>
      </w:tr>
      <w:tr>
        <w:tblPrEx>
          <w:tblLayout w:type="fixed"/>
          <w:tblCellMar>
            <w:top w:w="0" w:type="dxa"/>
            <w:left w:w="30" w:type="dxa"/>
            <w:bottom w:w="0" w:type="dxa"/>
            <w:right w:w="30" w:type="dxa"/>
          </w:tblCellMar>
        </w:tblPrEx>
        <w:trPr>
          <w:trHeight w:val="621" w:hRule="atLeast"/>
        </w:trPr>
        <w:tc>
          <w:tcPr>
            <w:tcW w:w="2328"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rPr>
                <w:rFonts w:hint="eastAsia" w:ascii="宋体" w:hAnsi="宋体" w:cs="宋体"/>
                <w:color w:val="auto"/>
                <w:sz w:val="24"/>
                <w:highlight w:val="none"/>
              </w:rPr>
            </w:pPr>
          </w:p>
        </w:tc>
        <w:tc>
          <w:tcPr>
            <w:tcW w:w="7452" w:type="dxa"/>
            <w:gridSpan w:val="5"/>
            <w:tcBorders>
              <w:top w:val="single" w:color="auto" w:sz="8" w:space="0"/>
              <w:left w:val="single" w:color="auto" w:sz="8" w:space="0"/>
              <w:bottom w:val="single" w:color="auto" w:sz="8" w:space="0"/>
              <w:right w:val="single" w:color="auto" w:sz="8" w:space="0"/>
            </w:tcBorders>
            <w:noWrap w:val="0"/>
            <w:vAlign w:val="center"/>
          </w:tcPr>
          <w:p>
            <w:pPr>
              <w:spacing w:beforeLines="30" w:afterLines="30" w:line="440" w:lineRule="exact"/>
              <w:rPr>
                <w:rFonts w:hint="eastAsia" w:ascii="宋体" w:hAnsi="宋体" w:cs="宋体"/>
                <w:color w:val="auto"/>
                <w:sz w:val="24"/>
                <w:highlight w:val="none"/>
              </w:rPr>
            </w:pPr>
            <w:r>
              <w:rPr>
                <w:rFonts w:hint="eastAsia" w:ascii="宋体" w:hAnsi="宋体" w:cs="宋体"/>
                <w:color w:val="auto"/>
                <w:sz w:val="24"/>
                <w:highlight w:val="none"/>
              </w:rPr>
              <w:t>（大写）：</w:t>
            </w:r>
          </w:p>
        </w:tc>
      </w:tr>
    </w:tbl>
    <w:p>
      <w:pPr>
        <w:pStyle w:val="4"/>
        <w:bidi w:val="0"/>
        <w:rPr>
          <w:rFonts w:hint="eastAsia"/>
          <w:lang w:val="en-GB" w:eastAsia="zh-CN"/>
        </w:rPr>
      </w:pPr>
      <w:bookmarkStart w:id="99" w:name="_Toc32641_WPSOffice_Level2"/>
    </w:p>
    <w:p>
      <w:pPr>
        <w:pStyle w:val="3"/>
        <w:bidi w:val="0"/>
        <w:rPr>
          <w:rFonts w:hint="eastAsia"/>
        </w:rPr>
      </w:pPr>
      <w:r>
        <w:rPr>
          <w:rFonts w:hint="eastAsia"/>
        </w:rPr>
        <w:t>二、付款</w:t>
      </w:r>
      <w:bookmarkEnd w:id="99"/>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1、本合同签订生效之日起</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10</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个工作日内，甲方凭乙方开具的正式有效发票向乙方支付合同金额的</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30</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2、采购货物运达甲方指定地点，安装、调试、验收合格并提交相关的文档、资料后，10个工作日内，甲方凭乙方开具的正式有效发票向乙方支付合同金额的</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65</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3、质保期满后没有质量问题</w:t>
      </w:r>
      <w:r>
        <w:rPr>
          <w:rFonts w:hint="eastAsia" w:ascii="宋体" w:hAnsi="宋体" w:cs="宋体"/>
          <w:color w:val="auto"/>
          <w:sz w:val="24"/>
          <w:highlight w:val="none"/>
          <w:lang w:eastAsia="zh-CN"/>
        </w:rPr>
        <w:t>，</w:t>
      </w:r>
      <w:r>
        <w:rPr>
          <w:rFonts w:hint="eastAsia" w:ascii="宋体" w:hAnsi="宋体" w:cs="宋体"/>
          <w:color w:val="auto"/>
          <w:sz w:val="24"/>
          <w:highlight w:val="none"/>
        </w:rPr>
        <w:t>甲方凭乙方开具的正式有效发票向乙方支付合同金额尾款</w:t>
      </w:r>
      <w:r>
        <w:rPr>
          <w:rFonts w:hint="eastAsia" w:ascii="宋体" w:hAnsi="宋体" w:cs="宋体"/>
          <w:b/>
          <w:bCs/>
          <w:color w:val="auto"/>
          <w:sz w:val="24"/>
          <w:highlight w:val="none"/>
          <w:u w:val="single"/>
          <w:lang w:val="en-US" w:eastAsia="zh-CN"/>
        </w:rPr>
        <w:t>5%</w:t>
      </w:r>
      <w:r>
        <w:rPr>
          <w:rFonts w:hint="eastAsia" w:ascii="宋体" w:hAnsi="宋体" w:cs="宋体"/>
          <w:color w:val="auto"/>
          <w:sz w:val="24"/>
          <w:highlight w:val="none"/>
        </w:rPr>
        <w:t>。</w:t>
      </w:r>
    </w:p>
    <w:p>
      <w:pPr>
        <w:pStyle w:val="3"/>
        <w:bidi w:val="0"/>
        <w:rPr>
          <w:rFonts w:hint="eastAsia"/>
        </w:rPr>
      </w:pPr>
      <w:bookmarkStart w:id="100" w:name="_Toc21258_WPSOffice_Level2"/>
      <w:r>
        <w:rPr>
          <w:rFonts w:hint="eastAsia"/>
        </w:rPr>
        <w:t>三、交货</w:t>
      </w:r>
      <w:bookmarkEnd w:id="100"/>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1、交货方式：货物由乙方负责包装并运送至甲方指定的地点。</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3、交货期：</w:t>
      </w:r>
      <w:r>
        <w:rPr>
          <w:rFonts w:hint="eastAsia" w:ascii="宋体" w:hAnsi="宋体"/>
          <w:bCs/>
          <w:kern w:val="0"/>
          <w:sz w:val="24"/>
          <w:lang w:eastAsia="zh-CN"/>
        </w:rPr>
        <w:t>签订合同后</w:t>
      </w:r>
      <w:r>
        <w:rPr>
          <w:rFonts w:hint="eastAsia" w:ascii="宋体" w:hAnsi="宋体"/>
          <w:bCs/>
          <w:kern w:val="0"/>
          <w:sz w:val="24"/>
          <w:lang w:val="en-US" w:eastAsia="zh-CN"/>
        </w:rPr>
        <w:t>3天</w:t>
      </w:r>
    </w:p>
    <w:p>
      <w:pPr>
        <w:pStyle w:val="3"/>
        <w:bidi w:val="0"/>
        <w:rPr>
          <w:rFonts w:hint="eastAsia"/>
        </w:rPr>
      </w:pPr>
      <w:bookmarkStart w:id="101" w:name="_Toc2069_WPSOffice_Level2"/>
      <w:r>
        <w:rPr>
          <w:rFonts w:hint="eastAsia"/>
        </w:rPr>
        <w:t>四、货物验收、保修和技术服务</w:t>
      </w:r>
      <w:bookmarkEnd w:id="101"/>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5、在保修期内，如因乙方原因不能按合同约定履行保修义务，则甲方有权从保修期尾款中扣除相应费用。</w:t>
      </w:r>
    </w:p>
    <w:p>
      <w:pPr>
        <w:pStyle w:val="3"/>
        <w:bidi w:val="0"/>
        <w:rPr>
          <w:rFonts w:hint="eastAsia"/>
        </w:rPr>
      </w:pPr>
      <w:bookmarkStart w:id="102" w:name="_Toc10480_WPSOffice_Level2"/>
      <w:r>
        <w:rPr>
          <w:rFonts w:hint="eastAsia"/>
        </w:rPr>
        <w:t>五、违约责任及侵权处理</w:t>
      </w:r>
      <w:bookmarkEnd w:id="102"/>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3、对于乙方根据本合同约定应当承担的各项违约金及损失赔偿，甲方均有权依据本合同规定从应支付乙方的款项中扣除。</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4、如乙方提供的货物不符合合同要求或者质量、功能存在瑕疵，或者甲方使用乙方提供的货物造成他人人身、财产损害的，乙方应向甲方支付本合同总价10%的违约金，并承担赔偿责任。</w:t>
      </w:r>
    </w:p>
    <w:p>
      <w:pPr>
        <w:pStyle w:val="3"/>
        <w:bidi w:val="0"/>
        <w:rPr>
          <w:rFonts w:hint="eastAsia"/>
        </w:rPr>
      </w:pPr>
      <w:bookmarkStart w:id="103" w:name="_Toc22942_WPSOffice_Level2"/>
      <w:r>
        <w:rPr>
          <w:rFonts w:hint="eastAsia"/>
        </w:rPr>
        <w:t>六、不可抗力</w:t>
      </w:r>
      <w:bookmarkEnd w:id="103"/>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4、如果因不可抗力的影响致使本合同终止履行90天或以上的，任一方均有权终止本合同，并书面通知对方。</w:t>
      </w:r>
    </w:p>
    <w:p>
      <w:pPr>
        <w:pStyle w:val="3"/>
        <w:bidi w:val="0"/>
        <w:rPr>
          <w:rFonts w:hint="eastAsia"/>
        </w:rPr>
      </w:pPr>
      <w:bookmarkStart w:id="104" w:name="_Toc21573_WPSOffice_Level2"/>
      <w:r>
        <w:rPr>
          <w:rFonts w:hint="eastAsia"/>
        </w:rPr>
        <w:t>七、合同纠纷处理</w:t>
      </w:r>
      <w:bookmarkEnd w:id="104"/>
    </w:p>
    <w:p>
      <w:pPr>
        <w:tabs>
          <w:tab w:val="left" w:pos="1980"/>
        </w:tabs>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本合同执行过程中如发生纠纷，作如下处理：</w:t>
      </w:r>
    </w:p>
    <w:p>
      <w:pPr>
        <w:tabs>
          <w:tab w:val="left" w:pos="1980"/>
        </w:tabs>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提起诉讼。诉讼地点为采购人所在地。</w:t>
      </w:r>
    </w:p>
    <w:p>
      <w:pPr>
        <w:pStyle w:val="3"/>
        <w:bidi w:val="0"/>
        <w:rPr>
          <w:rFonts w:hint="eastAsia"/>
        </w:rPr>
      </w:pPr>
      <w:bookmarkStart w:id="105" w:name="_Toc10982_WPSOffice_Level2"/>
      <w:r>
        <w:rPr>
          <w:rFonts w:hint="eastAsia"/>
        </w:rPr>
        <w:t>八、合同生效</w:t>
      </w:r>
      <w:bookmarkEnd w:id="105"/>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本合同由甲乙双方签字盖章后生效。</w:t>
      </w:r>
    </w:p>
    <w:p>
      <w:pPr>
        <w:pStyle w:val="3"/>
        <w:bidi w:val="0"/>
        <w:rPr>
          <w:rFonts w:hint="eastAsia"/>
        </w:rPr>
      </w:pPr>
      <w:bookmarkStart w:id="106" w:name="_Toc19761_WPSOffice_Level2"/>
      <w:r>
        <w:rPr>
          <w:rFonts w:hint="eastAsia"/>
        </w:rPr>
        <w:t>九、合同鉴证</w:t>
      </w:r>
      <w:bookmarkEnd w:id="106"/>
    </w:p>
    <w:p>
      <w:pPr>
        <w:snapToGrid w:val="0"/>
        <w:spacing w:line="440" w:lineRule="exact"/>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代理机构应当在本合同上签章，以证明本合同条款与采购文件、响应文件的相关要求相符并且未对采购货物和技术参数进行实质性修改。</w:t>
      </w:r>
    </w:p>
    <w:p>
      <w:pPr>
        <w:pStyle w:val="3"/>
        <w:bidi w:val="0"/>
        <w:rPr>
          <w:rFonts w:hint="eastAsia"/>
        </w:rPr>
      </w:pPr>
      <w:bookmarkStart w:id="107" w:name="_Toc17908_WPSOffice_Level2"/>
      <w:r>
        <w:rPr>
          <w:rFonts w:hint="eastAsia"/>
        </w:rPr>
        <w:t>十、组成本合同的文件包括：</w:t>
      </w:r>
      <w:bookmarkEnd w:id="107"/>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1、合同通用条款和专用条款；</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成交</w:t>
      </w:r>
      <w:r>
        <w:rPr>
          <w:rFonts w:hint="eastAsia" w:ascii="宋体" w:hAnsi="宋体" w:cs="宋体"/>
          <w:color w:val="auto"/>
          <w:sz w:val="24"/>
          <w:highlight w:val="none"/>
        </w:rPr>
        <w:t>通知书、乙方的响应文件和评标时的澄清函（如有）；</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3、成交通知书；</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4、甲乙双方商定的其他必要文件。</w:t>
      </w:r>
    </w:p>
    <w:p>
      <w:pPr>
        <w:snapToGrid w:val="0"/>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上述合同文件内容互为补充，如有不明确，由甲方负责解释。</w:t>
      </w:r>
    </w:p>
    <w:p>
      <w:pPr>
        <w:pStyle w:val="3"/>
        <w:bidi w:val="0"/>
        <w:rPr>
          <w:rFonts w:hint="eastAsia"/>
        </w:rPr>
      </w:pPr>
      <w:bookmarkStart w:id="108" w:name="_Toc1585_WPSOffice_Level2"/>
      <w:r>
        <w:rPr>
          <w:rFonts w:hint="eastAsia"/>
        </w:rPr>
        <w:t>十一、合同备案</w:t>
      </w:r>
      <w:bookmarkEnd w:id="108"/>
    </w:p>
    <w:p>
      <w:pPr>
        <w:snapToGrid w:val="0"/>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本合同</w:t>
      </w:r>
      <w:r>
        <w:rPr>
          <w:rFonts w:hint="eastAsia" w:ascii="宋体" w:hAnsi="宋体" w:cs="宋体"/>
          <w:b/>
          <w:color w:val="auto"/>
          <w:sz w:val="24"/>
          <w:highlight w:val="none"/>
        </w:rPr>
        <w:t>一式伍份</w:t>
      </w:r>
      <w:r>
        <w:rPr>
          <w:rFonts w:hint="eastAsia" w:ascii="宋体" w:hAnsi="宋体" w:cs="宋体"/>
          <w:bCs/>
          <w:color w:val="auto"/>
          <w:sz w:val="24"/>
          <w:highlight w:val="none"/>
        </w:rPr>
        <w:t>，中文书写。甲方、乙方各执</w:t>
      </w:r>
      <w:r>
        <w:rPr>
          <w:rFonts w:hint="eastAsia" w:ascii="宋体" w:hAnsi="宋体" w:cs="宋体"/>
          <w:b/>
          <w:color w:val="auto"/>
          <w:sz w:val="24"/>
          <w:highlight w:val="none"/>
        </w:rPr>
        <w:t>贰份</w:t>
      </w:r>
      <w:r>
        <w:rPr>
          <w:rFonts w:hint="eastAsia" w:ascii="宋体" w:hAnsi="宋体" w:cs="宋体"/>
          <w:bCs/>
          <w:color w:val="auto"/>
          <w:sz w:val="24"/>
          <w:highlight w:val="none"/>
        </w:rPr>
        <w:t>，</w:t>
      </w:r>
      <w:r>
        <w:rPr>
          <w:rFonts w:hint="eastAsia" w:ascii="宋体" w:hAnsi="宋体" w:cs="宋体"/>
          <w:b/>
          <w:color w:val="auto"/>
          <w:sz w:val="24"/>
          <w:highlight w:val="none"/>
        </w:rPr>
        <w:t>壹份</w:t>
      </w:r>
      <w:r>
        <w:rPr>
          <w:rFonts w:hint="eastAsia" w:ascii="宋体" w:hAnsi="宋体" w:cs="宋体"/>
          <w:bCs/>
          <w:color w:val="auto"/>
          <w:sz w:val="24"/>
          <w:highlight w:val="none"/>
        </w:rPr>
        <w:t>由代理机构备案。</w:t>
      </w:r>
    </w:p>
    <w:p>
      <w:pPr>
        <w:pStyle w:val="3"/>
        <w:bidi w:val="0"/>
        <w:rPr>
          <w:rFonts w:hint="eastAsia"/>
        </w:rPr>
      </w:pPr>
      <w:bookmarkStart w:id="109" w:name="_Toc10650_WPSOffice_Level2"/>
      <w:r>
        <w:rPr>
          <w:rFonts w:hint="eastAsia"/>
        </w:rPr>
        <w:t>十二、合同转让和分包</w:t>
      </w:r>
      <w:bookmarkEnd w:id="109"/>
    </w:p>
    <w:p>
      <w:pPr>
        <w:snapToGrid w:val="0"/>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乙方不得全部或部分转让合同。除非甲方事先书面同意外，不得分包其应履行的合同义务。</w:t>
      </w:r>
    </w:p>
    <w:p>
      <w:pPr>
        <w:snapToGrid w:val="0"/>
        <w:spacing w:beforeLines="50" w:afterLines="50" w:line="440" w:lineRule="exact"/>
        <w:ind w:firstLine="482" w:firstLineChars="200"/>
        <w:rPr>
          <w:rFonts w:hint="eastAsia" w:ascii="宋体" w:hAnsi="宋体" w:cs="宋体"/>
          <w:b/>
          <w:color w:val="auto"/>
          <w:sz w:val="24"/>
          <w:highlight w:val="none"/>
          <w:u w:val="single"/>
        </w:rPr>
      </w:pPr>
      <w:r>
        <w:rPr>
          <w:rFonts w:hint="eastAsia" w:ascii="宋体" w:hAnsi="宋体" w:cs="宋体"/>
          <w:b/>
          <w:color w:val="auto"/>
          <w:sz w:val="24"/>
          <w:highlight w:val="none"/>
        </w:rPr>
        <w:t>甲方：</w:t>
      </w:r>
      <w:r>
        <w:rPr>
          <w:rFonts w:hint="eastAsia" w:ascii="宋体" w:hAnsi="宋体" w:cs="宋体"/>
          <w:b/>
          <w:color w:val="auto"/>
          <w:sz w:val="24"/>
          <w:highlight w:val="none"/>
          <w:u w:val="single"/>
        </w:rPr>
        <w:t xml:space="preserve">                                （盖章）</w:t>
      </w:r>
    </w:p>
    <w:p>
      <w:pPr>
        <w:snapToGrid w:val="0"/>
        <w:spacing w:beforeLines="50" w:afterLines="50" w:line="440" w:lineRule="exact"/>
        <w:ind w:firstLine="480" w:firstLineChars="200"/>
        <w:rPr>
          <w:rFonts w:hint="eastAsia" w:ascii="宋体" w:hAnsi="宋体" w:cs="宋体"/>
          <w:b/>
          <w:color w:val="auto"/>
          <w:sz w:val="24"/>
          <w:highlight w:val="none"/>
          <w:u w:val="single"/>
        </w:rPr>
      </w:pPr>
      <w:r>
        <w:rPr>
          <w:rFonts w:hint="eastAsia" w:ascii="宋体" w:hAnsi="宋体" w:cs="宋体"/>
          <w:bCs/>
          <w:color w:val="auto"/>
          <w:sz w:val="24"/>
          <w:highlight w:val="none"/>
        </w:rPr>
        <w:t>地址：</w:t>
      </w:r>
      <w:r>
        <w:rPr>
          <w:rFonts w:hint="eastAsia" w:ascii="宋体" w:hAnsi="宋体" w:cs="宋体"/>
          <w:b/>
          <w:color w:val="auto"/>
          <w:sz w:val="24"/>
          <w:highlight w:val="none"/>
          <w:u w:val="single"/>
        </w:rPr>
        <w:t xml:space="preserve">                                        </w:t>
      </w:r>
    </w:p>
    <w:p>
      <w:pPr>
        <w:snapToGrid w:val="0"/>
        <w:spacing w:beforeLines="5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（签章）</w:t>
      </w:r>
    </w:p>
    <w:p>
      <w:pPr>
        <w:snapToGrid w:val="0"/>
        <w:spacing w:beforeLines="50" w:afterLines="10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napToGrid w:val="0"/>
        <w:spacing w:beforeLines="100" w:afterLines="50" w:line="440" w:lineRule="exact"/>
        <w:ind w:firstLine="482" w:firstLineChars="200"/>
        <w:rPr>
          <w:rFonts w:hint="eastAsia" w:ascii="宋体" w:hAnsi="宋体" w:cs="宋体"/>
          <w:bCs/>
          <w:color w:val="auto"/>
          <w:sz w:val="24"/>
          <w:highlight w:val="none"/>
          <w:u w:val="single"/>
        </w:rPr>
      </w:pPr>
      <w:r>
        <w:rPr>
          <w:rFonts w:hint="eastAsia" w:ascii="宋体" w:hAnsi="宋体" w:cs="宋体"/>
          <w:b/>
          <w:color w:val="auto"/>
          <w:sz w:val="24"/>
          <w:highlight w:val="none"/>
        </w:rPr>
        <w:t>乙方：</w:t>
      </w:r>
      <w:r>
        <w:rPr>
          <w:rFonts w:hint="eastAsia" w:ascii="宋体" w:hAnsi="宋体" w:cs="宋体"/>
          <w:b/>
          <w:color w:val="auto"/>
          <w:sz w:val="24"/>
          <w:highlight w:val="none"/>
          <w:u w:val="single"/>
        </w:rPr>
        <w:t xml:space="preserve">                                （盖章）</w:t>
      </w:r>
    </w:p>
    <w:p>
      <w:pPr>
        <w:snapToGrid w:val="0"/>
        <w:spacing w:beforeLines="50" w:afterLines="50" w:line="440" w:lineRule="exact"/>
        <w:ind w:firstLine="480" w:firstLineChars="200"/>
        <w:rPr>
          <w:rFonts w:hint="eastAsia" w:ascii="宋体" w:hAnsi="宋体" w:cs="宋体"/>
          <w:b/>
          <w:color w:val="auto"/>
          <w:sz w:val="24"/>
          <w:highlight w:val="none"/>
          <w:u w:val="single"/>
        </w:rPr>
      </w:pPr>
      <w:r>
        <w:rPr>
          <w:rFonts w:hint="eastAsia" w:ascii="宋体" w:hAnsi="宋体" w:cs="宋体"/>
          <w:bCs/>
          <w:color w:val="auto"/>
          <w:sz w:val="24"/>
          <w:highlight w:val="none"/>
        </w:rPr>
        <w:t>地址：</w:t>
      </w:r>
      <w:r>
        <w:rPr>
          <w:rFonts w:hint="eastAsia" w:ascii="宋体" w:hAnsi="宋体" w:cs="宋体"/>
          <w:b/>
          <w:color w:val="auto"/>
          <w:sz w:val="24"/>
          <w:highlight w:val="none"/>
          <w:u w:val="single"/>
        </w:rPr>
        <w:t xml:space="preserve">                                        </w:t>
      </w:r>
    </w:p>
    <w:p>
      <w:pPr>
        <w:snapToGrid w:val="0"/>
        <w:spacing w:beforeLines="5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（签章）</w:t>
      </w:r>
    </w:p>
    <w:p>
      <w:pPr>
        <w:snapToGrid w:val="0"/>
        <w:spacing w:beforeLines="5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银行户名：</w:t>
      </w:r>
      <w:r>
        <w:rPr>
          <w:rFonts w:hint="eastAsia" w:ascii="宋体" w:hAnsi="宋体" w:cs="宋体"/>
          <w:b/>
          <w:color w:val="auto"/>
          <w:sz w:val="24"/>
          <w:highlight w:val="none"/>
          <w:u w:val="single"/>
        </w:rPr>
        <w:t xml:space="preserve">                              </w:t>
      </w:r>
    </w:p>
    <w:p>
      <w:pPr>
        <w:snapToGrid w:val="0"/>
        <w:spacing w:beforeLines="5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开户银行：</w:t>
      </w:r>
      <w:r>
        <w:rPr>
          <w:rFonts w:hint="eastAsia" w:ascii="宋体" w:hAnsi="宋体" w:cs="宋体"/>
          <w:b/>
          <w:color w:val="auto"/>
          <w:sz w:val="24"/>
          <w:highlight w:val="none"/>
          <w:u w:val="single"/>
        </w:rPr>
        <w:t xml:space="preserve">                              </w:t>
      </w:r>
    </w:p>
    <w:p>
      <w:pPr>
        <w:snapToGrid w:val="0"/>
        <w:spacing w:beforeLines="50" w:afterLines="50"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银行账号：</w:t>
      </w:r>
      <w:r>
        <w:rPr>
          <w:rFonts w:hint="eastAsia" w:ascii="宋体" w:hAnsi="宋体" w:cs="宋体"/>
          <w:b/>
          <w:color w:val="auto"/>
          <w:sz w:val="24"/>
          <w:highlight w:val="none"/>
          <w:u w:val="single"/>
        </w:rPr>
        <w:t xml:space="preserve">                              </w:t>
      </w:r>
    </w:p>
    <w:p>
      <w:pPr>
        <w:snapToGrid w:val="0"/>
        <w:spacing w:beforeLines="50" w:afterLines="10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napToGrid w:val="0"/>
        <w:spacing w:beforeLines="100"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代理机构声明：本合同经</w:t>
      </w:r>
      <w:r>
        <w:rPr>
          <w:rFonts w:hint="eastAsia" w:ascii="宋体" w:hAnsi="宋体" w:cs="宋体"/>
          <w:b/>
          <w:color w:val="auto"/>
          <w:sz w:val="24"/>
          <w:highlight w:val="none"/>
          <w:u w:val="none"/>
          <w:lang w:eastAsia="zh-CN"/>
        </w:rPr>
        <w:t>中天世纪国际招标有限公司</w:t>
      </w:r>
      <w:r>
        <w:rPr>
          <w:rFonts w:hint="eastAsia" w:ascii="宋体" w:hAnsi="宋体" w:cs="宋体"/>
          <w:b/>
          <w:color w:val="auto"/>
          <w:sz w:val="24"/>
          <w:highlight w:val="none"/>
        </w:rPr>
        <w:t>依法定程序采购，合同主要条款内容与</w:t>
      </w:r>
      <w:r>
        <w:rPr>
          <w:rFonts w:hint="eastAsia" w:ascii="宋体" w:hAnsi="宋体" w:cs="宋体"/>
          <w:b/>
          <w:color w:val="auto"/>
          <w:sz w:val="24"/>
          <w:highlight w:val="none"/>
          <w:lang w:eastAsia="zh-CN"/>
        </w:rPr>
        <w:t>谈判</w:t>
      </w:r>
      <w:r>
        <w:rPr>
          <w:rFonts w:hint="eastAsia" w:ascii="宋体" w:hAnsi="宋体" w:cs="宋体"/>
          <w:b/>
          <w:color w:val="auto"/>
          <w:sz w:val="24"/>
          <w:highlight w:val="none"/>
        </w:rPr>
        <w:t>文件的内容一致。</w:t>
      </w:r>
    </w:p>
    <w:p>
      <w:pPr>
        <w:snapToGrid w:val="0"/>
        <w:spacing w:beforeLines="100" w:afterLines="50" w:line="440" w:lineRule="exact"/>
        <w:ind w:firstLine="482" w:firstLineChars="200"/>
        <w:rPr>
          <w:rFonts w:hint="eastAsia" w:ascii="宋体" w:hAnsi="宋体" w:cs="宋体"/>
          <w:bCs/>
          <w:color w:val="auto"/>
          <w:sz w:val="24"/>
          <w:highlight w:val="none"/>
          <w:u w:val="single"/>
        </w:rPr>
      </w:pPr>
      <w:r>
        <w:rPr>
          <w:rFonts w:hint="eastAsia" w:ascii="宋体" w:hAnsi="宋体" w:cs="宋体"/>
          <w:b/>
          <w:color w:val="auto"/>
          <w:sz w:val="24"/>
          <w:highlight w:val="none"/>
        </w:rPr>
        <w:t>代理机构：</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u w:val="single"/>
          <w:lang w:eastAsia="zh-CN"/>
        </w:rPr>
        <w:t>中天世纪国际招标有限公司</w:t>
      </w:r>
      <w:r>
        <w:rPr>
          <w:rFonts w:hint="eastAsia" w:ascii="宋体" w:hAnsi="宋体" w:cs="宋体"/>
          <w:b/>
          <w:color w:val="auto"/>
          <w:sz w:val="24"/>
          <w:highlight w:val="none"/>
          <w:u w:val="single"/>
        </w:rPr>
        <w:t xml:space="preserve">  （盖章）</w:t>
      </w:r>
    </w:p>
    <w:p>
      <w:pPr>
        <w:snapToGrid w:val="0"/>
        <w:spacing w:beforeLines="50" w:afterLines="50" w:line="440" w:lineRule="exact"/>
        <w:ind w:firstLine="480" w:firstLineChars="200"/>
        <w:rPr>
          <w:rFonts w:hint="eastAsia" w:ascii="宋体" w:hAnsi="宋体" w:cs="宋体"/>
          <w:color w:val="auto"/>
          <w:sz w:val="24"/>
          <w:highlight w:val="none"/>
          <w:u w:val="single"/>
        </w:rPr>
      </w:pPr>
      <w:r>
        <w:rPr>
          <w:rFonts w:hint="eastAsia" w:ascii="宋体" w:hAnsi="宋体" w:cs="宋体"/>
          <w:bCs/>
          <w:color w:val="auto"/>
          <w:sz w:val="24"/>
          <w:highlight w:val="none"/>
        </w:rPr>
        <w:t>地址：</w:t>
      </w:r>
      <w:r>
        <w:rPr>
          <w:rFonts w:hint="eastAsia" w:ascii="宋体" w:hAnsi="宋体" w:cs="宋体"/>
          <w:color w:val="auto"/>
          <w:sz w:val="24"/>
          <w:highlight w:val="none"/>
          <w:u w:val="single"/>
        </w:rPr>
        <w:t>海南省海口市美兰区和平大道60号蔚蓝海语印象初阳阁A-2201室</w:t>
      </w:r>
    </w:p>
    <w:p>
      <w:pPr>
        <w:snapToGrid w:val="0"/>
        <w:spacing w:beforeLines="5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（签章）</w:t>
      </w:r>
    </w:p>
    <w:p>
      <w:pPr>
        <w:spacing w:beforeLines="50" w:afterLines="50" w:line="440" w:lineRule="exact"/>
        <w:ind w:firstLine="480" w:firstLineChars="200"/>
        <w:outlineLvl w:val="0"/>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pacing w:line="240" w:lineRule="atLeast"/>
        <w:outlineLvl w:val="0"/>
        <w:rPr>
          <w:rFonts w:ascii="宋体" w:hAnsi="宋体"/>
          <w:sz w:val="24"/>
        </w:rPr>
      </w:pPr>
    </w:p>
    <w:p>
      <w:pPr>
        <w:spacing w:line="240" w:lineRule="atLeast"/>
        <w:outlineLvl w:val="0"/>
        <w:rPr>
          <w:rFonts w:ascii="宋体" w:hAnsi="宋体"/>
          <w:sz w:val="24"/>
        </w:rPr>
      </w:pPr>
    </w:p>
    <w:p>
      <w:pPr>
        <w:pStyle w:val="2"/>
        <w:bidi w:val="0"/>
        <w:jc w:val="center"/>
        <w:rPr>
          <w:rFonts w:hint="eastAsia" w:ascii="宋体" w:hAnsi="宋体" w:eastAsia="宋体"/>
          <w:b/>
          <w:szCs w:val="44"/>
          <w:lang w:eastAsia="zh-CN"/>
        </w:rPr>
      </w:pPr>
      <w:bookmarkStart w:id="110" w:name="_Toc16923_WPSOffice_Level1"/>
      <w:r>
        <w:rPr>
          <w:rFonts w:hint="eastAsia"/>
        </w:rPr>
        <w:t>第</w:t>
      </w:r>
      <w:r>
        <w:rPr>
          <w:rFonts w:hint="eastAsia"/>
          <w:lang w:eastAsia="zh-CN"/>
        </w:rPr>
        <w:t>四</w:t>
      </w:r>
      <w:r>
        <w:rPr>
          <w:rFonts w:hint="eastAsia"/>
        </w:rPr>
        <w:t xml:space="preserve">部分  </w:t>
      </w:r>
      <w:r>
        <w:rPr>
          <w:rFonts w:hint="eastAsia"/>
          <w:lang w:eastAsia="zh-CN"/>
        </w:rPr>
        <w:t>采购需求及技术参数</w:t>
      </w:r>
      <w:bookmarkEnd w:id="110"/>
    </w:p>
    <w:p>
      <w:pPr>
        <w:pStyle w:val="3"/>
        <w:bidi w:val="0"/>
        <w:rPr>
          <w:rFonts w:hint="eastAsia"/>
          <w:lang w:eastAsia="zh-CN"/>
        </w:rPr>
      </w:pPr>
      <w:bookmarkStart w:id="111" w:name="_Toc10222_WPSOffice_Level2"/>
      <w:r>
        <w:rPr>
          <w:rFonts w:hint="eastAsia"/>
          <w:lang w:val="en-GB"/>
        </w:rPr>
        <w:t>一、</w:t>
      </w:r>
      <w:bookmarkStart w:id="112" w:name="_Toc275954508"/>
      <w:bookmarkStart w:id="113" w:name="_Toc275770741"/>
      <w:bookmarkStart w:id="114" w:name="_Toc275871494"/>
      <w:bookmarkStart w:id="115" w:name="_Toc275871429"/>
      <w:r>
        <w:rPr>
          <w:rFonts w:hint="eastAsia"/>
          <w:lang w:val="en-GB" w:eastAsia="zh-CN"/>
        </w:rPr>
        <w:t>采购需求</w:t>
      </w:r>
      <w:bookmarkEnd w:id="111"/>
    </w:p>
    <w:tbl>
      <w:tblPr>
        <w:tblStyle w:val="14"/>
        <w:tblW w:w="9326"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10"/>
        <w:gridCol w:w="3285"/>
        <w:gridCol w:w="1035"/>
        <w:gridCol w:w="102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shd w:val="clear" w:color="auto" w:fill="D9D9D9"/>
            <w:noWrap w:val="0"/>
            <w:vAlign w:val="center"/>
          </w:tcPr>
          <w:p>
            <w:pPr>
              <w:adjustRightInd w:val="0"/>
              <w:snapToGri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2010" w:type="dxa"/>
            <w:shd w:val="clear" w:color="auto" w:fill="D9D9D9"/>
            <w:noWrap w:val="0"/>
            <w:vAlign w:val="center"/>
          </w:tcPr>
          <w:p>
            <w:pPr>
              <w:adjustRightInd w:val="0"/>
              <w:snapToGri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采购货物名称</w:t>
            </w:r>
          </w:p>
        </w:tc>
        <w:tc>
          <w:tcPr>
            <w:tcW w:w="3285" w:type="dxa"/>
            <w:shd w:val="clear" w:color="auto" w:fill="D9D9D9"/>
            <w:noWrap w:val="0"/>
            <w:vAlign w:val="center"/>
          </w:tcPr>
          <w:p>
            <w:pPr>
              <w:adjustRightInd w:val="0"/>
              <w:snapToGrid w:val="0"/>
              <w:spacing w:beforeLines="30" w:afterLines="30" w:line="440" w:lineRule="exact"/>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规格配置</w:t>
            </w:r>
          </w:p>
        </w:tc>
        <w:tc>
          <w:tcPr>
            <w:tcW w:w="1035" w:type="dxa"/>
            <w:shd w:val="clear" w:color="auto" w:fill="D9D9D9"/>
            <w:noWrap w:val="0"/>
            <w:vAlign w:val="center"/>
          </w:tcPr>
          <w:p>
            <w:pPr>
              <w:adjustRightInd w:val="0"/>
              <w:snapToGri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数量</w:t>
            </w:r>
          </w:p>
        </w:tc>
        <w:tc>
          <w:tcPr>
            <w:tcW w:w="1020" w:type="dxa"/>
            <w:shd w:val="clear" w:color="auto" w:fill="D9D9D9"/>
            <w:noWrap w:val="0"/>
            <w:vAlign w:val="center"/>
          </w:tcPr>
          <w:p>
            <w:pPr>
              <w:adjustRightInd w:val="0"/>
              <w:snapToGri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单位</w:t>
            </w:r>
          </w:p>
        </w:tc>
        <w:tc>
          <w:tcPr>
            <w:tcW w:w="1226" w:type="dxa"/>
            <w:shd w:val="clear" w:color="auto" w:fill="D9D9D9"/>
            <w:noWrap w:val="0"/>
            <w:vAlign w:val="center"/>
          </w:tcPr>
          <w:p>
            <w:pPr>
              <w:adjustRightInd w:val="0"/>
              <w:snapToGri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50" w:type="dxa"/>
            <w:noWrap w:val="0"/>
            <w:vAlign w:val="center"/>
          </w:tcPr>
          <w:p>
            <w:pPr>
              <w:adjustRightInd w:val="0"/>
              <w:snapToGrid w:val="0"/>
              <w:spacing w:beforeLines="30"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1</w:t>
            </w:r>
          </w:p>
        </w:tc>
        <w:tc>
          <w:tcPr>
            <w:tcW w:w="2010" w:type="dxa"/>
            <w:noWrap w:val="0"/>
            <w:vAlign w:val="center"/>
          </w:tcPr>
          <w:p>
            <w:pPr>
              <w:adjustRightInd w:val="0"/>
              <w:snapToGrid w:val="0"/>
              <w:spacing w:beforeLines="30"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活动房屋</w:t>
            </w:r>
          </w:p>
        </w:tc>
        <w:tc>
          <w:tcPr>
            <w:tcW w:w="3285" w:type="dxa"/>
            <w:noWrap w:val="0"/>
            <w:vAlign w:val="center"/>
          </w:tcPr>
          <w:p>
            <w:pPr>
              <w:adjustRightInd w:val="0"/>
              <w:snapToGrid w:val="0"/>
              <w:spacing w:beforeLines="30" w:afterLines="30" w:line="44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管理间尺寸：1700*1800</w:t>
            </w:r>
          </w:p>
          <w:p>
            <w:pPr>
              <w:adjustRightInd w:val="0"/>
              <w:snapToGrid w:val="0"/>
              <w:spacing w:beforeLines="30" w:afterLines="30" w:line="44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男女厕间尺寸：1200*1600</w:t>
            </w:r>
          </w:p>
          <w:p>
            <w:pPr>
              <w:adjustRightInd w:val="0"/>
              <w:snapToGrid w:val="0"/>
              <w:spacing w:beforeLines="30" w:afterLines="30" w:line="440" w:lineRule="exact"/>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第三卫生间尺寸:1700*1800</w:t>
            </w:r>
          </w:p>
        </w:tc>
        <w:tc>
          <w:tcPr>
            <w:tcW w:w="1035" w:type="dxa"/>
            <w:noWrap w:val="0"/>
            <w:vAlign w:val="center"/>
          </w:tcPr>
          <w:p>
            <w:pPr>
              <w:adjustRightInd w:val="0"/>
              <w:snapToGrid w:val="0"/>
              <w:spacing w:beforeLines="30" w:afterLines="30" w:line="44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10</w:t>
            </w:r>
          </w:p>
        </w:tc>
        <w:tc>
          <w:tcPr>
            <w:tcW w:w="1020" w:type="dxa"/>
            <w:noWrap w:val="0"/>
            <w:vAlign w:val="center"/>
          </w:tcPr>
          <w:p>
            <w:pPr>
              <w:adjustRightInd w:val="0"/>
              <w:snapToGrid w:val="0"/>
              <w:spacing w:beforeLines="30" w:afterLines="30" w:line="44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个</w:t>
            </w:r>
          </w:p>
        </w:tc>
        <w:tc>
          <w:tcPr>
            <w:tcW w:w="1226" w:type="dxa"/>
            <w:noWrap w:val="0"/>
            <w:vAlign w:val="center"/>
          </w:tcPr>
          <w:p>
            <w:pPr>
              <w:adjustRightInd w:val="0"/>
              <w:snapToGrid w:val="0"/>
              <w:spacing w:beforeLines="30" w:afterLines="30" w:line="440" w:lineRule="exact"/>
              <w:jc w:val="center"/>
              <w:rPr>
                <w:rFonts w:hint="eastAsia" w:ascii="宋体" w:hAnsi="宋体" w:cs="宋体"/>
                <w:color w:val="auto"/>
                <w:sz w:val="24"/>
                <w:highlight w:val="none"/>
              </w:rPr>
            </w:pPr>
          </w:p>
        </w:tc>
      </w:tr>
    </w:tbl>
    <w:p>
      <w:pPr>
        <w:pStyle w:val="3"/>
        <w:bidi w:val="0"/>
        <w:rPr>
          <w:rFonts w:hint="eastAsia"/>
          <w:lang w:eastAsia="zh-CN"/>
        </w:rPr>
      </w:pPr>
      <w:bookmarkStart w:id="116" w:name="_Toc29815_WPSOffice_Level2"/>
      <w:r>
        <w:rPr>
          <w:rFonts w:hint="eastAsia"/>
          <w:lang w:eastAsia="zh-CN"/>
        </w:rPr>
        <w:t>二、技术参数</w:t>
      </w:r>
      <w:bookmarkEnd w:id="116"/>
    </w:p>
    <w:p>
      <w:pPr>
        <w:keepNext w:val="0"/>
        <w:keepLines w:val="0"/>
        <w:widowControl/>
        <w:suppressLineNumbers w:val="0"/>
        <w:jc w:val="left"/>
        <w:rPr>
          <w:rFonts w:hint="eastAsia"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1.供电方式：电源AC220V，50HZ；适应环境温度范围：－25℃～55℃</w:t>
      </w:r>
    </w:p>
    <w:p>
      <w:pPr>
        <w:keepNext w:val="0"/>
        <w:keepLines w:val="0"/>
        <w:widowControl/>
        <w:suppressLineNumbers w:val="0"/>
        <w:jc w:val="left"/>
        <w:rPr>
          <w:rFonts w:hint="eastAsia"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2.电气控制方式：手动控制</w:t>
      </w:r>
    </w:p>
    <w:p>
      <w:pPr>
        <w:keepNext w:val="0"/>
        <w:keepLines w:val="0"/>
        <w:widowControl/>
        <w:suppressLineNumbers w:val="0"/>
        <w:jc w:val="left"/>
        <w:rPr>
          <w:rFonts w:hint="eastAsia"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3.冲水排污方式：利用水压通过管道排入集粪箱，集粪箱满后用吸粪车进行清理</w:t>
      </w:r>
    </w:p>
    <w:p>
      <w:pPr>
        <w:keepNext w:val="0"/>
        <w:keepLines w:val="0"/>
        <w:widowControl/>
        <w:suppressLineNumbers w:val="0"/>
        <w:jc w:val="left"/>
        <w:rPr>
          <w:rFonts w:hint="eastAsia"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4.管理间尺寸：约长1700 mm x宽1800 mm（正负偏差不能大于300mm）</w:t>
      </w:r>
    </w:p>
    <w:p>
      <w:pPr>
        <w:keepNext w:val="0"/>
        <w:keepLines w:val="0"/>
        <w:widowControl/>
        <w:suppressLineNumbers w:val="0"/>
        <w:jc w:val="left"/>
        <w:rPr>
          <w:rFonts w:hint="eastAsia"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5.男女厕间尺寸：约长1200 mm x宽1600 mm（正负偏差不能大于300mm）</w:t>
      </w:r>
    </w:p>
    <w:p>
      <w:pPr>
        <w:keepNext w:val="0"/>
        <w:keepLines w:val="0"/>
        <w:widowControl/>
        <w:suppressLineNumbers w:val="0"/>
        <w:jc w:val="left"/>
        <w:rPr>
          <w:rFonts w:hint="eastAsia"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6.第三卫生间：约长1700 mm x宽1800 mm（正负偏差不能大于300mm）</w:t>
      </w:r>
    </w:p>
    <w:p>
      <w:pPr>
        <w:keepNext w:val="0"/>
        <w:keepLines w:val="0"/>
        <w:widowControl/>
        <w:suppressLineNumbers w:val="0"/>
        <w:jc w:val="left"/>
        <w:rPr>
          <w:rFonts w:hint="eastAsia"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7.门开启方式：外开/内开</w:t>
      </w:r>
    </w:p>
    <w:p>
      <w:pPr>
        <w:keepNext w:val="0"/>
        <w:keepLines w:val="0"/>
        <w:widowControl/>
        <w:suppressLineNumbers w:val="0"/>
        <w:jc w:val="left"/>
        <w:rPr>
          <w:rFonts w:hint="eastAsia"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8.附加功能：LED照明、飘香除臭设备</w:t>
      </w:r>
    </w:p>
    <w:p>
      <w:pPr>
        <w:keepNext w:val="0"/>
        <w:keepLines w:val="0"/>
        <w:widowControl/>
        <w:suppressLineNumbers w:val="0"/>
        <w:jc w:val="left"/>
        <w:rPr>
          <w:rFonts w:hint="eastAsia"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9、房屋基础：混凝土6100*2100*80mm（长宽正负偏差不能大于100mm）</w:t>
      </w:r>
    </w:p>
    <w:p>
      <w:pPr>
        <w:keepNext w:val="0"/>
        <w:keepLines w:val="0"/>
        <w:widowControl/>
        <w:suppressLineNumbers w:val="0"/>
        <w:jc w:val="left"/>
        <w:rPr>
          <w:rFonts w:hint="default" w:ascii="宋体" w:hAnsi="宋体" w:cs="宋体"/>
          <w:color w:val="auto"/>
          <w:sz w:val="24"/>
          <w:highlight w:val="none"/>
          <w:lang w:val="en-US" w:eastAsia="zh-CN"/>
        </w:rPr>
      </w:pPr>
      <w:r>
        <w:rPr>
          <w:rFonts w:ascii="仿宋" w:hAnsi="仿宋" w:eastAsia="仿宋" w:cs="仿宋"/>
          <w:b/>
          <w:color w:val="000000"/>
          <w:kern w:val="0"/>
          <w:sz w:val="28"/>
          <w:szCs w:val="28"/>
          <w:lang w:val="en-US" w:eastAsia="zh-CN" w:bidi="ar"/>
        </w:rPr>
        <w:t>★</w:t>
      </w:r>
      <w:r>
        <w:rPr>
          <w:rFonts w:hint="eastAsia" w:ascii="宋体" w:hAnsi="宋体" w:cs="宋体"/>
          <w:color w:val="auto"/>
          <w:sz w:val="24"/>
          <w:highlight w:val="none"/>
          <w:lang w:val="en-US" w:eastAsia="zh-CN"/>
        </w:rPr>
        <w:t>10、房体尺寸：长6000*宽2000*高2900mm（正负偏差不能大于300mm）</w:t>
      </w:r>
    </w:p>
    <w:p>
      <w:pPr>
        <w:pStyle w:val="3"/>
        <w:bidi w:val="0"/>
        <w:rPr>
          <w:rFonts w:hint="eastAsia" w:ascii="Arial" w:hAnsi="Arial" w:eastAsia="宋体"/>
          <w:lang w:eastAsia="zh-CN"/>
        </w:rPr>
      </w:pPr>
      <w:bookmarkStart w:id="117" w:name="_Toc29888_WPSOffice_Level2"/>
      <w:r>
        <w:rPr>
          <w:rFonts w:hint="eastAsia" w:ascii="Arial" w:hAnsi="Arial" w:eastAsia="宋体"/>
          <w:lang w:eastAsia="zh-CN"/>
        </w:rPr>
        <w:t>三、</w:t>
      </w:r>
      <w:r>
        <w:rPr>
          <w:rFonts w:hint="eastAsia" w:ascii="Arial" w:hAnsi="Arial" w:eastAsia="宋体"/>
          <w:lang w:val="en-US" w:eastAsia="zh-CN"/>
        </w:rPr>
        <w:t>货物</w:t>
      </w:r>
      <w:r>
        <w:rPr>
          <w:rFonts w:hint="eastAsia" w:ascii="Arial" w:hAnsi="Arial" w:eastAsia="宋体"/>
          <w:lang w:eastAsia="zh-CN"/>
        </w:rPr>
        <w:t>配置</w:t>
      </w:r>
      <w:bookmarkEnd w:id="117"/>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1、男女厕间的主要配置：</w:t>
      </w:r>
    </w:p>
    <w:p>
      <w:pPr>
        <w:adjustRightInd w:val="0"/>
        <w:snapToGrid w:val="0"/>
        <w:spacing w:beforeLines="30" w:afterLines="30" w:line="440" w:lineRule="exact"/>
        <w:jc w:val="left"/>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男女厕间的主要配置：整容镜、不锈钢衣帽钩、尼龙不锈钢扶手、LED灯、铝合金百叶窗+金钢纱、排风扇、自动延时除臭设备（管理人员可根据自己的要求设定时间自动间隔循环开启）、高档陶瓷蹲便器+水箱、高档陶瓷洗手盆+不锈钢水龙头、亚克力有无人显示牌、亚克力男女标牌。</w:t>
      </w:r>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2、管理间的基本配置：</w:t>
      </w:r>
    </w:p>
    <w:p>
      <w:pPr>
        <w:adjustRightInd w:val="0"/>
        <w:snapToGrid w:val="0"/>
        <w:spacing w:beforeLines="30" w:afterLines="30" w:line="440" w:lineRule="exact"/>
        <w:jc w:val="left"/>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管理间主要配置：不锈钢衣帽钩、LED灯、配电箱（白色）、出风扇、铝合金推拉窗、不锈钢水龙头、亚克力管理间标牌。</w:t>
      </w:r>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3、第三卫生间的主要配置: </w:t>
      </w:r>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第三卫生间的主要配置：整容镜、不锈钢衣帽钩、尼龙不锈钢无障碍扶手、LED灯、铝合金百叶窗+金钢纱、排风扇、自动延时除臭设备（管理人员可根据自己的要求设定时间自动间隔循环开启）、高档陶瓷座便、感应陶瓷小便斗、高档陶瓷洗手盆+不锈钢水龙头、亚克力有无人显示牌、亚克力男女标牌。</w:t>
      </w:r>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4、外立面主要配置：：</w:t>
      </w:r>
    </w:p>
    <w:p>
      <w:pPr>
        <w:adjustRightInd w:val="0"/>
        <w:snapToGrid w:val="0"/>
        <w:spacing w:beforeLines="30" w:afterLines="30" w:line="440" w:lineRule="exact"/>
        <w:jc w:val="left"/>
        <w:rPr>
          <w:rFonts w:hint="eastAsia" w:ascii="新宋体" w:hAnsi="新宋体" w:eastAsia="新宋体"/>
          <w:sz w:val="28"/>
          <w:szCs w:val="28"/>
          <w:lang w:val="en-US" w:eastAsia="zh-CN"/>
        </w:rPr>
      </w:pPr>
      <w:r>
        <w:rPr>
          <w:rFonts w:hint="eastAsia" w:ascii="宋体" w:hAnsi="宋体" w:cs="宋体"/>
          <w:color w:val="auto"/>
          <w:sz w:val="24"/>
          <w:highlight w:val="none"/>
          <w:lang w:val="en-US" w:eastAsia="zh-CN"/>
        </w:rPr>
        <w:t>外立面主要配置： 亚克力公厕标识“公共卫生间”</w:t>
      </w:r>
    </w:p>
    <w:p>
      <w:pPr>
        <w:pStyle w:val="3"/>
        <w:bidi w:val="0"/>
        <w:rPr>
          <w:rFonts w:hint="eastAsia" w:ascii="Arial" w:hAnsi="Arial" w:eastAsia="宋体"/>
          <w:lang w:val="en-US" w:eastAsia="zh-CN"/>
        </w:rPr>
      </w:pPr>
      <w:bookmarkStart w:id="118" w:name="_Toc19690_WPSOffice_Level2"/>
      <w:r>
        <w:rPr>
          <w:rFonts w:hint="eastAsia" w:ascii="Arial" w:hAnsi="Arial" w:eastAsia="宋体"/>
          <w:lang w:val="en-US" w:eastAsia="zh-CN"/>
        </w:rPr>
        <w:t>四、钢架结构及基座</w:t>
      </w:r>
      <w:bookmarkEnd w:id="118"/>
    </w:p>
    <w:p>
      <w:pPr>
        <w:adjustRightInd w:val="0"/>
        <w:snapToGrid w:val="0"/>
        <w:spacing w:beforeLines="30" w:afterLines="30" w:line="440" w:lineRule="exact"/>
        <w:jc w:val="left"/>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钢架结构：整个厕所的承重底座结构均为 80mm×80mm×2.5mm 的镀锌方钢，墙体框架及屋面为 20mm×40mm×2.0mm 、 40mm×40mm×2.0mm的镀锌方钢，整体结构一次焊接成型，焊接处先进行打磨处理，后整体框架做四遍环氧漆防腐处理。选材和焊接符合国家标准，国家免检钢骨架结构，经镀锌防锈防腐处理。</w:t>
      </w:r>
    </w:p>
    <w:p>
      <w:pPr>
        <w:pStyle w:val="3"/>
        <w:bidi w:val="0"/>
        <w:rPr>
          <w:rFonts w:hint="eastAsia" w:ascii="Arial" w:hAnsi="Arial" w:eastAsia="宋体"/>
          <w:lang w:val="en-US" w:eastAsia="zh-CN"/>
        </w:rPr>
      </w:pPr>
      <w:bookmarkStart w:id="119" w:name="_Toc22855_WPSOffice_Level2"/>
      <w:r>
        <w:rPr>
          <w:rFonts w:hint="eastAsia" w:ascii="Arial" w:hAnsi="Arial" w:eastAsia="宋体"/>
          <w:lang w:val="en-US" w:eastAsia="zh-CN"/>
        </w:rPr>
        <w:t>五、装饰用材</w:t>
      </w:r>
      <w:bookmarkEnd w:id="119"/>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1、厕所室内外装饰均采用绿色环保建材，外观造型美观大方，线条流畅。</w:t>
      </w:r>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外墙材料：外墙采用金属保温雕花板，保温层厚度不小于15mm，做到色彩稳定、冲水喷洗即可除尘，不褪色、不剥落；抗紫外线辐射和水汽酸碱侵蚀，不宜老化；具有韧性、不易损坏，隔音隔热性能强，抗外力冲击不易碎裂破损；自熄阻燃达到难燃级标准。</w:t>
      </w:r>
    </w:p>
    <w:p>
      <w:pPr>
        <w:adjustRightInd w:val="0"/>
        <w:snapToGrid w:val="0"/>
        <w:spacing w:beforeLines="30" w:afterLines="30" w:line="440" w:lineRule="exact"/>
        <w:jc w:val="left"/>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2、公厕屋面设“公共卫生间”标识。</w:t>
      </w:r>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3、主墙体增加保温措施。</w:t>
      </w:r>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4、屋顶材料：结构选材和结构设计合理，满足防水和保温隔热的要求，屋顶采用镀锌板+金属防腐油漆+防水涂料/卷材，具备防腐、防晒，耐腐蚀不褪色的特性。</w:t>
      </w:r>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5、厕间装饰：厕内墙面采用高档面砖/集成铝扣板/金属保温板，地面为高档面砖/大理石/花纹防滑铝板，地面采用清洗方便、易于清洁。内顶为集成铝扣板/PVC扣板装饰。</w:t>
      </w:r>
    </w:p>
    <w:p>
      <w:pPr>
        <w:adjustRightInd w:val="0"/>
        <w:snapToGrid w:val="0"/>
        <w:spacing w:beforeLines="30" w:afterLines="30" w:line="44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6、门：1.0MM厚铝合金+磨砂玻璃+金钢纱、不锈钢门锁、不锈钢推/拉手。</w:t>
      </w:r>
    </w:p>
    <w:p>
      <w:pPr>
        <w:adjustRightInd w:val="0"/>
        <w:snapToGrid w:val="0"/>
        <w:spacing w:beforeLines="30" w:afterLines="30" w:line="440" w:lineRule="exact"/>
        <w:jc w:val="left"/>
        <w:rPr>
          <w:rFonts w:hint="eastAsia" w:ascii="宋体" w:hAnsi="宋体" w:cs="宋体"/>
          <w:color w:val="auto"/>
          <w:sz w:val="24"/>
          <w:highlight w:val="none"/>
          <w:lang w:val="en-GB" w:eastAsia="zh-CN"/>
        </w:rPr>
      </w:pPr>
      <w:r>
        <w:rPr>
          <w:rFonts w:hint="eastAsia" w:ascii="宋体" w:hAnsi="宋体" w:cs="宋体"/>
          <w:color w:val="auto"/>
          <w:sz w:val="24"/>
          <w:highlight w:val="none"/>
          <w:lang w:val="en-US" w:eastAsia="zh-CN"/>
        </w:rPr>
        <w:t>7、窗：1.0MM厚铝合金+磨砂玻璃。</w:t>
      </w:r>
    </w:p>
    <w:bookmarkEnd w:id="112"/>
    <w:bookmarkEnd w:id="113"/>
    <w:bookmarkEnd w:id="114"/>
    <w:bookmarkEnd w:id="115"/>
    <w:p>
      <w:pPr>
        <w:spacing w:beforeLines="50" w:afterLines="50" w:line="360" w:lineRule="auto"/>
        <w:jc w:val="center"/>
        <w:outlineLvl w:val="0"/>
        <w:rPr>
          <w:rFonts w:hint="eastAsia" w:ascii="宋体" w:hAnsi="宋体"/>
          <w:b/>
          <w:sz w:val="44"/>
          <w:szCs w:val="44"/>
        </w:rPr>
      </w:pPr>
    </w:p>
    <w:p>
      <w:pPr>
        <w:pStyle w:val="2"/>
        <w:bidi w:val="0"/>
        <w:jc w:val="center"/>
      </w:pPr>
      <w:bookmarkStart w:id="120" w:name="_Toc27536_WPSOffice_Level1"/>
      <w:r>
        <w:rPr>
          <w:rFonts w:hint="eastAsia"/>
        </w:rPr>
        <w:t>第</w:t>
      </w:r>
      <w:r>
        <w:rPr>
          <w:rFonts w:hint="eastAsia"/>
          <w:lang w:eastAsia="zh-CN"/>
        </w:rPr>
        <w:t>五</w:t>
      </w:r>
      <w:r>
        <w:rPr>
          <w:rFonts w:hint="eastAsia"/>
        </w:rPr>
        <w:t>部分  响应文件内容及格式</w:t>
      </w:r>
      <w:bookmarkEnd w:id="120"/>
    </w:p>
    <w:p>
      <w:pPr>
        <w:snapToGrid w:val="0"/>
        <w:spacing w:line="440" w:lineRule="exact"/>
        <w:ind w:firstLine="480" w:firstLineChars="200"/>
        <w:rPr>
          <w:rFonts w:ascii="宋体" w:hAnsi="宋体"/>
          <w:sz w:val="24"/>
        </w:rPr>
      </w:pPr>
      <w:r>
        <w:rPr>
          <w:rFonts w:hint="eastAsia" w:ascii="宋体" w:hAnsi="宋体"/>
          <w:sz w:val="24"/>
        </w:rPr>
        <w:t>请供应商按照以下文件要求的格式、内容制作响应文件，并按以下顺序编制目录及页码，否则将影响对响应文件的评价：</w:t>
      </w:r>
    </w:p>
    <w:p>
      <w:pPr>
        <w:snapToGrid w:val="0"/>
        <w:spacing w:line="440" w:lineRule="exact"/>
        <w:ind w:firstLine="480" w:firstLineChars="200"/>
        <w:rPr>
          <w:rFonts w:ascii="宋体" w:hAnsi="宋体"/>
          <w:sz w:val="24"/>
        </w:rPr>
      </w:pPr>
    </w:p>
    <w:p>
      <w:pPr>
        <w:spacing w:line="440" w:lineRule="exact"/>
        <w:jc w:val="both"/>
        <w:rPr>
          <w:rFonts w:ascii="宋体" w:hAnsi="宋体"/>
          <w:b/>
          <w:bCs/>
          <w:sz w:val="24"/>
        </w:rPr>
      </w:pPr>
      <w:r>
        <w:rPr>
          <w:rFonts w:hint="eastAsia" w:ascii="宋体" w:hAnsi="宋体"/>
          <w:b/>
          <w:bCs/>
          <w:sz w:val="24"/>
        </w:rPr>
        <w:t>注：以</w:t>
      </w:r>
      <w:r>
        <w:rPr>
          <w:rFonts w:hint="eastAsia" w:ascii="宋体" w:hAnsi="宋体"/>
          <w:b/>
          <w:bCs/>
          <w:sz w:val="24"/>
          <w:lang w:eastAsia="zh-CN"/>
        </w:rPr>
        <w:t>下</w:t>
      </w:r>
      <w:r>
        <w:rPr>
          <w:rFonts w:hint="eastAsia" w:ascii="宋体" w:hAnsi="宋体"/>
          <w:b/>
          <w:bCs/>
          <w:sz w:val="24"/>
        </w:rPr>
        <w:t>复印件均需要加盖公章。</w:t>
      </w:r>
    </w:p>
    <w:p>
      <w:pPr>
        <w:spacing w:line="440" w:lineRule="exact"/>
        <w:jc w:val="left"/>
        <w:rPr>
          <w:rFonts w:ascii="宋体" w:hAnsi="宋体"/>
          <w:sz w:val="24"/>
        </w:rPr>
      </w:pPr>
    </w:p>
    <w:p>
      <w:pPr>
        <w:spacing w:line="440" w:lineRule="exact"/>
        <w:outlineLvl w:val="1"/>
        <w:rPr>
          <w:rFonts w:ascii="宋体" w:hAnsi="宋体"/>
          <w:b/>
          <w:bCs/>
          <w:sz w:val="24"/>
        </w:rPr>
      </w:pPr>
    </w:p>
    <w:p>
      <w:pPr>
        <w:pStyle w:val="3"/>
        <w:bidi w:val="0"/>
        <w:jc w:val="center"/>
        <w:rPr>
          <w:rFonts w:hint="eastAsia"/>
          <w:sz w:val="36"/>
          <w:szCs w:val="36"/>
        </w:rPr>
      </w:pPr>
      <w:bookmarkStart w:id="121" w:name="_Toc17124_WPSOffice_Level2"/>
      <w:bookmarkStart w:id="122" w:name="_Toc16816_WPSOffice_Level2"/>
    </w:p>
    <w:p>
      <w:pPr>
        <w:pStyle w:val="3"/>
        <w:bidi w:val="0"/>
        <w:jc w:val="center"/>
        <w:rPr>
          <w:rFonts w:hint="eastAsia"/>
          <w:sz w:val="36"/>
          <w:szCs w:val="36"/>
        </w:rPr>
      </w:pPr>
    </w:p>
    <w:p>
      <w:pPr>
        <w:pStyle w:val="3"/>
        <w:bidi w:val="0"/>
        <w:jc w:val="center"/>
        <w:rPr>
          <w:rFonts w:hint="eastAsia"/>
          <w:sz w:val="36"/>
          <w:szCs w:val="36"/>
        </w:rPr>
      </w:pPr>
    </w:p>
    <w:p>
      <w:pPr>
        <w:pStyle w:val="3"/>
        <w:bidi w:val="0"/>
        <w:jc w:val="both"/>
        <w:rPr>
          <w:rFonts w:hint="eastAsia"/>
          <w:sz w:val="36"/>
          <w:szCs w:val="36"/>
        </w:rPr>
      </w:pPr>
    </w:p>
    <w:p>
      <w:pPr>
        <w:rPr>
          <w:rFonts w:hint="eastAsia"/>
          <w:sz w:val="36"/>
          <w:szCs w:val="36"/>
        </w:rPr>
      </w:pPr>
    </w:p>
    <w:p>
      <w:pPr>
        <w:rPr>
          <w:rFonts w:hint="eastAsia"/>
          <w:sz w:val="36"/>
          <w:szCs w:val="36"/>
        </w:rPr>
      </w:pPr>
    </w:p>
    <w:p>
      <w:pPr>
        <w:pStyle w:val="3"/>
        <w:bidi w:val="0"/>
        <w:jc w:val="center"/>
        <w:rPr>
          <w:rFonts w:hint="eastAsia"/>
          <w:sz w:val="36"/>
          <w:szCs w:val="36"/>
        </w:rPr>
      </w:pPr>
    </w:p>
    <w:p>
      <w:pPr>
        <w:pStyle w:val="3"/>
        <w:bidi w:val="0"/>
        <w:jc w:val="center"/>
        <w:rPr>
          <w:rFonts w:hint="eastAsia"/>
          <w:sz w:val="36"/>
          <w:szCs w:val="36"/>
        </w:rPr>
      </w:pPr>
    </w:p>
    <w:p>
      <w:pPr>
        <w:pStyle w:val="3"/>
        <w:bidi w:val="0"/>
        <w:jc w:val="center"/>
        <w:rPr>
          <w:rFonts w:hint="eastAsia"/>
          <w:sz w:val="36"/>
          <w:szCs w:val="36"/>
        </w:rPr>
      </w:pPr>
    </w:p>
    <w:p>
      <w:pPr>
        <w:pStyle w:val="3"/>
        <w:bidi w:val="0"/>
        <w:jc w:val="both"/>
        <w:rPr>
          <w:rFonts w:hint="eastAsia"/>
          <w:sz w:val="36"/>
          <w:szCs w:val="36"/>
        </w:rPr>
      </w:pPr>
    </w:p>
    <w:p>
      <w:pPr>
        <w:rPr>
          <w:rFonts w:hint="eastAsia"/>
          <w:sz w:val="36"/>
          <w:szCs w:val="36"/>
        </w:rPr>
      </w:pPr>
    </w:p>
    <w:p>
      <w:pPr>
        <w:jc w:val="center"/>
        <w:rPr>
          <w:rFonts w:hint="eastAsia"/>
          <w:sz w:val="36"/>
          <w:szCs w:val="36"/>
        </w:rPr>
      </w:pPr>
    </w:p>
    <w:p>
      <w:pPr>
        <w:pStyle w:val="3"/>
        <w:bidi w:val="0"/>
        <w:jc w:val="both"/>
        <w:rPr>
          <w:rFonts w:hint="eastAsia"/>
          <w:sz w:val="36"/>
          <w:szCs w:val="36"/>
        </w:rPr>
      </w:pPr>
    </w:p>
    <w:p>
      <w:pPr>
        <w:pStyle w:val="3"/>
        <w:bidi w:val="0"/>
        <w:jc w:val="center"/>
        <w:rPr>
          <w:rFonts w:hint="eastAsia"/>
          <w:sz w:val="36"/>
          <w:szCs w:val="36"/>
        </w:rPr>
      </w:pPr>
    </w:p>
    <w:p>
      <w:pPr>
        <w:pStyle w:val="3"/>
        <w:bidi w:val="0"/>
        <w:jc w:val="center"/>
      </w:pPr>
      <w:bookmarkStart w:id="123" w:name="_Toc21971_WPSOffice_Level2"/>
      <w:r>
        <w:rPr>
          <w:rFonts w:hint="eastAsia"/>
          <w:sz w:val="36"/>
          <w:szCs w:val="36"/>
        </w:rPr>
        <w:t>1、</w:t>
      </w:r>
      <w:r>
        <w:rPr>
          <w:rFonts w:hint="eastAsia"/>
          <w:sz w:val="36"/>
          <w:szCs w:val="36"/>
          <w:lang w:val="en-GB"/>
        </w:rPr>
        <w:t>响应承诺函</w:t>
      </w:r>
      <w:bookmarkEnd w:id="121"/>
      <w:bookmarkEnd w:id="122"/>
      <w:bookmarkEnd w:id="123"/>
    </w:p>
    <w:p>
      <w:pPr>
        <w:adjustRightInd w:val="0"/>
        <w:snapToGrid w:val="0"/>
        <w:spacing w:beforeLines="50" w:line="380" w:lineRule="exact"/>
        <w:rPr>
          <w:rFonts w:ascii="宋体" w:hAnsi="宋体"/>
          <w:b/>
          <w:bCs/>
          <w:sz w:val="24"/>
          <w:lang w:val="en-GB"/>
        </w:rPr>
      </w:pPr>
      <w:r>
        <w:rPr>
          <w:rFonts w:hint="eastAsia" w:ascii="宋体" w:hAnsi="宋体"/>
          <w:b/>
          <w:bCs/>
          <w:sz w:val="24"/>
          <w:lang w:val="en-GB"/>
        </w:rPr>
        <w:t>致：中天世纪国际招标有限公司</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根据贵单位</w:t>
      </w:r>
      <w:r>
        <w:rPr>
          <w:rFonts w:hint="eastAsia" w:ascii="宋体" w:hAnsi="宋体"/>
          <w:b/>
          <w:bCs/>
          <w:sz w:val="24"/>
          <w:u w:val="single"/>
        </w:rPr>
        <w:t xml:space="preserve"> </w:t>
      </w:r>
      <w:r>
        <w:rPr>
          <w:rFonts w:hint="eastAsia" w:ascii="宋体" w:hAnsi="宋体"/>
          <w:b/>
          <w:bCs/>
          <w:sz w:val="28"/>
          <w:szCs w:val="28"/>
          <w:u w:val="single"/>
          <w:lang w:val="zh-CN"/>
        </w:rPr>
        <w:t>万宁市移动式水冲公厕项目</w:t>
      </w:r>
      <w:r>
        <w:rPr>
          <w:rFonts w:hint="eastAsia" w:ascii="宋体" w:hAnsi="宋体"/>
          <w:b/>
          <w:bCs/>
          <w:sz w:val="24"/>
          <w:u w:val="single"/>
        </w:rPr>
        <w:t>（</w:t>
      </w:r>
      <w:r>
        <w:rPr>
          <w:rFonts w:hint="eastAsia" w:ascii="宋体" w:hAnsi="宋体"/>
          <w:b/>
          <w:bCs/>
          <w:sz w:val="24"/>
          <w:u w:val="single"/>
          <w:lang w:val="en-GB"/>
        </w:rPr>
        <w:t>项目编号：</w:t>
      </w:r>
      <w:r>
        <w:rPr>
          <w:rFonts w:hint="eastAsia" w:ascii="宋体" w:hAnsi="宋体"/>
          <w:b/>
          <w:bCs/>
          <w:sz w:val="24"/>
          <w:u w:val="single"/>
        </w:rPr>
        <w:t>ZTSJ-HN201901</w:t>
      </w:r>
      <w:r>
        <w:rPr>
          <w:rFonts w:hint="eastAsia" w:ascii="宋体" w:hAnsi="宋体"/>
          <w:b/>
          <w:bCs/>
          <w:sz w:val="24"/>
          <w:u w:val="single"/>
          <w:lang w:val="en-US" w:eastAsia="zh-CN"/>
        </w:rPr>
        <w:t>4</w:t>
      </w:r>
      <w:r>
        <w:rPr>
          <w:rFonts w:hint="eastAsia" w:ascii="宋体" w:hAnsi="宋体"/>
          <w:b/>
          <w:bCs/>
          <w:sz w:val="24"/>
          <w:u w:val="single"/>
        </w:rPr>
        <w:t>）</w:t>
      </w:r>
      <w:r>
        <w:rPr>
          <w:rFonts w:hint="eastAsia" w:ascii="宋体" w:hAnsi="宋体"/>
          <w:sz w:val="24"/>
          <w:lang w:val="en-GB"/>
        </w:rPr>
        <w:t>的谈判邀请函，正式授权下述签字人</w:t>
      </w:r>
      <w:r>
        <w:rPr>
          <w:rFonts w:hint="eastAsia" w:ascii="宋体" w:hAnsi="宋体"/>
          <w:b/>
          <w:bCs/>
          <w:sz w:val="24"/>
          <w:u w:val="single"/>
          <w:lang w:val="en-GB"/>
        </w:rPr>
        <w:t>姓名：</w:t>
      </w:r>
      <w:r>
        <w:rPr>
          <w:rFonts w:hint="eastAsia" w:ascii="宋体" w:hAnsi="宋体"/>
          <w:b/>
          <w:bCs/>
          <w:sz w:val="24"/>
          <w:u w:val="single"/>
        </w:rPr>
        <w:t xml:space="preserve">         </w:t>
      </w:r>
      <w:r>
        <w:rPr>
          <w:rFonts w:hint="eastAsia" w:ascii="宋体" w:hAnsi="宋体"/>
          <w:b/>
          <w:bCs/>
          <w:sz w:val="24"/>
          <w:u w:val="single"/>
          <w:lang w:val="en-GB"/>
        </w:rPr>
        <w:t>职务：</w:t>
      </w:r>
      <w:r>
        <w:rPr>
          <w:rFonts w:hint="eastAsia" w:ascii="宋体" w:hAnsi="宋体"/>
          <w:b/>
          <w:bCs/>
          <w:sz w:val="24"/>
          <w:u w:val="single"/>
        </w:rPr>
        <w:t xml:space="preserve">       </w:t>
      </w:r>
      <w:r>
        <w:rPr>
          <w:rFonts w:hint="eastAsia" w:ascii="宋体" w:hAnsi="宋体"/>
          <w:sz w:val="24"/>
          <w:lang w:val="en-GB"/>
        </w:rPr>
        <w:t>代表供应商</w:t>
      </w:r>
      <w:r>
        <w:rPr>
          <w:rFonts w:hint="eastAsia" w:ascii="宋体" w:hAnsi="宋体"/>
          <w:b/>
          <w:bCs/>
          <w:sz w:val="24"/>
          <w:u w:val="single"/>
          <w:lang w:val="en-GB"/>
        </w:rPr>
        <w:t>（供应商名称）</w:t>
      </w:r>
      <w:r>
        <w:rPr>
          <w:rFonts w:hint="eastAsia" w:ascii="宋体" w:hAnsi="宋体"/>
          <w:sz w:val="24"/>
          <w:lang w:val="en-GB"/>
        </w:rPr>
        <w:t>，提交纸质响应文件正本一式</w:t>
      </w:r>
      <w:r>
        <w:rPr>
          <w:rFonts w:hint="eastAsia" w:ascii="宋体" w:hAnsi="宋体"/>
          <w:b/>
          <w:bCs/>
          <w:sz w:val="24"/>
          <w:u w:val="single"/>
          <w:lang w:val="en-GB"/>
        </w:rPr>
        <w:t>一份</w:t>
      </w:r>
      <w:r>
        <w:rPr>
          <w:rFonts w:hint="eastAsia" w:ascii="宋体" w:hAnsi="宋体"/>
          <w:sz w:val="24"/>
          <w:lang w:val="en-GB"/>
        </w:rPr>
        <w:t>，副本一式</w:t>
      </w:r>
      <w:r>
        <w:rPr>
          <w:rFonts w:hint="eastAsia" w:ascii="宋体" w:hAnsi="宋体"/>
          <w:b/>
          <w:bCs/>
          <w:sz w:val="24"/>
          <w:u w:val="single"/>
          <w:lang w:val="en-GB" w:eastAsia="zh-CN"/>
        </w:rPr>
        <w:t>三</w:t>
      </w:r>
      <w:r>
        <w:rPr>
          <w:rFonts w:hint="eastAsia" w:ascii="宋体" w:hAnsi="宋体"/>
          <w:b/>
          <w:bCs/>
          <w:sz w:val="24"/>
          <w:u w:val="single"/>
          <w:lang w:val="en-GB"/>
        </w:rPr>
        <w:t>份</w:t>
      </w:r>
      <w:r>
        <w:rPr>
          <w:rFonts w:hint="eastAsia" w:ascii="宋体" w:hAnsi="宋体"/>
          <w:sz w:val="24"/>
          <w:lang w:val="en-GB"/>
        </w:rPr>
        <w:t>。</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本公司谨此承诺并声明：</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 xml:space="preserve">1、同意并接受谈判文件的各项条款要求，遵守文件中的各项规定，按谈判文件的要求投标。 </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2、</w:t>
      </w:r>
      <w:r>
        <w:rPr>
          <w:rFonts w:hint="eastAsia" w:ascii="宋体" w:hAnsi="宋体"/>
          <w:bCs/>
          <w:kern w:val="0"/>
          <w:sz w:val="24"/>
          <w:lang w:val="en-GB"/>
        </w:rPr>
        <w:t>本响应文件的有效期为从递交响应文件截止日期起计算的</w:t>
      </w:r>
      <w:r>
        <w:rPr>
          <w:rFonts w:hint="eastAsia" w:ascii="宋体" w:hAnsi="宋体"/>
          <w:bCs/>
          <w:kern w:val="0"/>
          <w:sz w:val="24"/>
          <w:u w:val="single"/>
        </w:rPr>
        <w:t xml:space="preserve"> </w:t>
      </w:r>
      <w:r>
        <w:rPr>
          <w:rFonts w:hint="eastAsia" w:ascii="宋体" w:hAnsi="宋体"/>
          <w:bCs/>
          <w:kern w:val="0"/>
          <w:sz w:val="24"/>
          <w:u w:val="single"/>
          <w:lang w:val="en-US" w:eastAsia="zh-CN"/>
        </w:rPr>
        <w:t xml:space="preserve">  </w:t>
      </w:r>
      <w:r>
        <w:rPr>
          <w:rFonts w:hint="eastAsia" w:ascii="宋体" w:hAnsi="宋体"/>
          <w:bCs/>
          <w:kern w:val="0"/>
          <w:sz w:val="24"/>
          <w:u w:val="single"/>
        </w:rPr>
        <w:t xml:space="preserve"> </w:t>
      </w:r>
      <w:r>
        <w:rPr>
          <w:rFonts w:hint="eastAsia" w:ascii="宋体" w:hAnsi="宋体"/>
          <w:bCs/>
          <w:kern w:val="0"/>
          <w:sz w:val="24"/>
          <w:lang w:val="en-GB"/>
        </w:rPr>
        <w:t>天，在此期间，本响应文件将始终对我们具有约束力，并可随时被接受</w:t>
      </w:r>
      <w:r>
        <w:rPr>
          <w:rFonts w:hint="eastAsia" w:ascii="宋体" w:hAnsi="宋体"/>
          <w:sz w:val="24"/>
          <w:lang w:val="en-GB"/>
        </w:rPr>
        <w:t>澄清</w:t>
      </w:r>
      <w:r>
        <w:rPr>
          <w:rFonts w:hint="eastAsia" w:ascii="宋体" w:hAnsi="宋体"/>
          <w:bCs/>
          <w:kern w:val="0"/>
          <w:sz w:val="24"/>
          <w:lang w:val="en-GB"/>
        </w:rPr>
        <w:t>。如果我们成交，本响应文件在此期间之后将继续保持有效。</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3、我方已经详细地阅读了全部谈判文件及其附件，包括澄清及参考文件。我方已完全清晰理解谈判文件的要求，不存在任何含糊不清和误解之处，同意放弃对这些文件所提出的异议和质疑的权利。</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4、我方已毫无保留地向贵方提供一切所需的证明材料。不论在任何时候，将按贵方要求如实提供一切补充材料。</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5、我方承诺在本次报价中提供的一切文件，无论是原件还是复印件均为真实和准确的，绝无任何虚假、伪造和夸大的成份，否则，愿承担相应的后果和法律责任。</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6、我方完全服从和尊重评审小组所作的评审结果，同时清楚理解到投标报价最低并不一定获得成交资格。</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7、我方同意按谈判文件规定向贵司缴纳谈判保证金，</w:t>
      </w:r>
      <w:r>
        <w:rPr>
          <w:rFonts w:hint="eastAsia" w:ascii="宋体" w:hAnsi="宋体"/>
          <w:bCs/>
          <w:kern w:val="0"/>
          <w:sz w:val="24"/>
          <w:lang w:val="en-GB"/>
        </w:rPr>
        <w:t>如果获得成交并按《成交通知书》的要求，</w:t>
      </w:r>
      <w:r>
        <w:rPr>
          <w:rFonts w:hint="eastAsia" w:ascii="宋体" w:hAnsi="宋体"/>
          <w:sz w:val="24"/>
          <w:lang w:val="en-GB"/>
        </w:rPr>
        <w:t>如期签订合同并履行其一切责任和义务。</w:t>
      </w:r>
    </w:p>
    <w:p>
      <w:pPr>
        <w:adjustRightInd w:val="0"/>
        <w:snapToGrid w:val="0"/>
        <w:spacing w:line="380" w:lineRule="exact"/>
        <w:ind w:firstLine="480" w:firstLineChars="200"/>
        <w:rPr>
          <w:rFonts w:ascii="宋体" w:hAnsi="宋体"/>
          <w:sz w:val="24"/>
          <w:lang w:val="en-GB"/>
        </w:rPr>
      </w:pPr>
      <w:r>
        <w:rPr>
          <w:rFonts w:hint="eastAsia" w:ascii="宋体" w:hAnsi="宋体"/>
          <w:sz w:val="24"/>
          <w:lang w:val="en-GB"/>
        </w:rPr>
        <w:t>8、我方在参与本次竞争性谈判采购活动中，不以任何不当手段影响、串通、排斥有关当事人或谋取、施予非法利益，如有不当行为，愿承担此行为所造成的不利后果和法律责任。</w:t>
      </w:r>
    </w:p>
    <w:p>
      <w:pPr>
        <w:adjustRightInd w:val="0"/>
        <w:snapToGrid w:val="0"/>
        <w:spacing w:line="380" w:lineRule="exact"/>
        <w:ind w:firstLine="480" w:firstLineChars="200"/>
        <w:rPr>
          <w:rFonts w:ascii="宋体" w:hAnsi="宋体"/>
          <w:sz w:val="24"/>
        </w:rPr>
      </w:pPr>
      <w:r>
        <w:rPr>
          <w:rFonts w:hint="eastAsia" w:ascii="宋体" w:hAnsi="宋体"/>
          <w:sz w:val="24"/>
        </w:rPr>
        <w:t>9、我公司与参加该项目报价的其它供应商未存在单位负责人为同一人、未存在直接控股或管理关系。</w:t>
      </w:r>
    </w:p>
    <w:p>
      <w:pPr>
        <w:adjustRightInd w:val="0"/>
        <w:snapToGrid w:val="0"/>
        <w:spacing w:line="380" w:lineRule="exact"/>
        <w:ind w:firstLine="480" w:firstLineChars="200"/>
        <w:rPr>
          <w:rFonts w:ascii="宋体" w:hAnsi="宋体"/>
          <w:sz w:val="24"/>
        </w:rPr>
      </w:pPr>
      <w:r>
        <w:rPr>
          <w:rFonts w:hint="eastAsia" w:ascii="宋体" w:hAnsi="宋体"/>
          <w:sz w:val="24"/>
        </w:rPr>
        <w:t>我公司若有违反以上承诺和声明的行为，将无条件接受取消投标资格及成交资格、接受列入不良行为名单的处罚，对此造成的一切损失及法律责任，均由我公司承担。</w:t>
      </w:r>
    </w:p>
    <w:p>
      <w:pPr>
        <w:adjustRightInd w:val="0"/>
        <w:snapToGrid w:val="0"/>
        <w:spacing w:line="380" w:lineRule="exact"/>
        <w:ind w:firstLine="480" w:firstLineChars="200"/>
        <w:rPr>
          <w:rFonts w:ascii="宋体" w:hAnsi="宋体"/>
          <w:sz w:val="24"/>
        </w:rPr>
      </w:pPr>
    </w:p>
    <w:p>
      <w:pPr>
        <w:adjustRightInd w:val="0"/>
        <w:snapToGrid w:val="0"/>
        <w:spacing w:line="380" w:lineRule="exact"/>
        <w:rPr>
          <w:rFonts w:ascii="宋体" w:hAnsi="宋体"/>
          <w:bCs/>
          <w:sz w:val="24"/>
          <w:lang w:val="en-GB"/>
        </w:rPr>
      </w:pPr>
      <w:r>
        <w:rPr>
          <w:rFonts w:hint="eastAsia" w:ascii="宋体" w:hAnsi="宋体"/>
          <w:sz w:val="24"/>
          <w:lang w:val="en-GB"/>
        </w:rPr>
        <w:t>供应商名称：</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（公章）</w:t>
      </w:r>
      <w:r>
        <w:rPr>
          <w:rFonts w:hint="eastAsia" w:ascii="宋体" w:hAnsi="宋体"/>
          <w:sz w:val="24"/>
        </w:rPr>
        <w:t xml:space="preserve">  </w:t>
      </w:r>
      <w:r>
        <w:rPr>
          <w:rFonts w:hint="eastAsia" w:ascii="宋体" w:hAnsi="宋体"/>
          <w:bCs/>
          <w:sz w:val="24"/>
          <w:lang w:val="en-GB"/>
        </w:rPr>
        <w:t>法定代表人：</w:t>
      </w:r>
      <w:r>
        <w:rPr>
          <w:rFonts w:hint="eastAsia" w:ascii="宋体" w:hAnsi="宋体"/>
          <w:bCs/>
          <w:sz w:val="24"/>
          <w:u w:val="single"/>
          <w:lang w:val="en-GB"/>
        </w:rPr>
        <w:t xml:space="preserve">            （亲笔签名）</w:t>
      </w:r>
      <w:r>
        <w:rPr>
          <w:rFonts w:hint="eastAsia" w:ascii="宋体" w:hAnsi="宋体"/>
          <w:bCs/>
          <w:sz w:val="24"/>
          <w:lang w:val="en-GB"/>
        </w:rPr>
        <w:t xml:space="preserve">   </w:t>
      </w:r>
    </w:p>
    <w:p>
      <w:pPr>
        <w:adjustRightInd w:val="0"/>
        <w:snapToGrid w:val="0"/>
        <w:spacing w:beforeLines="100" w:afterLines="100" w:line="380" w:lineRule="exact"/>
        <w:rPr>
          <w:rFonts w:ascii="宋体" w:hAnsi="宋体"/>
          <w:sz w:val="24"/>
          <w:u w:val="single"/>
        </w:rPr>
      </w:pPr>
      <w:r>
        <w:rPr>
          <w:rFonts w:hint="eastAsia" w:ascii="宋体" w:hAnsi="宋体"/>
          <w:sz w:val="24"/>
          <w:lang w:val="en-GB"/>
        </w:rPr>
        <w:t>被授权人：</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bCs/>
          <w:sz w:val="24"/>
          <w:u w:val="single"/>
          <w:lang w:val="en-GB"/>
        </w:rPr>
        <w:t>（亲笔签名）</w:t>
      </w:r>
      <w:r>
        <w:rPr>
          <w:rFonts w:hint="eastAsia" w:ascii="宋体" w:hAnsi="宋体"/>
          <w:sz w:val="24"/>
          <w:lang w:val="en-GB"/>
        </w:rPr>
        <w:t xml:space="preserve"> </w:t>
      </w:r>
      <w:r>
        <w:rPr>
          <w:rFonts w:hint="eastAsia" w:ascii="宋体" w:hAnsi="宋体"/>
          <w:sz w:val="24"/>
        </w:rPr>
        <w:t xml:space="preserve"> </w:t>
      </w:r>
      <w:r>
        <w:rPr>
          <w:rFonts w:hint="eastAsia" w:ascii="宋体" w:hAnsi="宋体"/>
          <w:sz w:val="24"/>
          <w:lang w:val="en-GB"/>
        </w:rPr>
        <w:t>职</w:t>
      </w:r>
      <w:r>
        <w:rPr>
          <w:rFonts w:hint="eastAsia" w:ascii="宋体" w:hAnsi="宋体"/>
          <w:sz w:val="24"/>
        </w:rPr>
        <w:t xml:space="preserve">     </w:t>
      </w:r>
      <w:r>
        <w:rPr>
          <w:rFonts w:hint="eastAsia" w:ascii="宋体" w:hAnsi="宋体"/>
          <w:sz w:val="24"/>
          <w:lang w:val="en-GB"/>
        </w:rPr>
        <w:t>务：</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p>
    <w:p>
      <w:pPr>
        <w:adjustRightInd w:val="0"/>
        <w:snapToGrid w:val="0"/>
        <w:spacing w:beforeLines="100" w:afterLines="100" w:line="380" w:lineRule="exact"/>
        <w:rPr>
          <w:rFonts w:ascii="宋体" w:hAnsi="宋体"/>
          <w:sz w:val="24"/>
          <w:lang w:val="en-GB"/>
        </w:rPr>
      </w:pPr>
      <w:r>
        <w:rPr>
          <w:rFonts w:hint="eastAsia" w:ascii="宋体" w:hAnsi="宋体"/>
          <w:sz w:val="24"/>
          <w:lang w:val="en-GB"/>
        </w:rPr>
        <w:t>承诺日期：</w:t>
      </w:r>
      <w:r>
        <w:rPr>
          <w:rFonts w:hint="eastAsia" w:ascii="宋体" w:hAnsi="宋体"/>
          <w:sz w:val="24"/>
          <w:u w:val="single"/>
        </w:rPr>
        <w:t xml:space="preserve">      </w:t>
      </w:r>
      <w:r>
        <w:rPr>
          <w:rFonts w:hint="eastAsia" w:ascii="宋体" w:hAnsi="宋体"/>
          <w:sz w:val="24"/>
          <w:lang w:val="en-GB"/>
        </w:rPr>
        <w:t>年</w:t>
      </w:r>
      <w:r>
        <w:rPr>
          <w:rFonts w:hint="eastAsia" w:ascii="宋体" w:hAnsi="宋体"/>
          <w:sz w:val="24"/>
          <w:u w:val="single"/>
        </w:rPr>
        <w:t xml:space="preserve">    </w:t>
      </w:r>
      <w:r>
        <w:rPr>
          <w:rFonts w:hint="eastAsia" w:ascii="宋体" w:hAnsi="宋体"/>
          <w:sz w:val="24"/>
          <w:lang w:val="en-GB"/>
        </w:rPr>
        <w:t>月</w:t>
      </w:r>
      <w:r>
        <w:rPr>
          <w:rFonts w:hint="eastAsia" w:ascii="宋体" w:hAnsi="宋体"/>
          <w:sz w:val="24"/>
          <w:u w:val="single"/>
        </w:rPr>
        <w:t xml:space="preserve">    </w:t>
      </w:r>
      <w:r>
        <w:rPr>
          <w:rFonts w:hint="eastAsia" w:ascii="宋体" w:hAnsi="宋体"/>
          <w:sz w:val="24"/>
          <w:lang w:val="en-GB"/>
        </w:rPr>
        <w:t>日</w:t>
      </w:r>
    </w:p>
    <w:p>
      <w:pPr>
        <w:spacing w:line="440" w:lineRule="exact"/>
        <w:jc w:val="center"/>
        <w:rPr>
          <w:rFonts w:ascii="宋体" w:hAnsi="宋体"/>
          <w:b/>
          <w:sz w:val="36"/>
          <w:szCs w:val="36"/>
        </w:rPr>
      </w:pPr>
    </w:p>
    <w:p>
      <w:pPr>
        <w:pStyle w:val="3"/>
        <w:bidi w:val="0"/>
        <w:jc w:val="center"/>
        <w:rPr>
          <w:rFonts w:hint="eastAsia" w:ascii="Arial" w:hAnsi="Arial" w:eastAsia="宋体"/>
          <w:sz w:val="36"/>
          <w:szCs w:val="36"/>
          <w:lang w:val="en-GB"/>
        </w:rPr>
      </w:pPr>
      <w:bookmarkStart w:id="124" w:name="_Toc21675_WPSOffice_Level2"/>
      <w:bookmarkStart w:id="125" w:name="_Toc1072_WPSOffice_Level2"/>
      <w:bookmarkStart w:id="126" w:name="_Toc6843_WPSOffice_Level2"/>
      <w:r>
        <w:rPr>
          <w:rFonts w:hint="eastAsia" w:ascii="Arial" w:hAnsi="Arial" w:eastAsia="宋体"/>
          <w:sz w:val="36"/>
          <w:szCs w:val="36"/>
        </w:rPr>
        <w:t>2、</w:t>
      </w:r>
      <w:r>
        <w:rPr>
          <w:rFonts w:hint="eastAsia" w:ascii="Arial" w:hAnsi="Arial" w:eastAsia="宋体"/>
          <w:sz w:val="36"/>
          <w:szCs w:val="36"/>
          <w:lang w:val="en-GB"/>
        </w:rPr>
        <w:t>法定代表人授权委托书</w:t>
      </w:r>
      <w:bookmarkEnd w:id="124"/>
      <w:bookmarkEnd w:id="125"/>
      <w:bookmarkEnd w:id="126"/>
    </w:p>
    <w:p>
      <w:pPr>
        <w:spacing w:beforeLines="50" w:line="440" w:lineRule="exact"/>
        <w:rPr>
          <w:rFonts w:ascii="宋体" w:hAnsi="宋体"/>
          <w:b/>
          <w:bCs/>
          <w:sz w:val="24"/>
          <w:lang w:val="en-GB"/>
        </w:rPr>
      </w:pPr>
      <w:r>
        <w:rPr>
          <w:rFonts w:hint="eastAsia" w:ascii="宋体" w:hAnsi="宋体"/>
          <w:b/>
          <w:bCs/>
          <w:sz w:val="24"/>
          <w:lang w:val="zh-CN"/>
        </w:rPr>
        <w:t>致：中天世纪国际招标有限公司</w:t>
      </w:r>
    </w:p>
    <w:p>
      <w:pPr>
        <w:spacing w:line="440" w:lineRule="exact"/>
        <w:ind w:firstLine="482" w:firstLineChars="200"/>
        <w:rPr>
          <w:rFonts w:ascii="宋体" w:hAnsi="宋体"/>
          <w:sz w:val="24"/>
          <w:lang w:val="en-GB"/>
        </w:rPr>
      </w:pPr>
      <w:r>
        <w:rPr>
          <w:rFonts w:hint="eastAsia" w:ascii="宋体" w:hAnsi="宋体"/>
          <w:b/>
          <w:bCs/>
          <w:sz w:val="24"/>
          <w:u w:val="single"/>
          <w:lang w:val="zh-CN"/>
        </w:rPr>
        <w:t>ＸＸＸ（姓名、姓别）在ＸＸＸ公司（供应商名称）任ＸＸ职务，是ＸＸＸ公司的法定代表人</w:t>
      </w:r>
      <w:r>
        <w:rPr>
          <w:rFonts w:hint="eastAsia" w:ascii="宋体" w:hAnsi="宋体"/>
          <w:b/>
          <w:bCs/>
          <w:sz w:val="24"/>
          <w:u w:val="single"/>
        </w:rPr>
        <w:t xml:space="preserve"> 。</w:t>
      </w:r>
      <w:r>
        <w:rPr>
          <w:rFonts w:hint="eastAsia" w:ascii="宋体" w:hAnsi="宋体"/>
          <w:sz w:val="24"/>
        </w:rPr>
        <w:t>现代</w:t>
      </w:r>
      <w:r>
        <w:rPr>
          <w:rFonts w:hint="eastAsia" w:ascii="宋体" w:hAnsi="宋体"/>
          <w:sz w:val="24"/>
          <w:lang w:val="zh-CN"/>
        </w:rPr>
        <w:t>表本公司授权</w:t>
      </w:r>
      <w:r>
        <w:rPr>
          <w:rFonts w:hint="eastAsia" w:ascii="宋体" w:hAnsi="宋体"/>
          <w:sz w:val="24"/>
          <w:u w:val="single"/>
          <w:lang w:val="zh-CN"/>
        </w:rPr>
        <w:t>（被授权代表）</w:t>
      </w:r>
      <w:r>
        <w:rPr>
          <w:rFonts w:hint="eastAsia" w:ascii="宋体" w:hAnsi="宋体"/>
          <w:b/>
          <w:bCs/>
          <w:sz w:val="24"/>
          <w:u w:val="single"/>
          <w:lang w:val="zh-CN"/>
        </w:rPr>
        <w:t>姓名：</w:t>
      </w:r>
      <w:r>
        <w:rPr>
          <w:rFonts w:hint="eastAsia" w:ascii="宋体" w:hAnsi="宋体"/>
          <w:b/>
          <w:bCs/>
          <w:sz w:val="24"/>
          <w:u w:val="single"/>
        </w:rPr>
        <w:t xml:space="preserve">        </w:t>
      </w:r>
      <w:r>
        <w:rPr>
          <w:rFonts w:hint="eastAsia" w:ascii="宋体" w:hAnsi="宋体"/>
          <w:b/>
          <w:bCs/>
          <w:sz w:val="24"/>
          <w:u w:val="single"/>
          <w:lang w:val="zh-CN"/>
        </w:rPr>
        <w:t>职务：</w:t>
      </w:r>
      <w:r>
        <w:rPr>
          <w:rFonts w:hint="eastAsia" w:ascii="宋体" w:hAnsi="宋体"/>
          <w:b/>
          <w:bCs/>
          <w:sz w:val="24"/>
          <w:u w:val="single"/>
        </w:rPr>
        <w:t xml:space="preserve">        </w:t>
      </w:r>
      <w:r>
        <w:rPr>
          <w:rFonts w:hint="eastAsia" w:ascii="宋体" w:hAnsi="宋体"/>
          <w:sz w:val="24"/>
          <w:lang w:val="zh-CN"/>
        </w:rPr>
        <w:t>为本公司的合法代理人，就</w:t>
      </w:r>
      <w:r>
        <w:rPr>
          <w:rFonts w:hint="eastAsia" w:ascii="宋体" w:hAnsi="宋体"/>
          <w:sz w:val="24"/>
          <w:u w:val="single"/>
          <w:lang w:val="zh-CN"/>
        </w:rPr>
        <w:t>　</w:t>
      </w:r>
      <w:r>
        <w:rPr>
          <w:rFonts w:hint="eastAsia" w:ascii="宋体" w:hAnsi="宋体"/>
          <w:b/>
          <w:bCs/>
          <w:sz w:val="24"/>
          <w:u w:val="single"/>
          <w:lang w:val="zh-CN"/>
        </w:rPr>
        <w:t>万宁市移动式水冲公厕项目（项目编号：</w:t>
      </w:r>
      <w:r>
        <w:rPr>
          <w:rFonts w:hint="eastAsia" w:ascii="宋体" w:hAnsi="宋体"/>
          <w:b/>
          <w:bCs/>
          <w:sz w:val="24"/>
          <w:u w:val="single"/>
        </w:rPr>
        <w:t>ZTSJ-HN201901</w:t>
      </w:r>
      <w:r>
        <w:rPr>
          <w:rFonts w:hint="eastAsia" w:ascii="宋体" w:hAnsi="宋体"/>
          <w:b/>
          <w:bCs/>
          <w:sz w:val="24"/>
          <w:u w:val="single"/>
          <w:lang w:val="en-US" w:eastAsia="zh-CN"/>
        </w:rPr>
        <w:t>4</w:t>
      </w:r>
      <w:r>
        <w:rPr>
          <w:rFonts w:hint="eastAsia" w:ascii="宋体" w:hAnsi="宋体"/>
          <w:b/>
          <w:bCs/>
          <w:sz w:val="24"/>
          <w:u w:val="single"/>
          <w:lang w:val="zh-CN"/>
        </w:rPr>
        <w:t>）</w:t>
      </w:r>
      <w:r>
        <w:rPr>
          <w:rFonts w:hint="eastAsia" w:ascii="宋体" w:hAnsi="宋体"/>
          <w:sz w:val="24"/>
          <w:lang w:val="zh-CN"/>
        </w:rPr>
        <w:t>进行响应，以本公司的名义处理一切与之相关的事务，</w:t>
      </w:r>
      <w:r>
        <w:rPr>
          <w:rFonts w:hint="eastAsia" w:ascii="宋体" w:hAnsi="宋体"/>
          <w:sz w:val="24"/>
        </w:rPr>
        <w:t>所签署的有关文件，本公司均予以认可并承担相应的法律责任</w:t>
      </w:r>
      <w:r>
        <w:rPr>
          <w:rFonts w:hint="eastAsia" w:ascii="宋体" w:hAnsi="宋体"/>
          <w:sz w:val="24"/>
          <w:lang w:val="en-GB"/>
        </w:rPr>
        <w:t>。</w:t>
      </w:r>
    </w:p>
    <w:p>
      <w:pPr>
        <w:spacing w:line="440" w:lineRule="exact"/>
        <w:ind w:firstLine="480" w:firstLineChars="200"/>
        <w:rPr>
          <w:rFonts w:ascii="宋体" w:hAnsi="宋体"/>
          <w:sz w:val="24"/>
          <w:lang w:val="en-GB"/>
        </w:rPr>
      </w:pPr>
      <w:r>
        <w:rPr>
          <w:rFonts w:hint="eastAsia" w:ascii="宋体" w:hAnsi="宋体"/>
          <w:sz w:val="24"/>
          <w:lang w:val="en-GB"/>
        </w:rPr>
        <w:t>本授权书自</w:t>
      </w:r>
      <w:r>
        <w:rPr>
          <w:rFonts w:hint="eastAsia" w:ascii="宋体" w:hAnsi="宋体"/>
          <w:sz w:val="24"/>
          <w:u w:val="single"/>
        </w:rPr>
        <w:t xml:space="preserve">      </w:t>
      </w:r>
      <w:r>
        <w:rPr>
          <w:rFonts w:hint="eastAsia" w:ascii="宋体" w:hAnsi="宋体"/>
          <w:sz w:val="24"/>
          <w:lang w:val="en-GB"/>
        </w:rPr>
        <w:t>年</w:t>
      </w:r>
      <w:r>
        <w:rPr>
          <w:rFonts w:hint="eastAsia" w:ascii="宋体" w:hAnsi="宋体"/>
          <w:sz w:val="24"/>
          <w:u w:val="single"/>
        </w:rPr>
        <w:t xml:space="preserve">    </w:t>
      </w:r>
      <w:r>
        <w:rPr>
          <w:rFonts w:hint="eastAsia" w:ascii="宋体" w:hAnsi="宋体"/>
          <w:sz w:val="24"/>
          <w:lang w:val="en-GB"/>
        </w:rPr>
        <w:t>月</w:t>
      </w:r>
      <w:r>
        <w:rPr>
          <w:rFonts w:hint="eastAsia" w:ascii="宋体" w:hAnsi="宋体"/>
          <w:sz w:val="24"/>
          <w:u w:val="single"/>
        </w:rPr>
        <w:t xml:space="preserve">    </w:t>
      </w:r>
      <w:r>
        <w:rPr>
          <w:rFonts w:hint="eastAsia" w:ascii="宋体" w:hAnsi="宋体"/>
          <w:sz w:val="24"/>
          <w:lang w:val="en-GB"/>
        </w:rPr>
        <w:t>日至</w:t>
      </w:r>
      <w:r>
        <w:rPr>
          <w:rFonts w:hint="eastAsia" w:ascii="宋体" w:hAnsi="宋体"/>
          <w:sz w:val="24"/>
          <w:u w:val="single"/>
        </w:rPr>
        <w:t xml:space="preserve">      </w:t>
      </w:r>
      <w:r>
        <w:rPr>
          <w:rFonts w:hint="eastAsia" w:ascii="宋体" w:hAnsi="宋体"/>
          <w:sz w:val="24"/>
          <w:lang w:val="en-GB"/>
        </w:rPr>
        <w:t>年</w:t>
      </w:r>
      <w:r>
        <w:rPr>
          <w:rFonts w:hint="eastAsia" w:ascii="宋体" w:hAnsi="宋体"/>
          <w:sz w:val="24"/>
          <w:u w:val="single"/>
        </w:rPr>
        <w:t xml:space="preserve">    </w:t>
      </w:r>
      <w:r>
        <w:rPr>
          <w:rFonts w:hint="eastAsia" w:ascii="宋体" w:hAnsi="宋体"/>
          <w:sz w:val="24"/>
          <w:lang w:val="en-GB"/>
        </w:rPr>
        <w:t>月</w:t>
      </w:r>
      <w:r>
        <w:rPr>
          <w:rFonts w:hint="eastAsia" w:ascii="宋体" w:hAnsi="宋体"/>
          <w:sz w:val="24"/>
          <w:u w:val="single"/>
        </w:rPr>
        <w:t xml:space="preserve">    </w:t>
      </w:r>
      <w:r>
        <w:rPr>
          <w:rFonts w:hint="eastAsia" w:ascii="宋体" w:hAnsi="宋体"/>
          <w:sz w:val="24"/>
          <w:lang w:val="en-GB"/>
        </w:rPr>
        <w:t>日内签字有效，特此声明。</w:t>
      </w:r>
    </w:p>
    <w:p>
      <w:pPr>
        <w:spacing w:beforeLines="100" w:afterLines="100" w:line="440" w:lineRule="exact"/>
        <w:rPr>
          <w:rFonts w:ascii="宋体" w:hAnsi="宋体"/>
          <w:sz w:val="24"/>
          <w:lang w:val="en-GB"/>
        </w:rPr>
      </w:pPr>
      <w:r>
        <w:rPr>
          <w:rFonts w:hint="eastAsia" w:ascii="宋体" w:hAnsi="宋体"/>
          <w:sz w:val="24"/>
          <w:lang w:val="en-GB"/>
        </w:rPr>
        <w:t>供应商名称：</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（公章）</w:t>
      </w:r>
      <w:r>
        <w:rPr>
          <w:rFonts w:hint="eastAsia" w:ascii="宋体" w:hAnsi="宋体"/>
          <w:sz w:val="24"/>
          <w:lang w:val="en-GB"/>
        </w:rPr>
        <w:t xml:space="preserve">  </w:t>
      </w:r>
      <w:r>
        <w:rPr>
          <w:rFonts w:hint="eastAsia" w:ascii="宋体" w:hAnsi="宋体"/>
          <w:sz w:val="24"/>
        </w:rPr>
        <w:t xml:space="preserve">  </w:t>
      </w:r>
      <w:r>
        <w:rPr>
          <w:rFonts w:hint="eastAsia" w:ascii="宋体" w:hAnsi="宋体"/>
          <w:sz w:val="24"/>
          <w:lang w:val="en-GB"/>
        </w:rPr>
        <w:t>营业执照号码：</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p>
    <w:p>
      <w:pPr>
        <w:spacing w:beforeLines="100" w:afterLines="100" w:line="440" w:lineRule="exact"/>
        <w:rPr>
          <w:rFonts w:ascii="宋体" w:hAnsi="宋体"/>
          <w:sz w:val="24"/>
          <w:lang w:val="en-GB"/>
        </w:rPr>
      </w:pPr>
      <w:r>
        <w:rPr>
          <w:rFonts w:hint="eastAsia" w:ascii="宋体" w:hAnsi="宋体"/>
          <w:sz w:val="24"/>
          <w:lang w:val="en-GB"/>
        </w:rPr>
        <w:t>法定代表人：</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bCs/>
          <w:sz w:val="24"/>
          <w:u w:val="single"/>
          <w:lang w:val="en-GB"/>
        </w:rPr>
        <w:t>（亲笔签名）</w:t>
      </w:r>
      <w:r>
        <w:rPr>
          <w:rFonts w:hint="eastAsia" w:ascii="宋体" w:hAnsi="宋体"/>
          <w:sz w:val="24"/>
          <w:lang w:val="en-GB"/>
        </w:rPr>
        <w:t xml:space="preserve">  </w:t>
      </w:r>
      <w:r>
        <w:rPr>
          <w:rFonts w:hint="eastAsia" w:ascii="宋体" w:hAnsi="宋体"/>
          <w:sz w:val="24"/>
        </w:rPr>
        <w:t xml:space="preserve">  </w:t>
      </w:r>
      <w:r>
        <w:rPr>
          <w:rFonts w:hint="eastAsia" w:ascii="宋体" w:hAnsi="宋体"/>
          <w:sz w:val="24"/>
          <w:lang w:val="en-GB"/>
        </w:rPr>
        <w:t>联系电话：</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p>
    <w:p>
      <w:pPr>
        <w:spacing w:beforeLines="100" w:afterLines="100" w:line="440" w:lineRule="exact"/>
        <w:rPr>
          <w:rFonts w:ascii="宋体" w:hAnsi="宋体"/>
          <w:sz w:val="24"/>
          <w:lang w:val="en-GB"/>
        </w:rPr>
      </w:pPr>
      <w:r>
        <w:rPr>
          <w:rFonts w:hint="eastAsia" w:ascii="宋体" w:hAnsi="宋体"/>
          <w:sz w:val="24"/>
          <w:lang w:val="en-GB"/>
        </w:rPr>
        <w:t>职    务：</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lang w:val="en-GB"/>
        </w:rPr>
        <w:t xml:space="preserve">  </w:t>
      </w:r>
      <w:r>
        <w:rPr>
          <w:rFonts w:hint="eastAsia" w:ascii="宋体" w:hAnsi="宋体"/>
          <w:sz w:val="24"/>
        </w:rPr>
        <w:t xml:space="preserve">  </w:t>
      </w:r>
      <w:r>
        <w:rPr>
          <w:rFonts w:hint="eastAsia" w:ascii="宋体" w:hAnsi="宋体"/>
          <w:sz w:val="24"/>
          <w:lang w:val="en-GB"/>
        </w:rPr>
        <w:t>身份证号码：</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p>
    <w:p>
      <w:pPr>
        <w:spacing w:beforeLines="100" w:afterLines="100" w:line="440" w:lineRule="exact"/>
        <w:rPr>
          <w:rFonts w:ascii="宋体" w:hAnsi="宋体"/>
          <w:sz w:val="24"/>
          <w:u w:val="single"/>
          <w:lang w:val="en-GB"/>
        </w:rPr>
      </w:pPr>
      <w:r>
        <w:rPr>
          <w:rFonts w:hint="eastAsia" w:ascii="宋体" w:hAnsi="宋体"/>
          <w:sz w:val="24"/>
          <w:lang w:val="en-GB"/>
        </w:rPr>
        <w:t>被授权人：</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bCs/>
          <w:sz w:val="24"/>
          <w:u w:val="single"/>
          <w:lang w:val="en-GB"/>
        </w:rPr>
        <w:t>（亲笔签名）</w:t>
      </w:r>
      <w:r>
        <w:rPr>
          <w:rFonts w:hint="eastAsia" w:ascii="宋体" w:hAnsi="宋体"/>
          <w:sz w:val="24"/>
          <w:lang w:val="en-GB"/>
        </w:rPr>
        <w:t xml:space="preserve">  </w:t>
      </w:r>
      <w:r>
        <w:rPr>
          <w:rFonts w:hint="eastAsia" w:ascii="宋体" w:hAnsi="宋体"/>
          <w:sz w:val="24"/>
        </w:rPr>
        <w:t xml:space="preserve">  </w:t>
      </w:r>
      <w:r>
        <w:rPr>
          <w:rFonts w:hint="eastAsia" w:ascii="宋体" w:hAnsi="宋体"/>
          <w:sz w:val="24"/>
          <w:lang w:val="en-GB"/>
        </w:rPr>
        <w:t>联系电话：</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p>
    <w:p>
      <w:pPr>
        <w:spacing w:beforeLines="100" w:afterLines="100" w:line="440" w:lineRule="exact"/>
        <w:rPr>
          <w:rFonts w:ascii="宋体" w:hAnsi="宋体"/>
          <w:sz w:val="24"/>
          <w:lang w:val="en-GB"/>
        </w:rPr>
      </w:pPr>
      <w:r>
        <w:rPr>
          <w:rFonts w:hint="eastAsia" w:ascii="宋体" w:hAnsi="宋体"/>
          <w:sz w:val="24"/>
          <w:lang w:val="en-GB"/>
        </w:rPr>
        <w:t>职    务：</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lang w:val="en-GB"/>
        </w:rPr>
        <w:t xml:space="preserve">  </w:t>
      </w:r>
      <w:r>
        <w:rPr>
          <w:rFonts w:hint="eastAsia" w:ascii="宋体" w:hAnsi="宋体"/>
          <w:sz w:val="24"/>
        </w:rPr>
        <w:t xml:space="preserve">  </w:t>
      </w:r>
      <w:r>
        <w:rPr>
          <w:rFonts w:hint="eastAsia" w:ascii="宋体" w:hAnsi="宋体"/>
          <w:sz w:val="24"/>
          <w:lang w:val="en-GB"/>
        </w:rPr>
        <w:t>身份证号码：</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p>
    <w:p>
      <w:pPr>
        <w:spacing w:beforeLines="100" w:afterLines="100" w:line="440" w:lineRule="exact"/>
        <w:rPr>
          <w:rFonts w:ascii="宋体" w:hAnsi="宋体"/>
          <w:sz w:val="24"/>
          <w:lang w:val="en-GB"/>
        </w:rPr>
      </w:pPr>
      <w:r>
        <w:rPr>
          <w:rFonts w:hint="eastAsia" w:ascii="宋体" w:hAnsi="宋体"/>
          <w:sz w:val="24"/>
          <w:lang w:val="en-GB"/>
        </w:rPr>
        <w:t>生效日期：</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lang w:val="en-GB"/>
        </w:rPr>
        <w:t>年</w:t>
      </w:r>
      <w:r>
        <w:rPr>
          <w:rFonts w:hint="eastAsia" w:ascii="宋体" w:hAnsi="宋体"/>
          <w:sz w:val="24"/>
          <w:u w:val="single"/>
          <w:lang w:val="en-GB"/>
        </w:rPr>
        <w:t xml:space="preserve">    </w:t>
      </w:r>
      <w:r>
        <w:rPr>
          <w:rFonts w:hint="eastAsia" w:ascii="宋体" w:hAnsi="宋体"/>
          <w:sz w:val="24"/>
          <w:lang w:val="en-GB"/>
        </w:rPr>
        <w:t>月</w:t>
      </w:r>
      <w:r>
        <w:rPr>
          <w:rFonts w:hint="eastAsia" w:ascii="宋体" w:hAnsi="宋体"/>
          <w:sz w:val="24"/>
          <w:u w:val="single"/>
          <w:lang w:val="en-GB"/>
        </w:rPr>
        <w:t xml:space="preserve">    </w:t>
      </w:r>
      <w:r>
        <w:rPr>
          <w:rFonts w:hint="eastAsia" w:ascii="宋体" w:hAnsi="宋体"/>
          <w:sz w:val="24"/>
          <w:lang w:val="en-GB"/>
        </w:rPr>
        <w:t>日</w:t>
      </w:r>
    </w:p>
    <w:p>
      <w:pPr>
        <w:spacing w:line="440" w:lineRule="exact"/>
        <w:jc w:val="left"/>
        <w:rPr>
          <w:rFonts w:ascii="宋体" w:hAnsi="宋体"/>
          <w:b/>
          <w:bCs/>
          <w:sz w:val="24"/>
          <w:lang w:val="en-GB"/>
        </w:rPr>
      </w:pPr>
      <w:r>
        <w:rPr>
          <w:rFonts w:hint="eastAsia" w:ascii="宋体" w:hAnsi="宋体"/>
          <w:b/>
          <w:sz w:val="24"/>
          <w:lang w:val="en-GB"/>
        </w:rPr>
        <w:t>另附法定代表人和被授权人身份证正反面复印件。</w:t>
      </w:r>
    </w:p>
    <w:p>
      <w:pPr>
        <w:spacing w:line="440" w:lineRule="exact"/>
        <w:jc w:val="center"/>
        <w:rPr>
          <w:rFonts w:ascii="宋体" w:hAnsi="宋体"/>
          <w:sz w:val="24"/>
        </w:rPr>
      </w:pPr>
      <w:bookmarkStart w:id="127" w:name="_Toc18592_WPSOffice_Level3"/>
      <w:r>
        <w:rPr>
          <w:rFonts w:hint="eastAsia" w:ascii="宋体" w:hAnsi="宋体"/>
          <w:b/>
          <w:bCs/>
          <w:sz w:val="24"/>
          <w:lang w:val="en-GB"/>
        </w:rPr>
        <w:t>注：本授权书内容不得擅自修改。</w:t>
      </w:r>
      <w:bookmarkEnd w:id="127"/>
    </w:p>
    <w:p>
      <w:pPr>
        <w:spacing w:line="440" w:lineRule="exact"/>
        <w:jc w:val="center"/>
        <w:rPr>
          <w:rFonts w:ascii="宋体" w:hAnsi="宋体"/>
          <w:b/>
          <w:sz w:val="36"/>
          <w:szCs w:val="36"/>
          <w:lang w:val="en-GB"/>
        </w:rPr>
      </w:pPr>
    </w:p>
    <w:p>
      <w:pPr>
        <w:spacing w:line="440" w:lineRule="exact"/>
        <w:jc w:val="center"/>
        <w:rPr>
          <w:rFonts w:hint="eastAsia" w:ascii="宋体" w:hAnsi="宋体"/>
          <w:b/>
          <w:sz w:val="36"/>
          <w:szCs w:val="36"/>
        </w:rPr>
      </w:pPr>
      <w:bookmarkStart w:id="128" w:name="_Toc19940_WPSOffice_Level2"/>
      <w:bookmarkStart w:id="129" w:name="_Toc17757_WPSOffice_Level2"/>
    </w:p>
    <w:p>
      <w:pPr>
        <w:pStyle w:val="3"/>
        <w:bidi w:val="0"/>
        <w:jc w:val="both"/>
        <w:rPr>
          <w:rFonts w:hint="eastAsia" w:ascii="Arial" w:hAnsi="Arial" w:eastAsia="宋体"/>
          <w:sz w:val="36"/>
          <w:szCs w:val="36"/>
        </w:rPr>
      </w:pPr>
    </w:p>
    <w:p>
      <w:pPr>
        <w:rPr>
          <w:rFonts w:hint="eastAsia" w:ascii="Arial" w:hAnsi="Arial" w:eastAsia="宋体"/>
          <w:sz w:val="36"/>
          <w:szCs w:val="36"/>
        </w:rPr>
      </w:pPr>
    </w:p>
    <w:p>
      <w:pPr>
        <w:rPr>
          <w:rFonts w:hint="eastAsia" w:ascii="Arial" w:hAnsi="Arial" w:eastAsia="宋体"/>
          <w:sz w:val="36"/>
          <w:szCs w:val="36"/>
        </w:rPr>
      </w:pPr>
    </w:p>
    <w:p>
      <w:pPr>
        <w:pStyle w:val="3"/>
        <w:bidi w:val="0"/>
        <w:jc w:val="center"/>
        <w:rPr>
          <w:rFonts w:hint="eastAsia" w:ascii="Arial" w:hAnsi="Arial" w:eastAsia="宋体"/>
          <w:sz w:val="36"/>
          <w:szCs w:val="36"/>
        </w:rPr>
      </w:pPr>
    </w:p>
    <w:p>
      <w:pPr>
        <w:pStyle w:val="3"/>
        <w:bidi w:val="0"/>
        <w:jc w:val="both"/>
        <w:rPr>
          <w:rFonts w:hint="eastAsia" w:ascii="Arial" w:hAnsi="Arial" w:eastAsia="宋体"/>
          <w:sz w:val="36"/>
          <w:szCs w:val="36"/>
        </w:rPr>
      </w:pPr>
    </w:p>
    <w:p>
      <w:pPr>
        <w:rPr>
          <w:rFonts w:hint="eastAsia"/>
        </w:rPr>
      </w:pPr>
    </w:p>
    <w:p>
      <w:pPr>
        <w:pStyle w:val="3"/>
        <w:bidi w:val="0"/>
        <w:jc w:val="center"/>
        <w:rPr>
          <w:rFonts w:hint="eastAsia" w:ascii="Arial" w:hAnsi="Arial" w:eastAsia="宋体"/>
          <w:sz w:val="36"/>
          <w:szCs w:val="36"/>
          <w:lang w:val="en-GB"/>
        </w:rPr>
      </w:pPr>
      <w:bookmarkStart w:id="130" w:name="_Toc32267_WPSOffice_Level2"/>
      <w:r>
        <w:rPr>
          <w:rFonts w:hint="eastAsia" w:ascii="Arial" w:hAnsi="Arial" w:eastAsia="宋体"/>
          <w:sz w:val="36"/>
          <w:szCs w:val="36"/>
        </w:rPr>
        <w:t>3、</w:t>
      </w:r>
      <w:r>
        <w:rPr>
          <w:rFonts w:hint="eastAsia" w:ascii="Arial" w:hAnsi="Arial" w:eastAsia="宋体"/>
          <w:sz w:val="36"/>
          <w:szCs w:val="36"/>
          <w:lang w:val="en-GB"/>
        </w:rPr>
        <w:t>资格声明函</w:t>
      </w:r>
      <w:bookmarkEnd w:id="128"/>
      <w:bookmarkEnd w:id="129"/>
      <w:bookmarkEnd w:id="130"/>
    </w:p>
    <w:p>
      <w:pPr>
        <w:spacing w:line="440" w:lineRule="exact"/>
        <w:jc w:val="center"/>
        <w:rPr>
          <w:rFonts w:ascii="宋体" w:hAnsi="宋体"/>
          <w:b/>
          <w:sz w:val="24"/>
          <w:lang w:val="en-GB"/>
        </w:rPr>
      </w:pPr>
    </w:p>
    <w:p>
      <w:pPr>
        <w:snapToGrid w:val="0"/>
        <w:spacing w:beforeLines="50" w:line="440" w:lineRule="exact"/>
        <w:rPr>
          <w:rFonts w:ascii="宋体" w:hAnsi="宋体"/>
          <w:b/>
          <w:kern w:val="0"/>
          <w:sz w:val="24"/>
          <w:lang w:val="en-GB"/>
        </w:rPr>
      </w:pPr>
      <w:r>
        <w:rPr>
          <w:rFonts w:hint="eastAsia" w:ascii="宋体" w:hAnsi="宋体"/>
          <w:b/>
          <w:kern w:val="0"/>
          <w:sz w:val="24"/>
          <w:lang w:val="en-GB"/>
        </w:rPr>
        <w:t>致：中天世纪国际招标有限公司</w:t>
      </w:r>
    </w:p>
    <w:p>
      <w:pPr>
        <w:spacing w:line="440" w:lineRule="exact"/>
        <w:ind w:firstLine="576"/>
        <w:rPr>
          <w:rFonts w:ascii="宋体" w:hAnsi="宋体"/>
          <w:sz w:val="24"/>
        </w:rPr>
      </w:pPr>
      <w:r>
        <w:rPr>
          <w:rFonts w:hint="eastAsia" w:ascii="宋体" w:hAnsi="宋体"/>
          <w:sz w:val="24"/>
        </w:rPr>
        <w:t>为响应贵公司组织的</w:t>
      </w:r>
      <w:r>
        <w:rPr>
          <w:rFonts w:hint="eastAsia" w:ascii="宋体" w:hAnsi="宋体"/>
          <w:sz w:val="24"/>
          <w:u w:val="single"/>
        </w:rPr>
        <w:t>　</w:t>
      </w:r>
      <w:r>
        <w:rPr>
          <w:rFonts w:hint="eastAsia" w:ascii="宋体" w:hAnsi="宋体"/>
          <w:b/>
          <w:bCs/>
          <w:sz w:val="24"/>
          <w:u w:val="single"/>
          <w:lang w:val="zh-CN"/>
        </w:rPr>
        <w:t>万宁市移动式水冲公厕项目</w:t>
      </w:r>
      <w:r>
        <w:rPr>
          <w:rFonts w:hint="eastAsia" w:ascii="宋体" w:hAnsi="宋体"/>
          <w:b/>
          <w:bCs/>
          <w:sz w:val="24"/>
          <w:u w:val="single"/>
        </w:rPr>
        <w:t>（项目编号：ZTSJ-HN201901</w:t>
      </w:r>
      <w:r>
        <w:rPr>
          <w:rFonts w:hint="eastAsia" w:ascii="宋体" w:hAnsi="宋体"/>
          <w:b/>
          <w:bCs/>
          <w:sz w:val="24"/>
          <w:u w:val="single"/>
          <w:lang w:val="en-US" w:eastAsia="zh-CN"/>
        </w:rPr>
        <w:t>4</w:t>
      </w:r>
      <w:r>
        <w:rPr>
          <w:rFonts w:hint="eastAsia" w:ascii="宋体" w:hAnsi="宋体"/>
          <w:b/>
          <w:bCs/>
          <w:sz w:val="24"/>
          <w:u w:val="single"/>
        </w:rPr>
        <w:t>）</w:t>
      </w:r>
      <w:r>
        <w:rPr>
          <w:rFonts w:hint="eastAsia" w:ascii="宋体" w:hAnsi="宋体"/>
          <w:sz w:val="24"/>
        </w:rPr>
        <w:t>的谈判采购活动，我公司愿意参与响应。</w:t>
      </w:r>
    </w:p>
    <w:p>
      <w:pPr>
        <w:spacing w:line="440" w:lineRule="exact"/>
        <w:ind w:firstLine="576"/>
        <w:rPr>
          <w:rFonts w:ascii="宋体" w:hAnsi="宋体"/>
          <w:sz w:val="24"/>
        </w:rPr>
      </w:pPr>
      <w:r>
        <w:rPr>
          <w:rFonts w:hint="eastAsia" w:ascii="宋体" w:hAnsi="宋体"/>
          <w:sz w:val="24"/>
        </w:rPr>
        <w:t>我公司在法律、财务和运作上符合谈判文件对供应商的资格要求，提供“用户需求书”中全部的服务，提交的所有文件和全部说明是真实有效的和正确的。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bCs/>
          <w:kern w:val="0"/>
          <w:sz w:val="24"/>
          <w:lang w:val="en-GB"/>
        </w:rPr>
        <w:t>在经营活动中未有重大事故、违法记录</w:t>
      </w:r>
      <w:r>
        <w:rPr>
          <w:rFonts w:hint="eastAsia" w:ascii="宋体" w:hAnsi="宋体"/>
          <w:sz w:val="24"/>
        </w:rPr>
        <w:t>。</w:t>
      </w:r>
    </w:p>
    <w:p>
      <w:pPr>
        <w:spacing w:line="440" w:lineRule="exact"/>
        <w:ind w:firstLine="576"/>
        <w:rPr>
          <w:rFonts w:ascii="宋体" w:hAnsi="宋体"/>
          <w:sz w:val="24"/>
        </w:rPr>
      </w:pPr>
      <w:r>
        <w:rPr>
          <w:rFonts w:hint="eastAsia" w:ascii="宋体" w:hAnsi="宋体"/>
          <w:sz w:val="24"/>
        </w:rPr>
        <w:t>特此声明</w:t>
      </w:r>
    </w:p>
    <w:p>
      <w:pPr>
        <w:spacing w:line="440" w:lineRule="exact"/>
        <w:ind w:firstLine="576"/>
        <w:rPr>
          <w:rFonts w:ascii="宋体" w:hAnsi="宋体"/>
          <w:sz w:val="24"/>
        </w:rPr>
      </w:pPr>
    </w:p>
    <w:p>
      <w:pPr>
        <w:spacing w:line="440" w:lineRule="exact"/>
        <w:ind w:firstLine="576"/>
        <w:rPr>
          <w:rFonts w:ascii="宋体" w:hAnsi="宋体"/>
          <w:sz w:val="24"/>
        </w:rPr>
      </w:pPr>
      <w:r>
        <w:rPr>
          <w:rFonts w:hint="eastAsia" w:ascii="宋体" w:hAnsi="宋体"/>
          <w:sz w:val="24"/>
        </w:rPr>
        <w:t>注：附</w:t>
      </w:r>
      <w:r>
        <w:rPr>
          <w:rFonts w:hint="eastAsia" w:ascii="宋体" w:hAnsi="宋体"/>
          <w:bCs/>
          <w:sz w:val="24"/>
        </w:rPr>
        <w:t>“信用中国”网站（www.creditchina.gov.cn）查询，列入失信被执行人、重大税收违法案件当事人名单、政府采购严重违法失信行为记录名单的供应商，依法拒绝其参与政府采购活动。（打印网站查询结果，并加盖公章）</w:t>
      </w: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rPr>
        <w:t>供应商</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bCs/>
          <w:sz w:val="24"/>
          <w:u w:val="single"/>
          <w:lang w:val="en-GB"/>
        </w:rPr>
        <w:t>（亲笔签名）</w:t>
      </w:r>
    </w:p>
    <w:p>
      <w:pPr>
        <w:adjustRightInd w:val="0"/>
        <w:snapToGrid w:val="0"/>
        <w:spacing w:line="720" w:lineRule="auto"/>
        <w:ind w:right="210" w:rightChars="100"/>
        <w:jc w:val="center"/>
        <w:rPr>
          <w:rFonts w:ascii="宋体" w:hAnsi="宋体"/>
          <w:bCs/>
          <w:kern w:val="0"/>
          <w:sz w:val="24"/>
          <w:lang w:val="en-GB"/>
        </w:rPr>
      </w:pPr>
      <w:r>
        <w:rPr>
          <w:rFonts w:hint="eastAsia"/>
          <w:sz w:val="24"/>
        </w:rPr>
        <w:t xml:space="preserve">        </w:t>
      </w:r>
      <w:bookmarkStart w:id="131" w:name="_Toc21439_WPSOffice_Level3"/>
      <w:r>
        <w:rPr>
          <w:rFonts w:hint="eastAsia"/>
          <w:sz w:val="24"/>
        </w:rPr>
        <w:t>申明日期：</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lang w:val="en-GB"/>
        </w:rPr>
        <w:t>年</w:t>
      </w:r>
      <w:r>
        <w:rPr>
          <w:rFonts w:hint="eastAsia" w:ascii="宋体" w:hAnsi="宋体"/>
          <w:sz w:val="24"/>
          <w:u w:val="single"/>
          <w:lang w:val="en-GB"/>
        </w:rPr>
        <w:t xml:space="preserve">    </w:t>
      </w:r>
      <w:r>
        <w:rPr>
          <w:rFonts w:hint="eastAsia" w:ascii="宋体" w:hAnsi="宋体"/>
          <w:sz w:val="24"/>
          <w:lang w:val="en-GB"/>
        </w:rPr>
        <w:t>月</w:t>
      </w:r>
      <w:r>
        <w:rPr>
          <w:rFonts w:hint="eastAsia" w:ascii="宋体" w:hAnsi="宋体"/>
          <w:sz w:val="24"/>
          <w:u w:val="single"/>
          <w:lang w:val="en-GB"/>
        </w:rPr>
        <w:t xml:space="preserve">    </w:t>
      </w:r>
      <w:r>
        <w:rPr>
          <w:rFonts w:hint="eastAsia" w:ascii="宋体" w:hAnsi="宋体"/>
          <w:sz w:val="24"/>
          <w:lang w:val="en-GB"/>
        </w:rPr>
        <w:t>日</w:t>
      </w:r>
      <w:bookmarkEnd w:id="131"/>
    </w:p>
    <w:p>
      <w:pPr>
        <w:spacing w:beforeLines="50" w:line="440" w:lineRule="exact"/>
        <w:rPr>
          <w:rFonts w:hint="eastAsia" w:ascii="宋体" w:hAnsi="宋体"/>
          <w:b/>
          <w:bCs/>
          <w:sz w:val="24"/>
        </w:rPr>
      </w:pPr>
    </w:p>
    <w:p>
      <w:pPr>
        <w:spacing w:beforeLines="50" w:line="440" w:lineRule="exact"/>
        <w:rPr>
          <w:rFonts w:hint="eastAsia" w:ascii="宋体" w:hAnsi="宋体"/>
          <w:b/>
          <w:bCs/>
          <w:sz w:val="24"/>
        </w:rPr>
      </w:pPr>
    </w:p>
    <w:p>
      <w:pPr>
        <w:spacing w:beforeLines="50" w:line="440" w:lineRule="exact"/>
        <w:rPr>
          <w:rFonts w:hint="eastAsia" w:ascii="宋体" w:hAnsi="宋体"/>
          <w:b/>
          <w:bCs/>
          <w:sz w:val="24"/>
        </w:rPr>
      </w:pPr>
    </w:p>
    <w:p>
      <w:pPr>
        <w:spacing w:beforeLines="50" w:line="440" w:lineRule="exact"/>
        <w:rPr>
          <w:rFonts w:hint="eastAsia" w:ascii="宋体" w:hAnsi="宋体"/>
          <w:b/>
          <w:bCs/>
          <w:sz w:val="24"/>
        </w:rPr>
      </w:pPr>
    </w:p>
    <w:p>
      <w:pPr>
        <w:spacing w:beforeLines="50" w:line="440" w:lineRule="exact"/>
        <w:rPr>
          <w:rFonts w:hint="eastAsia" w:ascii="宋体" w:hAnsi="宋体"/>
          <w:b/>
          <w:bCs/>
          <w:sz w:val="24"/>
        </w:rPr>
      </w:pPr>
    </w:p>
    <w:p>
      <w:pPr>
        <w:spacing w:beforeLines="50" w:line="440" w:lineRule="exact"/>
        <w:rPr>
          <w:rFonts w:hint="eastAsia" w:ascii="宋体" w:hAnsi="宋体"/>
          <w:b/>
          <w:bCs/>
          <w:sz w:val="24"/>
        </w:rPr>
      </w:pPr>
    </w:p>
    <w:p>
      <w:pPr>
        <w:spacing w:beforeLines="50" w:line="440" w:lineRule="exact"/>
        <w:rPr>
          <w:rFonts w:hint="eastAsia" w:ascii="宋体" w:hAnsi="宋体"/>
          <w:b/>
          <w:bCs/>
          <w:sz w:val="24"/>
        </w:rPr>
      </w:pPr>
    </w:p>
    <w:p>
      <w:pPr>
        <w:spacing w:beforeLines="50" w:line="440" w:lineRule="exact"/>
        <w:rPr>
          <w:rFonts w:ascii="宋体" w:hAnsi="宋体"/>
          <w:b/>
          <w:sz w:val="24"/>
        </w:rPr>
      </w:pPr>
      <w:r>
        <w:rPr>
          <w:rFonts w:hint="eastAsia" w:ascii="宋体" w:hAnsi="宋体"/>
          <w:b/>
          <w:bCs/>
          <w:sz w:val="24"/>
        </w:rPr>
        <w:t>（表1）</w:t>
      </w:r>
    </w:p>
    <w:p>
      <w:pPr>
        <w:pStyle w:val="3"/>
        <w:bidi w:val="0"/>
        <w:jc w:val="center"/>
        <w:rPr>
          <w:rFonts w:hint="eastAsia" w:ascii="Arial" w:hAnsi="Arial" w:eastAsia="宋体"/>
          <w:sz w:val="36"/>
          <w:szCs w:val="36"/>
        </w:rPr>
      </w:pPr>
      <w:bookmarkStart w:id="132" w:name="_Toc31206_WPSOffice_Level2"/>
      <w:bookmarkStart w:id="133" w:name="_Toc2714_WPSOffice_Level2"/>
      <w:bookmarkStart w:id="134" w:name="_Toc22765_WPSOffice_Level2"/>
      <w:r>
        <w:rPr>
          <w:rFonts w:hint="eastAsia" w:ascii="Arial" w:hAnsi="Arial" w:eastAsia="宋体"/>
          <w:sz w:val="36"/>
          <w:szCs w:val="36"/>
        </w:rPr>
        <w:t>4、报价一览表</w:t>
      </w:r>
      <w:bookmarkEnd w:id="132"/>
      <w:bookmarkEnd w:id="133"/>
      <w:bookmarkEnd w:id="134"/>
    </w:p>
    <w:p>
      <w:pPr>
        <w:spacing w:afterLines="50" w:line="440" w:lineRule="exact"/>
        <w:jc w:val="center"/>
        <w:rPr>
          <w:rFonts w:ascii="宋体" w:hAnsi="宋体"/>
          <w:sz w:val="24"/>
        </w:rPr>
      </w:pPr>
      <w:bookmarkStart w:id="135" w:name="_Toc738_WPSOffice_Level3"/>
      <w:r>
        <w:rPr>
          <w:rFonts w:hint="eastAsia" w:ascii="宋体" w:hAnsi="宋体"/>
          <w:sz w:val="24"/>
        </w:rPr>
        <w:t>（独立信封另密封一份）</w:t>
      </w:r>
      <w:bookmarkEnd w:id="135"/>
    </w:p>
    <w:tbl>
      <w:tblPr>
        <w:tblStyle w:val="14"/>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b/>
                <w:bCs/>
                <w:sz w:val="24"/>
                <w:lang w:val="en-GB"/>
              </w:rPr>
            </w:pPr>
            <w:r>
              <w:rPr>
                <w:rFonts w:hint="eastAsia" w:ascii="宋体" w:hAnsi="宋体"/>
                <w:b/>
                <w:bCs/>
                <w:sz w:val="24"/>
                <w:lang w:val="en-GB"/>
              </w:rPr>
              <w:t>项目名称</w:t>
            </w:r>
          </w:p>
        </w:tc>
        <w:tc>
          <w:tcPr>
            <w:tcW w:w="7036" w:type="dxa"/>
          </w:tcPr>
          <w:p>
            <w:pPr>
              <w:spacing w:beforeLines="50" w:afterLines="50" w:line="440" w:lineRule="exact"/>
              <w:jc w:val="center"/>
              <w:rPr>
                <w:rFonts w:ascii="宋体" w:hAnsi="宋体"/>
                <w:b/>
                <w:bCs/>
                <w:sz w:val="24"/>
                <w:lang w:val="en-GB"/>
              </w:rPr>
            </w:pPr>
            <w:r>
              <w:rPr>
                <w:rFonts w:hint="eastAsia" w:ascii="宋体" w:hAnsi="宋体"/>
                <w:b/>
                <w:bCs/>
                <w:sz w:val="24"/>
                <w:lang w:val="zh-CN"/>
              </w:rPr>
              <w:t>万宁市移动式水冲公厕项目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b/>
                <w:bCs/>
                <w:sz w:val="24"/>
                <w:lang w:val="en-GB"/>
              </w:rPr>
            </w:pPr>
            <w:r>
              <w:rPr>
                <w:rFonts w:hint="eastAsia" w:ascii="宋体" w:hAnsi="宋体"/>
                <w:b/>
                <w:bCs/>
                <w:sz w:val="24"/>
                <w:lang w:val="en-GB"/>
              </w:rPr>
              <w:t>报价总计</w:t>
            </w:r>
          </w:p>
        </w:tc>
        <w:tc>
          <w:tcPr>
            <w:tcW w:w="7036" w:type="dxa"/>
          </w:tcPr>
          <w:p>
            <w:pPr>
              <w:spacing w:beforeLines="100" w:afterLines="100" w:line="440" w:lineRule="exact"/>
              <w:rPr>
                <w:rFonts w:ascii="宋体" w:hAnsi="宋体"/>
                <w:sz w:val="24"/>
                <w:u w:val="single"/>
                <w:lang w:val="en-GB"/>
              </w:rPr>
            </w:pPr>
            <w:r>
              <w:rPr>
                <w:rFonts w:hint="eastAsia" w:ascii="宋体" w:hAnsi="宋体"/>
                <w:sz w:val="24"/>
                <w:lang w:val="en-GB"/>
              </w:rPr>
              <w:t>（小写）：</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p>
          <w:p>
            <w:pPr>
              <w:spacing w:beforeLines="100" w:afterLines="100" w:line="440" w:lineRule="exact"/>
              <w:rPr>
                <w:rFonts w:ascii="宋体" w:hAnsi="宋体"/>
                <w:sz w:val="24"/>
                <w:lang w:val="en-GB"/>
              </w:rPr>
            </w:pPr>
            <w:r>
              <w:rPr>
                <w:rFonts w:hint="eastAsia" w:ascii="宋体" w:hAnsi="宋体"/>
                <w:sz w:val="24"/>
                <w:lang w:val="en-GB"/>
              </w:rPr>
              <w:t>（大写）：</w:t>
            </w:r>
            <w:r>
              <w:rPr>
                <w:rFonts w:hint="eastAsia" w:ascii="宋体" w:hAnsi="宋体"/>
                <w:sz w:val="24"/>
                <w:u w:val="single"/>
                <w:lang w:val="en-GB"/>
              </w:rPr>
              <w:t xml:space="preserve">   </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eastAsia="宋体"/>
                <w:b/>
                <w:bCs/>
                <w:sz w:val="24"/>
                <w:lang w:val="en-GB" w:eastAsia="zh-CN"/>
              </w:rPr>
            </w:pPr>
            <w:r>
              <w:rPr>
                <w:rFonts w:hint="eastAsia" w:ascii="宋体" w:hAnsi="宋体"/>
                <w:b/>
                <w:bCs/>
                <w:sz w:val="24"/>
                <w:lang w:val="en-GB" w:eastAsia="zh-CN"/>
              </w:rPr>
              <w:t>交货期</w:t>
            </w:r>
          </w:p>
        </w:tc>
        <w:tc>
          <w:tcPr>
            <w:tcW w:w="7036" w:type="dxa"/>
          </w:tcPr>
          <w:p>
            <w:pPr>
              <w:spacing w:beforeLines="50" w:afterLines="50" w:line="440" w:lineRule="exact"/>
              <w:rPr>
                <w:rFonts w:ascii="宋体" w:hAnsi="宋体"/>
                <w:sz w:val="24"/>
                <w:lang w:val="en-GB"/>
              </w:rPr>
            </w:pPr>
            <w:r>
              <w:rPr>
                <w:rFonts w:hint="eastAsia" w:ascii="宋体" w:hAnsi="宋体"/>
                <w:sz w:val="24"/>
                <w:lang w:val="en-GB"/>
              </w:rPr>
              <w:t>合同签订</w:t>
            </w:r>
            <w:r>
              <w:rPr>
                <w:rFonts w:hint="eastAsia" w:ascii="宋体" w:hAnsi="宋体"/>
                <w:sz w:val="24"/>
                <w:lang w:val="en-GB" w:eastAsia="zh-CN"/>
              </w:rPr>
              <w:t>后</w:t>
            </w:r>
            <w:r>
              <w:rPr>
                <w:rFonts w:hint="eastAsia" w:ascii="宋体" w:hAnsi="宋体"/>
                <w:sz w:val="24"/>
                <w:u w:val="single"/>
              </w:rPr>
              <w:t xml:space="preserve">    </w:t>
            </w:r>
            <w:r>
              <w:rPr>
                <w:rFonts w:hint="eastAsia" w:ascii="宋体" w:hAnsi="宋体"/>
                <w:sz w:val="24"/>
                <w:lang w:val="en-GB"/>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b/>
                <w:bCs/>
                <w:sz w:val="24"/>
                <w:lang w:val="en-GB"/>
              </w:rPr>
            </w:pPr>
            <w:r>
              <w:rPr>
                <w:rFonts w:hint="eastAsia" w:ascii="宋体" w:hAnsi="宋体"/>
                <w:b/>
                <w:bCs/>
                <w:sz w:val="24"/>
                <w:lang w:val="en-GB"/>
              </w:rPr>
              <w:t>备</w:t>
            </w:r>
            <w:r>
              <w:rPr>
                <w:rFonts w:hint="eastAsia" w:ascii="宋体" w:hAnsi="宋体"/>
                <w:b/>
                <w:bCs/>
                <w:sz w:val="24"/>
              </w:rPr>
              <w:t xml:space="preserve">    </w:t>
            </w:r>
            <w:r>
              <w:rPr>
                <w:rFonts w:hint="eastAsia" w:ascii="宋体" w:hAnsi="宋体"/>
                <w:b/>
                <w:bCs/>
                <w:sz w:val="24"/>
                <w:lang w:val="en-GB"/>
              </w:rPr>
              <w:t>注</w:t>
            </w:r>
          </w:p>
        </w:tc>
        <w:tc>
          <w:tcPr>
            <w:tcW w:w="7036" w:type="dxa"/>
          </w:tcPr>
          <w:p>
            <w:pPr>
              <w:spacing w:beforeLines="50" w:afterLines="50" w:line="440" w:lineRule="exact"/>
              <w:rPr>
                <w:rFonts w:ascii="宋体" w:hAnsi="宋体"/>
                <w:sz w:val="24"/>
                <w:lang w:val="en-GB"/>
              </w:rPr>
            </w:pPr>
          </w:p>
        </w:tc>
      </w:tr>
    </w:tbl>
    <w:p>
      <w:pPr>
        <w:spacing w:beforeLines="150" w:line="440" w:lineRule="exact"/>
        <w:rPr>
          <w:rFonts w:ascii="宋体" w:hAnsi="宋体"/>
          <w:sz w:val="24"/>
          <w:u w:val="single"/>
          <w:lang w:val="en-GB"/>
        </w:rPr>
      </w:pPr>
      <w:r>
        <w:rPr>
          <w:rFonts w:hint="eastAsia" w:ascii="宋体" w:hAnsi="宋体"/>
          <w:sz w:val="24"/>
          <w:lang w:val="en-GB"/>
        </w:rPr>
        <w:t>供应商名称：</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（公章）</w:t>
      </w:r>
    </w:p>
    <w:p>
      <w:pPr>
        <w:spacing w:beforeLines="150" w:line="440" w:lineRule="exact"/>
        <w:rPr>
          <w:rFonts w:ascii="宋体" w:hAnsi="宋体"/>
          <w:sz w:val="24"/>
          <w:lang w:val="en-GB"/>
        </w:rPr>
      </w:pPr>
      <w:r>
        <w:rPr>
          <w:rFonts w:hint="eastAsia" w:ascii="宋体" w:hAnsi="宋体"/>
          <w:sz w:val="24"/>
          <w:lang w:val="en-GB"/>
        </w:rPr>
        <w:t>被授权人：</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bCs/>
          <w:sz w:val="24"/>
          <w:u w:val="single"/>
          <w:lang w:val="en-GB"/>
        </w:rPr>
        <w:t>（亲笔签名）</w:t>
      </w:r>
    </w:p>
    <w:p>
      <w:pPr>
        <w:spacing w:beforeLines="50" w:afterLines="50" w:line="440" w:lineRule="exact"/>
        <w:rPr>
          <w:rFonts w:ascii="宋体" w:hAnsi="宋体"/>
          <w:b/>
          <w:bCs/>
          <w:sz w:val="24"/>
          <w:lang w:val="en-GB"/>
        </w:rPr>
      </w:pPr>
      <w:r>
        <w:rPr>
          <w:rFonts w:hint="eastAsia" w:ascii="宋体" w:hAnsi="宋体"/>
          <w:b/>
          <w:bCs/>
          <w:sz w:val="24"/>
          <w:lang w:val="en-GB"/>
        </w:rPr>
        <w:t>注：</w:t>
      </w:r>
    </w:p>
    <w:p>
      <w:pPr>
        <w:spacing w:line="440" w:lineRule="exact"/>
        <w:ind w:firstLine="480" w:firstLineChars="200"/>
        <w:rPr>
          <w:rFonts w:ascii="宋体" w:hAnsi="宋体"/>
          <w:sz w:val="24"/>
          <w:lang w:val="en-GB"/>
        </w:rPr>
      </w:pPr>
      <w:r>
        <w:rPr>
          <w:rFonts w:hint="eastAsia" w:ascii="宋体" w:hAnsi="宋体"/>
          <w:sz w:val="24"/>
          <w:lang w:val="en-GB"/>
        </w:rPr>
        <w:t>1、投标一览表应准确填写，若投标一览表与响应文件不符时，以投标一览表为准；</w:t>
      </w:r>
    </w:p>
    <w:p>
      <w:pPr>
        <w:spacing w:line="440" w:lineRule="exact"/>
        <w:ind w:firstLine="480" w:firstLineChars="200"/>
        <w:rPr>
          <w:rFonts w:ascii="宋体" w:hAnsi="宋体"/>
          <w:sz w:val="24"/>
          <w:lang w:val="en-GB"/>
        </w:rPr>
      </w:pPr>
      <w:r>
        <w:rPr>
          <w:rFonts w:hint="eastAsia" w:ascii="宋体" w:hAnsi="宋体"/>
          <w:sz w:val="24"/>
          <w:lang w:val="en-GB"/>
        </w:rPr>
        <w:t>2、报价中必须包含全部服务项目、全额含税发票、雇员费用等，合同的执行以交付时间为准；</w:t>
      </w:r>
    </w:p>
    <w:p>
      <w:pPr>
        <w:spacing w:line="440" w:lineRule="exact"/>
        <w:ind w:firstLine="480" w:firstLineChars="200"/>
        <w:rPr>
          <w:rFonts w:ascii="宋体" w:hAnsi="宋体"/>
          <w:sz w:val="24"/>
          <w:lang w:val="en-GB"/>
        </w:rPr>
      </w:pPr>
      <w:r>
        <w:rPr>
          <w:rFonts w:hint="eastAsia" w:ascii="宋体" w:hAnsi="宋体"/>
          <w:sz w:val="24"/>
          <w:lang w:val="en-GB"/>
        </w:rPr>
        <w:t>3、在报价表内未有明确列述的项目费用应视为包括在报价之内。</w:t>
      </w:r>
    </w:p>
    <w:p>
      <w:pPr>
        <w:spacing w:line="440" w:lineRule="exact"/>
        <w:rPr>
          <w:rFonts w:ascii="宋体" w:hAnsi="宋体"/>
          <w:sz w:val="24"/>
          <w:lang w:val="en-GB"/>
        </w:rPr>
      </w:pPr>
    </w:p>
    <w:p>
      <w:pPr>
        <w:spacing w:line="440" w:lineRule="exact"/>
        <w:rPr>
          <w:rFonts w:ascii="宋体" w:hAnsi="宋体"/>
          <w:sz w:val="24"/>
          <w:lang w:val="en-GB"/>
        </w:rPr>
      </w:pPr>
    </w:p>
    <w:p>
      <w:pPr>
        <w:spacing w:line="440" w:lineRule="exact"/>
        <w:rPr>
          <w:rFonts w:ascii="宋体" w:hAnsi="宋体"/>
          <w:sz w:val="24"/>
          <w:lang w:val="en-GB"/>
        </w:rPr>
      </w:pPr>
    </w:p>
    <w:p>
      <w:pPr>
        <w:spacing w:line="440" w:lineRule="exact"/>
        <w:rPr>
          <w:rFonts w:ascii="宋体" w:hAnsi="宋体"/>
          <w:sz w:val="24"/>
          <w:lang w:val="en-GB"/>
        </w:rPr>
      </w:pPr>
    </w:p>
    <w:p>
      <w:pPr>
        <w:spacing w:line="440" w:lineRule="exact"/>
        <w:rPr>
          <w:rFonts w:ascii="宋体" w:hAnsi="宋体"/>
          <w:sz w:val="24"/>
          <w:lang w:val="en-GB"/>
        </w:rPr>
      </w:pPr>
    </w:p>
    <w:p>
      <w:pPr>
        <w:spacing w:line="440" w:lineRule="exact"/>
        <w:rPr>
          <w:rFonts w:ascii="宋体" w:hAnsi="宋体"/>
          <w:sz w:val="24"/>
          <w:lang w:val="en-GB"/>
        </w:rPr>
      </w:pPr>
    </w:p>
    <w:p>
      <w:pPr>
        <w:spacing w:line="440" w:lineRule="exact"/>
        <w:rPr>
          <w:rFonts w:ascii="宋体" w:hAnsi="宋体"/>
          <w:sz w:val="24"/>
          <w:lang w:val="en-GB"/>
        </w:rPr>
      </w:pPr>
    </w:p>
    <w:p>
      <w:pPr>
        <w:spacing w:line="440" w:lineRule="exact"/>
        <w:rPr>
          <w:rFonts w:ascii="宋体" w:hAnsi="宋体"/>
          <w:sz w:val="24"/>
          <w:lang w:val="en-GB"/>
        </w:rPr>
      </w:pPr>
    </w:p>
    <w:p>
      <w:pPr>
        <w:pStyle w:val="3"/>
        <w:bidi w:val="0"/>
        <w:jc w:val="both"/>
        <w:rPr>
          <w:rFonts w:hint="eastAsia" w:ascii="宋体" w:hAnsi="宋体"/>
          <w:b/>
          <w:bCs/>
          <w:sz w:val="24"/>
          <w:lang w:eastAsia="zh-CN"/>
        </w:rPr>
      </w:pPr>
    </w:p>
    <w:p>
      <w:pPr>
        <w:pStyle w:val="3"/>
        <w:bidi w:val="0"/>
        <w:jc w:val="both"/>
        <w:rPr>
          <w:rFonts w:hint="eastAsia" w:ascii="宋体" w:hAnsi="宋体" w:eastAsia="宋体"/>
          <w:b/>
          <w:bCs/>
          <w:sz w:val="24"/>
          <w:lang w:eastAsia="zh-CN"/>
        </w:rPr>
      </w:pPr>
      <w:r>
        <w:rPr>
          <w:rFonts w:hint="eastAsia" w:ascii="宋体" w:hAnsi="宋体"/>
          <w:b/>
          <w:bCs/>
          <w:sz w:val="24"/>
          <w:lang w:eastAsia="zh-CN"/>
        </w:rPr>
        <w:t>（表</w:t>
      </w:r>
      <w:r>
        <w:rPr>
          <w:rFonts w:hint="eastAsia" w:ascii="宋体" w:hAnsi="宋体"/>
          <w:b/>
          <w:bCs/>
          <w:sz w:val="24"/>
          <w:lang w:val="en-US" w:eastAsia="zh-CN"/>
        </w:rPr>
        <w:t>2</w:t>
      </w:r>
      <w:r>
        <w:rPr>
          <w:rFonts w:hint="eastAsia" w:ascii="宋体" w:hAnsi="宋体"/>
          <w:b/>
          <w:bCs/>
          <w:sz w:val="24"/>
          <w:lang w:eastAsia="zh-CN"/>
        </w:rPr>
        <w:t>）</w:t>
      </w:r>
    </w:p>
    <w:p>
      <w:pPr>
        <w:spacing w:line="440" w:lineRule="exact"/>
        <w:jc w:val="center"/>
        <w:rPr>
          <w:rFonts w:hint="eastAsia" w:ascii="宋体" w:hAnsi="宋体"/>
          <w:b/>
          <w:bCs/>
          <w:sz w:val="24"/>
          <w:lang w:eastAsia="zh-CN"/>
        </w:rPr>
      </w:pPr>
    </w:p>
    <w:p>
      <w:pPr>
        <w:bidi w:val="0"/>
        <w:jc w:val="center"/>
        <w:rPr>
          <w:rFonts w:hint="eastAsia"/>
          <w:b/>
          <w:bCs/>
          <w:sz w:val="36"/>
          <w:szCs w:val="36"/>
          <w:lang w:eastAsia="zh-CN"/>
        </w:rPr>
      </w:pPr>
      <w:bookmarkStart w:id="136" w:name="_Toc10498_WPSOffice_Level2"/>
      <w:r>
        <w:rPr>
          <w:rFonts w:hint="eastAsia"/>
          <w:b/>
          <w:bCs/>
          <w:sz w:val="36"/>
          <w:szCs w:val="36"/>
          <w:lang w:val="en-US" w:eastAsia="zh-CN"/>
        </w:rPr>
        <w:t>5、</w:t>
      </w:r>
      <w:r>
        <w:rPr>
          <w:rFonts w:hint="eastAsia"/>
          <w:b/>
          <w:bCs/>
          <w:sz w:val="36"/>
          <w:szCs w:val="36"/>
          <w:lang w:eastAsia="zh-CN"/>
        </w:rPr>
        <w:t>万宁市移动式水冲公厕项目（二次报价表）</w:t>
      </w:r>
      <w:bookmarkEnd w:id="136"/>
    </w:p>
    <w:p>
      <w:pPr>
        <w:spacing w:line="360" w:lineRule="auto"/>
        <w:jc w:val="center"/>
        <w:rPr>
          <w:rFonts w:ascii="宋体" w:hAnsi="宋体" w:cs="宋体"/>
          <w:color w:val="0D0D0D"/>
          <w:szCs w:val="24"/>
        </w:rPr>
      </w:pPr>
    </w:p>
    <w:tbl>
      <w:tblPr>
        <w:tblStyle w:val="14"/>
        <w:tblW w:w="8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2720"/>
        <w:gridCol w:w="1620"/>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9" w:type="dxa"/>
          </w:tcPr>
          <w:p>
            <w:pPr>
              <w:spacing w:line="360" w:lineRule="auto"/>
              <w:jc w:val="center"/>
              <w:rPr>
                <w:rFonts w:ascii="宋体" w:hAnsi="宋体" w:cs="宋体"/>
                <w:color w:val="0D0D0D"/>
                <w:szCs w:val="24"/>
              </w:rPr>
            </w:pPr>
            <w:r>
              <w:rPr>
                <w:rFonts w:hint="eastAsia" w:ascii="宋体" w:hAnsi="宋体" w:cs="宋体"/>
                <w:color w:val="0D0D0D"/>
                <w:szCs w:val="24"/>
              </w:rPr>
              <w:t>项目名称</w:t>
            </w:r>
          </w:p>
        </w:tc>
        <w:tc>
          <w:tcPr>
            <w:tcW w:w="2720" w:type="dxa"/>
          </w:tcPr>
          <w:p>
            <w:pPr>
              <w:spacing w:line="360" w:lineRule="auto"/>
              <w:jc w:val="center"/>
              <w:rPr>
                <w:rFonts w:ascii="宋体" w:hAnsi="宋体" w:cs="宋体"/>
                <w:color w:val="0D0D0D"/>
                <w:szCs w:val="24"/>
              </w:rPr>
            </w:pPr>
          </w:p>
        </w:tc>
        <w:tc>
          <w:tcPr>
            <w:tcW w:w="1620" w:type="dxa"/>
          </w:tcPr>
          <w:p>
            <w:pPr>
              <w:spacing w:line="360" w:lineRule="auto"/>
              <w:jc w:val="center"/>
              <w:rPr>
                <w:rFonts w:ascii="宋体" w:hAnsi="宋体" w:cs="宋体"/>
                <w:color w:val="0D0D0D"/>
                <w:szCs w:val="24"/>
              </w:rPr>
            </w:pPr>
            <w:r>
              <w:rPr>
                <w:rFonts w:hint="eastAsia" w:ascii="宋体" w:hAnsi="宋体" w:cs="宋体"/>
                <w:color w:val="0D0D0D"/>
                <w:szCs w:val="24"/>
              </w:rPr>
              <w:t>招标编号</w:t>
            </w:r>
          </w:p>
        </w:tc>
        <w:tc>
          <w:tcPr>
            <w:tcW w:w="2527" w:type="dxa"/>
          </w:tcPr>
          <w:p>
            <w:pPr>
              <w:spacing w:line="360" w:lineRule="auto"/>
              <w:jc w:val="center"/>
              <w:rPr>
                <w:rFonts w:ascii="宋体" w:hAnsi="宋体" w:cs="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9" w:type="dxa"/>
          </w:tcPr>
          <w:p>
            <w:pPr>
              <w:spacing w:line="360" w:lineRule="auto"/>
              <w:jc w:val="center"/>
              <w:rPr>
                <w:rFonts w:ascii="宋体" w:hAnsi="宋体" w:cs="宋体"/>
                <w:color w:val="0D0D0D"/>
                <w:szCs w:val="24"/>
              </w:rPr>
            </w:pPr>
            <w:r>
              <w:rPr>
                <w:rFonts w:hint="eastAsia" w:ascii="宋体" w:hAnsi="宋体" w:cs="宋体"/>
                <w:color w:val="0D0D0D"/>
                <w:szCs w:val="24"/>
              </w:rPr>
              <w:t>投标人名称</w:t>
            </w:r>
          </w:p>
        </w:tc>
        <w:tc>
          <w:tcPr>
            <w:tcW w:w="6867" w:type="dxa"/>
            <w:gridSpan w:val="3"/>
          </w:tcPr>
          <w:p>
            <w:pPr>
              <w:spacing w:line="360" w:lineRule="auto"/>
              <w:jc w:val="center"/>
              <w:rPr>
                <w:rFonts w:ascii="宋体" w:hAnsi="宋体" w:cs="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9" w:type="dxa"/>
            <w:vAlign w:val="center"/>
          </w:tcPr>
          <w:p>
            <w:pPr>
              <w:spacing w:line="360" w:lineRule="auto"/>
              <w:jc w:val="center"/>
              <w:rPr>
                <w:rFonts w:ascii="宋体" w:hAnsi="宋体" w:cs="宋体"/>
                <w:color w:val="0D0D0D"/>
                <w:szCs w:val="24"/>
              </w:rPr>
            </w:pPr>
            <w:r>
              <w:rPr>
                <w:rFonts w:hint="eastAsia" w:ascii="宋体" w:hAnsi="宋体" w:cs="宋体"/>
                <w:color w:val="0D0D0D"/>
                <w:szCs w:val="24"/>
              </w:rPr>
              <w:t>投标报价</w:t>
            </w:r>
          </w:p>
        </w:tc>
        <w:tc>
          <w:tcPr>
            <w:tcW w:w="6867" w:type="dxa"/>
            <w:gridSpan w:val="3"/>
          </w:tcPr>
          <w:p>
            <w:pPr>
              <w:spacing w:line="360" w:lineRule="auto"/>
              <w:ind w:firstLine="655" w:firstLineChars="312"/>
              <w:rPr>
                <w:rFonts w:ascii="宋体" w:hAnsi="宋体" w:cs="宋体"/>
                <w:color w:val="0D0D0D"/>
                <w:szCs w:val="24"/>
                <w:u w:val="single"/>
              </w:rPr>
            </w:pPr>
            <w:r>
              <w:rPr>
                <w:rFonts w:hint="eastAsia" w:ascii="宋体" w:hAnsi="宋体" w:cs="宋体"/>
                <w:color w:val="0D0D0D"/>
                <w:szCs w:val="24"/>
                <w:u w:val="single"/>
              </w:rPr>
              <w:t xml:space="preserve">（大写）               </w:t>
            </w:r>
          </w:p>
          <w:p>
            <w:pPr>
              <w:spacing w:line="360" w:lineRule="auto"/>
              <w:ind w:firstLine="630"/>
              <w:rPr>
                <w:rFonts w:ascii="宋体" w:hAnsi="宋体" w:cs="宋体"/>
                <w:color w:val="0D0D0D"/>
                <w:szCs w:val="24"/>
                <w:u w:val="single"/>
              </w:rPr>
            </w:pPr>
            <w:r>
              <w:rPr>
                <w:rFonts w:hint="eastAsia" w:ascii="宋体" w:hAnsi="宋体" w:cs="宋体"/>
                <w:color w:val="0D0D0D"/>
                <w:szCs w:val="24"/>
                <w:u w:val="single"/>
              </w:rPr>
              <w:t xml:space="preserve"> （小写）           </w:t>
            </w:r>
            <w:r>
              <w:rPr>
                <w:rFonts w:hint="eastAsia" w:ascii="宋体" w:hAnsi="宋体" w:cs="宋体"/>
                <w:color w:val="0D0D0D"/>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5" w:hRule="atLeast"/>
          <w:jc w:val="center"/>
        </w:trPr>
        <w:tc>
          <w:tcPr>
            <w:tcW w:w="1959" w:type="dxa"/>
          </w:tcPr>
          <w:p>
            <w:pPr>
              <w:spacing w:line="360" w:lineRule="auto"/>
              <w:jc w:val="center"/>
              <w:rPr>
                <w:rFonts w:ascii="宋体" w:hAnsi="宋体" w:cs="宋体"/>
                <w:color w:val="0D0D0D"/>
                <w:szCs w:val="24"/>
              </w:rPr>
            </w:pPr>
          </w:p>
          <w:p>
            <w:pPr>
              <w:spacing w:line="360" w:lineRule="auto"/>
              <w:jc w:val="center"/>
              <w:rPr>
                <w:rFonts w:ascii="宋体" w:hAnsi="宋体" w:cs="宋体"/>
                <w:color w:val="0D0D0D"/>
                <w:szCs w:val="24"/>
              </w:rPr>
            </w:pPr>
          </w:p>
          <w:p>
            <w:pPr>
              <w:spacing w:line="360" w:lineRule="auto"/>
              <w:jc w:val="center"/>
              <w:rPr>
                <w:rFonts w:hint="eastAsia" w:ascii="宋体" w:hAnsi="宋体" w:eastAsia="宋体" w:cs="宋体"/>
                <w:color w:val="0D0D0D"/>
                <w:szCs w:val="24"/>
                <w:lang w:eastAsia="zh-CN"/>
              </w:rPr>
            </w:pPr>
            <w:r>
              <w:rPr>
                <w:rFonts w:hint="eastAsia" w:ascii="宋体" w:hAnsi="宋体" w:cs="宋体"/>
                <w:color w:val="0D0D0D"/>
                <w:szCs w:val="24"/>
                <w:lang w:eastAsia="zh-CN"/>
              </w:rPr>
              <w:t>交货期</w:t>
            </w:r>
          </w:p>
        </w:tc>
        <w:tc>
          <w:tcPr>
            <w:tcW w:w="6867" w:type="dxa"/>
            <w:gridSpan w:val="3"/>
          </w:tcPr>
          <w:p>
            <w:pPr>
              <w:spacing w:line="360" w:lineRule="auto"/>
              <w:rPr>
                <w:rFonts w:ascii="宋体" w:hAnsi="宋体" w:cs="宋体"/>
                <w:color w:val="0D0D0D"/>
                <w:szCs w:val="24"/>
              </w:rPr>
            </w:pPr>
          </w:p>
        </w:tc>
      </w:tr>
    </w:tbl>
    <w:p>
      <w:pPr>
        <w:spacing w:line="360" w:lineRule="auto"/>
        <w:ind w:firstLine="240"/>
        <w:rPr>
          <w:rFonts w:ascii="宋体" w:hAnsi="宋体" w:cs="宋体"/>
          <w:b/>
          <w:bCs/>
          <w:color w:val="FF0000"/>
          <w:szCs w:val="24"/>
        </w:rPr>
      </w:pPr>
    </w:p>
    <w:p>
      <w:pPr>
        <w:spacing w:line="360" w:lineRule="auto"/>
        <w:ind w:firstLine="240"/>
        <w:rPr>
          <w:rFonts w:ascii="宋体" w:hAnsi="宋体" w:cs="宋体"/>
          <w:color w:val="0D0D0D"/>
          <w:szCs w:val="24"/>
        </w:rPr>
      </w:pPr>
      <w:r>
        <w:rPr>
          <w:rFonts w:hint="eastAsia" w:ascii="宋体" w:hAnsi="宋体" w:cs="宋体"/>
          <w:color w:val="0D0D0D"/>
          <w:szCs w:val="24"/>
        </w:rPr>
        <w:t>地址：</w:t>
      </w:r>
      <w:r>
        <w:rPr>
          <w:rFonts w:hint="eastAsia" w:ascii="宋体" w:hAnsi="宋体" w:cs="宋体"/>
          <w:color w:val="0D0D0D"/>
          <w:szCs w:val="24"/>
          <w:u w:val="single"/>
        </w:rPr>
        <w:t xml:space="preserve">                                </w:t>
      </w:r>
      <w:r>
        <w:rPr>
          <w:rFonts w:hint="eastAsia" w:ascii="宋体" w:hAnsi="宋体" w:cs="宋体"/>
          <w:color w:val="0D0D0D"/>
          <w:szCs w:val="24"/>
        </w:rPr>
        <w:t xml:space="preserve">  邮编 ：</w:t>
      </w:r>
      <w:r>
        <w:rPr>
          <w:rFonts w:hint="eastAsia" w:ascii="宋体" w:hAnsi="宋体" w:cs="宋体"/>
          <w:color w:val="0D0D0D"/>
          <w:szCs w:val="24"/>
          <w:u w:val="single"/>
        </w:rPr>
        <w:t xml:space="preserve">          </w:t>
      </w:r>
    </w:p>
    <w:p>
      <w:pPr>
        <w:spacing w:line="360" w:lineRule="auto"/>
        <w:ind w:firstLine="240"/>
        <w:rPr>
          <w:rFonts w:ascii="宋体" w:hAnsi="宋体" w:cs="宋体"/>
          <w:color w:val="0D0D0D"/>
          <w:szCs w:val="24"/>
        </w:rPr>
      </w:pPr>
      <w:r>
        <w:rPr>
          <w:rFonts w:hint="eastAsia" w:ascii="宋体" w:hAnsi="宋体" w:cs="宋体"/>
          <w:color w:val="0D0D0D"/>
          <w:szCs w:val="24"/>
        </w:rPr>
        <w:t>电话：</w:t>
      </w:r>
      <w:r>
        <w:rPr>
          <w:rFonts w:hint="eastAsia" w:ascii="宋体" w:hAnsi="宋体" w:cs="宋体"/>
          <w:color w:val="0D0D0D"/>
          <w:szCs w:val="24"/>
          <w:u w:val="single"/>
        </w:rPr>
        <w:t xml:space="preserve">                              </w:t>
      </w:r>
      <w:r>
        <w:rPr>
          <w:rFonts w:hint="eastAsia" w:ascii="宋体" w:hAnsi="宋体" w:cs="宋体"/>
          <w:color w:val="0D0D0D"/>
          <w:szCs w:val="24"/>
        </w:rPr>
        <w:t xml:space="preserve">    传真： </w:t>
      </w:r>
      <w:r>
        <w:rPr>
          <w:rFonts w:hint="eastAsia" w:ascii="宋体" w:hAnsi="宋体" w:cs="宋体"/>
          <w:color w:val="0D0D0D"/>
          <w:szCs w:val="24"/>
          <w:u w:val="single"/>
        </w:rPr>
        <w:t xml:space="preserve">                        </w:t>
      </w:r>
    </w:p>
    <w:p>
      <w:pPr>
        <w:spacing w:line="360" w:lineRule="auto"/>
        <w:ind w:firstLine="240"/>
        <w:rPr>
          <w:rFonts w:ascii="宋体" w:hAnsi="宋体" w:cs="宋体"/>
          <w:color w:val="0D0D0D"/>
          <w:szCs w:val="24"/>
        </w:rPr>
      </w:pPr>
      <w:r>
        <w:rPr>
          <w:rFonts w:hint="eastAsia" w:ascii="宋体" w:hAnsi="宋体" w:cs="宋体"/>
          <w:color w:val="0D0D0D"/>
          <w:szCs w:val="24"/>
        </w:rPr>
        <w:t>投标人：</w:t>
      </w:r>
      <w:r>
        <w:rPr>
          <w:rFonts w:hint="eastAsia" w:ascii="宋体" w:hAnsi="宋体" w:cs="宋体"/>
          <w:color w:val="0D0D0D"/>
          <w:szCs w:val="24"/>
          <w:u w:val="single"/>
        </w:rPr>
        <w:t xml:space="preserve">               (单位全称、盖章)                            </w:t>
      </w:r>
    </w:p>
    <w:p>
      <w:pPr>
        <w:spacing w:line="360" w:lineRule="auto"/>
        <w:ind w:firstLine="240"/>
        <w:rPr>
          <w:rFonts w:ascii="宋体" w:hAnsi="宋体" w:cs="宋体"/>
          <w:color w:val="0D0D0D"/>
          <w:szCs w:val="24"/>
        </w:rPr>
      </w:pPr>
      <w:r>
        <w:rPr>
          <w:rFonts w:hint="eastAsia" w:ascii="宋体" w:hAnsi="宋体" w:cs="宋体"/>
          <w:color w:val="0D0D0D"/>
          <w:szCs w:val="24"/>
        </w:rPr>
        <w:t>投标人代表：</w:t>
      </w:r>
      <w:r>
        <w:rPr>
          <w:rFonts w:hint="eastAsia" w:ascii="宋体" w:hAnsi="宋体" w:cs="宋体"/>
          <w:color w:val="0D0D0D"/>
          <w:szCs w:val="24"/>
          <w:u w:val="single"/>
        </w:rPr>
        <w:t xml:space="preserve">           (代表人盖章、签字)                              </w:t>
      </w:r>
      <w:r>
        <w:rPr>
          <w:rFonts w:hint="eastAsia" w:ascii="宋体" w:hAnsi="宋体" w:cs="宋体"/>
          <w:color w:val="0D0D0D"/>
          <w:szCs w:val="24"/>
        </w:rPr>
        <w:t xml:space="preserve">   </w:t>
      </w:r>
    </w:p>
    <w:p>
      <w:pPr>
        <w:spacing w:line="360" w:lineRule="auto"/>
        <w:ind w:firstLine="240"/>
        <w:rPr>
          <w:rFonts w:ascii="宋体" w:hAnsi="宋体" w:cs="宋体"/>
          <w:color w:val="0D0D0D"/>
          <w:szCs w:val="24"/>
        </w:rPr>
      </w:pPr>
      <w:r>
        <w:rPr>
          <w:rFonts w:hint="eastAsia" w:ascii="宋体" w:hAnsi="宋体" w:cs="宋体"/>
          <w:color w:val="0D0D0D"/>
          <w:szCs w:val="24"/>
        </w:rPr>
        <w:t>日期：</w:t>
      </w:r>
      <w:r>
        <w:rPr>
          <w:rFonts w:hint="eastAsia" w:ascii="宋体" w:hAnsi="宋体" w:cs="宋体"/>
          <w:color w:val="0D0D0D"/>
          <w:szCs w:val="24"/>
          <w:u w:val="single"/>
        </w:rPr>
        <w:t xml:space="preserve">         </w:t>
      </w:r>
      <w:r>
        <w:rPr>
          <w:rFonts w:hint="eastAsia" w:ascii="宋体" w:hAnsi="宋体" w:cs="宋体"/>
          <w:color w:val="0D0D0D"/>
          <w:szCs w:val="24"/>
        </w:rPr>
        <w:t xml:space="preserve"> 年</w:t>
      </w:r>
      <w:r>
        <w:rPr>
          <w:rFonts w:hint="eastAsia" w:ascii="宋体" w:hAnsi="宋体" w:cs="宋体"/>
          <w:color w:val="0D0D0D"/>
          <w:szCs w:val="24"/>
          <w:u w:val="single"/>
        </w:rPr>
        <w:t xml:space="preserve">     </w:t>
      </w:r>
      <w:r>
        <w:rPr>
          <w:rFonts w:hint="eastAsia" w:ascii="宋体" w:hAnsi="宋体" w:cs="宋体"/>
          <w:color w:val="0D0D0D"/>
          <w:szCs w:val="24"/>
        </w:rPr>
        <w:t xml:space="preserve"> 月</w:t>
      </w:r>
      <w:r>
        <w:rPr>
          <w:rFonts w:hint="eastAsia" w:ascii="宋体" w:hAnsi="宋体" w:cs="宋体"/>
          <w:color w:val="0D0D0D"/>
          <w:szCs w:val="24"/>
          <w:u w:val="single"/>
        </w:rPr>
        <w:t xml:space="preserve">     </w:t>
      </w:r>
      <w:r>
        <w:rPr>
          <w:rFonts w:hint="eastAsia" w:ascii="宋体" w:hAnsi="宋体" w:cs="宋体"/>
          <w:color w:val="0D0D0D"/>
          <w:szCs w:val="24"/>
        </w:rPr>
        <w:t>日</w:t>
      </w: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ascii="宋体" w:hAnsi="宋体"/>
          <w:sz w:val="24"/>
        </w:rPr>
      </w:pPr>
      <w:r>
        <w:rPr>
          <w:rFonts w:hint="eastAsia" w:ascii="宋体" w:hAnsi="宋体"/>
          <w:b/>
          <w:bCs/>
          <w:sz w:val="24"/>
        </w:rPr>
        <w:t>（表</w:t>
      </w:r>
      <w:r>
        <w:rPr>
          <w:rFonts w:hint="eastAsia" w:ascii="宋体" w:hAnsi="宋体"/>
          <w:b/>
          <w:bCs/>
          <w:sz w:val="24"/>
          <w:lang w:val="en-US" w:eastAsia="zh-CN"/>
        </w:rPr>
        <w:t>3</w:t>
      </w:r>
      <w:r>
        <w:rPr>
          <w:rFonts w:hint="eastAsia" w:ascii="宋体" w:hAnsi="宋体"/>
          <w:b/>
          <w:bCs/>
          <w:sz w:val="24"/>
        </w:rPr>
        <w:t>）</w:t>
      </w:r>
    </w:p>
    <w:p>
      <w:pPr>
        <w:pStyle w:val="3"/>
        <w:bidi w:val="0"/>
        <w:jc w:val="center"/>
        <w:rPr>
          <w:rFonts w:hint="eastAsia" w:ascii="Arial" w:hAnsi="Arial" w:eastAsia="宋体"/>
          <w:sz w:val="36"/>
          <w:szCs w:val="36"/>
          <w:lang w:val="en-US" w:eastAsia="zh-CN"/>
        </w:rPr>
      </w:pPr>
      <w:r>
        <w:rPr>
          <w:rFonts w:hint="eastAsia" w:ascii="Arial" w:hAnsi="Arial" w:eastAsia="宋体"/>
          <w:sz w:val="36"/>
          <w:szCs w:val="36"/>
          <w:lang w:eastAsia="zh-CN"/>
        </w:rPr>
        <w:t xml:space="preserve"> </w:t>
      </w:r>
      <w:bookmarkStart w:id="137" w:name="_Toc2311_WPSOffice_Level2"/>
      <w:bookmarkStart w:id="138" w:name="_Toc24242_WPSOffice_Level2"/>
      <w:bookmarkStart w:id="139" w:name="_Toc7780_WPSOffice_Level2"/>
      <w:r>
        <w:rPr>
          <w:rFonts w:hint="eastAsia"/>
          <w:sz w:val="36"/>
          <w:szCs w:val="36"/>
          <w:lang w:val="en-US" w:eastAsia="zh-CN"/>
        </w:rPr>
        <w:t>6</w:t>
      </w:r>
      <w:r>
        <w:rPr>
          <w:rFonts w:hint="eastAsia" w:ascii="Arial" w:hAnsi="Arial" w:eastAsia="宋体"/>
          <w:sz w:val="36"/>
          <w:szCs w:val="36"/>
          <w:lang w:val="en-US" w:eastAsia="zh-CN"/>
        </w:rPr>
        <w:t>、报价明细表</w:t>
      </w:r>
      <w:bookmarkEnd w:id="137"/>
      <w:bookmarkEnd w:id="138"/>
      <w:bookmarkEnd w:id="139"/>
    </w:p>
    <w:tbl>
      <w:tblPr>
        <w:tblStyle w:val="14"/>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5"/>
              <w:spacing w:beforeLines="30" w:afterLines="30" w:line="440" w:lineRule="exact"/>
              <w:jc w:val="center"/>
              <w:rPr>
                <w:rFonts w:ascii="宋体" w:hAnsi="宋体"/>
                <w:b/>
                <w:bCs w:val="0"/>
                <w:spacing w:val="0"/>
                <w:kern w:val="2"/>
                <w:szCs w:val="24"/>
                <w:lang w:val="en-GB"/>
              </w:rPr>
            </w:pPr>
            <w:r>
              <w:rPr>
                <w:rFonts w:hint="eastAsia" w:ascii="宋体" w:hAnsi="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b/>
                <w:sz w:val="24"/>
                <w:lang w:val="en-GB"/>
              </w:rPr>
            </w:pPr>
            <w:r>
              <w:rPr>
                <w:rFonts w:hint="eastAsia" w:ascii="宋体" w:hAnsi="宋体"/>
                <w:b/>
                <w:sz w:val="24"/>
                <w:lang w:val="en-GB"/>
              </w:rPr>
              <w:t>服务项目</w:t>
            </w:r>
          </w:p>
        </w:tc>
        <w:tc>
          <w:tcPr>
            <w:tcW w:w="2979" w:type="dxa"/>
            <w:gridSpan w:val="2"/>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b/>
                <w:sz w:val="24"/>
                <w:lang w:val="en-GB"/>
              </w:rPr>
            </w:pPr>
            <w:r>
              <w:rPr>
                <w:rFonts w:hint="eastAsia" w:ascii="宋体" w:hAnsi="宋体"/>
                <w:b/>
                <w:sz w:val="24"/>
              </w:rPr>
              <w:t xml:space="preserve"> 服务内容 </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b/>
                <w:sz w:val="24"/>
                <w:lang w:val="en-GB"/>
              </w:rPr>
            </w:pPr>
            <w:r>
              <w:rPr>
                <w:rFonts w:hint="eastAsia" w:ascii="宋体" w:hAnsi="宋体"/>
                <w:b/>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b/>
                <w:sz w:val="24"/>
                <w:lang w:val="en-GB"/>
              </w:rPr>
            </w:pPr>
            <w:r>
              <w:rPr>
                <w:rFonts w:hint="eastAsia" w:ascii="宋体" w:hAnsi="宋体"/>
                <w:b/>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b/>
                <w:sz w:val="24"/>
                <w:lang w:val="en-GB"/>
              </w:rPr>
            </w:pPr>
            <w:r>
              <w:rPr>
                <w:rFonts w:hint="eastAsia" w:ascii="宋体" w:hAnsi="宋体"/>
                <w:b/>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b/>
                <w:sz w:val="24"/>
                <w:lang w:val="en-GB"/>
              </w:rPr>
            </w:pPr>
            <w:r>
              <w:rPr>
                <w:rFonts w:hint="eastAsia" w:ascii="宋体" w:hAnsi="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
                <w:bCs/>
                <w:sz w:val="24"/>
                <w:lang w:val="en-GB"/>
              </w:rPr>
            </w:pPr>
            <w:r>
              <w:rPr>
                <w:rFonts w:hint="eastAsia" w:ascii="宋体" w:hAnsi="宋体"/>
                <w:b/>
                <w:bCs/>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
                <w:bCs/>
                <w:sz w:val="24"/>
                <w:lang w:val="en-GB"/>
              </w:rPr>
            </w:pPr>
            <w:r>
              <w:rPr>
                <w:rFonts w:hint="eastAsia" w:ascii="宋体" w:hAnsi="宋体"/>
                <w:b/>
                <w:bCs/>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
                <w:bCs/>
                <w:sz w:val="24"/>
                <w:lang w:val="en-GB"/>
              </w:rPr>
            </w:pPr>
            <w:r>
              <w:rPr>
                <w:rFonts w:hint="eastAsia" w:ascii="宋体" w:hAnsi="宋体"/>
                <w:b/>
                <w:bCs/>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
                <w:bCs/>
                <w:sz w:val="24"/>
                <w:lang w:val="en-GB"/>
              </w:rPr>
            </w:pPr>
            <w:r>
              <w:rPr>
                <w:rFonts w:hint="eastAsia" w:ascii="宋体" w:hAnsi="宋体"/>
                <w:b/>
                <w:bCs/>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
                <w:bCs/>
                <w:sz w:val="24"/>
                <w:lang w:val="en-GB"/>
              </w:rPr>
            </w:pPr>
            <w:r>
              <w:rPr>
                <w:rFonts w:hint="eastAsia" w:ascii="宋体" w:hAnsi="宋体"/>
                <w:b/>
                <w:bCs/>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
                <w:bCs/>
                <w:sz w:val="24"/>
              </w:rPr>
            </w:pPr>
            <w:r>
              <w:rPr>
                <w:rFonts w:hint="eastAsia" w:ascii="宋体" w:hAnsi="宋体"/>
                <w:b/>
                <w:bCs/>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r>
              <w:rPr>
                <w:rFonts w:hint="eastAsia" w:ascii="宋体" w:hAnsi="宋体"/>
                <w:bCs/>
                <w:sz w:val="24"/>
                <w:lang w:val="en-GB"/>
              </w:rPr>
              <w:t>…</w:t>
            </w: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sz w:val="24"/>
                <w:lang w:val="en-GB"/>
              </w:rPr>
            </w:pPr>
            <w:r>
              <w:rPr>
                <w:rFonts w:hint="eastAsia" w:ascii="宋体" w:hAnsi="宋体"/>
                <w:b/>
                <w:bCs/>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sz w:val="24"/>
                <w:u w:val="single"/>
                <w:lang w:val="en-GB"/>
              </w:rPr>
            </w:pPr>
            <w:r>
              <w:rPr>
                <w:rFonts w:hint="eastAsia" w:ascii="宋体" w:hAnsi="宋体"/>
                <w:sz w:val="24"/>
                <w:lang w:val="en-GB"/>
              </w:rPr>
              <w:t>（小写）：</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p>
          <w:p>
            <w:pPr>
              <w:spacing w:beforeLines="100" w:afterLines="100" w:line="440" w:lineRule="exact"/>
              <w:rPr>
                <w:rFonts w:ascii="宋体" w:hAnsi="宋体"/>
                <w:sz w:val="24"/>
                <w:lang w:val="en-GB"/>
              </w:rPr>
            </w:pPr>
            <w:r>
              <w:rPr>
                <w:rFonts w:hint="eastAsia" w:ascii="宋体" w:hAnsi="宋体"/>
                <w:sz w:val="24"/>
                <w:lang w:val="en-GB"/>
              </w:rPr>
              <w:t>（大写）：</w:t>
            </w:r>
            <w:r>
              <w:rPr>
                <w:rFonts w:hint="eastAsia" w:ascii="宋体" w:hAnsi="宋体"/>
                <w:sz w:val="24"/>
                <w:u w:val="single"/>
                <w:lang w:val="en-GB"/>
              </w:rPr>
              <w:t xml:space="preserve">   </w:t>
            </w:r>
            <w:r>
              <w:rPr>
                <w:rFonts w:hint="eastAsia" w:ascii="宋体" w:hAnsi="宋体"/>
                <w:sz w:val="24"/>
                <w:u w:val="single"/>
              </w:rPr>
              <w:t xml:space="preserve">                               </w:t>
            </w:r>
          </w:p>
        </w:tc>
      </w:tr>
    </w:tbl>
    <w:p>
      <w:pPr>
        <w:spacing w:beforeLines="150" w:line="440" w:lineRule="exact"/>
        <w:rPr>
          <w:rFonts w:ascii="宋体" w:hAnsi="宋体"/>
          <w:sz w:val="24"/>
          <w:u w:val="single"/>
          <w:lang w:val="en-GB"/>
        </w:rPr>
      </w:pPr>
      <w:r>
        <w:rPr>
          <w:rFonts w:hint="eastAsia" w:ascii="宋体" w:hAnsi="宋体"/>
          <w:sz w:val="24"/>
          <w:lang w:val="en-GB"/>
        </w:rPr>
        <w:t>供应商名称：</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（公章）</w:t>
      </w:r>
    </w:p>
    <w:p>
      <w:pPr>
        <w:spacing w:beforeLines="150" w:line="440" w:lineRule="exact"/>
        <w:rPr>
          <w:rFonts w:ascii="宋体" w:hAnsi="宋体"/>
          <w:sz w:val="24"/>
          <w:lang w:val="en-GB"/>
        </w:rPr>
      </w:pPr>
      <w:r>
        <w:rPr>
          <w:rFonts w:hint="eastAsia" w:ascii="宋体" w:hAnsi="宋体"/>
          <w:sz w:val="24"/>
          <w:lang w:val="en-GB"/>
        </w:rPr>
        <w:t>被授权人：</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sz w:val="24"/>
          <w:u w:val="single"/>
        </w:rPr>
        <w:t xml:space="preserve">  </w:t>
      </w:r>
      <w:r>
        <w:rPr>
          <w:rFonts w:hint="eastAsia" w:ascii="宋体" w:hAnsi="宋体"/>
          <w:sz w:val="24"/>
          <w:u w:val="single"/>
          <w:lang w:val="en-GB"/>
        </w:rPr>
        <w:t xml:space="preserve">     </w:t>
      </w:r>
      <w:r>
        <w:rPr>
          <w:rFonts w:hint="eastAsia" w:ascii="宋体" w:hAnsi="宋体"/>
          <w:bCs/>
          <w:sz w:val="24"/>
          <w:u w:val="single"/>
          <w:lang w:val="en-GB"/>
        </w:rPr>
        <w:t>（亲笔签名）</w:t>
      </w:r>
    </w:p>
    <w:p>
      <w:pPr>
        <w:spacing w:beforeLines="50" w:afterLines="50" w:line="440" w:lineRule="exact"/>
        <w:rPr>
          <w:rFonts w:ascii="宋体" w:hAnsi="宋体"/>
          <w:b/>
          <w:bCs/>
          <w:sz w:val="24"/>
          <w:lang w:val="en-GB"/>
        </w:rPr>
      </w:pPr>
      <w:r>
        <w:rPr>
          <w:rFonts w:hint="eastAsia" w:ascii="宋体" w:hAnsi="宋体"/>
          <w:b/>
          <w:bCs/>
          <w:sz w:val="24"/>
          <w:lang w:val="en-GB"/>
        </w:rPr>
        <w:t>注：</w:t>
      </w:r>
    </w:p>
    <w:p>
      <w:pPr>
        <w:spacing w:line="440" w:lineRule="exact"/>
        <w:ind w:firstLine="480" w:firstLineChars="200"/>
        <w:rPr>
          <w:rFonts w:ascii="宋体" w:hAnsi="宋体"/>
          <w:sz w:val="24"/>
          <w:lang w:val="en-GB"/>
        </w:rPr>
      </w:pPr>
      <w:r>
        <w:rPr>
          <w:rFonts w:hint="eastAsia" w:ascii="宋体" w:hAnsi="宋体"/>
          <w:sz w:val="24"/>
        </w:rPr>
        <w:t>1、</w:t>
      </w:r>
      <w:r>
        <w:rPr>
          <w:rFonts w:hint="eastAsia" w:ascii="宋体" w:hAnsi="宋体"/>
          <w:sz w:val="24"/>
          <w:lang w:val="en-GB"/>
        </w:rPr>
        <w:t>此表为表样，行数可自行添加，但表式不变；</w:t>
      </w:r>
    </w:p>
    <w:p>
      <w:pPr>
        <w:spacing w:line="440" w:lineRule="exact"/>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相关安装调试费用、质保及人员培训、后续服务及其他所有费用由供应商自行计算填列；</w:t>
      </w:r>
    </w:p>
    <w:p>
      <w:pPr>
        <w:spacing w:line="440" w:lineRule="exact"/>
        <w:ind w:firstLine="480" w:firstLineChars="200"/>
        <w:rPr>
          <w:rFonts w:ascii="宋体" w:hAnsi="宋体"/>
          <w:sz w:val="24"/>
          <w:lang w:val="en-GB"/>
        </w:rPr>
      </w:pPr>
      <w:r>
        <w:rPr>
          <w:rFonts w:hint="eastAsia" w:ascii="宋体" w:hAnsi="宋体"/>
          <w:sz w:val="24"/>
        </w:rPr>
        <w:t>3、</w:t>
      </w:r>
      <w:r>
        <w:rPr>
          <w:rFonts w:hint="eastAsia" w:ascii="宋体" w:hAnsi="宋体"/>
          <w:sz w:val="24"/>
          <w:lang w:val="en-GB"/>
        </w:rPr>
        <w:t>总价=单价×数量，数量由供应商自行计算并填表；</w:t>
      </w:r>
    </w:p>
    <w:p>
      <w:pPr>
        <w:spacing w:line="440" w:lineRule="exact"/>
        <w:ind w:firstLine="480" w:firstLineChars="200"/>
        <w:rPr>
          <w:rFonts w:ascii="宋体" w:hAnsi="宋体"/>
          <w:sz w:val="24"/>
          <w:lang w:val="en-GB"/>
        </w:rPr>
      </w:pPr>
      <w:r>
        <w:rPr>
          <w:rFonts w:hint="eastAsia" w:ascii="宋体" w:hAnsi="宋体"/>
          <w:sz w:val="24"/>
        </w:rPr>
        <w:t>4、</w:t>
      </w:r>
      <w:r>
        <w:rPr>
          <w:rFonts w:hint="eastAsia" w:ascii="宋体" w:hAnsi="宋体"/>
          <w:sz w:val="24"/>
          <w:lang w:val="en-GB"/>
        </w:rPr>
        <w:t>“报价明细表”中“投标报价总计”数应当等于“报价一览表”中“报价总计”数。</w:t>
      </w:r>
    </w:p>
    <w:p>
      <w:pPr>
        <w:adjustRightInd w:val="0"/>
        <w:snapToGrid w:val="0"/>
        <w:spacing w:line="440" w:lineRule="exact"/>
        <w:jc w:val="left"/>
        <w:rPr>
          <w:rFonts w:hint="eastAsia" w:ascii="宋体" w:hAnsi="宋体"/>
          <w:b/>
          <w:bCs/>
          <w:sz w:val="24"/>
          <w:lang w:eastAsia="zh-CN"/>
        </w:rPr>
      </w:pPr>
    </w:p>
    <w:p>
      <w:pPr>
        <w:adjustRightInd w:val="0"/>
        <w:snapToGrid w:val="0"/>
        <w:spacing w:line="440" w:lineRule="exact"/>
        <w:jc w:val="left"/>
        <w:rPr>
          <w:rFonts w:hint="eastAsia" w:ascii="宋体" w:hAnsi="宋体"/>
          <w:b/>
          <w:bCs/>
          <w:sz w:val="24"/>
          <w:lang w:eastAsia="zh-CN"/>
        </w:rPr>
      </w:pPr>
    </w:p>
    <w:p>
      <w:pPr>
        <w:adjustRightInd w:val="0"/>
        <w:snapToGrid w:val="0"/>
        <w:spacing w:line="440" w:lineRule="exact"/>
        <w:jc w:val="left"/>
        <w:rPr>
          <w:rFonts w:hint="eastAsia" w:ascii="宋体" w:hAnsi="宋体"/>
          <w:b/>
          <w:bCs/>
          <w:sz w:val="24"/>
          <w:lang w:eastAsia="zh-CN"/>
        </w:rPr>
      </w:pPr>
    </w:p>
    <w:p>
      <w:pPr>
        <w:adjustRightInd w:val="0"/>
        <w:snapToGrid w:val="0"/>
        <w:spacing w:line="440" w:lineRule="exact"/>
        <w:jc w:val="left"/>
        <w:rPr>
          <w:rFonts w:hint="eastAsia" w:ascii="宋体" w:hAnsi="宋体"/>
          <w:b/>
          <w:bCs/>
          <w:sz w:val="24"/>
          <w:lang w:eastAsia="zh-CN"/>
        </w:rPr>
      </w:pPr>
    </w:p>
    <w:p>
      <w:pPr>
        <w:adjustRightInd w:val="0"/>
        <w:snapToGrid w:val="0"/>
        <w:spacing w:line="440" w:lineRule="exact"/>
        <w:jc w:val="left"/>
        <w:rPr>
          <w:rFonts w:hint="eastAsia" w:ascii="宋体" w:hAnsi="宋体"/>
          <w:b/>
          <w:bCs/>
          <w:sz w:val="24"/>
          <w:lang w:eastAsia="zh-CN"/>
        </w:rPr>
      </w:pPr>
    </w:p>
    <w:p>
      <w:pPr>
        <w:adjustRightInd w:val="0"/>
        <w:snapToGrid w:val="0"/>
        <w:spacing w:line="440" w:lineRule="exact"/>
        <w:jc w:val="left"/>
        <w:rPr>
          <w:rFonts w:hint="eastAsia" w:ascii="宋体" w:hAnsi="宋体"/>
          <w:b/>
          <w:bCs/>
          <w:sz w:val="24"/>
          <w:lang w:eastAsia="zh-CN"/>
        </w:rPr>
      </w:pPr>
    </w:p>
    <w:p>
      <w:pPr>
        <w:adjustRightInd w:val="0"/>
        <w:snapToGrid w:val="0"/>
        <w:spacing w:line="440" w:lineRule="exact"/>
        <w:jc w:val="left"/>
        <w:rPr>
          <w:rFonts w:hint="eastAsia" w:ascii="宋体" w:hAnsi="宋体" w:eastAsia="宋体"/>
          <w:b/>
          <w:bCs/>
          <w:sz w:val="24"/>
          <w:lang w:eastAsia="zh-CN"/>
        </w:rPr>
      </w:pPr>
      <w:r>
        <w:rPr>
          <w:rFonts w:hint="eastAsia" w:ascii="宋体" w:hAnsi="宋体"/>
          <w:b/>
          <w:bCs/>
          <w:sz w:val="24"/>
          <w:lang w:eastAsia="zh-CN"/>
        </w:rPr>
        <w:t>（表</w:t>
      </w:r>
      <w:r>
        <w:rPr>
          <w:rFonts w:hint="eastAsia" w:ascii="宋体" w:hAnsi="宋体"/>
          <w:b/>
          <w:bCs/>
          <w:sz w:val="24"/>
          <w:lang w:val="en-US" w:eastAsia="zh-CN"/>
        </w:rPr>
        <w:t>4</w:t>
      </w:r>
      <w:r>
        <w:rPr>
          <w:rFonts w:hint="eastAsia" w:ascii="宋体" w:hAnsi="宋体"/>
          <w:b/>
          <w:bCs/>
          <w:sz w:val="24"/>
          <w:lang w:eastAsia="zh-CN"/>
        </w:rPr>
        <w:t>）</w:t>
      </w:r>
    </w:p>
    <w:p>
      <w:pPr>
        <w:bidi w:val="0"/>
        <w:jc w:val="center"/>
        <w:rPr>
          <w:rFonts w:hint="eastAsia"/>
          <w:b/>
          <w:bCs/>
          <w:sz w:val="36"/>
          <w:szCs w:val="36"/>
          <w:lang w:val="en-US" w:eastAsia="zh-CN"/>
        </w:rPr>
      </w:pPr>
      <w:bookmarkStart w:id="140" w:name="_Toc9757_WPSOffice_Level1"/>
      <w:bookmarkStart w:id="141" w:name="_Toc24800_WPSOffice_Level2"/>
      <w:r>
        <w:rPr>
          <w:rFonts w:hint="eastAsia"/>
          <w:b/>
          <w:bCs/>
          <w:sz w:val="36"/>
          <w:szCs w:val="36"/>
          <w:lang w:val="en-US" w:eastAsia="zh-CN"/>
        </w:rPr>
        <w:t>7、技术要求响应表</w:t>
      </w:r>
      <w:bookmarkEnd w:id="140"/>
      <w:bookmarkEnd w:id="141"/>
    </w:p>
    <w:p>
      <w:pPr>
        <w:pStyle w:val="7"/>
        <w:spacing w:before="169" w:line="388" w:lineRule="auto"/>
        <w:ind w:left="960" w:right="903" w:firstLine="480"/>
        <w:rPr>
          <w:b/>
        </w:rPr>
      </w:pPr>
      <w:r>
        <w:rPr>
          <w:spacing w:val="-1"/>
        </w:rPr>
        <w:t xml:space="preserve">说明：投标人必须仔细阅读谈判文件中所有技术规范条款和相关功能要求， </w:t>
      </w:r>
      <w:r>
        <w:rPr>
          <w:spacing w:val="-3"/>
        </w:rPr>
        <w:t>并对所有技术规范和功能条目列入下表，未列入下表的视作投标人不响应。。</w:t>
      </w:r>
      <w:r>
        <w:rPr>
          <w:b/>
          <w:u w:val="single"/>
        </w:rPr>
        <w:t>投</w:t>
      </w:r>
    </w:p>
    <w:p>
      <w:pPr>
        <w:pStyle w:val="5"/>
        <w:spacing w:before="5"/>
      </w:pPr>
      <w:r>
        <w:rPr>
          <w:w w:val="95"/>
          <w:u w:val="single"/>
        </w:rPr>
        <w:t>标人必须根据所投产品的实际情况</w:t>
      </w:r>
      <w:r>
        <w:rPr>
          <w:spacing w:val="4"/>
          <w:w w:val="95"/>
          <w:u w:val="single"/>
        </w:rPr>
        <w:t>（</w:t>
      </w:r>
      <w:r>
        <w:rPr>
          <w:spacing w:val="2"/>
          <w:w w:val="95"/>
          <w:u w:val="single"/>
        </w:rPr>
        <w:t>技术资料</w:t>
      </w:r>
      <w:r>
        <w:rPr>
          <w:spacing w:val="4"/>
          <w:w w:val="95"/>
          <w:u w:val="single"/>
        </w:rPr>
        <w:t>）</w:t>
      </w:r>
      <w:r>
        <w:rPr>
          <w:w w:val="95"/>
          <w:u w:val="single"/>
        </w:rPr>
        <w:t>如实填写，谈判如发现有虚假</w:t>
      </w:r>
    </w:p>
    <w:p>
      <w:pPr>
        <w:pStyle w:val="7"/>
        <w:spacing w:before="10"/>
        <w:rPr>
          <w:b/>
          <w:sz w:val="9"/>
        </w:rPr>
      </w:pPr>
    </w:p>
    <w:p>
      <w:pPr>
        <w:pStyle w:val="5"/>
        <w:spacing w:before="66"/>
      </w:pPr>
      <w:r>
        <w:rPr>
          <w:u w:val="single"/>
        </w:rPr>
        <w:t>描述的，视为该报价文件虚假响应，该投标人将按照相关法律规定列入黑名单，</w:t>
      </w:r>
    </w:p>
    <w:p>
      <w:pPr>
        <w:pStyle w:val="7"/>
        <w:spacing w:before="10"/>
        <w:rPr>
          <w:b/>
          <w:sz w:val="9"/>
        </w:rPr>
      </w:pPr>
    </w:p>
    <w:p>
      <w:pPr>
        <w:pStyle w:val="5"/>
        <w:spacing w:before="67" w:after="33"/>
      </w:pPr>
      <w:r>
        <w:rPr>
          <w:u w:val="single"/>
        </w:rPr>
        <w:t>并报政府采购主管部门进行严肃处理。</w:t>
      </w:r>
    </w:p>
    <w:tbl>
      <w:tblPr>
        <w:tblStyle w:val="14"/>
        <w:tblW w:w="9129" w:type="dxa"/>
        <w:tblInd w:w="7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06"/>
        <w:gridCol w:w="2361"/>
        <w:gridCol w:w="2565"/>
        <w:gridCol w:w="1017"/>
        <w:gridCol w:w="1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0" w:hRule="atLeast"/>
        </w:trPr>
        <w:tc>
          <w:tcPr>
            <w:tcW w:w="708" w:type="dxa"/>
            <w:noWrap w:val="0"/>
            <w:vAlign w:val="top"/>
          </w:tcPr>
          <w:p>
            <w:pPr>
              <w:pStyle w:val="26"/>
              <w:rPr>
                <w:b/>
                <w:sz w:val="32"/>
              </w:rPr>
            </w:pPr>
          </w:p>
          <w:p>
            <w:pPr>
              <w:pStyle w:val="26"/>
              <w:ind w:left="92" w:right="85"/>
              <w:jc w:val="center"/>
              <w:rPr>
                <w:sz w:val="24"/>
              </w:rPr>
            </w:pPr>
            <w:r>
              <w:rPr>
                <w:sz w:val="24"/>
              </w:rPr>
              <w:t>序号</w:t>
            </w:r>
          </w:p>
        </w:tc>
        <w:tc>
          <w:tcPr>
            <w:tcW w:w="1406" w:type="dxa"/>
            <w:noWrap w:val="0"/>
            <w:vAlign w:val="top"/>
          </w:tcPr>
          <w:p>
            <w:pPr>
              <w:pStyle w:val="26"/>
              <w:spacing w:line="500" w:lineRule="exact"/>
              <w:ind w:left="460" w:right="153" w:hanging="300"/>
              <w:rPr>
                <w:sz w:val="24"/>
              </w:rPr>
            </w:pPr>
            <w:r>
              <w:rPr>
                <w:sz w:val="24"/>
              </w:rPr>
              <w:t>设备/项目名称</w:t>
            </w:r>
          </w:p>
        </w:tc>
        <w:tc>
          <w:tcPr>
            <w:tcW w:w="2361" w:type="dxa"/>
            <w:noWrap w:val="0"/>
            <w:vAlign w:val="top"/>
          </w:tcPr>
          <w:p>
            <w:pPr>
              <w:pStyle w:val="26"/>
              <w:spacing w:line="500" w:lineRule="exact"/>
              <w:ind w:left="701" w:right="149" w:hanging="540"/>
              <w:rPr>
                <w:sz w:val="24"/>
              </w:rPr>
            </w:pPr>
            <w:r>
              <w:rPr>
                <w:sz w:val="24"/>
              </w:rPr>
              <w:t>招标文件技术参数/ 功能描述</w:t>
            </w:r>
          </w:p>
        </w:tc>
        <w:tc>
          <w:tcPr>
            <w:tcW w:w="2565" w:type="dxa"/>
            <w:noWrap w:val="0"/>
            <w:vAlign w:val="top"/>
          </w:tcPr>
          <w:p>
            <w:pPr>
              <w:pStyle w:val="26"/>
              <w:spacing w:line="500" w:lineRule="exact"/>
              <w:ind w:left="1042" w:right="130" w:hanging="900"/>
              <w:rPr>
                <w:sz w:val="24"/>
              </w:rPr>
            </w:pPr>
            <w:r>
              <w:rPr>
                <w:sz w:val="24"/>
              </w:rPr>
              <w:t>投标人技术参数/功能描述</w:t>
            </w:r>
          </w:p>
        </w:tc>
        <w:tc>
          <w:tcPr>
            <w:tcW w:w="1017" w:type="dxa"/>
            <w:noWrap w:val="0"/>
            <w:vAlign w:val="top"/>
          </w:tcPr>
          <w:p>
            <w:pPr>
              <w:pStyle w:val="26"/>
              <w:spacing w:line="500" w:lineRule="exact"/>
              <w:ind w:left="387" w:right="137" w:hanging="240"/>
              <w:rPr>
                <w:sz w:val="24"/>
              </w:rPr>
            </w:pPr>
            <w:r>
              <w:rPr>
                <w:sz w:val="24"/>
              </w:rPr>
              <w:t>偏离情况</w:t>
            </w:r>
          </w:p>
        </w:tc>
        <w:tc>
          <w:tcPr>
            <w:tcW w:w="1072" w:type="dxa"/>
            <w:noWrap w:val="0"/>
            <w:vAlign w:val="top"/>
          </w:tcPr>
          <w:p>
            <w:pPr>
              <w:pStyle w:val="26"/>
              <w:spacing w:line="500" w:lineRule="exact"/>
              <w:ind w:left="417" w:right="162" w:hanging="240"/>
              <w:rPr>
                <w:sz w:val="24"/>
              </w:rPr>
            </w:pPr>
            <w:r>
              <w:rPr>
                <w:sz w:val="24"/>
              </w:rPr>
              <w:t>页码索引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708" w:type="dxa"/>
            <w:noWrap w:val="0"/>
            <w:vAlign w:val="top"/>
          </w:tcPr>
          <w:p>
            <w:pPr>
              <w:pStyle w:val="26"/>
              <w:spacing w:before="213"/>
              <w:ind w:left="7"/>
              <w:jc w:val="center"/>
              <w:rPr>
                <w:sz w:val="24"/>
              </w:rPr>
            </w:pPr>
            <w:r>
              <w:rPr>
                <w:sz w:val="24"/>
              </w:rPr>
              <w:t>1</w:t>
            </w:r>
          </w:p>
        </w:tc>
        <w:tc>
          <w:tcPr>
            <w:tcW w:w="1406" w:type="dxa"/>
            <w:noWrap w:val="0"/>
            <w:vAlign w:val="top"/>
          </w:tcPr>
          <w:p>
            <w:pPr>
              <w:pStyle w:val="26"/>
              <w:rPr>
                <w:rFonts w:ascii="Times New Roman"/>
                <w:sz w:val="22"/>
              </w:rPr>
            </w:pPr>
          </w:p>
        </w:tc>
        <w:tc>
          <w:tcPr>
            <w:tcW w:w="2361" w:type="dxa"/>
            <w:noWrap w:val="0"/>
            <w:vAlign w:val="top"/>
          </w:tcPr>
          <w:p>
            <w:pPr>
              <w:pStyle w:val="26"/>
              <w:rPr>
                <w:rFonts w:ascii="Times New Roman"/>
                <w:sz w:val="22"/>
              </w:rPr>
            </w:pPr>
          </w:p>
        </w:tc>
        <w:tc>
          <w:tcPr>
            <w:tcW w:w="2565" w:type="dxa"/>
            <w:noWrap w:val="0"/>
            <w:vAlign w:val="top"/>
          </w:tcPr>
          <w:p>
            <w:pPr>
              <w:pStyle w:val="26"/>
              <w:rPr>
                <w:rFonts w:ascii="Times New Roman"/>
                <w:sz w:val="22"/>
              </w:rPr>
            </w:pPr>
          </w:p>
        </w:tc>
        <w:tc>
          <w:tcPr>
            <w:tcW w:w="1017" w:type="dxa"/>
            <w:noWrap w:val="0"/>
            <w:vAlign w:val="top"/>
          </w:tcPr>
          <w:p>
            <w:pPr>
              <w:pStyle w:val="26"/>
              <w:rPr>
                <w:rFonts w:ascii="Times New Roman"/>
                <w:sz w:val="22"/>
              </w:rPr>
            </w:pPr>
          </w:p>
        </w:tc>
        <w:tc>
          <w:tcPr>
            <w:tcW w:w="1072" w:type="dxa"/>
            <w:noWrap w:val="0"/>
            <w:vAlign w:val="top"/>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708" w:type="dxa"/>
            <w:noWrap w:val="0"/>
            <w:vAlign w:val="top"/>
          </w:tcPr>
          <w:p>
            <w:pPr>
              <w:pStyle w:val="26"/>
              <w:spacing w:before="216"/>
              <w:ind w:left="7"/>
              <w:jc w:val="center"/>
              <w:rPr>
                <w:sz w:val="24"/>
              </w:rPr>
            </w:pPr>
            <w:r>
              <w:rPr>
                <w:sz w:val="24"/>
              </w:rPr>
              <w:t>2</w:t>
            </w:r>
          </w:p>
        </w:tc>
        <w:tc>
          <w:tcPr>
            <w:tcW w:w="1406" w:type="dxa"/>
            <w:noWrap w:val="0"/>
            <w:vAlign w:val="top"/>
          </w:tcPr>
          <w:p>
            <w:pPr>
              <w:pStyle w:val="26"/>
              <w:rPr>
                <w:rFonts w:ascii="Times New Roman"/>
                <w:sz w:val="22"/>
              </w:rPr>
            </w:pPr>
          </w:p>
        </w:tc>
        <w:tc>
          <w:tcPr>
            <w:tcW w:w="2361" w:type="dxa"/>
            <w:noWrap w:val="0"/>
            <w:vAlign w:val="top"/>
          </w:tcPr>
          <w:p>
            <w:pPr>
              <w:pStyle w:val="26"/>
              <w:rPr>
                <w:rFonts w:ascii="Times New Roman"/>
                <w:sz w:val="22"/>
              </w:rPr>
            </w:pPr>
          </w:p>
        </w:tc>
        <w:tc>
          <w:tcPr>
            <w:tcW w:w="2565" w:type="dxa"/>
            <w:noWrap w:val="0"/>
            <w:vAlign w:val="top"/>
          </w:tcPr>
          <w:p>
            <w:pPr>
              <w:pStyle w:val="26"/>
              <w:rPr>
                <w:rFonts w:ascii="Times New Roman"/>
                <w:sz w:val="22"/>
              </w:rPr>
            </w:pPr>
          </w:p>
        </w:tc>
        <w:tc>
          <w:tcPr>
            <w:tcW w:w="1017" w:type="dxa"/>
            <w:noWrap w:val="0"/>
            <w:vAlign w:val="top"/>
          </w:tcPr>
          <w:p>
            <w:pPr>
              <w:pStyle w:val="26"/>
              <w:rPr>
                <w:rFonts w:ascii="Times New Roman"/>
                <w:sz w:val="22"/>
              </w:rPr>
            </w:pPr>
          </w:p>
        </w:tc>
        <w:tc>
          <w:tcPr>
            <w:tcW w:w="1072" w:type="dxa"/>
            <w:noWrap w:val="0"/>
            <w:vAlign w:val="top"/>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708" w:type="dxa"/>
            <w:noWrap w:val="0"/>
            <w:vAlign w:val="top"/>
          </w:tcPr>
          <w:p>
            <w:pPr>
              <w:pStyle w:val="26"/>
              <w:spacing w:before="213"/>
              <w:ind w:left="7"/>
              <w:jc w:val="center"/>
              <w:rPr>
                <w:sz w:val="24"/>
              </w:rPr>
            </w:pPr>
            <w:r>
              <w:rPr>
                <w:sz w:val="24"/>
              </w:rPr>
              <w:t>3</w:t>
            </w:r>
          </w:p>
        </w:tc>
        <w:tc>
          <w:tcPr>
            <w:tcW w:w="1406" w:type="dxa"/>
            <w:noWrap w:val="0"/>
            <w:vAlign w:val="top"/>
          </w:tcPr>
          <w:p>
            <w:pPr>
              <w:pStyle w:val="26"/>
              <w:rPr>
                <w:rFonts w:ascii="Times New Roman"/>
                <w:sz w:val="22"/>
              </w:rPr>
            </w:pPr>
          </w:p>
        </w:tc>
        <w:tc>
          <w:tcPr>
            <w:tcW w:w="2361" w:type="dxa"/>
            <w:noWrap w:val="0"/>
            <w:vAlign w:val="top"/>
          </w:tcPr>
          <w:p>
            <w:pPr>
              <w:pStyle w:val="26"/>
              <w:rPr>
                <w:rFonts w:ascii="Times New Roman"/>
                <w:sz w:val="22"/>
              </w:rPr>
            </w:pPr>
          </w:p>
        </w:tc>
        <w:tc>
          <w:tcPr>
            <w:tcW w:w="2565" w:type="dxa"/>
            <w:noWrap w:val="0"/>
            <w:vAlign w:val="top"/>
          </w:tcPr>
          <w:p>
            <w:pPr>
              <w:pStyle w:val="26"/>
              <w:rPr>
                <w:rFonts w:ascii="Times New Roman"/>
                <w:sz w:val="22"/>
              </w:rPr>
            </w:pPr>
          </w:p>
        </w:tc>
        <w:tc>
          <w:tcPr>
            <w:tcW w:w="1017" w:type="dxa"/>
            <w:noWrap w:val="0"/>
            <w:vAlign w:val="top"/>
          </w:tcPr>
          <w:p>
            <w:pPr>
              <w:pStyle w:val="26"/>
              <w:rPr>
                <w:rFonts w:ascii="Times New Roman"/>
                <w:sz w:val="22"/>
              </w:rPr>
            </w:pPr>
          </w:p>
        </w:tc>
        <w:tc>
          <w:tcPr>
            <w:tcW w:w="1072" w:type="dxa"/>
            <w:noWrap w:val="0"/>
            <w:vAlign w:val="top"/>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708" w:type="dxa"/>
            <w:noWrap w:val="0"/>
            <w:vAlign w:val="top"/>
          </w:tcPr>
          <w:p>
            <w:pPr>
              <w:pStyle w:val="26"/>
              <w:spacing w:before="216"/>
              <w:ind w:left="7"/>
              <w:jc w:val="center"/>
              <w:rPr>
                <w:sz w:val="24"/>
              </w:rPr>
            </w:pPr>
            <w:r>
              <w:rPr>
                <w:sz w:val="24"/>
              </w:rPr>
              <w:t>4</w:t>
            </w:r>
          </w:p>
        </w:tc>
        <w:tc>
          <w:tcPr>
            <w:tcW w:w="1406" w:type="dxa"/>
            <w:noWrap w:val="0"/>
            <w:vAlign w:val="top"/>
          </w:tcPr>
          <w:p>
            <w:pPr>
              <w:pStyle w:val="26"/>
              <w:rPr>
                <w:rFonts w:ascii="Times New Roman"/>
                <w:sz w:val="22"/>
              </w:rPr>
            </w:pPr>
          </w:p>
        </w:tc>
        <w:tc>
          <w:tcPr>
            <w:tcW w:w="2361" w:type="dxa"/>
            <w:noWrap w:val="0"/>
            <w:vAlign w:val="top"/>
          </w:tcPr>
          <w:p>
            <w:pPr>
              <w:pStyle w:val="26"/>
              <w:rPr>
                <w:rFonts w:ascii="Times New Roman"/>
                <w:sz w:val="22"/>
              </w:rPr>
            </w:pPr>
          </w:p>
        </w:tc>
        <w:tc>
          <w:tcPr>
            <w:tcW w:w="2565" w:type="dxa"/>
            <w:noWrap w:val="0"/>
            <w:vAlign w:val="top"/>
          </w:tcPr>
          <w:p>
            <w:pPr>
              <w:pStyle w:val="26"/>
              <w:rPr>
                <w:rFonts w:ascii="Times New Roman"/>
                <w:sz w:val="22"/>
              </w:rPr>
            </w:pPr>
          </w:p>
        </w:tc>
        <w:tc>
          <w:tcPr>
            <w:tcW w:w="1017" w:type="dxa"/>
            <w:noWrap w:val="0"/>
            <w:vAlign w:val="top"/>
          </w:tcPr>
          <w:p>
            <w:pPr>
              <w:pStyle w:val="26"/>
              <w:rPr>
                <w:rFonts w:ascii="Times New Roman"/>
                <w:sz w:val="22"/>
              </w:rPr>
            </w:pPr>
          </w:p>
        </w:tc>
        <w:tc>
          <w:tcPr>
            <w:tcW w:w="1072" w:type="dxa"/>
            <w:noWrap w:val="0"/>
            <w:vAlign w:val="top"/>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708" w:type="dxa"/>
            <w:noWrap w:val="0"/>
            <w:vAlign w:val="top"/>
          </w:tcPr>
          <w:p>
            <w:pPr>
              <w:pStyle w:val="26"/>
              <w:spacing w:before="213"/>
              <w:ind w:left="7"/>
              <w:jc w:val="center"/>
              <w:rPr>
                <w:sz w:val="24"/>
              </w:rPr>
            </w:pPr>
            <w:r>
              <w:rPr>
                <w:sz w:val="24"/>
              </w:rPr>
              <w:t>5</w:t>
            </w:r>
          </w:p>
        </w:tc>
        <w:tc>
          <w:tcPr>
            <w:tcW w:w="1406" w:type="dxa"/>
            <w:noWrap w:val="0"/>
            <w:vAlign w:val="top"/>
          </w:tcPr>
          <w:p>
            <w:pPr>
              <w:pStyle w:val="26"/>
              <w:rPr>
                <w:rFonts w:ascii="Times New Roman"/>
                <w:sz w:val="22"/>
              </w:rPr>
            </w:pPr>
          </w:p>
        </w:tc>
        <w:tc>
          <w:tcPr>
            <w:tcW w:w="2361" w:type="dxa"/>
            <w:noWrap w:val="0"/>
            <w:vAlign w:val="top"/>
          </w:tcPr>
          <w:p>
            <w:pPr>
              <w:pStyle w:val="26"/>
              <w:rPr>
                <w:rFonts w:ascii="Times New Roman"/>
                <w:sz w:val="22"/>
              </w:rPr>
            </w:pPr>
          </w:p>
        </w:tc>
        <w:tc>
          <w:tcPr>
            <w:tcW w:w="2565" w:type="dxa"/>
            <w:noWrap w:val="0"/>
            <w:vAlign w:val="top"/>
          </w:tcPr>
          <w:p>
            <w:pPr>
              <w:pStyle w:val="26"/>
              <w:rPr>
                <w:rFonts w:ascii="Times New Roman"/>
                <w:sz w:val="22"/>
              </w:rPr>
            </w:pPr>
          </w:p>
        </w:tc>
        <w:tc>
          <w:tcPr>
            <w:tcW w:w="1017" w:type="dxa"/>
            <w:noWrap w:val="0"/>
            <w:vAlign w:val="top"/>
          </w:tcPr>
          <w:p>
            <w:pPr>
              <w:pStyle w:val="26"/>
              <w:rPr>
                <w:rFonts w:ascii="Times New Roman"/>
                <w:sz w:val="22"/>
              </w:rPr>
            </w:pPr>
          </w:p>
        </w:tc>
        <w:tc>
          <w:tcPr>
            <w:tcW w:w="1072" w:type="dxa"/>
            <w:noWrap w:val="0"/>
            <w:vAlign w:val="top"/>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708" w:type="dxa"/>
            <w:noWrap w:val="0"/>
            <w:vAlign w:val="top"/>
          </w:tcPr>
          <w:p>
            <w:pPr>
              <w:pStyle w:val="26"/>
              <w:rPr>
                <w:rFonts w:ascii="Times New Roman"/>
                <w:sz w:val="22"/>
              </w:rPr>
            </w:pPr>
          </w:p>
        </w:tc>
        <w:tc>
          <w:tcPr>
            <w:tcW w:w="1406" w:type="dxa"/>
            <w:noWrap w:val="0"/>
            <w:vAlign w:val="top"/>
          </w:tcPr>
          <w:p>
            <w:pPr>
              <w:pStyle w:val="26"/>
              <w:spacing w:before="158"/>
              <w:ind w:left="5"/>
              <w:jc w:val="center"/>
              <w:rPr>
                <w:sz w:val="24"/>
              </w:rPr>
            </w:pPr>
            <w:r>
              <w:rPr>
                <w:sz w:val="24"/>
              </w:rPr>
              <w:t>…</w:t>
            </w:r>
          </w:p>
        </w:tc>
        <w:tc>
          <w:tcPr>
            <w:tcW w:w="2361" w:type="dxa"/>
            <w:noWrap w:val="0"/>
            <w:vAlign w:val="top"/>
          </w:tcPr>
          <w:p>
            <w:pPr>
              <w:pStyle w:val="26"/>
              <w:rPr>
                <w:rFonts w:ascii="Times New Roman"/>
                <w:sz w:val="22"/>
              </w:rPr>
            </w:pPr>
          </w:p>
        </w:tc>
        <w:tc>
          <w:tcPr>
            <w:tcW w:w="2565" w:type="dxa"/>
            <w:noWrap w:val="0"/>
            <w:vAlign w:val="top"/>
          </w:tcPr>
          <w:p>
            <w:pPr>
              <w:pStyle w:val="26"/>
              <w:rPr>
                <w:rFonts w:ascii="Times New Roman"/>
                <w:sz w:val="22"/>
              </w:rPr>
            </w:pPr>
          </w:p>
        </w:tc>
        <w:tc>
          <w:tcPr>
            <w:tcW w:w="1017" w:type="dxa"/>
            <w:noWrap w:val="0"/>
            <w:vAlign w:val="top"/>
          </w:tcPr>
          <w:p>
            <w:pPr>
              <w:pStyle w:val="26"/>
              <w:rPr>
                <w:rFonts w:ascii="Times New Roman"/>
                <w:sz w:val="22"/>
              </w:rPr>
            </w:pPr>
          </w:p>
        </w:tc>
        <w:tc>
          <w:tcPr>
            <w:tcW w:w="1072" w:type="dxa"/>
            <w:noWrap w:val="0"/>
            <w:vAlign w:val="top"/>
          </w:tcPr>
          <w:p>
            <w:pPr>
              <w:pStyle w:val="26"/>
              <w:rPr>
                <w:rFonts w:ascii="Times New Roman"/>
                <w:sz w:val="22"/>
              </w:rPr>
            </w:pPr>
          </w:p>
        </w:tc>
      </w:tr>
    </w:tbl>
    <w:p>
      <w:pPr>
        <w:pStyle w:val="7"/>
        <w:rPr>
          <w:b/>
        </w:rPr>
      </w:pPr>
    </w:p>
    <w:p>
      <w:pPr>
        <w:pStyle w:val="7"/>
        <w:spacing w:before="4"/>
        <w:rPr>
          <w:b/>
          <w:sz w:val="27"/>
        </w:rPr>
      </w:pPr>
    </w:p>
    <w:p>
      <w:pPr>
        <w:pStyle w:val="7"/>
        <w:tabs>
          <w:tab w:val="left" w:pos="4799"/>
        </w:tabs>
        <w:ind w:left="960"/>
      </w:pPr>
      <w:r>
        <w:t>投标人全称（公章）：</w:t>
      </w:r>
      <w:r>
        <w:tab/>
      </w:r>
      <w:r>
        <w:t>授权代表（签字）：</w:t>
      </w:r>
    </w:p>
    <w:p>
      <w:pPr>
        <w:pStyle w:val="7"/>
      </w:pPr>
    </w:p>
    <w:p>
      <w:pPr>
        <w:pStyle w:val="7"/>
        <w:spacing w:before="3"/>
        <w:rPr>
          <w:sz w:val="32"/>
        </w:rPr>
      </w:pPr>
    </w:p>
    <w:p>
      <w:pPr>
        <w:spacing w:before="0"/>
        <w:ind w:left="959" w:right="0" w:firstLine="0"/>
        <w:jc w:val="left"/>
        <w:rPr>
          <w:sz w:val="21"/>
        </w:rPr>
      </w:pPr>
      <w:r>
        <w:rPr>
          <w:sz w:val="21"/>
        </w:rPr>
        <w:t>注：1、此表为表样，行数可自行添加，但表式不变。</w:t>
      </w:r>
    </w:p>
    <w:p>
      <w:pPr>
        <w:pStyle w:val="7"/>
        <w:spacing w:before="2"/>
        <w:rPr>
          <w:sz w:val="18"/>
        </w:rPr>
      </w:pPr>
    </w:p>
    <w:p>
      <w:pPr>
        <w:spacing w:before="0" w:line="444" w:lineRule="auto"/>
        <w:ind w:left="959" w:right="1003" w:firstLine="420"/>
        <w:jc w:val="both"/>
        <w:rPr>
          <w:sz w:val="21"/>
        </w:rPr>
      </w:pPr>
      <w:r>
        <w:rPr>
          <w:sz w:val="21"/>
        </w:rPr>
        <w:t>2</w:t>
      </w:r>
      <w:r>
        <w:rPr>
          <w:spacing w:val="-8"/>
          <w:sz w:val="21"/>
        </w:rPr>
        <w:t>、投标人在“投标人技术参数</w:t>
      </w:r>
      <w:r>
        <w:rPr>
          <w:sz w:val="21"/>
        </w:rPr>
        <w:t>/</w:t>
      </w:r>
      <w:r>
        <w:rPr>
          <w:spacing w:val="-7"/>
          <w:sz w:val="21"/>
        </w:rPr>
        <w:t>功能描述” 中填写所投设备</w:t>
      </w:r>
      <w:r>
        <w:rPr>
          <w:sz w:val="21"/>
        </w:rPr>
        <w:t>/</w:t>
      </w:r>
      <w:r>
        <w:rPr>
          <w:spacing w:val="-3"/>
          <w:sz w:val="21"/>
        </w:rPr>
        <w:t>项目的详细技术参数或功能描述情况。</w:t>
      </w:r>
    </w:p>
    <w:p>
      <w:pPr>
        <w:spacing w:before="3" w:line="446" w:lineRule="auto"/>
        <w:ind w:left="959" w:right="977" w:firstLine="420"/>
        <w:jc w:val="both"/>
        <w:rPr>
          <w:sz w:val="21"/>
        </w:rPr>
      </w:pPr>
      <w:r>
        <w:rPr>
          <w:sz w:val="21"/>
        </w:rPr>
        <w:t>3、偏离情况说明分正偏离、完全响应、负偏离，分别表示优于要求、满足要求、不满足要求</w:t>
      </w:r>
      <w:r>
        <w:rPr>
          <w:w w:val="95"/>
          <w:sz w:val="21"/>
        </w:rPr>
        <w:t>。</w:t>
      </w:r>
      <w:r>
        <w:rPr>
          <w:b/>
          <w:bCs/>
          <w:sz w:val="21"/>
          <w:u w:val="single"/>
        </w:rPr>
        <w:t>谈判小组评标时不能只根据投标人填写的偏离情况说明来判断是否响应</w:t>
      </w:r>
      <w:r>
        <w:rPr>
          <w:w w:val="95"/>
          <w:sz w:val="21"/>
        </w:rPr>
        <w:t>，</w:t>
      </w:r>
      <w:r>
        <w:rPr>
          <w:sz w:val="21"/>
        </w:rPr>
        <w:t>而应认真查阅“投标文件技术参数/功能响应”内容以及相关的技术资料判断是否满足要求。</w:t>
      </w:r>
    </w:p>
    <w:p>
      <w:pPr>
        <w:spacing w:before="0" w:line="446" w:lineRule="auto"/>
        <w:ind w:left="959" w:right="977" w:firstLine="420"/>
        <w:jc w:val="left"/>
        <w:rPr>
          <w:b/>
          <w:sz w:val="21"/>
        </w:rPr>
      </w:pPr>
      <w:r>
        <w:rPr>
          <w:w w:val="95"/>
          <w:sz w:val="21"/>
        </w:rPr>
        <w:t>4、</w:t>
      </w:r>
      <w:r>
        <w:rPr>
          <w:b/>
          <w:bCs/>
          <w:sz w:val="21"/>
          <w:u w:val="single"/>
        </w:rPr>
        <w:t>“页码索引”指“投标人技术参数/功能描述”所对应的证明材料在报价文件中的  页码。</w:t>
      </w:r>
    </w:p>
    <w:p>
      <w:pPr>
        <w:spacing w:after="0" w:line="446" w:lineRule="auto"/>
        <w:jc w:val="left"/>
        <w:rPr>
          <w:sz w:val="21"/>
        </w:rPr>
        <w:sectPr>
          <w:headerReference r:id="rId3" w:type="default"/>
          <w:footerReference r:id="rId4" w:type="default"/>
          <w:pgSz w:w="11910" w:h="16840"/>
          <w:pgMar w:top="1340" w:right="800" w:bottom="1180" w:left="840" w:header="872" w:footer="992" w:gutter="0"/>
          <w:pgBorders>
            <w:top w:val="none" w:sz="0" w:space="0"/>
            <w:left w:val="none" w:sz="0" w:space="0"/>
            <w:bottom w:val="none" w:sz="0" w:space="0"/>
            <w:right w:val="none" w:sz="0" w:space="0"/>
          </w:pgBorders>
          <w:pgNumType w:fmt="decimal" w:start="1"/>
          <w:cols w:space="720" w:num="1"/>
        </w:sectPr>
      </w:pPr>
    </w:p>
    <w:p>
      <w:pPr>
        <w:spacing w:afterLines="50" w:line="440" w:lineRule="exact"/>
        <w:jc w:val="center"/>
        <w:rPr>
          <w:rStyle w:val="17"/>
          <w:rFonts w:hint="eastAsia"/>
          <w:sz w:val="36"/>
          <w:szCs w:val="36"/>
        </w:rPr>
      </w:pPr>
    </w:p>
    <w:p>
      <w:pPr>
        <w:spacing w:afterLines="50" w:line="440" w:lineRule="exact"/>
        <w:jc w:val="center"/>
        <w:rPr>
          <w:rStyle w:val="17"/>
          <w:rFonts w:hint="eastAsia"/>
          <w:sz w:val="36"/>
          <w:szCs w:val="36"/>
          <w:lang w:val="en-US" w:eastAsia="zh-CN"/>
        </w:rPr>
      </w:pPr>
      <w:bookmarkStart w:id="142" w:name="_Toc519_WPSOffice_Level2"/>
      <w:bookmarkStart w:id="143" w:name="_Toc20749_WPSOffice_Level2"/>
    </w:p>
    <w:p>
      <w:pPr>
        <w:pStyle w:val="3"/>
        <w:bidi w:val="0"/>
        <w:jc w:val="center"/>
        <w:rPr>
          <w:rFonts w:hint="eastAsia" w:ascii="Arial" w:hAnsi="Arial" w:eastAsia="宋体"/>
          <w:sz w:val="36"/>
          <w:szCs w:val="36"/>
          <w:lang w:val="en-US" w:eastAsia="zh-CN"/>
        </w:rPr>
      </w:pPr>
      <w:bookmarkStart w:id="144" w:name="_Toc30601_WPSOffice_Level2"/>
      <w:r>
        <w:rPr>
          <w:rFonts w:hint="eastAsia"/>
          <w:sz w:val="36"/>
          <w:szCs w:val="36"/>
          <w:lang w:val="en-US" w:eastAsia="zh-CN"/>
        </w:rPr>
        <w:t>8</w:t>
      </w:r>
      <w:r>
        <w:rPr>
          <w:rFonts w:hint="eastAsia" w:ascii="Arial" w:hAnsi="Arial" w:eastAsia="宋体"/>
          <w:sz w:val="36"/>
          <w:szCs w:val="36"/>
          <w:lang w:val="en-US" w:eastAsia="zh-CN"/>
        </w:rPr>
        <w:t>、中小企业声明函</w:t>
      </w:r>
      <w:bookmarkEnd w:id="142"/>
      <w:bookmarkEnd w:id="143"/>
      <w:bookmarkEnd w:id="144"/>
    </w:p>
    <w:p>
      <w:pPr>
        <w:pStyle w:val="13"/>
        <w:spacing w:line="440" w:lineRule="exact"/>
        <w:ind w:firstLine="480"/>
      </w:pPr>
      <w:r>
        <w:rPr>
          <w:rFonts w:hint="eastAsia"/>
        </w:rPr>
        <w:t>本公司郑重声明，根据《政府采购促进中小企业发展暂行办法》（财库〔2011〕181号）的规定，本公司为______（请填写：中型、小型、微型）企业。即，本公司同时满足以下条件：</w:t>
      </w:r>
      <w:r>
        <w:rPr>
          <w:rFonts w:hint="eastAsia"/>
        </w:rPr>
        <w:br w:type="textWrapping"/>
      </w:r>
      <w:r>
        <w:rPr>
          <w:rFonts w:hint="eastAsia"/>
        </w:rPr>
        <w:t>　　1.根据《工业和信息化部、国家统计局、国家发展和改革委员会、财政部关于印发中小企业划型标准规定的通知》（工信部联企业〔2011〕300号）规定的划分标准，本公司为______（请填写：中型、小型、微型）企业。</w:t>
      </w:r>
      <w:r>
        <w:rPr>
          <w:rFonts w:hint="eastAsia"/>
        </w:rPr>
        <w:br w:type="textWrapping"/>
      </w:r>
      <w:r>
        <w:rPr>
          <w:rFonts w:hint="eastAsia"/>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rPr>
        <w:br w:type="textWrapping"/>
      </w:r>
      <w:r>
        <w:rPr>
          <w:rFonts w:hint="eastAsia"/>
        </w:rPr>
        <w:t>　　本公司对上述声明的真实性负责。如有虚假，将依法承担相应责任。</w:t>
      </w:r>
      <w:r>
        <w:rPr>
          <w:rFonts w:hint="eastAsia"/>
        </w:rPr>
        <w:br w:type="textWrapping"/>
      </w:r>
      <w:r>
        <w:rPr>
          <w:rFonts w:hint="eastAsia"/>
        </w:rPr>
        <w:t>　　</w:t>
      </w:r>
    </w:p>
    <w:p>
      <w:pPr>
        <w:pStyle w:val="13"/>
        <w:spacing w:line="440" w:lineRule="exact"/>
        <w:ind w:firstLine="480"/>
      </w:pPr>
      <w:r>
        <w:rPr>
          <w:rFonts w:hint="eastAsia"/>
        </w:rPr>
        <w:t>　　　　　　　　　　　　　　　声明人：企业名称（盖章）</w:t>
      </w:r>
      <w:r>
        <w:rPr>
          <w:rFonts w:hint="eastAsia"/>
        </w:rPr>
        <w:br w:type="textWrapping"/>
      </w:r>
      <w:r>
        <w:rPr>
          <w:rFonts w:hint="eastAsia"/>
        </w:rPr>
        <w:t>　　</w:t>
      </w:r>
    </w:p>
    <w:p>
      <w:pPr>
        <w:pStyle w:val="13"/>
        <w:spacing w:line="440" w:lineRule="exact"/>
        <w:ind w:firstLine="480"/>
      </w:pPr>
      <w:r>
        <w:rPr>
          <w:rFonts w:hint="eastAsia"/>
        </w:rPr>
        <w:t>　　　　　　　　　　　　　　　日 期：　　</w:t>
      </w:r>
    </w:p>
    <w:p>
      <w:pPr>
        <w:spacing w:afterLines="50" w:line="440" w:lineRule="exact"/>
        <w:rPr>
          <w:rFonts w:ascii="宋体" w:hAnsi="宋体"/>
          <w:b/>
          <w:bCs/>
          <w:kern w:val="0"/>
          <w:sz w:val="30"/>
          <w:szCs w:val="30"/>
        </w:rPr>
      </w:pPr>
      <w:bookmarkStart w:id="145" w:name="_Toc3690_WPSOffice_Level3"/>
      <w:r>
        <w:rPr>
          <w:rFonts w:hint="eastAsia" w:ascii="宋体" w:hAnsi="宋体"/>
          <w:b/>
          <w:bCs/>
          <w:kern w:val="0"/>
          <w:sz w:val="30"/>
          <w:szCs w:val="30"/>
        </w:rPr>
        <w:t>注：附相关证明资料</w:t>
      </w:r>
      <w:bookmarkEnd w:id="145"/>
    </w:p>
    <w:p>
      <w:pPr>
        <w:spacing w:afterLines="50" w:line="440" w:lineRule="exact"/>
        <w:jc w:val="center"/>
        <w:rPr>
          <w:rFonts w:ascii="宋体" w:hAnsi="宋体"/>
          <w:b/>
          <w:bCs/>
          <w:kern w:val="0"/>
          <w:sz w:val="30"/>
          <w:szCs w:val="30"/>
        </w:rPr>
      </w:pPr>
    </w:p>
    <w:p>
      <w:pPr>
        <w:numPr>
          <w:ilvl w:val="0"/>
          <w:numId w:val="0"/>
        </w:numPr>
        <w:spacing w:afterLines="50" w:line="440" w:lineRule="exact"/>
        <w:jc w:val="center"/>
        <w:rPr>
          <w:rFonts w:hint="eastAsia" w:ascii="宋体" w:hAnsi="宋体"/>
          <w:b/>
          <w:bCs/>
          <w:kern w:val="0"/>
          <w:sz w:val="36"/>
          <w:szCs w:val="36"/>
          <w:lang w:val="en-US" w:eastAsia="zh-CN"/>
        </w:rPr>
      </w:pPr>
      <w:bookmarkStart w:id="146" w:name="_Toc20531_WPSOffice_Level2"/>
      <w:bookmarkStart w:id="147" w:name="_Toc8171_WPSOffice_Level2"/>
    </w:p>
    <w:p>
      <w:pPr>
        <w:numPr>
          <w:ilvl w:val="0"/>
          <w:numId w:val="0"/>
        </w:numPr>
        <w:spacing w:afterLines="50" w:line="440" w:lineRule="exact"/>
        <w:jc w:val="center"/>
        <w:rPr>
          <w:rFonts w:hint="eastAsia" w:ascii="宋体" w:hAnsi="宋体"/>
          <w:b/>
          <w:bCs/>
          <w:kern w:val="0"/>
          <w:sz w:val="36"/>
          <w:szCs w:val="36"/>
          <w:lang w:val="en-US" w:eastAsia="zh-CN"/>
        </w:rPr>
      </w:pPr>
    </w:p>
    <w:p>
      <w:pPr>
        <w:numPr>
          <w:ilvl w:val="0"/>
          <w:numId w:val="0"/>
        </w:numPr>
        <w:spacing w:afterLines="50" w:line="440" w:lineRule="exact"/>
        <w:jc w:val="center"/>
        <w:rPr>
          <w:rFonts w:hint="eastAsia" w:ascii="宋体" w:hAnsi="宋体"/>
          <w:b/>
          <w:bCs/>
          <w:kern w:val="0"/>
          <w:sz w:val="36"/>
          <w:szCs w:val="36"/>
          <w:lang w:val="en-US" w:eastAsia="zh-CN"/>
        </w:rPr>
      </w:pPr>
    </w:p>
    <w:p>
      <w:pPr>
        <w:numPr>
          <w:ilvl w:val="0"/>
          <w:numId w:val="0"/>
        </w:numPr>
        <w:spacing w:afterLines="50" w:line="440" w:lineRule="exact"/>
        <w:jc w:val="center"/>
        <w:rPr>
          <w:rFonts w:hint="eastAsia" w:ascii="宋体" w:hAnsi="宋体"/>
          <w:b/>
          <w:bCs/>
          <w:kern w:val="0"/>
          <w:sz w:val="36"/>
          <w:szCs w:val="36"/>
          <w:lang w:val="en-US" w:eastAsia="zh-CN"/>
        </w:rPr>
      </w:pPr>
    </w:p>
    <w:p>
      <w:pPr>
        <w:numPr>
          <w:ilvl w:val="0"/>
          <w:numId w:val="0"/>
        </w:numPr>
        <w:spacing w:afterLines="50" w:line="440" w:lineRule="exact"/>
        <w:jc w:val="center"/>
        <w:rPr>
          <w:rFonts w:hint="eastAsia" w:ascii="宋体" w:hAnsi="宋体"/>
          <w:b/>
          <w:bCs/>
          <w:kern w:val="0"/>
          <w:sz w:val="36"/>
          <w:szCs w:val="36"/>
          <w:lang w:val="en-US" w:eastAsia="zh-CN"/>
        </w:rPr>
      </w:pPr>
    </w:p>
    <w:p>
      <w:pPr>
        <w:numPr>
          <w:ilvl w:val="0"/>
          <w:numId w:val="0"/>
        </w:numPr>
        <w:spacing w:afterLines="50" w:line="440" w:lineRule="exact"/>
        <w:jc w:val="center"/>
        <w:rPr>
          <w:rFonts w:hint="eastAsia" w:ascii="宋体" w:hAnsi="宋体"/>
          <w:b/>
          <w:bCs/>
          <w:kern w:val="0"/>
          <w:sz w:val="36"/>
          <w:szCs w:val="36"/>
          <w:lang w:val="en-US" w:eastAsia="zh-CN"/>
        </w:rPr>
      </w:pPr>
    </w:p>
    <w:p>
      <w:pPr>
        <w:numPr>
          <w:ilvl w:val="0"/>
          <w:numId w:val="0"/>
        </w:numPr>
        <w:spacing w:afterLines="50" w:line="440" w:lineRule="exact"/>
        <w:jc w:val="center"/>
        <w:rPr>
          <w:rFonts w:hint="eastAsia" w:ascii="宋体" w:hAnsi="宋体"/>
          <w:b/>
          <w:bCs/>
          <w:kern w:val="0"/>
          <w:sz w:val="36"/>
          <w:szCs w:val="36"/>
          <w:lang w:val="en-US" w:eastAsia="zh-CN"/>
        </w:rPr>
      </w:pPr>
    </w:p>
    <w:p>
      <w:pPr>
        <w:numPr>
          <w:ilvl w:val="0"/>
          <w:numId w:val="0"/>
        </w:numPr>
        <w:spacing w:afterLines="50" w:line="440" w:lineRule="exact"/>
        <w:jc w:val="both"/>
        <w:rPr>
          <w:rFonts w:hint="eastAsia" w:ascii="宋体" w:hAnsi="宋体"/>
          <w:b/>
          <w:bCs/>
          <w:kern w:val="0"/>
          <w:sz w:val="36"/>
          <w:szCs w:val="36"/>
          <w:lang w:val="en-US" w:eastAsia="zh-CN"/>
        </w:rPr>
      </w:pPr>
    </w:p>
    <w:p>
      <w:pPr>
        <w:pStyle w:val="3"/>
        <w:bidi w:val="0"/>
        <w:jc w:val="center"/>
        <w:rPr>
          <w:rFonts w:hint="eastAsia" w:ascii="宋体" w:hAnsi="宋体" w:eastAsia="宋体" w:cs="宋体"/>
          <w:b/>
          <w:bCs/>
          <w:kern w:val="0"/>
          <w:sz w:val="36"/>
          <w:szCs w:val="36"/>
          <w:lang w:val="en-US" w:eastAsia="zh-CN" w:bidi="ar-SA"/>
        </w:rPr>
      </w:pPr>
      <w:bookmarkStart w:id="148" w:name="_Toc1821_WPSOffice_Level2"/>
      <w:r>
        <w:rPr>
          <w:rFonts w:hint="eastAsia"/>
          <w:sz w:val="36"/>
          <w:szCs w:val="36"/>
          <w:lang w:val="en-US" w:eastAsia="zh-CN"/>
        </w:rPr>
        <w:t>9</w:t>
      </w:r>
      <w:r>
        <w:rPr>
          <w:rFonts w:hint="eastAsia" w:ascii="Arial" w:hAnsi="Arial" w:eastAsia="宋体"/>
          <w:sz w:val="36"/>
          <w:szCs w:val="36"/>
          <w:lang w:val="en-US" w:eastAsia="zh-CN"/>
        </w:rPr>
        <w:t>、</w:t>
      </w:r>
      <w:bookmarkEnd w:id="146"/>
      <w:bookmarkEnd w:id="147"/>
      <w:r>
        <w:rPr>
          <w:rFonts w:hint="eastAsia" w:ascii="宋体" w:hAnsi="宋体" w:eastAsia="宋体" w:cs="宋体"/>
          <w:b/>
          <w:bCs/>
          <w:kern w:val="0"/>
          <w:sz w:val="36"/>
          <w:szCs w:val="36"/>
          <w:lang w:val="en-US" w:eastAsia="zh-CN" w:bidi="ar-SA"/>
        </w:rPr>
        <w:t>售后服务承诺</w:t>
      </w:r>
      <w:bookmarkEnd w:id="148"/>
    </w:p>
    <w:p>
      <w:pPr>
        <w:numPr>
          <w:ilvl w:val="0"/>
          <w:numId w:val="0"/>
        </w:numPr>
        <w:spacing w:afterLines="50" w:line="440" w:lineRule="exact"/>
        <w:jc w:val="left"/>
        <w:rPr>
          <w:rFonts w:hint="eastAsia" w:ascii="宋体" w:hAnsi="宋体"/>
          <w:b/>
          <w:bCs/>
          <w:kern w:val="0"/>
          <w:sz w:val="36"/>
          <w:szCs w:val="36"/>
        </w:rPr>
      </w:pPr>
    </w:p>
    <w:p>
      <w:pPr>
        <w:tabs>
          <w:tab w:val="left" w:pos="720"/>
        </w:tabs>
        <w:autoSpaceDE w:val="0"/>
        <w:autoSpaceDN w:val="0"/>
        <w:adjustRightIn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zh-CN"/>
        </w:rPr>
        <w:t>本附件内容由各供应商进行填写。</w:t>
      </w:r>
    </w:p>
    <w:p>
      <w:pPr>
        <w:tabs>
          <w:tab w:val="left" w:pos="720"/>
        </w:tabs>
        <w:autoSpaceDE w:val="0"/>
        <w:autoSpaceDN w:val="0"/>
        <w:adjustRightIn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zh-CN"/>
        </w:rPr>
        <w:t>2、保修期应明确；</w:t>
      </w:r>
    </w:p>
    <w:p>
      <w:pPr>
        <w:tabs>
          <w:tab w:val="left" w:pos="720"/>
        </w:tabs>
        <w:autoSpaceDE w:val="0"/>
        <w:autoSpaceDN w:val="0"/>
        <w:adjustRightInd w:val="0"/>
        <w:spacing w:line="440" w:lineRule="exact"/>
        <w:ind w:firstLine="480" w:firstLineChars="200"/>
        <w:jc w:val="left"/>
        <w:rPr>
          <w:rFonts w:hint="eastAsia" w:ascii="宋体" w:hAnsi="宋体" w:cs="宋体"/>
          <w:color w:val="auto"/>
          <w:sz w:val="24"/>
          <w:highlight w:val="none"/>
          <w:lang w:val="zh-CN"/>
        </w:rPr>
      </w:pPr>
      <w:r>
        <w:rPr>
          <w:rFonts w:hint="eastAsia" w:ascii="宋体" w:hAnsi="宋体" w:cs="宋体"/>
          <w:color w:val="auto"/>
          <w:sz w:val="24"/>
          <w:highlight w:val="none"/>
        </w:rPr>
        <w:t>3、</w:t>
      </w:r>
      <w:r>
        <w:rPr>
          <w:rFonts w:hint="eastAsia" w:ascii="宋体" w:hAnsi="宋体" w:cs="宋体"/>
          <w:color w:val="auto"/>
          <w:sz w:val="24"/>
          <w:highlight w:val="none"/>
          <w:lang w:val="zh-CN"/>
        </w:rPr>
        <w:t>其他的及售后方面的承诺参照以上进行，务求详细、可操作。</w:t>
      </w:r>
    </w:p>
    <w:p>
      <w:pPr>
        <w:tabs>
          <w:tab w:val="left" w:pos="720"/>
        </w:tabs>
        <w:autoSpaceDE w:val="0"/>
        <w:autoSpaceDN w:val="0"/>
        <w:adjustRightInd w:val="0"/>
        <w:spacing w:line="440" w:lineRule="exact"/>
        <w:ind w:firstLine="480" w:firstLineChars="200"/>
        <w:jc w:val="left"/>
        <w:rPr>
          <w:rFonts w:hint="eastAsia" w:ascii="宋体" w:hAnsi="宋体" w:cs="宋体"/>
          <w:color w:val="auto"/>
          <w:sz w:val="24"/>
          <w:highlight w:val="none"/>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hint="eastAsia" w:ascii="宋体" w:hAnsi="宋体"/>
          <w:b/>
          <w:bCs/>
          <w:kern w:val="0"/>
          <w:sz w:val="24"/>
        </w:rPr>
      </w:pPr>
    </w:p>
    <w:p>
      <w:pPr>
        <w:spacing w:afterLines="50" w:line="440" w:lineRule="exact"/>
        <w:rPr>
          <w:rFonts w:ascii="宋体" w:hAnsi="宋体"/>
          <w:kern w:val="0"/>
          <w:sz w:val="24"/>
        </w:rPr>
      </w:pPr>
      <w:r>
        <w:rPr>
          <w:rFonts w:hint="eastAsia" w:ascii="宋体" w:hAnsi="宋体"/>
          <w:b/>
          <w:bCs/>
          <w:kern w:val="0"/>
          <w:sz w:val="24"/>
        </w:rPr>
        <w:t>（表</w:t>
      </w:r>
      <w:r>
        <w:rPr>
          <w:rFonts w:hint="eastAsia" w:ascii="宋体" w:hAnsi="宋体"/>
          <w:b/>
          <w:bCs/>
          <w:kern w:val="0"/>
          <w:sz w:val="24"/>
          <w:lang w:val="en-US" w:eastAsia="zh-CN"/>
        </w:rPr>
        <w:t>5</w:t>
      </w:r>
      <w:r>
        <w:rPr>
          <w:rFonts w:hint="eastAsia" w:ascii="宋体" w:hAnsi="宋体"/>
          <w:b/>
          <w:bCs/>
          <w:kern w:val="0"/>
          <w:sz w:val="24"/>
        </w:rPr>
        <w:t>）</w:t>
      </w:r>
    </w:p>
    <w:p>
      <w:pPr>
        <w:spacing w:afterLines="50" w:line="440" w:lineRule="exact"/>
        <w:jc w:val="center"/>
        <w:rPr>
          <w:rFonts w:ascii="宋体" w:hAnsi="宋体"/>
          <w:b/>
          <w:bCs/>
          <w:kern w:val="0"/>
          <w:sz w:val="18"/>
          <w:szCs w:val="18"/>
        </w:rPr>
      </w:pPr>
      <w:bookmarkStart w:id="149" w:name="_Toc12769_WPSOffice_Level2"/>
      <w:bookmarkStart w:id="150" w:name="_Toc27058_WPSOffice_Level2"/>
      <w:bookmarkStart w:id="151" w:name="_Toc4902_WPSOffice_Level2"/>
      <w:r>
        <w:rPr>
          <w:rFonts w:hint="eastAsia" w:ascii="Arial" w:hAnsi="Arial" w:cs="宋体"/>
          <w:b/>
          <w:kern w:val="2"/>
          <w:sz w:val="36"/>
          <w:szCs w:val="36"/>
          <w:lang w:val="en-US" w:eastAsia="zh-CN" w:bidi="ar-SA"/>
        </w:rPr>
        <w:t>10</w:t>
      </w:r>
      <w:r>
        <w:rPr>
          <w:rFonts w:hint="eastAsia" w:ascii="Arial" w:hAnsi="Arial" w:eastAsia="宋体" w:cs="宋体"/>
          <w:b/>
          <w:kern w:val="2"/>
          <w:sz w:val="36"/>
          <w:szCs w:val="36"/>
          <w:lang w:val="en-US" w:eastAsia="zh-CN" w:bidi="ar-SA"/>
        </w:rPr>
        <w:t>、供应商基本信息表</w:t>
      </w:r>
      <w:bookmarkEnd w:id="149"/>
      <w:bookmarkEnd w:id="150"/>
      <w:bookmarkEnd w:id="151"/>
    </w:p>
    <w:tbl>
      <w:tblPr>
        <w:tblStyle w:val="15"/>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037"/>
        <w:gridCol w:w="1665"/>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2507" w:type="dxa"/>
          </w:tcPr>
          <w:p>
            <w:pPr>
              <w:spacing w:beforeLines="50" w:afterLines="50" w:line="360" w:lineRule="auto"/>
              <w:jc w:val="center"/>
              <w:rPr>
                <w:rFonts w:ascii="宋体" w:hAnsi="宋体"/>
                <w:b/>
                <w:sz w:val="24"/>
              </w:rPr>
            </w:pPr>
            <w:r>
              <w:rPr>
                <w:rFonts w:hint="eastAsia" w:ascii="宋体" w:hAnsi="宋体"/>
                <w:b/>
                <w:sz w:val="24"/>
              </w:rPr>
              <w:t>公司名称</w:t>
            </w:r>
          </w:p>
        </w:tc>
        <w:tc>
          <w:tcPr>
            <w:tcW w:w="3037" w:type="dxa"/>
          </w:tcPr>
          <w:p>
            <w:pPr>
              <w:spacing w:beforeLines="50" w:afterLines="50" w:line="360" w:lineRule="auto"/>
              <w:jc w:val="center"/>
              <w:rPr>
                <w:rFonts w:ascii="宋体" w:hAnsi="宋体"/>
                <w:b/>
                <w:sz w:val="24"/>
              </w:rPr>
            </w:pPr>
          </w:p>
        </w:tc>
        <w:tc>
          <w:tcPr>
            <w:tcW w:w="1665" w:type="dxa"/>
          </w:tcPr>
          <w:p>
            <w:pPr>
              <w:spacing w:beforeLines="50" w:afterLines="50" w:line="360" w:lineRule="auto"/>
              <w:jc w:val="center"/>
              <w:rPr>
                <w:rFonts w:ascii="宋体" w:hAnsi="宋体"/>
                <w:b/>
                <w:sz w:val="24"/>
              </w:rPr>
            </w:pPr>
            <w:r>
              <w:rPr>
                <w:rFonts w:hint="eastAsia" w:ascii="宋体" w:hAnsi="宋体"/>
                <w:b/>
                <w:sz w:val="24"/>
              </w:rPr>
              <w:t>法定代表人</w:t>
            </w:r>
          </w:p>
        </w:tc>
        <w:tc>
          <w:tcPr>
            <w:tcW w:w="2554" w:type="dxa"/>
          </w:tcPr>
          <w:p>
            <w:pPr>
              <w:spacing w:beforeLines="50" w:afterLines="50"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2507" w:type="dxa"/>
          </w:tcPr>
          <w:p>
            <w:pPr>
              <w:spacing w:beforeLines="50" w:afterLines="50" w:line="360" w:lineRule="auto"/>
              <w:jc w:val="center"/>
              <w:rPr>
                <w:rFonts w:ascii="宋体" w:hAnsi="宋体"/>
                <w:b/>
                <w:sz w:val="24"/>
              </w:rPr>
            </w:pPr>
            <w:r>
              <w:rPr>
                <w:rFonts w:hint="eastAsia" w:ascii="宋体" w:hAnsi="宋体"/>
                <w:b/>
                <w:sz w:val="24"/>
              </w:rPr>
              <w:t>股东名单持股比例</w:t>
            </w:r>
          </w:p>
        </w:tc>
        <w:tc>
          <w:tcPr>
            <w:tcW w:w="3037" w:type="dxa"/>
          </w:tcPr>
          <w:p>
            <w:pPr>
              <w:spacing w:beforeLines="50" w:afterLines="50" w:line="360" w:lineRule="auto"/>
              <w:jc w:val="center"/>
              <w:rPr>
                <w:rFonts w:ascii="宋体" w:hAnsi="宋体"/>
                <w:b/>
                <w:sz w:val="24"/>
              </w:rPr>
            </w:pPr>
          </w:p>
        </w:tc>
        <w:tc>
          <w:tcPr>
            <w:tcW w:w="1665" w:type="dxa"/>
          </w:tcPr>
          <w:p>
            <w:pPr>
              <w:spacing w:beforeLines="50" w:afterLines="50" w:line="360" w:lineRule="auto"/>
              <w:jc w:val="center"/>
              <w:rPr>
                <w:rFonts w:ascii="宋体" w:hAnsi="宋体"/>
                <w:b/>
                <w:sz w:val="24"/>
              </w:rPr>
            </w:pPr>
            <w:r>
              <w:rPr>
                <w:rFonts w:hint="eastAsia" w:ascii="宋体" w:hAnsi="宋体"/>
                <w:b/>
                <w:sz w:val="24"/>
              </w:rPr>
              <w:t>单位负责人</w:t>
            </w:r>
          </w:p>
        </w:tc>
        <w:tc>
          <w:tcPr>
            <w:tcW w:w="2554" w:type="dxa"/>
          </w:tcPr>
          <w:p>
            <w:pPr>
              <w:spacing w:beforeLines="50" w:afterLines="50"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b/>
                <w:sz w:val="24"/>
              </w:rPr>
            </w:pPr>
            <w:r>
              <w:rPr>
                <w:rFonts w:hint="eastAsia" w:ascii="宋体" w:hAnsi="宋体"/>
                <w:b/>
                <w:sz w:val="24"/>
              </w:rPr>
              <w:t>公司所有制</w:t>
            </w:r>
          </w:p>
        </w:tc>
        <w:tc>
          <w:tcPr>
            <w:tcW w:w="7256" w:type="dxa"/>
            <w:gridSpan w:val="3"/>
          </w:tcPr>
          <w:p>
            <w:pPr>
              <w:spacing w:beforeLines="50" w:afterLines="50" w:line="360" w:lineRule="auto"/>
              <w:jc w:val="center"/>
              <w:rPr>
                <w:rFonts w:ascii="宋体" w:hAnsi="宋体"/>
                <w:b/>
                <w:sz w:val="24"/>
              </w:rPr>
            </w:pPr>
            <w:r>
              <w:rPr>
                <w:rFonts w:hint="eastAsia" w:ascii="宋体" w:hAnsi="宋体"/>
                <w:b/>
                <w:sz w:val="24"/>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b/>
                <w:sz w:val="24"/>
              </w:rPr>
            </w:pPr>
            <w:r>
              <w:rPr>
                <w:rFonts w:hint="eastAsia" w:ascii="宋体" w:hAnsi="宋体"/>
                <w:b/>
                <w:sz w:val="24"/>
              </w:rPr>
              <w:t>地　址</w:t>
            </w:r>
          </w:p>
        </w:tc>
        <w:tc>
          <w:tcPr>
            <w:tcW w:w="3037" w:type="dxa"/>
          </w:tcPr>
          <w:p>
            <w:pPr>
              <w:spacing w:beforeLines="50" w:afterLines="50" w:line="360" w:lineRule="auto"/>
              <w:jc w:val="center"/>
              <w:rPr>
                <w:rFonts w:ascii="宋体" w:hAnsi="宋体"/>
                <w:b/>
                <w:sz w:val="24"/>
              </w:rPr>
            </w:pPr>
          </w:p>
        </w:tc>
        <w:tc>
          <w:tcPr>
            <w:tcW w:w="1665" w:type="dxa"/>
          </w:tcPr>
          <w:p>
            <w:pPr>
              <w:spacing w:beforeLines="50" w:afterLines="50" w:line="360" w:lineRule="auto"/>
              <w:jc w:val="center"/>
              <w:rPr>
                <w:rFonts w:ascii="宋体" w:hAnsi="宋体"/>
                <w:b/>
                <w:sz w:val="24"/>
              </w:rPr>
            </w:pPr>
            <w:r>
              <w:rPr>
                <w:rFonts w:hint="eastAsia" w:ascii="宋体" w:hAnsi="宋体"/>
                <w:b/>
                <w:sz w:val="24"/>
              </w:rPr>
              <w:t>联系电话</w:t>
            </w:r>
          </w:p>
        </w:tc>
        <w:tc>
          <w:tcPr>
            <w:tcW w:w="2554" w:type="dxa"/>
          </w:tcPr>
          <w:p>
            <w:pPr>
              <w:spacing w:beforeLines="50" w:afterLines="50"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b/>
                <w:sz w:val="24"/>
              </w:rPr>
            </w:pPr>
            <w:r>
              <w:rPr>
                <w:rFonts w:hint="eastAsia" w:ascii="宋体" w:hAnsi="宋体"/>
                <w:b/>
                <w:sz w:val="24"/>
              </w:rPr>
              <w:t>成立日期</w:t>
            </w:r>
          </w:p>
        </w:tc>
        <w:tc>
          <w:tcPr>
            <w:tcW w:w="3037" w:type="dxa"/>
          </w:tcPr>
          <w:p>
            <w:pPr>
              <w:spacing w:beforeLines="50" w:afterLines="50" w:line="360" w:lineRule="auto"/>
              <w:jc w:val="center"/>
              <w:rPr>
                <w:rFonts w:ascii="宋体" w:hAnsi="宋体"/>
                <w:b/>
                <w:sz w:val="24"/>
              </w:rPr>
            </w:pPr>
          </w:p>
        </w:tc>
        <w:tc>
          <w:tcPr>
            <w:tcW w:w="1665" w:type="dxa"/>
          </w:tcPr>
          <w:p>
            <w:pPr>
              <w:spacing w:beforeLines="50" w:afterLines="50" w:line="360" w:lineRule="auto"/>
              <w:jc w:val="center"/>
              <w:rPr>
                <w:rFonts w:ascii="宋体" w:hAnsi="宋体"/>
                <w:b/>
                <w:sz w:val="24"/>
              </w:rPr>
            </w:pPr>
            <w:r>
              <w:rPr>
                <w:rFonts w:hint="eastAsia" w:ascii="宋体" w:hAnsi="宋体"/>
                <w:b/>
                <w:sz w:val="24"/>
              </w:rPr>
              <w:t>注册资本</w:t>
            </w:r>
          </w:p>
        </w:tc>
        <w:tc>
          <w:tcPr>
            <w:tcW w:w="2554" w:type="dxa"/>
          </w:tcPr>
          <w:p>
            <w:pPr>
              <w:spacing w:beforeLines="50" w:afterLines="50"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b/>
                <w:sz w:val="24"/>
              </w:rPr>
            </w:pPr>
            <w:r>
              <w:rPr>
                <w:rFonts w:hint="eastAsia" w:ascii="宋体" w:hAnsi="宋体"/>
                <w:b/>
                <w:sz w:val="24"/>
              </w:rPr>
              <w:t>营业执照代码</w:t>
            </w:r>
          </w:p>
        </w:tc>
        <w:tc>
          <w:tcPr>
            <w:tcW w:w="7256" w:type="dxa"/>
            <w:gridSpan w:val="3"/>
          </w:tcPr>
          <w:p>
            <w:pPr>
              <w:spacing w:beforeLines="50" w:afterLines="50" w:line="360" w:lineRule="auto"/>
              <w:jc w:val="center"/>
              <w:rPr>
                <w:rFonts w:ascii="宋体" w:hAnsi="宋体"/>
                <w:b/>
                <w:sz w:val="24"/>
              </w:rPr>
            </w:pP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b/>
                <w:sz w:val="24"/>
              </w:rPr>
            </w:pPr>
            <w:r>
              <w:rPr>
                <w:rFonts w:hint="eastAsia" w:ascii="宋体" w:hAnsi="宋体"/>
                <w:b/>
                <w:sz w:val="24"/>
              </w:rPr>
              <w:t>联系人</w:t>
            </w:r>
          </w:p>
        </w:tc>
        <w:tc>
          <w:tcPr>
            <w:tcW w:w="3037" w:type="dxa"/>
          </w:tcPr>
          <w:p>
            <w:pPr>
              <w:spacing w:beforeLines="50" w:afterLines="50" w:line="360" w:lineRule="auto"/>
              <w:jc w:val="center"/>
              <w:rPr>
                <w:rFonts w:ascii="宋体" w:hAnsi="宋体"/>
                <w:b/>
                <w:sz w:val="24"/>
              </w:rPr>
            </w:pPr>
          </w:p>
        </w:tc>
        <w:tc>
          <w:tcPr>
            <w:tcW w:w="1665" w:type="dxa"/>
          </w:tcPr>
          <w:p>
            <w:pPr>
              <w:spacing w:beforeLines="50" w:afterLines="50" w:line="360" w:lineRule="auto"/>
              <w:jc w:val="center"/>
              <w:rPr>
                <w:rFonts w:ascii="宋体" w:hAnsi="宋体"/>
                <w:b/>
                <w:sz w:val="24"/>
              </w:rPr>
            </w:pPr>
            <w:r>
              <w:rPr>
                <w:rFonts w:hint="eastAsia" w:ascii="宋体" w:hAnsi="宋体"/>
                <w:b/>
                <w:sz w:val="24"/>
              </w:rPr>
              <w:t>联系人电话</w:t>
            </w:r>
          </w:p>
        </w:tc>
        <w:tc>
          <w:tcPr>
            <w:tcW w:w="2554" w:type="dxa"/>
          </w:tcPr>
          <w:p>
            <w:pPr>
              <w:spacing w:beforeLines="50" w:afterLines="50"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2507" w:type="dxa"/>
          </w:tcPr>
          <w:p>
            <w:pPr>
              <w:spacing w:beforeLines="50" w:afterLines="50" w:line="360" w:lineRule="auto"/>
              <w:jc w:val="center"/>
              <w:rPr>
                <w:rFonts w:ascii="宋体" w:hAnsi="宋体"/>
                <w:b/>
                <w:sz w:val="24"/>
              </w:rPr>
            </w:pPr>
            <w:r>
              <w:rPr>
                <w:rFonts w:hint="eastAsia" w:ascii="宋体" w:hAnsi="宋体"/>
                <w:b/>
                <w:sz w:val="24"/>
              </w:rPr>
              <w:t>供应商性质</w:t>
            </w:r>
          </w:p>
        </w:tc>
        <w:tc>
          <w:tcPr>
            <w:tcW w:w="7256" w:type="dxa"/>
            <w:gridSpan w:val="3"/>
          </w:tcPr>
          <w:p>
            <w:pPr>
              <w:spacing w:beforeLines="50" w:afterLines="50" w:line="360" w:lineRule="auto"/>
              <w:ind w:firstLine="241" w:firstLineChars="100"/>
              <w:rPr>
                <w:rFonts w:ascii="宋体" w:hAnsi="宋体"/>
                <w:b/>
                <w:sz w:val="24"/>
              </w:rPr>
            </w:pPr>
            <w:r>
              <w:rPr>
                <w:rFonts w:hint="eastAsia" w:ascii="宋体" w:hAnsi="宋体"/>
                <w:b/>
                <w:sz w:val="24"/>
              </w:rPr>
              <w:t>总代理（　）　经销商（　）　制造厂商（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2507" w:type="dxa"/>
          </w:tcPr>
          <w:p>
            <w:pPr>
              <w:spacing w:beforeLines="50" w:afterLines="50" w:line="360" w:lineRule="auto"/>
              <w:jc w:val="center"/>
              <w:rPr>
                <w:rFonts w:ascii="宋体" w:hAnsi="宋体"/>
                <w:b/>
                <w:sz w:val="24"/>
              </w:rPr>
            </w:pPr>
            <w:r>
              <w:rPr>
                <w:rFonts w:hint="eastAsia" w:ascii="宋体" w:hAnsi="宋体"/>
                <w:b/>
                <w:sz w:val="24"/>
              </w:rPr>
              <w:t>经营范围</w:t>
            </w:r>
          </w:p>
        </w:tc>
        <w:tc>
          <w:tcPr>
            <w:tcW w:w="7256" w:type="dxa"/>
            <w:gridSpan w:val="3"/>
          </w:tcPr>
          <w:p>
            <w:pPr>
              <w:spacing w:beforeLines="50" w:afterLines="50" w:line="360" w:lineRule="auto"/>
              <w:jc w:val="center"/>
              <w:rPr>
                <w:rFonts w:ascii="宋体" w:hAnsi="宋体"/>
                <w:b/>
                <w:sz w:val="24"/>
              </w:rPr>
            </w:pPr>
          </w:p>
          <w:p>
            <w:pPr>
              <w:spacing w:beforeLines="50" w:afterLines="50"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b/>
                <w:sz w:val="24"/>
              </w:rPr>
            </w:pPr>
            <w:r>
              <w:rPr>
                <w:rFonts w:hint="eastAsia" w:ascii="宋体" w:hAnsi="宋体"/>
                <w:b/>
                <w:sz w:val="24"/>
              </w:rPr>
              <w:t>银行账号</w:t>
            </w:r>
          </w:p>
        </w:tc>
        <w:tc>
          <w:tcPr>
            <w:tcW w:w="3037" w:type="dxa"/>
          </w:tcPr>
          <w:p>
            <w:pPr>
              <w:spacing w:beforeLines="50" w:afterLines="50" w:line="360" w:lineRule="auto"/>
              <w:jc w:val="center"/>
              <w:rPr>
                <w:rFonts w:ascii="宋体" w:hAnsi="宋体"/>
                <w:b/>
                <w:sz w:val="24"/>
              </w:rPr>
            </w:pPr>
          </w:p>
        </w:tc>
        <w:tc>
          <w:tcPr>
            <w:tcW w:w="1665" w:type="dxa"/>
          </w:tcPr>
          <w:p>
            <w:pPr>
              <w:spacing w:beforeLines="50" w:afterLines="50" w:line="360" w:lineRule="auto"/>
              <w:jc w:val="center"/>
              <w:rPr>
                <w:rFonts w:ascii="宋体" w:hAnsi="宋体"/>
                <w:b/>
                <w:sz w:val="24"/>
              </w:rPr>
            </w:pPr>
            <w:r>
              <w:rPr>
                <w:rFonts w:hint="eastAsia" w:ascii="宋体" w:hAnsi="宋体"/>
                <w:b/>
                <w:sz w:val="24"/>
              </w:rPr>
              <w:t>开户银行</w:t>
            </w:r>
          </w:p>
        </w:tc>
        <w:tc>
          <w:tcPr>
            <w:tcW w:w="2554" w:type="dxa"/>
          </w:tcPr>
          <w:p>
            <w:pPr>
              <w:spacing w:beforeLines="50" w:afterLines="50" w:line="360" w:lineRule="auto"/>
              <w:jc w:val="center"/>
              <w:rPr>
                <w:rFonts w:ascii="宋体" w:hAnsi="宋体"/>
                <w:b/>
                <w:sz w:val="24"/>
              </w:rPr>
            </w:pPr>
          </w:p>
        </w:tc>
      </w:tr>
    </w:tbl>
    <w:p>
      <w:pPr>
        <w:spacing w:line="440" w:lineRule="exact"/>
        <w:rPr>
          <w:rFonts w:ascii="宋体" w:hAnsi="宋体"/>
          <w:b/>
          <w:sz w:val="24"/>
        </w:rPr>
      </w:pPr>
    </w:p>
    <w:p>
      <w:pPr>
        <w:spacing w:line="440" w:lineRule="exact"/>
        <w:rPr>
          <w:rFonts w:ascii="宋体" w:hAnsi="宋体"/>
          <w:b/>
          <w:sz w:val="24"/>
        </w:rPr>
      </w:pPr>
      <w:r>
        <w:rPr>
          <w:rFonts w:hint="eastAsia" w:ascii="宋体" w:hAnsi="宋体"/>
          <w:b/>
          <w:sz w:val="24"/>
        </w:rPr>
        <w:t>注：1、以上基本信息真实、有效、合法，若否，将承担一切法律责任；</w:t>
      </w:r>
    </w:p>
    <w:p>
      <w:pPr>
        <w:spacing w:line="440" w:lineRule="exact"/>
        <w:rPr>
          <w:rFonts w:ascii="宋体" w:hAnsi="宋体"/>
          <w:b/>
          <w:sz w:val="24"/>
        </w:rPr>
      </w:pPr>
      <w:r>
        <w:rPr>
          <w:rFonts w:hint="eastAsia" w:ascii="宋体" w:hAnsi="宋体"/>
          <w:b/>
          <w:sz w:val="24"/>
        </w:rPr>
        <w:t>　　2、若与参加本项目报价的其他供应商存在单位负责人为同一人或者存在直接控股关系、管理关系的情形，视为无效响应并承担因此产生的一切法律责任。</w:t>
      </w:r>
    </w:p>
    <w:p>
      <w:pPr>
        <w:spacing w:line="440" w:lineRule="exact"/>
        <w:rPr>
          <w:rFonts w:ascii="宋体" w:hAnsi="宋体"/>
          <w:b/>
          <w:sz w:val="24"/>
        </w:rPr>
      </w:pPr>
      <w:r>
        <w:rPr>
          <w:rFonts w:hint="eastAsia" w:ascii="宋体" w:hAnsi="宋体"/>
          <w:b/>
          <w:sz w:val="24"/>
        </w:rPr>
        <w:t>　　　　　　　　　　　　　　　　　　　　　　</w:t>
      </w:r>
    </w:p>
    <w:p>
      <w:pPr>
        <w:spacing w:line="440" w:lineRule="exact"/>
        <w:rPr>
          <w:rFonts w:ascii="宋体" w:hAnsi="宋体"/>
          <w:b/>
          <w:sz w:val="24"/>
        </w:rPr>
      </w:pPr>
      <w:r>
        <w:rPr>
          <w:rFonts w:hint="eastAsia" w:ascii="宋体" w:hAnsi="宋体"/>
          <w:b/>
          <w:sz w:val="24"/>
        </w:rPr>
        <w:t>　　　　　　　　　　　　　　  供应商名称：</w:t>
      </w:r>
      <w:r>
        <w:rPr>
          <w:rFonts w:hint="eastAsia"/>
          <w:sz w:val="24"/>
          <w:u w:val="single"/>
        </w:rPr>
        <w:t xml:space="preserve">                         </w:t>
      </w:r>
      <w:r>
        <w:rPr>
          <w:rFonts w:hint="eastAsia" w:ascii="宋体" w:hAnsi="宋体"/>
          <w:b/>
          <w:sz w:val="24"/>
        </w:rPr>
        <w:t>（公章）</w:t>
      </w:r>
    </w:p>
    <w:p>
      <w:pPr>
        <w:spacing w:line="440" w:lineRule="exact"/>
        <w:rPr>
          <w:rFonts w:ascii="宋体" w:hAnsi="宋体"/>
          <w:b/>
          <w:sz w:val="24"/>
        </w:rPr>
      </w:pPr>
      <w:r>
        <w:rPr>
          <w:rFonts w:hint="eastAsia" w:ascii="宋体" w:hAnsi="宋体"/>
          <w:b/>
          <w:sz w:val="24"/>
        </w:rPr>
        <w:t>　　　　</w:t>
      </w:r>
    </w:p>
    <w:p>
      <w:pPr>
        <w:spacing w:line="440" w:lineRule="exact"/>
        <w:rPr>
          <w:rFonts w:ascii="宋体" w:hAnsi="宋体"/>
          <w:b/>
          <w:sz w:val="24"/>
        </w:rPr>
      </w:pPr>
      <w:r>
        <w:rPr>
          <w:rFonts w:hint="eastAsia" w:ascii="宋体" w:hAnsi="宋体"/>
          <w:b/>
          <w:sz w:val="24"/>
        </w:rPr>
        <w:t>　　　　　　　　　　　　　　　　　　　　            年　　月　　日　　</w:t>
      </w:r>
    </w:p>
    <w:sectPr>
      <w:footerReference r:id="rId5" w:type="default"/>
      <w:pgSz w:w="11906" w:h="16838"/>
      <w:pgMar w:top="1134" w:right="1417" w:bottom="850" w:left="1417" w:header="907" w:footer="90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5135"/>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rPr>
        <w:rFonts w:hint="eastAsia"/>
        <w:b/>
        <w:bCs/>
        <w:lang w:eastAsia="zh-CN"/>
      </w:rPr>
    </w:pPr>
    <w:r>
      <w:rPr>
        <w:rFonts w:hint="eastAsia" w:ascii="宋体" w:hAnsi="宋体"/>
        <w:b/>
        <w:bCs/>
        <w:sz w:val="21"/>
        <w:szCs w:val="21"/>
        <w:lang w:val="en-GB" w:eastAsia="zh-CN"/>
      </w:rPr>
      <w:t>万宁市移动式水冲公厕项目</w:t>
    </w:r>
    <w:r>
      <w:rPr>
        <w:rFonts w:hint="eastAsia" w:ascii="宋体" w:hAnsi="宋体"/>
        <w:b/>
        <w:bCs/>
        <w:sz w:val="21"/>
        <w:szCs w:val="21"/>
        <w:lang w:val="en-US" w:eastAsia="zh-CN"/>
      </w:rPr>
      <w:t xml:space="preserve">                                     </w:t>
    </w:r>
    <w:r>
      <w:rPr>
        <w:rFonts w:hint="eastAsia" w:ascii="宋体" w:hAnsi="宋体"/>
        <w:b/>
        <w:bCs/>
        <w:sz w:val="21"/>
        <w:szCs w:val="21"/>
        <w:lang w:val="en-GB" w:eastAsia="zh-CN"/>
      </w:rPr>
      <w:t>（项目编号：</w:t>
    </w:r>
    <w:r>
      <w:rPr>
        <w:rFonts w:hint="eastAsia" w:ascii="宋体" w:hAnsi="宋体"/>
        <w:b/>
        <w:bCs/>
        <w:sz w:val="21"/>
        <w:szCs w:val="21"/>
        <w:lang w:val="en-GB"/>
      </w:rPr>
      <w:t>ZTSJ-HN2019014</w:t>
    </w:r>
    <w:r>
      <w:rPr>
        <w:rFonts w:hint="eastAsia" w:ascii="宋体" w:hAnsi="宋体"/>
        <w:b/>
        <w:bCs/>
        <w:sz w:val="21"/>
        <w:szCs w:val="21"/>
        <w:lang w:val="en-GB"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944D0"/>
    <w:rsid w:val="02FC0058"/>
    <w:rsid w:val="0C78525E"/>
    <w:rsid w:val="0D1D6E4B"/>
    <w:rsid w:val="10FD7565"/>
    <w:rsid w:val="128B59A9"/>
    <w:rsid w:val="1AD013C6"/>
    <w:rsid w:val="1CF3175F"/>
    <w:rsid w:val="271648CF"/>
    <w:rsid w:val="302D1879"/>
    <w:rsid w:val="30D73977"/>
    <w:rsid w:val="363E06E2"/>
    <w:rsid w:val="3961079D"/>
    <w:rsid w:val="3B3B1A60"/>
    <w:rsid w:val="40AD4F4E"/>
    <w:rsid w:val="43781478"/>
    <w:rsid w:val="47462F3A"/>
    <w:rsid w:val="48573815"/>
    <w:rsid w:val="48A066AB"/>
    <w:rsid w:val="4A77291D"/>
    <w:rsid w:val="4C71216A"/>
    <w:rsid w:val="4E4F584A"/>
    <w:rsid w:val="4E6944D0"/>
    <w:rsid w:val="51D16AF9"/>
    <w:rsid w:val="55FB3972"/>
    <w:rsid w:val="56676CE5"/>
    <w:rsid w:val="61226BC4"/>
    <w:rsid w:val="64525607"/>
    <w:rsid w:val="6ADD689E"/>
    <w:rsid w:val="6B8009CA"/>
    <w:rsid w:val="6E62505B"/>
    <w:rsid w:val="6F8611F1"/>
    <w:rsid w:val="718C0322"/>
    <w:rsid w:val="7AAD651A"/>
    <w:rsid w:val="7CFD3B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8"/>
    <w:unhideWhenUsed/>
    <w:qFormat/>
    <w:uiPriority w:val="0"/>
    <w:pPr>
      <w:keepNext/>
      <w:keepLines/>
      <w:spacing w:before="260" w:beforeLines="0" w:beforeAutospacing="0" w:after="260" w:afterLines="0" w:afterAutospacing="0" w:line="440" w:lineRule="atLeast"/>
      <w:jc w:val="left"/>
      <w:outlineLvl w:val="1"/>
    </w:pPr>
    <w:rPr>
      <w:rFonts w:ascii="Arial" w:hAnsi="Arial" w:eastAsia="宋体"/>
      <w:b/>
      <w:sz w:val="28"/>
    </w:rPr>
  </w:style>
  <w:style w:type="paragraph" w:styleId="4">
    <w:name w:val="heading 3"/>
    <w:basedOn w:val="1"/>
    <w:next w:val="1"/>
    <w:qFormat/>
    <w:uiPriority w:val="0"/>
    <w:pPr>
      <w:keepNext/>
      <w:keepLines/>
      <w:spacing w:before="260" w:after="260" w:line="360" w:lineRule="auto"/>
      <w:jc w:val="center"/>
      <w:outlineLvl w:val="2"/>
    </w:pPr>
    <w:rPr>
      <w:b/>
      <w:bCs/>
      <w:sz w:val="28"/>
      <w:szCs w:val="32"/>
    </w:rPr>
  </w:style>
  <w:style w:type="paragraph" w:styleId="5">
    <w:name w:val="heading 4"/>
    <w:basedOn w:val="1"/>
    <w:next w:val="1"/>
    <w:qFormat/>
    <w:uiPriority w:val="1"/>
    <w:pPr>
      <w:ind w:left="960"/>
      <w:outlineLvl w:val="4"/>
    </w:pPr>
    <w:rPr>
      <w:rFonts w:ascii="宋体" w:hAnsi="宋体" w:eastAsia="宋体" w:cs="宋体"/>
      <w:b/>
      <w:bCs/>
      <w:sz w:val="24"/>
      <w:szCs w:val="24"/>
      <w:lang w:val="zh-CN" w:eastAsia="zh-CN" w:bidi="zh-CN"/>
    </w:rPr>
  </w:style>
  <w:style w:type="character" w:default="1" w:styleId="1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Body Text"/>
    <w:basedOn w:val="1"/>
    <w:qFormat/>
    <w:uiPriority w:val="1"/>
    <w:rPr>
      <w:rFonts w:ascii="宋体" w:hAnsi="宋体" w:eastAsia="宋体" w:cs="宋体"/>
      <w:sz w:val="24"/>
      <w:szCs w:val="24"/>
      <w:lang w:val="zh-CN" w:eastAsia="zh-CN" w:bidi="zh-CN"/>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99"/>
    <w:pPr>
      <w:widowControl/>
      <w:spacing w:beforeAutospacing="1" w:afterAutospacing="1"/>
      <w:jc w:val="left"/>
    </w:pPr>
    <w:rPr>
      <w:rFonts w:ascii="宋体" w:hAnsi="宋体"/>
      <w:kern w:val="0"/>
      <w:sz w:val="24"/>
    </w:r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qFormat/>
    <w:uiPriority w:val="0"/>
    <w:rPr>
      <w:color w:val="0000FF"/>
      <w:u w:val="single"/>
    </w:rPr>
  </w:style>
  <w:style w:type="character" w:customStyle="1" w:styleId="19">
    <w:name w:val="标题 1 Char"/>
    <w:qFormat/>
    <w:uiPriority w:val="0"/>
    <w:rPr>
      <w:rFonts w:hint="default" w:ascii="Arial" w:hAnsi="Arial" w:eastAsia="宋体" w:cs="Arial"/>
      <w:bCs/>
      <w:kern w:val="32"/>
      <w:sz w:val="32"/>
      <w:szCs w:val="32"/>
      <w:lang w:val="en-US" w:eastAsia="zh-CN" w:bidi="ar-SA"/>
    </w:rPr>
  </w:style>
  <w:style w:type="character" w:customStyle="1" w:styleId="20">
    <w:name w:val="标题 1 Char1"/>
    <w:qFormat/>
    <w:uiPriority w:val="0"/>
    <w:rPr>
      <w:rFonts w:hint="default" w:ascii="Arial" w:hAnsi="Arial" w:eastAsia="宋体" w:cs="Arial"/>
      <w:bCs/>
      <w:kern w:val="32"/>
      <w:sz w:val="32"/>
      <w:szCs w:val="32"/>
      <w:lang w:val="en-US" w:eastAsia="zh-CN" w:bidi="ar-SA"/>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newstyle16"/>
    <w:basedOn w:val="1"/>
    <w:qFormat/>
    <w:uiPriority w:val="0"/>
    <w:pPr>
      <w:widowControl/>
      <w:jc w:val="left"/>
    </w:pPr>
    <w:rPr>
      <w:rFonts w:ascii="宋体" w:hAnsi="宋体"/>
      <w:kern w:val="0"/>
      <w:sz w:val="24"/>
    </w:rPr>
  </w:style>
  <w:style w:type="paragraph" w:customStyle="1" w:styleId="25">
    <w:name w:val="表格文字"/>
    <w:basedOn w:val="1"/>
    <w:qFormat/>
    <w:uiPriority w:val="0"/>
    <w:pPr>
      <w:jc w:val="left"/>
    </w:pPr>
    <w:rPr>
      <w:bCs/>
      <w:spacing w:val="10"/>
      <w:kern w:val="0"/>
      <w:sz w:val="24"/>
      <w:szCs w:val="20"/>
    </w:rPr>
  </w:style>
  <w:style w:type="paragraph" w:customStyle="1" w:styleId="26">
    <w:name w:val="Table Paragraph"/>
    <w:basedOn w:val="1"/>
    <w:qFormat/>
    <w:uiPriority w:val="1"/>
    <w:rPr>
      <w:rFonts w:ascii="宋体" w:hAnsi="宋体" w:eastAsia="宋体" w:cs="宋体"/>
      <w:lang w:val="zh-CN" w:eastAsia="zh-CN" w:bidi="zh-CN"/>
    </w:rPr>
  </w:style>
  <w:style w:type="paragraph" w:customStyle="1" w:styleId="27">
    <w:name w:val="WPSOffice手动目录 3"/>
    <w:qFormat/>
    <w:uiPriority w:val="0"/>
    <w:pPr>
      <w:ind w:leftChars="400"/>
    </w:pPr>
    <w:rPr>
      <w:rFonts w:ascii="Calibri" w:hAnsi="Calibri" w:eastAsia="宋体" w:cs="Times New Roman"/>
      <w:sz w:val="20"/>
      <w:szCs w:val="20"/>
    </w:rPr>
  </w:style>
  <w:style w:type="character" w:customStyle="1" w:styleId="28">
    <w:name w:val="标题 2 Char"/>
    <w:link w:val="3"/>
    <w:qFormat/>
    <w:uiPriority w:val="0"/>
    <w:rPr>
      <w:rFonts w:ascii="Arial" w:hAnsi="Arial" w:eastAsia="宋体"/>
      <w:b/>
      <w:sz w:val="2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cdefd30-a10a-412a-9db6-4c16ca06de69}"/>
        <w:style w:val=""/>
        <w:category>
          <w:name w:val="常规"/>
          <w:gallery w:val="placeholder"/>
        </w:category>
        <w:types>
          <w:type w:val="bbPlcHdr"/>
        </w:types>
        <w:behaviors>
          <w:behavior w:val="content"/>
        </w:behaviors>
        <w:description w:val=""/>
        <w:guid w:val="{8cdefd30-a10a-412a-9db6-4c16ca06de69}"/>
      </w:docPartPr>
      <w:docPartBody>
        <w:p>
          <w:r>
            <w:rPr>
              <w:color w:val="808080"/>
            </w:rPr>
            <w:t>单击此处输入文字。</w:t>
          </w:r>
        </w:p>
      </w:docPartBody>
    </w:docPart>
    <w:docPart>
      <w:docPartPr>
        <w:name w:val="{2541f13c-7d27-4864-9319-809f20b14847}"/>
        <w:style w:val=""/>
        <w:category>
          <w:name w:val="常规"/>
          <w:gallery w:val="placeholder"/>
        </w:category>
        <w:types>
          <w:type w:val="bbPlcHdr"/>
        </w:types>
        <w:behaviors>
          <w:behavior w:val="content"/>
        </w:behaviors>
        <w:description w:val=""/>
        <w:guid w:val="{2541f13c-7d27-4864-9319-809f20b14847}"/>
      </w:docPartPr>
      <w:docPartBody>
        <w:p>
          <w:r>
            <w:rPr>
              <w:color w:val="808080"/>
            </w:rPr>
            <w:t>单击此处输入文字。</w:t>
          </w:r>
        </w:p>
      </w:docPartBody>
    </w:docPart>
    <w:docPart>
      <w:docPartPr>
        <w:name w:val="{76d81b87-9cc9-4114-a6ba-74efc96774df}"/>
        <w:style w:val=""/>
        <w:category>
          <w:name w:val="常规"/>
          <w:gallery w:val="placeholder"/>
        </w:category>
        <w:types>
          <w:type w:val="bbPlcHdr"/>
        </w:types>
        <w:behaviors>
          <w:behavior w:val="content"/>
        </w:behaviors>
        <w:description w:val=""/>
        <w:guid w:val="{76d81b87-9cc9-4114-a6ba-74efc96774df}"/>
      </w:docPartPr>
      <w:docPartBody>
        <w:p>
          <w:r>
            <w:rPr>
              <w:color w:val="808080"/>
            </w:rPr>
            <w:t>单击此处输入文字。</w:t>
          </w:r>
        </w:p>
      </w:docPartBody>
    </w:docPart>
    <w:docPart>
      <w:docPartPr>
        <w:name w:val="{a92867a3-d638-4f7d-83be-32688ec5a1b9}"/>
        <w:style w:val=""/>
        <w:category>
          <w:name w:val="常规"/>
          <w:gallery w:val="placeholder"/>
        </w:category>
        <w:types>
          <w:type w:val="bbPlcHdr"/>
        </w:types>
        <w:behaviors>
          <w:behavior w:val="content"/>
        </w:behaviors>
        <w:description w:val=""/>
        <w:guid w:val="{a92867a3-d638-4f7d-83be-32688ec5a1b9}"/>
      </w:docPartPr>
      <w:docPartBody>
        <w:p>
          <w:r>
            <w:rPr>
              <w:color w:val="808080"/>
            </w:rPr>
            <w:t>单击此处输入文字。</w:t>
          </w:r>
        </w:p>
      </w:docPartBody>
    </w:docPart>
    <w:docPart>
      <w:docPartPr>
        <w:name w:val="{37976a3b-28e3-4127-82f3-a61fe2f3a19a}"/>
        <w:style w:val=""/>
        <w:category>
          <w:name w:val="常规"/>
          <w:gallery w:val="placeholder"/>
        </w:category>
        <w:types>
          <w:type w:val="bbPlcHdr"/>
        </w:types>
        <w:behaviors>
          <w:behavior w:val="content"/>
        </w:behaviors>
        <w:description w:val=""/>
        <w:guid w:val="{37976a3b-28e3-4127-82f3-a61fe2f3a19a}"/>
      </w:docPartPr>
      <w:docPartBody>
        <w:p>
          <w:r>
            <w:rPr>
              <w:color w:val="808080"/>
            </w:rPr>
            <w:t>单击此处输入文字。</w:t>
          </w:r>
        </w:p>
      </w:docPartBody>
    </w:docPart>
    <w:docPart>
      <w:docPartPr>
        <w:name w:val="{03fa72c4-a75c-4339-9727-430ef021536d}"/>
        <w:style w:val=""/>
        <w:category>
          <w:name w:val="常规"/>
          <w:gallery w:val="placeholder"/>
        </w:category>
        <w:types>
          <w:type w:val="bbPlcHdr"/>
        </w:types>
        <w:behaviors>
          <w:behavior w:val="content"/>
        </w:behaviors>
        <w:description w:val=""/>
        <w:guid w:val="{03fa72c4-a75c-4339-9727-430ef021536d}"/>
      </w:docPartPr>
      <w:docPartBody>
        <w:p>
          <w:r>
            <w:rPr>
              <w:color w:val="808080"/>
            </w:rPr>
            <w:t>单击此处输入文字。</w:t>
          </w:r>
        </w:p>
      </w:docPartBody>
    </w:docPart>
    <w:docPart>
      <w:docPartPr>
        <w:name w:val="{3236b60a-fffd-479d-8dfc-60b195e8117f}"/>
        <w:style w:val=""/>
        <w:category>
          <w:name w:val="常规"/>
          <w:gallery w:val="placeholder"/>
        </w:category>
        <w:types>
          <w:type w:val="bbPlcHdr"/>
        </w:types>
        <w:behaviors>
          <w:behavior w:val="content"/>
        </w:behaviors>
        <w:description w:val=""/>
        <w:guid w:val="{3236b60a-fffd-479d-8dfc-60b195e8117f}"/>
      </w:docPartPr>
      <w:docPartBody>
        <w:p>
          <w:r>
            <w:rPr>
              <w:color w:val="808080"/>
            </w:rPr>
            <w:t>单击此处输入文字。</w:t>
          </w:r>
        </w:p>
      </w:docPartBody>
    </w:docPart>
    <w:docPart>
      <w:docPartPr>
        <w:name w:val="{857424af-199a-4e30-982c-3d3ea8dfda09}"/>
        <w:style w:val=""/>
        <w:category>
          <w:name w:val="常规"/>
          <w:gallery w:val="placeholder"/>
        </w:category>
        <w:types>
          <w:type w:val="bbPlcHdr"/>
        </w:types>
        <w:behaviors>
          <w:behavior w:val="content"/>
        </w:behaviors>
        <w:description w:val=""/>
        <w:guid w:val="{857424af-199a-4e30-982c-3d3ea8dfda09}"/>
      </w:docPartPr>
      <w:docPartBody>
        <w:p>
          <w:r>
            <w:rPr>
              <w:color w:val="808080"/>
            </w:rPr>
            <w:t>单击此处输入文字。</w:t>
          </w:r>
        </w:p>
      </w:docPartBody>
    </w:docPart>
    <w:docPart>
      <w:docPartPr>
        <w:name w:val="{d625d4ee-989a-4254-bd3c-03383b11938f}"/>
        <w:style w:val=""/>
        <w:category>
          <w:name w:val="常规"/>
          <w:gallery w:val="placeholder"/>
        </w:category>
        <w:types>
          <w:type w:val="bbPlcHdr"/>
        </w:types>
        <w:behaviors>
          <w:behavior w:val="content"/>
        </w:behaviors>
        <w:description w:val=""/>
        <w:guid w:val="{d625d4ee-989a-4254-bd3c-03383b11938f}"/>
      </w:docPartPr>
      <w:docPartBody>
        <w:p>
          <w:r>
            <w:rPr>
              <w:color w:val="808080"/>
            </w:rPr>
            <w:t>单击此处输入文字。</w:t>
          </w:r>
        </w:p>
      </w:docPartBody>
    </w:docPart>
    <w:docPart>
      <w:docPartPr>
        <w:name w:val="{fa0eb786-1615-49fd-b874-75974666a814}"/>
        <w:style w:val=""/>
        <w:category>
          <w:name w:val="常规"/>
          <w:gallery w:val="placeholder"/>
        </w:category>
        <w:types>
          <w:type w:val="bbPlcHdr"/>
        </w:types>
        <w:behaviors>
          <w:behavior w:val="content"/>
        </w:behaviors>
        <w:description w:val=""/>
        <w:guid w:val="{fa0eb786-1615-49fd-b874-75974666a814}"/>
      </w:docPartPr>
      <w:docPartBody>
        <w:p>
          <w:r>
            <w:rPr>
              <w:color w:val="808080"/>
            </w:rPr>
            <w:t>单击此处输入文字。</w:t>
          </w:r>
        </w:p>
      </w:docPartBody>
    </w:docPart>
    <w:docPart>
      <w:docPartPr>
        <w:name w:val="{cb11ea30-af8b-49fe-91d8-9e99fb9c7dba}"/>
        <w:style w:val=""/>
        <w:category>
          <w:name w:val="常规"/>
          <w:gallery w:val="placeholder"/>
        </w:category>
        <w:types>
          <w:type w:val="bbPlcHdr"/>
        </w:types>
        <w:behaviors>
          <w:behavior w:val="content"/>
        </w:behaviors>
        <w:description w:val=""/>
        <w:guid w:val="{cb11ea30-af8b-49fe-91d8-9e99fb9c7dba}"/>
      </w:docPartPr>
      <w:docPartBody>
        <w:p>
          <w:r>
            <w:rPr>
              <w:color w:val="808080"/>
            </w:rPr>
            <w:t>单击此处输入文字。</w:t>
          </w:r>
        </w:p>
      </w:docPartBody>
    </w:docPart>
    <w:docPart>
      <w:docPartPr>
        <w:name w:val="{45febae2-2203-4227-9ad3-6da85da25d8c}"/>
        <w:style w:val=""/>
        <w:category>
          <w:name w:val="常规"/>
          <w:gallery w:val="placeholder"/>
        </w:category>
        <w:types>
          <w:type w:val="bbPlcHdr"/>
        </w:types>
        <w:behaviors>
          <w:behavior w:val="content"/>
        </w:behaviors>
        <w:description w:val=""/>
        <w:guid w:val="{45febae2-2203-4227-9ad3-6da85da25d8c}"/>
      </w:docPartPr>
      <w:docPartBody>
        <w:p>
          <w:r>
            <w:rPr>
              <w:color w:val="808080"/>
            </w:rPr>
            <w:t>单击此处输入文字。</w:t>
          </w:r>
        </w:p>
      </w:docPartBody>
    </w:docPart>
    <w:docPart>
      <w:docPartPr>
        <w:name w:val="{7d8c6f21-6f7e-4cf0-a674-36d2c44274f9}"/>
        <w:style w:val=""/>
        <w:category>
          <w:name w:val="常规"/>
          <w:gallery w:val="placeholder"/>
        </w:category>
        <w:types>
          <w:type w:val="bbPlcHdr"/>
        </w:types>
        <w:behaviors>
          <w:behavior w:val="content"/>
        </w:behaviors>
        <w:description w:val=""/>
        <w:guid w:val="{7d8c6f21-6f7e-4cf0-a674-36d2c44274f9}"/>
      </w:docPartPr>
      <w:docPartBody>
        <w:p>
          <w:r>
            <w:rPr>
              <w:color w:val="808080"/>
            </w:rPr>
            <w:t>单击此处输入文字。</w:t>
          </w:r>
        </w:p>
      </w:docPartBody>
    </w:docPart>
    <w:docPart>
      <w:docPartPr>
        <w:name w:val="{90555d17-43de-4e06-ac34-48d06f7f092c}"/>
        <w:style w:val=""/>
        <w:category>
          <w:name w:val="常规"/>
          <w:gallery w:val="placeholder"/>
        </w:category>
        <w:types>
          <w:type w:val="bbPlcHdr"/>
        </w:types>
        <w:behaviors>
          <w:behavior w:val="content"/>
        </w:behaviors>
        <w:description w:val=""/>
        <w:guid w:val="{90555d17-43de-4e06-ac34-48d06f7f092c}"/>
      </w:docPartPr>
      <w:docPartBody>
        <w:p>
          <w:r>
            <w:rPr>
              <w:color w:val="808080"/>
            </w:rPr>
            <w:t>单击此处输入文字。</w:t>
          </w:r>
        </w:p>
      </w:docPartBody>
    </w:docPart>
    <w:docPart>
      <w:docPartPr>
        <w:name w:val="{5110d64f-195a-410c-8b90-78b924346751}"/>
        <w:style w:val=""/>
        <w:category>
          <w:name w:val="常规"/>
          <w:gallery w:val="placeholder"/>
        </w:category>
        <w:types>
          <w:type w:val="bbPlcHdr"/>
        </w:types>
        <w:behaviors>
          <w:behavior w:val="content"/>
        </w:behaviors>
        <w:description w:val=""/>
        <w:guid w:val="{5110d64f-195a-410c-8b90-78b924346751}"/>
      </w:docPartPr>
      <w:docPartBody>
        <w:p>
          <w:r>
            <w:rPr>
              <w:color w:val="808080"/>
            </w:rPr>
            <w:t>单击此处输入文字。</w:t>
          </w:r>
        </w:p>
      </w:docPartBody>
    </w:docPart>
    <w:docPart>
      <w:docPartPr>
        <w:name w:val="{35bbd720-ca68-4e4a-a731-3c2da97fec6d}"/>
        <w:style w:val=""/>
        <w:category>
          <w:name w:val="常规"/>
          <w:gallery w:val="placeholder"/>
        </w:category>
        <w:types>
          <w:type w:val="bbPlcHdr"/>
        </w:types>
        <w:behaviors>
          <w:behavior w:val="content"/>
        </w:behaviors>
        <w:description w:val=""/>
        <w:guid w:val="{35bbd720-ca68-4e4a-a731-3c2da97fec6d}"/>
      </w:docPartPr>
      <w:docPartBody>
        <w:p>
          <w:r>
            <w:rPr>
              <w:color w:val="808080"/>
            </w:rPr>
            <w:t>单击此处输入文字。</w:t>
          </w:r>
        </w:p>
      </w:docPartBody>
    </w:docPart>
    <w:docPart>
      <w:docPartPr>
        <w:name w:val="{d6e44395-1e45-4702-9587-7c942bffe843}"/>
        <w:style w:val=""/>
        <w:category>
          <w:name w:val="常规"/>
          <w:gallery w:val="placeholder"/>
        </w:category>
        <w:types>
          <w:type w:val="bbPlcHdr"/>
        </w:types>
        <w:behaviors>
          <w:behavior w:val="content"/>
        </w:behaviors>
        <w:description w:val=""/>
        <w:guid w:val="{d6e44395-1e45-4702-9587-7c942bffe843}"/>
      </w:docPartPr>
      <w:docPartBody>
        <w:p>
          <w:r>
            <w:rPr>
              <w:color w:val="808080"/>
            </w:rPr>
            <w:t>单击此处输入文字。</w:t>
          </w:r>
        </w:p>
      </w:docPartBody>
    </w:docPart>
    <w:docPart>
      <w:docPartPr>
        <w:name w:val="{d21847fd-892c-49b4-b337-0cf3e598a220}"/>
        <w:style w:val=""/>
        <w:category>
          <w:name w:val="常规"/>
          <w:gallery w:val="placeholder"/>
        </w:category>
        <w:types>
          <w:type w:val="bbPlcHdr"/>
        </w:types>
        <w:behaviors>
          <w:behavior w:val="content"/>
        </w:behaviors>
        <w:description w:val=""/>
        <w:guid w:val="{d21847fd-892c-49b4-b337-0cf3e598a220}"/>
      </w:docPartPr>
      <w:docPartBody>
        <w:p>
          <w:r>
            <w:rPr>
              <w:color w:val="808080"/>
            </w:rPr>
            <w:t>单击此处输入文字。</w:t>
          </w:r>
        </w:p>
      </w:docPartBody>
    </w:docPart>
    <w:docPart>
      <w:docPartPr>
        <w:name w:val="{dfdaa978-f1b6-4b70-88c6-d8ea7661c481}"/>
        <w:style w:val=""/>
        <w:category>
          <w:name w:val="常规"/>
          <w:gallery w:val="placeholder"/>
        </w:category>
        <w:types>
          <w:type w:val="bbPlcHdr"/>
        </w:types>
        <w:behaviors>
          <w:behavior w:val="content"/>
        </w:behaviors>
        <w:description w:val=""/>
        <w:guid w:val="{dfdaa978-f1b6-4b70-88c6-d8ea7661c481}"/>
      </w:docPartPr>
      <w:docPartBody>
        <w:p>
          <w:r>
            <w:rPr>
              <w:color w:val="808080"/>
            </w:rPr>
            <w:t>单击此处输入文字。</w:t>
          </w:r>
        </w:p>
      </w:docPartBody>
    </w:docPart>
    <w:docPart>
      <w:docPartPr>
        <w:name w:val="{d7805f65-1d1a-4399-955f-14c5bd45978a}"/>
        <w:style w:val=""/>
        <w:category>
          <w:name w:val="常规"/>
          <w:gallery w:val="placeholder"/>
        </w:category>
        <w:types>
          <w:type w:val="bbPlcHdr"/>
        </w:types>
        <w:behaviors>
          <w:behavior w:val="content"/>
        </w:behaviors>
        <w:description w:val=""/>
        <w:guid w:val="{d7805f65-1d1a-4399-955f-14c5bd45978a}"/>
      </w:docPartPr>
      <w:docPartBody>
        <w:p>
          <w:r>
            <w:rPr>
              <w:color w:val="808080"/>
            </w:rPr>
            <w:t>单击此处输入文字。</w:t>
          </w:r>
        </w:p>
      </w:docPartBody>
    </w:docPart>
    <w:docPart>
      <w:docPartPr>
        <w:name w:val="{25bd1824-65ee-4347-81bd-9d2bb2bd36e0}"/>
        <w:style w:val=""/>
        <w:category>
          <w:name w:val="常规"/>
          <w:gallery w:val="placeholder"/>
        </w:category>
        <w:types>
          <w:type w:val="bbPlcHdr"/>
        </w:types>
        <w:behaviors>
          <w:behavior w:val="content"/>
        </w:behaviors>
        <w:description w:val=""/>
        <w:guid w:val="{25bd1824-65ee-4347-81bd-9d2bb2bd36e0}"/>
      </w:docPartPr>
      <w:docPartBody>
        <w:p>
          <w:r>
            <w:rPr>
              <w:color w:val="808080"/>
            </w:rPr>
            <w:t>单击此处输入文字。</w:t>
          </w:r>
        </w:p>
      </w:docPartBody>
    </w:docPart>
    <w:docPart>
      <w:docPartPr>
        <w:name w:val="{1ca06fa1-e52f-445a-a8c2-122a22491ec2}"/>
        <w:style w:val=""/>
        <w:category>
          <w:name w:val="常规"/>
          <w:gallery w:val="placeholder"/>
        </w:category>
        <w:types>
          <w:type w:val="bbPlcHdr"/>
        </w:types>
        <w:behaviors>
          <w:behavior w:val="content"/>
        </w:behaviors>
        <w:description w:val=""/>
        <w:guid w:val="{1ca06fa1-e52f-445a-a8c2-122a22491ec2}"/>
      </w:docPartPr>
      <w:docPartBody>
        <w:p>
          <w:r>
            <w:rPr>
              <w:color w:val="808080"/>
            </w:rPr>
            <w:t>单击此处输入文字。</w:t>
          </w:r>
        </w:p>
      </w:docPartBody>
    </w:docPart>
    <w:docPart>
      <w:docPartPr>
        <w:name w:val="{fc05e19b-006d-4069-a29f-e42e1f3b4ecc}"/>
        <w:style w:val=""/>
        <w:category>
          <w:name w:val="常规"/>
          <w:gallery w:val="placeholder"/>
        </w:category>
        <w:types>
          <w:type w:val="bbPlcHdr"/>
        </w:types>
        <w:behaviors>
          <w:behavior w:val="content"/>
        </w:behaviors>
        <w:description w:val=""/>
        <w:guid w:val="{fc05e19b-006d-4069-a29f-e42e1f3b4ecc}"/>
      </w:docPartPr>
      <w:docPartBody>
        <w:p>
          <w:r>
            <w:rPr>
              <w:color w:val="808080"/>
            </w:rPr>
            <w:t>单击此处输入文字。</w:t>
          </w:r>
        </w:p>
      </w:docPartBody>
    </w:docPart>
    <w:docPart>
      <w:docPartPr>
        <w:name w:val="{bf735af8-8d57-40a1-b5a4-88023e94515e}"/>
        <w:style w:val=""/>
        <w:category>
          <w:name w:val="常规"/>
          <w:gallery w:val="placeholder"/>
        </w:category>
        <w:types>
          <w:type w:val="bbPlcHdr"/>
        </w:types>
        <w:behaviors>
          <w:behavior w:val="content"/>
        </w:behaviors>
        <w:description w:val=""/>
        <w:guid w:val="{bf735af8-8d57-40a1-b5a4-88023e94515e}"/>
      </w:docPartPr>
      <w:docPartBody>
        <w:p>
          <w:r>
            <w:rPr>
              <w:color w:val="808080"/>
            </w:rPr>
            <w:t>单击此处输入文字。</w:t>
          </w:r>
        </w:p>
      </w:docPartBody>
    </w:docPart>
    <w:docPart>
      <w:docPartPr>
        <w:name w:val="{a38eda76-3a7c-4a21-af0c-bcb29b2612cf}"/>
        <w:style w:val=""/>
        <w:category>
          <w:name w:val="常规"/>
          <w:gallery w:val="placeholder"/>
        </w:category>
        <w:types>
          <w:type w:val="bbPlcHdr"/>
        </w:types>
        <w:behaviors>
          <w:behavior w:val="content"/>
        </w:behaviors>
        <w:description w:val=""/>
        <w:guid w:val="{a38eda76-3a7c-4a21-af0c-bcb29b2612cf}"/>
      </w:docPartPr>
      <w:docPartBody>
        <w:p>
          <w:r>
            <w:rPr>
              <w:color w:val="808080"/>
            </w:rPr>
            <w:t>单击此处输入文字。</w:t>
          </w:r>
        </w:p>
      </w:docPartBody>
    </w:docPart>
    <w:docPart>
      <w:docPartPr>
        <w:name w:val="{2ec9218d-12da-45a9-9bf7-3371ee0436df}"/>
        <w:style w:val=""/>
        <w:category>
          <w:name w:val="常规"/>
          <w:gallery w:val="placeholder"/>
        </w:category>
        <w:types>
          <w:type w:val="bbPlcHdr"/>
        </w:types>
        <w:behaviors>
          <w:behavior w:val="content"/>
        </w:behaviors>
        <w:description w:val=""/>
        <w:guid w:val="{2ec9218d-12da-45a9-9bf7-3371ee0436df}"/>
      </w:docPartPr>
      <w:docPartBody>
        <w:p>
          <w:r>
            <w:rPr>
              <w:color w:val="808080"/>
            </w:rPr>
            <w:t>单击此处输入文字。</w:t>
          </w:r>
        </w:p>
      </w:docPartBody>
    </w:docPart>
    <w:docPart>
      <w:docPartPr>
        <w:name w:val="{6533ab6d-d1d6-4377-be66-badaef0b3a46}"/>
        <w:style w:val=""/>
        <w:category>
          <w:name w:val="常规"/>
          <w:gallery w:val="placeholder"/>
        </w:category>
        <w:types>
          <w:type w:val="bbPlcHdr"/>
        </w:types>
        <w:behaviors>
          <w:behavior w:val="content"/>
        </w:behaviors>
        <w:description w:val=""/>
        <w:guid w:val="{6533ab6d-d1d6-4377-be66-badaef0b3a46}"/>
      </w:docPartPr>
      <w:docPartBody>
        <w:p>
          <w:r>
            <w:rPr>
              <w:color w:val="808080"/>
            </w:rPr>
            <w:t>单击此处输入文字。</w:t>
          </w:r>
        </w:p>
      </w:docPartBody>
    </w:docPart>
    <w:docPart>
      <w:docPartPr>
        <w:name w:val="{3eab810a-dcdd-405a-9770-9919ad370dca}"/>
        <w:style w:val=""/>
        <w:category>
          <w:name w:val="常规"/>
          <w:gallery w:val="placeholder"/>
        </w:category>
        <w:types>
          <w:type w:val="bbPlcHdr"/>
        </w:types>
        <w:behaviors>
          <w:behavior w:val="content"/>
        </w:behaviors>
        <w:description w:val=""/>
        <w:guid w:val="{3eab810a-dcdd-405a-9770-9919ad370dca}"/>
      </w:docPartPr>
      <w:docPartBody>
        <w:p>
          <w:r>
            <w:rPr>
              <w:color w:val="808080"/>
            </w:rPr>
            <w:t>单击此处输入文字。</w:t>
          </w:r>
        </w:p>
      </w:docPartBody>
    </w:docPart>
    <w:docPart>
      <w:docPartPr>
        <w:name w:val="{1ccd49cf-fed1-4e0e-8545-03d0c702d195}"/>
        <w:style w:val=""/>
        <w:category>
          <w:name w:val="常规"/>
          <w:gallery w:val="placeholder"/>
        </w:category>
        <w:types>
          <w:type w:val="bbPlcHdr"/>
        </w:types>
        <w:behaviors>
          <w:behavior w:val="content"/>
        </w:behaviors>
        <w:description w:val=""/>
        <w:guid w:val="{1ccd49cf-fed1-4e0e-8545-03d0c702d195}"/>
      </w:docPartPr>
      <w:docPartBody>
        <w:p>
          <w:r>
            <w:rPr>
              <w:color w:val="808080"/>
            </w:rPr>
            <w:t>单击此处输入文字。</w:t>
          </w:r>
        </w:p>
      </w:docPartBody>
    </w:docPart>
    <w:docPart>
      <w:docPartPr>
        <w:name w:val="{6e87758d-b0df-427e-a57f-b9c5f9ca7bcb}"/>
        <w:style w:val=""/>
        <w:category>
          <w:name w:val="常规"/>
          <w:gallery w:val="placeholder"/>
        </w:category>
        <w:types>
          <w:type w:val="bbPlcHdr"/>
        </w:types>
        <w:behaviors>
          <w:behavior w:val="content"/>
        </w:behaviors>
        <w:description w:val=""/>
        <w:guid w:val="{6e87758d-b0df-427e-a57f-b9c5f9ca7bcb}"/>
      </w:docPartPr>
      <w:docPartBody>
        <w:p>
          <w:r>
            <w:rPr>
              <w:color w:val="808080"/>
            </w:rPr>
            <w:t>单击此处输入文字。</w:t>
          </w:r>
        </w:p>
      </w:docPartBody>
    </w:docPart>
    <w:docPart>
      <w:docPartPr>
        <w:name w:val="{1becdcb7-b0b3-4321-9860-fd884603bfbb}"/>
        <w:style w:val=""/>
        <w:category>
          <w:name w:val="常规"/>
          <w:gallery w:val="placeholder"/>
        </w:category>
        <w:types>
          <w:type w:val="bbPlcHdr"/>
        </w:types>
        <w:behaviors>
          <w:behavior w:val="content"/>
        </w:behaviors>
        <w:description w:val=""/>
        <w:guid w:val="{1becdcb7-b0b3-4321-9860-fd884603bfbb}"/>
      </w:docPartPr>
      <w:docPartBody>
        <w:p>
          <w:r>
            <w:rPr>
              <w:color w:val="808080"/>
            </w:rPr>
            <w:t>单击此处输入文字。</w:t>
          </w:r>
        </w:p>
      </w:docPartBody>
    </w:docPart>
    <w:docPart>
      <w:docPartPr>
        <w:name w:val="{2564fbcf-154a-4feb-9a02-eede81fd322b}"/>
        <w:style w:val=""/>
        <w:category>
          <w:name w:val="常规"/>
          <w:gallery w:val="placeholder"/>
        </w:category>
        <w:types>
          <w:type w:val="bbPlcHdr"/>
        </w:types>
        <w:behaviors>
          <w:behavior w:val="content"/>
        </w:behaviors>
        <w:description w:val=""/>
        <w:guid w:val="{2564fbcf-154a-4feb-9a02-eede81fd322b}"/>
      </w:docPartPr>
      <w:docPartBody>
        <w:p>
          <w:r>
            <w:rPr>
              <w:color w:val="808080"/>
            </w:rPr>
            <w:t>单击此处输入文字。</w:t>
          </w:r>
        </w:p>
      </w:docPartBody>
    </w:docPart>
    <w:docPart>
      <w:docPartPr>
        <w:name w:val="{11e57c9a-5a2f-4add-b6be-1ed998418054}"/>
        <w:style w:val=""/>
        <w:category>
          <w:name w:val="常规"/>
          <w:gallery w:val="placeholder"/>
        </w:category>
        <w:types>
          <w:type w:val="bbPlcHdr"/>
        </w:types>
        <w:behaviors>
          <w:behavior w:val="content"/>
        </w:behaviors>
        <w:description w:val=""/>
        <w:guid w:val="{11e57c9a-5a2f-4add-b6be-1ed998418054}"/>
      </w:docPartPr>
      <w:docPartBody>
        <w:p>
          <w:r>
            <w:rPr>
              <w:color w:val="808080"/>
            </w:rPr>
            <w:t>单击此处输入文字。</w:t>
          </w:r>
        </w:p>
      </w:docPartBody>
    </w:docPart>
    <w:docPart>
      <w:docPartPr>
        <w:name w:val="{aac54ce1-26bb-4c85-bd14-4d0138a2e4e5}"/>
        <w:style w:val=""/>
        <w:category>
          <w:name w:val="常规"/>
          <w:gallery w:val="placeholder"/>
        </w:category>
        <w:types>
          <w:type w:val="bbPlcHdr"/>
        </w:types>
        <w:behaviors>
          <w:behavior w:val="content"/>
        </w:behaviors>
        <w:description w:val=""/>
        <w:guid w:val="{aac54ce1-26bb-4c85-bd14-4d0138a2e4e5}"/>
      </w:docPartPr>
      <w:docPartBody>
        <w:p>
          <w:r>
            <w:rPr>
              <w:color w:val="808080"/>
            </w:rPr>
            <w:t>单击此处输入文字。</w:t>
          </w:r>
        </w:p>
      </w:docPartBody>
    </w:docPart>
    <w:docPart>
      <w:docPartPr>
        <w:name w:val="{b115f096-2253-4a71-a978-c96be6ae8838}"/>
        <w:style w:val=""/>
        <w:category>
          <w:name w:val="常规"/>
          <w:gallery w:val="placeholder"/>
        </w:category>
        <w:types>
          <w:type w:val="bbPlcHdr"/>
        </w:types>
        <w:behaviors>
          <w:behavior w:val="content"/>
        </w:behaviors>
        <w:description w:val=""/>
        <w:guid w:val="{b115f096-2253-4a71-a978-c96be6ae8838}"/>
      </w:docPartPr>
      <w:docPartBody>
        <w:p>
          <w:r>
            <w:rPr>
              <w:color w:val="808080"/>
            </w:rPr>
            <w:t>单击此处输入文字。</w:t>
          </w:r>
        </w:p>
      </w:docPartBody>
    </w:docPart>
    <w:docPart>
      <w:docPartPr>
        <w:name w:val="{f8c2302c-858a-4358-8507-d08f20e9e5be}"/>
        <w:style w:val=""/>
        <w:category>
          <w:name w:val="常规"/>
          <w:gallery w:val="placeholder"/>
        </w:category>
        <w:types>
          <w:type w:val="bbPlcHdr"/>
        </w:types>
        <w:behaviors>
          <w:behavior w:val="content"/>
        </w:behaviors>
        <w:description w:val=""/>
        <w:guid w:val="{f8c2302c-858a-4358-8507-d08f20e9e5be}"/>
      </w:docPartPr>
      <w:docPartBody>
        <w:p>
          <w:r>
            <w:rPr>
              <w:color w:val="808080"/>
            </w:rPr>
            <w:t>单击此处输入文字。</w:t>
          </w:r>
        </w:p>
      </w:docPartBody>
    </w:docPart>
    <w:docPart>
      <w:docPartPr>
        <w:name w:val="{0dd1e917-9f7a-4895-aca5-bcc808383478}"/>
        <w:style w:val=""/>
        <w:category>
          <w:name w:val="常规"/>
          <w:gallery w:val="placeholder"/>
        </w:category>
        <w:types>
          <w:type w:val="bbPlcHdr"/>
        </w:types>
        <w:behaviors>
          <w:behavior w:val="content"/>
        </w:behaviors>
        <w:description w:val=""/>
        <w:guid w:val="{0dd1e917-9f7a-4895-aca5-bcc808383478}"/>
      </w:docPartPr>
      <w:docPartBody>
        <w:p>
          <w:r>
            <w:rPr>
              <w:color w:val="808080"/>
            </w:rPr>
            <w:t>单击此处输入文字。</w:t>
          </w:r>
        </w:p>
      </w:docPartBody>
    </w:docPart>
    <w:docPart>
      <w:docPartPr>
        <w:name w:val="{b2e10322-636b-4983-92eb-4ad86b2ce6cf}"/>
        <w:style w:val=""/>
        <w:category>
          <w:name w:val="常规"/>
          <w:gallery w:val="placeholder"/>
        </w:category>
        <w:types>
          <w:type w:val="bbPlcHdr"/>
        </w:types>
        <w:behaviors>
          <w:behavior w:val="content"/>
        </w:behaviors>
        <w:description w:val=""/>
        <w:guid w:val="{b2e10322-636b-4983-92eb-4ad86b2ce6cf}"/>
      </w:docPartPr>
      <w:docPartBody>
        <w:p>
          <w:r>
            <w:rPr>
              <w:color w:val="808080"/>
            </w:rPr>
            <w:t>单击此处输入文字。</w:t>
          </w:r>
        </w:p>
      </w:docPartBody>
    </w:docPart>
    <w:docPart>
      <w:docPartPr>
        <w:name w:val="{ac900409-187b-4cea-9737-ae901237e8c7}"/>
        <w:style w:val=""/>
        <w:category>
          <w:name w:val="常规"/>
          <w:gallery w:val="placeholder"/>
        </w:category>
        <w:types>
          <w:type w:val="bbPlcHdr"/>
        </w:types>
        <w:behaviors>
          <w:behavior w:val="content"/>
        </w:behaviors>
        <w:description w:val=""/>
        <w:guid w:val="{ac900409-187b-4cea-9737-ae901237e8c7}"/>
      </w:docPartPr>
      <w:docPartBody>
        <w:p>
          <w:r>
            <w:rPr>
              <w:color w:val="808080"/>
            </w:rPr>
            <w:t>单击此处输入文字。</w:t>
          </w:r>
        </w:p>
      </w:docPartBody>
    </w:docPart>
    <w:docPart>
      <w:docPartPr>
        <w:name w:val="{4f7a66b5-f366-4748-a574-eb886abd4a98}"/>
        <w:style w:val=""/>
        <w:category>
          <w:name w:val="常规"/>
          <w:gallery w:val="placeholder"/>
        </w:category>
        <w:types>
          <w:type w:val="bbPlcHdr"/>
        </w:types>
        <w:behaviors>
          <w:behavior w:val="content"/>
        </w:behaviors>
        <w:description w:val=""/>
        <w:guid w:val="{4f7a66b5-f366-4748-a574-eb886abd4a98}"/>
      </w:docPartPr>
      <w:docPartBody>
        <w:p>
          <w:r>
            <w:rPr>
              <w:color w:val="808080"/>
            </w:rPr>
            <w:t>单击此处输入文字。</w:t>
          </w:r>
        </w:p>
      </w:docPartBody>
    </w:docPart>
    <w:docPart>
      <w:docPartPr>
        <w:name w:val="{b03cc61c-6cf1-4f1d-88cb-823761b5414b}"/>
        <w:style w:val=""/>
        <w:category>
          <w:name w:val="常规"/>
          <w:gallery w:val="placeholder"/>
        </w:category>
        <w:types>
          <w:type w:val="bbPlcHdr"/>
        </w:types>
        <w:behaviors>
          <w:behavior w:val="content"/>
        </w:behaviors>
        <w:description w:val=""/>
        <w:guid w:val="{b03cc61c-6cf1-4f1d-88cb-823761b5414b}"/>
      </w:docPartPr>
      <w:docPartBody>
        <w:p>
          <w:r>
            <w:rPr>
              <w:color w:val="808080"/>
            </w:rPr>
            <w:t>单击此处输入文字。</w:t>
          </w:r>
        </w:p>
      </w:docPartBody>
    </w:docPart>
    <w:docPart>
      <w:docPartPr>
        <w:name w:val="{9defd3e0-ddc2-4790-9a0e-9f86c65b935c}"/>
        <w:style w:val=""/>
        <w:category>
          <w:name w:val="常规"/>
          <w:gallery w:val="placeholder"/>
        </w:category>
        <w:types>
          <w:type w:val="bbPlcHdr"/>
        </w:types>
        <w:behaviors>
          <w:behavior w:val="content"/>
        </w:behaviors>
        <w:description w:val=""/>
        <w:guid w:val="{9defd3e0-ddc2-4790-9a0e-9f86c65b935c}"/>
      </w:docPartPr>
      <w:docPartBody>
        <w:p>
          <w:r>
            <w:rPr>
              <w:color w:val="808080"/>
            </w:rPr>
            <w:t>单击此处输入文字。</w:t>
          </w:r>
        </w:p>
      </w:docPartBody>
    </w:docPart>
    <w:docPart>
      <w:docPartPr>
        <w:name w:val="{6ab432e5-9763-4f17-b6af-a2888d40a016}"/>
        <w:style w:val=""/>
        <w:category>
          <w:name w:val="常规"/>
          <w:gallery w:val="placeholder"/>
        </w:category>
        <w:types>
          <w:type w:val="bbPlcHdr"/>
        </w:types>
        <w:behaviors>
          <w:behavior w:val="content"/>
        </w:behaviors>
        <w:description w:val=""/>
        <w:guid w:val="{6ab432e5-9763-4f17-b6af-a2888d40a016}"/>
      </w:docPartPr>
      <w:docPartBody>
        <w:p>
          <w:r>
            <w:rPr>
              <w:color w:val="808080"/>
            </w:rPr>
            <w:t>单击此处输入文字。</w:t>
          </w:r>
        </w:p>
      </w:docPartBody>
    </w:docPart>
    <w:docPart>
      <w:docPartPr>
        <w:name w:val="{c7a8dab0-fcc9-42df-b3fc-fb47c829fa84}"/>
        <w:style w:val=""/>
        <w:category>
          <w:name w:val="常规"/>
          <w:gallery w:val="placeholder"/>
        </w:category>
        <w:types>
          <w:type w:val="bbPlcHdr"/>
        </w:types>
        <w:behaviors>
          <w:behavior w:val="content"/>
        </w:behaviors>
        <w:description w:val=""/>
        <w:guid w:val="{c7a8dab0-fcc9-42df-b3fc-fb47c829fa84}"/>
      </w:docPartPr>
      <w:docPartBody>
        <w:p>
          <w:r>
            <w:rPr>
              <w:color w:val="808080"/>
            </w:rPr>
            <w:t>单击此处输入文字。</w:t>
          </w:r>
        </w:p>
      </w:docPartBody>
    </w:docPart>
    <w:docPart>
      <w:docPartPr>
        <w:name w:val="{b0bab88e-d001-4a94-811f-a8b76dd102d9}"/>
        <w:style w:val=""/>
        <w:category>
          <w:name w:val="常规"/>
          <w:gallery w:val="placeholder"/>
        </w:category>
        <w:types>
          <w:type w:val="bbPlcHdr"/>
        </w:types>
        <w:behaviors>
          <w:behavior w:val="content"/>
        </w:behaviors>
        <w:description w:val=""/>
        <w:guid w:val="{b0bab88e-d001-4a94-811f-a8b76dd102d9}"/>
      </w:docPartPr>
      <w:docPartBody>
        <w:p>
          <w:r>
            <w:rPr>
              <w:color w:val="808080"/>
            </w:rPr>
            <w:t>单击此处输入文字。</w:t>
          </w:r>
        </w:p>
      </w:docPartBody>
    </w:docPart>
    <w:docPart>
      <w:docPartPr>
        <w:name w:val="{16024b7e-92f4-4828-870d-a4ba26a8c8d6}"/>
        <w:style w:val=""/>
        <w:category>
          <w:name w:val="常规"/>
          <w:gallery w:val="placeholder"/>
        </w:category>
        <w:types>
          <w:type w:val="bbPlcHdr"/>
        </w:types>
        <w:behaviors>
          <w:behavior w:val="content"/>
        </w:behaviors>
        <w:description w:val=""/>
        <w:guid w:val="{16024b7e-92f4-4828-870d-a4ba26a8c8d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381</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2019-07-23T03:06:00Z</dcterms:created>
  <dc:creator>虎影</dc:creator>
  <cp:lastModifiedBy>not想记住ni！</cp:lastModifiedBy>
  <cp:lastPrinted>2019-08-16T07:10:58Z</cp:lastPrinted>
  <dcterms:modified xsi:type="dcterms:W3CDTF">2019-08-16T07:36:48Z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