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BA" w:rsidRPr="00730FBA" w:rsidRDefault="00730FBA" w:rsidP="00730FBA">
      <w:pPr>
        <w:pStyle w:val="1"/>
        <w:spacing w:before="120" w:after="120" w:line="360" w:lineRule="auto"/>
        <w:jc w:val="center"/>
        <w:rPr>
          <w:rFonts w:ascii="黑体" w:eastAsia="黑体"/>
          <w:lang w:eastAsia="zh-CN"/>
        </w:rPr>
      </w:pPr>
      <w:r w:rsidRPr="00730FBA">
        <w:rPr>
          <w:rFonts w:ascii="黑体" w:eastAsia="黑体" w:hint="eastAsia"/>
        </w:rPr>
        <w:t>用户需求书</w:t>
      </w:r>
    </w:p>
    <w:p w:rsidR="00730FBA" w:rsidRPr="00730FBA" w:rsidRDefault="00730FBA" w:rsidP="00730FBA">
      <w:pPr>
        <w:spacing w:line="560" w:lineRule="exact"/>
        <w:rPr>
          <w:rFonts w:ascii="黑体" w:eastAsia="黑体" w:hAnsi="黑体" w:hint="eastAsia"/>
          <w:b/>
          <w:sz w:val="24"/>
        </w:rPr>
      </w:pPr>
      <w:r w:rsidRPr="00730FBA">
        <w:rPr>
          <w:rFonts w:ascii="黑体" w:eastAsia="黑体" w:hAnsi="黑体" w:hint="eastAsia"/>
          <w:b/>
          <w:sz w:val="24"/>
        </w:rPr>
        <w:t>一、赛事背景</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为深入贯彻习近平总书记4.13重要讲话精神，落实《中共中央国务院关于支持海南全面深化改革开放的指导意见》和国家发改委《海南省建设国际旅游消费中心的实施方案》工作的部署，加强我省高尔夫球青少年后备人才培养，打造高尔夫球对外交流平台及赛事品牌，加快我省入境高尔夫旅游产业蓬勃健康发展，2019年将继续举办中国（海南）青少年高尔夫精英赛，按照“政府主导、专业策划、市场运作”原则，由省旅游文化广电体育厅主办，省教育厅和省体育职业技术学院共同协办，承办单位在组委会的指导下负责赛事组织筹备与运营，通过专业策划和市场化运作方式，积极寻求国内外企业参与，充分调动我省高尔夫球与旅游企业的积极性，保障赛事可持续发展，更好地加强我省青少年高尔夫球后备人才培养工作，推动我省入境高高尔夫球旅游产业蓬勃健康发展，加快国际旅游消费中心建设。</w:t>
      </w:r>
    </w:p>
    <w:p w:rsidR="00730FBA" w:rsidRPr="00730FBA" w:rsidRDefault="00730FBA" w:rsidP="00730FBA">
      <w:pPr>
        <w:pStyle w:val="10"/>
        <w:widowControl/>
        <w:spacing w:line="560" w:lineRule="exact"/>
        <w:ind w:firstLineChars="0" w:firstLine="0"/>
        <w:jc w:val="left"/>
        <w:rPr>
          <w:rFonts w:ascii="黑体" w:eastAsia="黑体" w:hAnsi="黑体" w:hint="eastAsia"/>
          <w:sz w:val="24"/>
          <w:szCs w:val="24"/>
        </w:rPr>
      </w:pPr>
      <w:r w:rsidRPr="00730FBA">
        <w:rPr>
          <w:rFonts w:ascii="黑体" w:eastAsia="黑体" w:hAnsi="黑体" w:hint="eastAsia"/>
          <w:sz w:val="24"/>
          <w:szCs w:val="24"/>
        </w:rPr>
        <w:t>二、举办单位</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（一）认证单位</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中国高尔夫球协会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（二）主办单位</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海南省旅游和文化广电体育厅</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（三）协办单位</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海南省教育厅、海南省体育职业技术学院</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（四）承办单位</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（待定）</w:t>
      </w:r>
    </w:p>
    <w:p w:rsidR="00730FBA" w:rsidRPr="00730FBA" w:rsidRDefault="00730FBA" w:rsidP="00730FBA">
      <w:pPr>
        <w:pStyle w:val="10"/>
        <w:widowControl/>
        <w:spacing w:line="560" w:lineRule="exact"/>
        <w:ind w:firstLineChars="0" w:firstLine="0"/>
        <w:jc w:val="left"/>
        <w:rPr>
          <w:rFonts w:ascii="黑体" w:eastAsia="黑体" w:hAnsi="黑体" w:hint="eastAsia"/>
          <w:sz w:val="24"/>
          <w:szCs w:val="24"/>
        </w:rPr>
      </w:pPr>
      <w:r w:rsidRPr="00730FBA">
        <w:rPr>
          <w:rFonts w:ascii="黑体" w:eastAsia="黑体" w:hAnsi="黑体" w:hint="eastAsia"/>
          <w:sz w:val="24"/>
          <w:szCs w:val="24"/>
        </w:rPr>
        <w:t>三、比赛场地</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lastRenderedPageBreak/>
        <w:t>神州高尔夫球会（暂定）</w:t>
      </w:r>
    </w:p>
    <w:p w:rsidR="00730FBA" w:rsidRPr="00730FBA" w:rsidRDefault="00730FBA" w:rsidP="00730FBA">
      <w:pPr>
        <w:pStyle w:val="10"/>
        <w:widowControl/>
        <w:spacing w:line="560" w:lineRule="exact"/>
        <w:ind w:firstLineChars="0" w:firstLine="0"/>
        <w:jc w:val="left"/>
        <w:rPr>
          <w:rFonts w:ascii="黑体" w:eastAsia="黑体" w:hAnsi="黑体" w:hint="eastAsia"/>
          <w:sz w:val="24"/>
          <w:szCs w:val="24"/>
        </w:rPr>
      </w:pPr>
      <w:r w:rsidRPr="00730FBA">
        <w:rPr>
          <w:rFonts w:ascii="黑体" w:eastAsia="黑体" w:hAnsi="黑体" w:hint="eastAsia"/>
          <w:sz w:val="24"/>
          <w:szCs w:val="24"/>
        </w:rPr>
        <w:t>四、比赛时间</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2019年12月4日至12月8日（暂定）</w:t>
      </w:r>
    </w:p>
    <w:p w:rsidR="00730FBA" w:rsidRPr="00730FBA" w:rsidRDefault="00730FBA" w:rsidP="00730FBA">
      <w:pPr>
        <w:pStyle w:val="10"/>
        <w:widowControl/>
        <w:spacing w:line="560" w:lineRule="exact"/>
        <w:ind w:firstLineChars="0" w:firstLine="0"/>
        <w:jc w:val="left"/>
        <w:rPr>
          <w:rFonts w:ascii="黑体" w:eastAsia="黑体" w:hAnsi="黑体" w:hint="eastAsia"/>
          <w:sz w:val="24"/>
          <w:szCs w:val="24"/>
        </w:rPr>
      </w:pPr>
      <w:r w:rsidRPr="00730FBA">
        <w:rPr>
          <w:rFonts w:ascii="黑体" w:eastAsia="黑体" w:hAnsi="黑体" w:hint="eastAsia"/>
          <w:sz w:val="24"/>
          <w:szCs w:val="24"/>
        </w:rPr>
        <w:t>五、活动内容</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（一）中国（海南）青少年高尔夫精英赛新闻发布会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（二）中国（海南）青少年高尔夫精英赛</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（三）青少年高尔夫球互动娱乐展示开放日</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（四）青少年室内高尔夫模拟器趣味推广活动</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六、承办单位职责</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负责制定赛事方案，监督、指导赛事组织筹备和实施工作，协调省内相关部门为赛事提供保障和服务。在组委会的指导、监督下，负责做好赛事的组织筹备与运营推广，协调省内高尔夫球场为赛事提供保障和服务；协助组委会与省内高尔夫球场进行资源商务谈判。做好中国（海南）青少年高尔夫球精英赛在全国及全球的推广宣传，进一步促进体育与旅游的融合发展。</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七、参赛人员及赛事奖金</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2019中国（海南）青少年高尔夫精英赛参赛人员身份为19岁以下（不含19岁）的青少年男、女选手（不限国籍），参赛球员为120人。参赛人员可按规定获得中高协积分（CJGR）、世界业余积分（WAGR）、美国青少年高尔夫领先板（JGS），赛事组委会设置的赛事奖杯及奖品，不设奖金。</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八、日程安排</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（一）中国（海南）青少年高尔夫精英赛新闻发布会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时间：由承办单位同采购单位拟定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地点：由承办单位同采购单位拟定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（二）中国（海南）青少年高尔夫精英赛</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lastRenderedPageBreak/>
        <w:t>时间：由承办单位同采购单位拟定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地点：由承办单位同采购单位拟定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（三）青少年高尔夫球互动娱乐展示开放日</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时间：由承办单位同采购单位拟定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地点：由承办单位同采购单位拟定</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（四）青少年室内高尔夫模拟器趣味推广活动</w:t>
      </w:r>
    </w:p>
    <w:p w:rsidR="00730FBA" w:rsidRPr="00730FBA" w:rsidRDefault="00730FBA" w:rsidP="00730FBA">
      <w:pPr>
        <w:pStyle w:val="10"/>
        <w:widowControl/>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时间：由承办单位同采购单位拟定</w:t>
      </w:r>
    </w:p>
    <w:p w:rsidR="00730FBA" w:rsidRDefault="00730FBA" w:rsidP="00730FBA">
      <w:pPr>
        <w:pStyle w:val="10"/>
        <w:widowControl/>
        <w:tabs>
          <w:tab w:val="left" w:pos="5610"/>
        </w:tabs>
        <w:spacing w:line="560" w:lineRule="exact"/>
        <w:ind w:firstLine="480"/>
        <w:jc w:val="left"/>
        <w:rPr>
          <w:rFonts w:ascii="黑体" w:eastAsia="黑体" w:hAnsi="黑体" w:hint="eastAsia"/>
          <w:sz w:val="24"/>
          <w:szCs w:val="24"/>
        </w:rPr>
      </w:pPr>
      <w:r w:rsidRPr="00730FBA">
        <w:rPr>
          <w:rFonts w:ascii="黑体" w:eastAsia="黑体" w:hAnsi="黑体" w:hint="eastAsia"/>
          <w:sz w:val="24"/>
          <w:szCs w:val="24"/>
        </w:rPr>
        <w:t>地点：由承办单位同采购单位拟定</w:t>
      </w:r>
      <w:r>
        <w:rPr>
          <w:rFonts w:ascii="黑体" w:eastAsia="黑体" w:hAnsi="黑体" w:hint="eastAsia"/>
          <w:color w:val="FF0000"/>
          <w:sz w:val="24"/>
          <w:szCs w:val="24"/>
        </w:rPr>
        <w:tab/>
      </w:r>
    </w:p>
    <w:p w:rsidR="00730FBA" w:rsidRDefault="00730FBA" w:rsidP="00730FBA">
      <w:pPr>
        <w:pStyle w:val="10"/>
        <w:widowControl/>
        <w:spacing w:line="560" w:lineRule="exact"/>
        <w:ind w:firstLine="480"/>
        <w:jc w:val="left"/>
        <w:rPr>
          <w:rFonts w:ascii="黑体" w:eastAsia="黑体" w:hAnsi="黑体" w:hint="eastAsia"/>
          <w:sz w:val="24"/>
        </w:rPr>
      </w:pPr>
      <w:r>
        <w:rPr>
          <w:rFonts w:ascii="黑体" w:eastAsia="黑体" w:hAnsi="黑体" w:hint="eastAsia"/>
          <w:sz w:val="24"/>
          <w:szCs w:val="24"/>
        </w:rPr>
        <w:t xml:space="preserve">   九、</w:t>
      </w:r>
      <w:r>
        <w:rPr>
          <w:rFonts w:ascii="黑体" w:eastAsia="黑体" w:hAnsi="黑体" w:hint="eastAsia"/>
          <w:sz w:val="24"/>
        </w:rPr>
        <w:t>工作内容</w:t>
      </w:r>
    </w:p>
    <w:p w:rsidR="00730FBA" w:rsidRDefault="00730FBA" w:rsidP="00730FBA">
      <w:pPr>
        <w:spacing w:line="360" w:lineRule="auto"/>
        <w:ind w:firstLineChars="200" w:firstLine="480"/>
        <w:rPr>
          <w:rFonts w:ascii="黑体" w:eastAsia="黑体" w:hAnsi="黑体" w:hint="eastAsia"/>
          <w:sz w:val="24"/>
        </w:rPr>
      </w:pPr>
      <w:r>
        <w:rPr>
          <w:rFonts w:ascii="黑体" w:eastAsia="黑体" w:hAnsi="黑体" w:hint="eastAsia"/>
          <w:sz w:val="24"/>
        </w:rPr>
        <w:t>赛事运营（人工、物料、差旅、运输、接待、酒店、场地布置、舞美、设备、活动经费等）、场地费（球费、餐饮）、媒体宣传（记者差旅、广告、宣传费）、高尔夫专业视频宣传或新闻报道（爱奇艺、或中国高尔夫网络电视、高尔夫频道等）、接待（各级嘉宾、国外选手邀请及陪同人员）、其他（赛事认证、赛事评估、赛事审计）等等。</w:t>
      </w:r>
    </w:p>
    <w:p w:rsidR="00730FBA" w:rsidRDefault="00730FBA" w:rsidP="00730FBA">
      <w:pPr>
        <w:spacing w:line="360" w:lineRule="auto"/>
        <w:ind w:firstLineChars="250" w:firstLine="600"/>
        <w:rPr>
          <w:rFonts w:ascii="黑体" w:eastAsia="黑体" w:hAnsi="黑体" w:hint="eastAsia"/>
          <w:sz w:val="24"/>
          <w:szCs w:val="20"/>
        </w:rPr>
      </w:pPr>
      <w:r>
        <w:rPr>
          <w:rFonts w:ascii="黑体" w:eastAsia="黑体" w:hAnsi="黑体" w:hint="eastAsia"/>
          <w:sz w:val="24"/>
          <w:szCs w:val="20"/>
        </w:rPr>
        <w:t>十、其他要求</w:t>
      </w:r>
    </w:p>
    <w:p w:rsidR="00730FBA" w:rsidRDefault="00730FBA" w:rsidP="00730FBA">
      <w:pPr>
        <w:spacing w:line="360" w:lineRule="auto"/>
        <w:ind w:firstLine="720"/>
        <w:rPr>
          <w:rFonts w:ascii="黑体" w:eastAsia="黑体" w:hAnsi="黑体" w:hint="eastAsia"/>
          <w:sz w:val="24"/>
          <w:szCs w:val="24"/>
        </w:rPr>
      </w:pPr>
      <w:r>
        <w:rPr>
          <w:rFonts w:ascii="黑体" w:eastAsia="黑体" w:hAnsi="黑体" w:hint="eastAsia"/>
          <w:sz w:val="24"/>
        </w:rPr>
        <w:t>1、投标单位相关活动都要经过相关主管部门的审核。</w:t>
      </w:r>
    </w:p>
    <w:p w:rsidR="00730FBA" w:rsidRDefault="00730FBA" w:rsidP="00730FBA">
      <w:pPr>
        <w:spacing w:line="360" w:lineRule="auto"/>
        <w:ind w:firstLine="720"/>
        <w:rPr>
          <w:rFonts w:ascii="黑体" w:eastAsia="黑体" w:hAnsi="黑体" w:hint="eastAsia"/>
          <w:sz w:val="24"/>
        </w:rPr>
      </w:pPr>
      <w:r>
        <w:rPr>
          <w:rFonts w:ascii="黑体" w:eastAsia="黑体" w:hAnsi="黑体" w:hint="eastAsia"/>
          <w:sz w:val="24"/>
        </w:rPr>
        <w:t>2、服务期：自合同签订之日起至活动结束。</w:t>
      </w:r>
    </w:p>
    <w:p w:rsidR="00730FBA" w:rsidRDefault="00730FBA" w:rsidP="00730FBA">
      <w:pPr>
        <w:pStyle w:val="11"/>
        <w:ind w:firstLineChars="0" w:firstLine="481"/>
        <w:rPr>
          <w:rFonts w:ascii="黑体" w:eastAsia="黑体" w:hAnsi="黑体" w:hint="eastAsia"/>
        </w:rPr>
      </w:pPr>
      <w:r>
        <w:rPr>
          <w:rFonts w:ascii="黑体" w:eastAsia="黑体" w:hAnsi="黑体" w:hint="eastAsia"/>
        </w:rPr>
        <w:t>十一、评标委员会认为投标人的报价明显低于其他通过资格性审查投标人的报价，有可能影响地接服务质量或者不能诚信履约的，应当要求其在评标现场合理的时间内提供书面说明，必要时提供相关证明材料；投标人不能证明其报价合理性的，评标委员会应当将其作为无效投标处理。</w:t>
      </w:r>
    </w:p>
    <w:p w:rsidR="00730FBA" w:rsidRDefault="00730FBA" w:rsidP="00730FBA">
      <w:pPr>
        <w:pStyle w:val="11"/>
        <w:ind w:firstLineChars="0" w:firstLine="481"/>
        <w:rPr>
          <w:rFonts w:ascii="黑体" w:eastAsia="黑体" w:hAnsi="黑体" w:hint="eastAsia"/>
        </w:rPr>
      </w:pPr>
      <w:r>
        <w:rPr>
          <w:rFonts w:ascii="黑体" w:eastAsia="黑体" w:hAnsi="黑体" w:hint="eastAsia"/>
        </w:rPr>
        <w:t>十二、如中标人的报价过低，则采购人有权要求中标人在签订合同时提供中标金额10%的履约保证金，如中标人在实施过程中懈怠、不按服务期完成服务等，则采购人有权终止合同，没收履约保证金，并报主管部门严肃处理。</w:t>
      </w:r>
    </w:p>
    <w:p w:rsidR="004358AB" w:rsidRDefault="004358AB" w:rsidP="00730FBA">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3265B"/>
    <w:rsid w:val="00730FB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1"/>
    <w:qFormat/>
    <w:rsid w:val="00730FBA"/>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0FBA"/>
    <w:rPr>
      <w:rFonts w:ascii="Tahoma" w:hAnsi="Tahoma"/>
      <w:b/>
      <w:bCs/>
      <w:kern w:val="44"/>
      <w:sz w:val="44"/>
      <w:szCs w:val="44"/>
    </w:rPr>
  </w:style>
  <w:style w:type="paragraph" w:customStyle="1" w:styleId="10">
    <w:name w:val="列出段落1"/>
    <w:basedOn w:val="a"/>
    <w:uiPriority w:val="99"/>
    <w:qFormat/>
    <w:rsid w:val="00730FBA"/>
    <w:pPr>
      <w:widowControl w:val="0"/>
      <w:adjustRightInd/>
      <w:snapToGrid/>
      <w:spacing w:after="0"/>
      <w:ind w:firstLineChars="200" w:firstLine="420"/>
      <w:jc w:val="both"/>
    </w:pPr>
    <w:rPr>
      <w:rFonts w:ascii="Calibri" w:eastAsia="宋体" w:hAnsi="Calibri" w:cs="Times New Roman"/>
      <w:kern w:val="2"/>
      <w:sz w:val="21"/>
      <w:szCs w:val="20"/>
    </w:rPr>
  </w:style>
  <w:style w:type="paragraph" w:customStyle="1" w:styleId="11">
    <w:name w:val="段落1"/>
    <w:basedOn w:val="a"/>
    <w:qFormat/>
    <w:rsid w:val="00730FBA"/>
    <w:pPr>
      <w:widowControl w:val="0"/>
      <w:adjustRightInd/>
      <w:snapToGrid/>
      <w:spacing w:after="0" w:line="360" w:lineRule="auto"/>
      <w:ind w:firstLineChars="200" w:firstLine="200"/>
      <w:jc w:val="both"/>
    </w:pPr>
    <w:rPr>
      <w:rFonts w:ascii="Times New Roman" w:eastAsia="宋体" w:hAnsi="Times New Roman" w:cs="Times New Roman"/>
      <w:kern w:val="2"/>
      <w:sz w:val="24"/>
      <w:szCs w:val="20"/>
    </w:rPr>
  </w:style>
  <w:style w:type="character" w:customStyle="1" w:styleId="1Char1">
    <w:name w:val="标题 1 Char1"/>
    <w:link w:val="1"/>
    <w:locked/>
    <w:rsid w:val="00730FBA"/>
    <w:rPr>
      <w:rFonts w:ascii="Times New Roman" w:eastAsia="宋体" w:hAnsi="Times New Roman" w:cs="Times New Roman"/>
      <w:b/>
      <w:bCs/>
      <w:kern w:val="44"/>
      <w:sz w:val="44"/>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2019-07-11T01:38:00Z</dcterms:modified>
</cp:coreProperties>
</file>