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center"/>
        <w:rPr>
          <w:rFonts w:hint="eastAsia"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drawing>
          <wp:inline distT="0" distB="0" distL="114300" distR="114300">
            <wp:extent cx="5860415" cy="8284210"/>
            <wp:effectExtent l="0" t="0" r="6985" b="2540"/>
            <wp:docPr id="2" name="图片 2" descr="招标文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招标文件封面"/>
                    <pic:cNvPicPr>
                      <a:picLocks noChangeAspect="1"/>
                    </pic:cNvPicPr>
                  </pic:nvPicPr>
                  <pic:blipFill>
                    <a:blip r:embed="rId10"/>
                    <a:stretch>
                      <a:fillRect/>
                    </a:stretch>
                  </pic:blipFill>
                  <pic:spPr>
                    <a:xfrm>
                      <a:off x="0" y="0"/>
                      <a:ext cx="5860415" cy="8284210"/>
                    </a:xfrm>
                    <a:prstGeom prst="rect">
                      <a:avLst/>
                    </a:prstGeom>
                  </pic:spPr>
                </pic:pic>
              </a:graphicData>
            </a:graphic>
          </wp:inline>
        </w:drawing>
      </w:r>
    </w:p>
    <w:p>
      <w:pPr>
        <w:pageBreakBefore/>
        <w:spacing w:line="360" w:lineRule="auto"/>
        <w:jc w:val="center"/>
        <w:rPr>
          <w:rFonts w:hint="eastAsia" w:cs="仿宋_GB2312" w:asciiTheme="minorEastAsia" w:hAnsiTheme="minorEastAsia" w:eastAsiaTheme="minorEastAsia"/>
          <w:b/>
          <w:bCs/>
          <w:sz w:val="28"/>
          <w:szCs w:val="28"/>
        </w:rPr>
        <w:sectPr>
          <w:footerReference r:id="rId4" w:type="first"/>
          <w:headerReference r:id="rId3" w:type="default"/>
          <w:pgSz w:w="11907" w:h="16840"/>
          <w:pgMar w:top="1418" w:right="1134" w:bottom="1361" w:left="1134" w:header="794" w:footer="794" w:gutter="0"/>
          <w:pgNumType w:fmt="decimal" w:start="1"/>
          <w:cols w:space="720" w:num="1"/>
          <w:docGrid w:linePitch="285" w:charSpace="0"/>
        </w:sectPr>
      </w:pPr>
    </w:p>
    <w:p>
      <w:pPr>
        <w:pageBreakBefore/>
        <w:spacing w:line="360" w:lineRule="auto"/>
        <w:jc w:val="center"/>
        <w:rPr>
          <w:rFonts w:cs="Times New Roman" w:asciiTheme="minorEastAsia" w:hAnsiTheme="minorEastAsia" w:eastAsiaTheme="minorEastAsia"/>
          <w:sz w:val="28"/>
          <w:szCs w:val="28"/>
        </w:rPr>
      </w:pPr>
      <w:r>
        <w:rPr>
          <w:rFonts w:hint="eastAsia" w:cs="仿宋_GB2312" w:asciiTheme="minorEastAsia" w:hAnsiTheme="minorEastAsia" w:eastAsiaTheme="minorEastAsia"/>
          <w:b/>
          <w:bCs/>
          <w:sz w:val="28"/>
          <w:szCs w:val="28"/>
        </w:rPr>
        <w:t>目 录</w:t>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rPr>
          <w:rFonts w:ascii="宋体" w:hAnsi="宋体" w:cs="宋体"/>
          <w:b w:val="0"/>
          <w:bCs w:val="0"/>
          <w:sz w:val="21"/>
          <w:szCs w:val="21"/>
        </w:rPr>
        <w:fldChar w:fldCharType="begin"/>
      </w:r>
      <w:r>
        <w:rPr>
          <w:rFonts w:ascii="宋体" w:hAnsi="宋体" w:cs="宋体"/>
          <w:b w:val="0"/>
          <w:bCs w:val="0"/>
          <w:sz w:val="21"/>
          <w:szCs w:val="21"/>
        </w:rPr>
        <w:instrText xml:space="preserve"> TOC \o "1-3" \h \z \u </w:instrText>
      </w:r>
      <w:r>
        <w:rPr>
          <w:rFonts w:ascii="宋体" w:hAnsi="宋体" w:cs="宋体"/>
          <w:b w:val="0"/>
          <w:bCs w:val="0"/>
          <w:sz w:val="21"/>
          <w:szCs w:val="21"/>
        </w:rPr>
        <w:fldChar w:fldCharType="separate"/>
      </w:r>
      <w:r>
        <w:fldChar w:fldCharType="begin"/>
      </w:r>
      <w:r>
        <w:instrText xml:space="preserve"> HYPERLINK \l "_Toc10188473" </w:instrText>
      </w:r>
      <w:r>
        <w:fldChar w:fldCharType="separate"/>
      </w:r>
      <w:r>
        <w:rPr>
          <w:rStyle w:val="50"/>
          <w:rFonts w:hint="eastAsia"/>
          <w:color w:val="auto"/>
        </w:rPr>
        <w:t>第一章</w:t>
      </w:r>
      <w:r>
        <w:rPr>
          <w:rStyle w:val="50"/>
          <w:color w:val="auto"/>
        </w:rPr>
        <w:t xml:space="preserve"> </w:t>
      </w:r>
      <w:r>
        <w:rPr>
          <w:rStyle w:val="50"/>
          <w:rFonts w:hint="eastAsia"/>
          <w:color w:val="auto"/>
        </w:rPr>
        <w:t>投标邀请</w:t>
      </w:r>
      <w:r>
        <w:tab/>
      </w:r>
      <w:r>
        <w:fldChar w:fldCharType="begin"/>
      </w:r>
      <w:r>
        <w:instrText xml:space="preserve"> PAGEREF _Toc10188473 \h </w:instrText>
      </w:r>
      <w:r>
        <w:fldChar w:fldCharType="separate"/>
      </w:r>
      <w:r>
        <w:t>1</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"_Toc10188474" </w:instrText>
      </w:r>
      <w:r>
        <w:fldChar w:fldCharType="separate"/>
      </w:r>
      <w:r>
        <w:rPr>
          <w:rStyle w:val="50"/>
          <w:rFonts w:hint="eastAsia" w:asciiTheme="majorEastAsia" w:hAnsiTheme="majorEastAsia" w:eastAsiaTheme="majorEastAsia"/>
          <w:color w:val="auto"/>
        </w:rPr>
        <w:t>一、招标项目</w:t>
      </w:r>
      <w:r>
        <w:tab/>
      </w:r>
      <w:r>
        <w:rPr>
          <w:rFonts w:hint="eastAsia"/>
          <w:lang w:val="en-US" w:eastAsia="zh-CN"/>
        </w:rPr>
        <w:t>1</w:t>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"_Toc10188475" </w:instrText>
      </w:r>
      <w:r>
        <w:fldChar w:fldCharType="separate"/>
      </w:r>
      <w:r>
        <w:rPr>
          <w:rStyle w:val="50"/>
          <w:rFonts w:hint="eastAsia" w:asciiTheme="majorEastAsia" w:hAnsiTheme="majorEastAsia" w:eastAsiaTheme="majorEastAsia"/>
          <w:color w:val="auto"/>
        </w:rPr>
        <w:t>二、投标人资格要求</w:t>
      </w:r>
      <w:r>
        <w:tab/>
      </w:r>
      <w:r>
        <w:fldChar w:fldCharType="begin"/>
      </w:r>
      <w:r>
        <w:instrText xml:space="preserve"> PAGEREF _Toc10188475 \h </w:instrText>
      </w:r>
      <w:r>
        <w:fldChar w:fldCharType="separate"/>
      </w:r>
      <w:r>
        <w:t>1</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"_Toc10188476" </w:instrText>
      </w:r>
      <w:r>
        <w:fldChar w:fldCharType="separate"/>
      </w:r>
      <w:r>
        <w:rPr>
          <w:rStyle w:val="50"/>
          <w:rFonts w:hint="eastAsia" w:asciiTheme="majorEastAsia" w:hAnsiTheme="majorEastAsia" w:eastAsiaTheme="majorEastAsia"/>
          <w:color w:val="auto"/>
        </w:rPr>
        <w:t>三、招标文件的获取</w:t>
      </w:r>
      <w:r>
        <w:tab/>
      </w:r>
      <w:r>
        <w:fldChar w:fldCharType="begin"/>
      </w:r>
      <w:r>
        <w:instrText xml:space="preserve"> PAGEREF _Toc10188476 \h </w:instrText>
      </w:r>
      <w:r>
        <w:fldChar w:fldCharType="separate"/>
      </w:r>
      <w:r>
        <w:t>1</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"_Toc10188477" </w:instrText>
      </w:r>
      <w:r>
        <w:fldChar w:fldCharType="separate"/>
      </w:r>
      <w:r>
        <w:rPr>
          <w:rStyle w:val="50"/>
          <w:rFonts w:hint="eastAsia" w:asciiTheme="majorEastAsia" w:hAnsiTheme="majorEastAsia" w:eastAsiaTheme="majorEastAsia"/>
          <w:color w:val="auto"/>
        </w:rPr>
        <w:t>四、投标文件和保证金的递交</w:t>
      </w:r>
      <w:r>
        <w:tab/>
      </w:r>
      <w:r>
        <w:fldChar w:fldCharType="begin"/>
      </w:r>
      <w:r>
        <w:instrText xml:space="preserve"> PAGEREF _Toc10188477 \h </w:instrText>
      </w:r>
      <w:r>
        <w:fldChar w:fldCharType="separate"/>
      </w:r>
      <w:r>
        <w:t>2</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"_Toc10188478" </w:instrText>
      </w:r>
      <w:r>
        <w:fldChar w:fldCharType="separate"/>
      </w:r>
      <w:r>
        <w:rPr>
          <w:rStyle w:val="50"/>
          <w:rFonts w:hint="eastAsia" w:asciiTheme="majorEastAsia" w:hAnsiTheme="majorEastAsia" w:eastAsiaTheme="majorEastAsia"/>
          <w:color w:val="auto"/>
        </w:rPr>
        <w:t>五、其他</w:t>
      </w:r>
      <w:r>
        <w:tab/>
      </w:r>
      <w:r>
        <w:fldChar w:fldCharType="begin"/>
      </w:r>
      <w:r>
        <w:instrText xml:space="preserve"> PAGEREF _Toc10188478 \h </w:instrText>
      </w:r>
      <w:r>
        <w:fldChar w:fldCharType="separate"/>
      </w:r>
      <w:r>
        <w:t>2</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"_Toc10188479" </w:instrText>
      </w:r>
      <w:r>
        <w:fldChar w:fldCharType="separate"/>
      </w:r>
      <w:r>
        <w:rPr>
          <w:rStyle w:val="50"/>
          <w:rFonts w:hint="eastAsia" w:asciiTheme="majorEastAsia" w:hAnsiTheme="majorEastAsia" w:eastAsiaTheme="majorEastAsia"/>
          <w:color w:val="auto"/>
        </w:rPr>
        <w:t>六、联系方式</w:t>
      </w:r>
      <w:r>
        <w:tab/>
      </w:r>
      <w:r>
        <w:fldChar w:fldCharType="begin"/>
      </w:r>
      <w:r>
        <w:instrText xml:space="preserve"> PAGEREF _Toc10188479 \h </w:instrText>
      </w:r>
      <w:r>
        <w:fldChar w:fldCharType="separate"/>
      </w:r>
      <w:r>
        <w:t>2</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"_Toc10188480" </w:instrText>
      </w:r>
      <w:r>
        <w:fldChar w:fldCharType="separate"/>
      </w:r>
      <w:r>
        <w:rPr>
          <w:rStyle w:val="50"/>
          <w:rFonts w:hint="eastAsia"/>
          <w:color w:val="auto"/>
        </w:rPr>
        <w:t>第二章</w:t>
      </w:r>
      <w:r>
        <w:rPr>
          <w:rStyle w:val="50"/>
          <w:color w:val="auto"/>
        </w:rPr>
        <w:t xml:space="preserve"> </w:t>
      </w:r>
      <w:r>
        <w:rPr>
          <w:rStyle w:val="50"/>
          <w:rFonts w:hint="eastAsia"/>
          <w:color w:val="auto"/>
        </w:rPr>
        <w:t>供应商须知</w:t>
      </w:r>
      <w:r>
        <w:tab/>
      </w:r>
      <w:r>
        <w:fldChar w:fldCharType="begin"/>
      </w:r>
      <w:r>
        <w:instrText xml:space="preserve"> PAGEREF _Toc10188480 \h </w:instrText>
      </w:r>
      <w:r>
        <w:fldChar w:fldCharType="separate"/>
      </w:r>
      <w:r>
        <w:t>4</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"_Toc10188481" </w:instrText>
      </w:r>
      <w:r>
        <w:fldChar w:fldCharType="separate"/>
      </w:r>
      <w:r>
        <w:rPr>
          <w:rStyle w:val="50"/>
          <w:rFonts w:hint="eastAsia"/>
          <w:color w:val="auto"/>
        </w:rPr>
        <w:t>供应商须知前附表</w:t>
      </w:r>
      <w:r>
        <w:tab/>
      </w:r>
      <w:r>
        <w:fldChar w:fldCharType="begin"/>
      </w:r>
      <w:r>
        <w:instrText xml:space="preserve"> PAGEREF _Toc10188481 \h </w:instrText>
      </w:r>
      <w:r>
        <w:fldChar w:fldCharType="separate"/>
      </w:r>
      <w:r>
        <w:t>4</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"_Toc10188482" </w:instrText>
      </w:r>
      <w:r>
        <w:fldChar w:fldCharType="separate"/>
      </w:r>
      <w:r>
        <w:rPr>
          <w:rStyle w:val="50"/>
          <w:rFonts w:hint="eastAsia" w:asciiTheme="majorEastAsia" w:hAnsiTheme="majorEastAsia" w:eastAsiaTheme="majorEastAsia"/>
          <w:color w:val="auto"/>
        </w:rPr>
        <w:t>一、总则</w:t>
      </w:r>
      <w:r>
        <w:tab/>
      </w:r>
      <w:r>
        <w:fldChar w:fldCharType="begin"/>
      </w:r>
      <w:r>
        <w:instrText xml:space="preserve"> PAGEREF _Toc10188482 \h </w:instrText>
      </w:r>
      <w:r>
        <w:fldChar w:fldCharType="separate"/>
      </w:r>
      <w:r>
        <w:t>6</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"_Toc10188483" </w:instrText>
      </w:r>
      <w:r>
        <w:fldChar w:fldCharType="separate"/>
      </w:r>
      <w:r>
        <w:rPr>
          <w:rStyle w:val="50"/>
          <w:rFonts w:hint="eastAsia" w:asciiTheme="majorEastAsia" w:hAnsiTheme="majorEastAsia" w:eastAsiaTheme="majorEastAsia"/>
          <w:color w:val="auto"/>
        </w:rPr>
        <w:t>二、招标文件</w:t>
      </w:r>
      <w:r>
        <w:tab/>
      </w:r>
      <w:r>
        <w:fldChar w:fldCharType="begin"/>
      </w:r>
      <w:r>
        <w:instrText xml:space="preserve"> PAGEREF _Toc10188483 \h </w:instrText>
      </w:r>
      <w:r>
        <w:fldChar w:fldCharType="separate"/>
      </w:r>
      <w:r>
        <w:t>7</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"_Toc10188484" </w:instrText>
      </w:r>
      <w:r>
        <w:fldChar w:fldCharType="separate"/>
      </w:r>
      <w:r>
        <w:rPr>
          <w:rStyle w:val="50"/>
          <w:rFonts w:hint="eastAsia" w:asciiTheme="majorEastAsia" w:hAnsiTheme="majorEastAsia" w:eastAsiaTheme="majorEastAsia"/>
          <w:color w:val="auto"/>
        </w:rPr>
        <w:t>三、投标文件</w:t>
      </w:r>
      <w:r>
        <w:tab/>
      </w:r>
      <w:r>
        <w:fldChar w:fldCharType="begin"/>
      </w:r>
      <w:r>
        <w:instrText xml:space="preserve"> PAGEREF _Toc10188484 \h </w:instrText>
      </w:r>
      <w:r>
        <w:fldChar w:fldCharType="separate"/>
      </w:r>
      <w:r>
        <w:t>8</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"_Toc10188485" </w:instrText>
      </w:r>
      <w:r>
        <w:fldChar w:fldCharType="separate"/>
      </w:r>
      <w:r>
        <w:rPr>
          <w:rStyle w:val="50"/>
          <w:rFonts w:hint="eastAsia" w:asciiTheme="majorEastAsia" w:hAnsiTheme="majorEastAsia" w:eastAsiaTheme="majorEastAsia"/>
          <w:color w:val="auto"/>
        </w:rPr>
        <w:t>四、投标文件的递交</w:t>
      </w:r>
      <w:r>
        <w:tab/>
      </w:r>
      <w:r>
        <w:fldChar w:fldCharType="begin"/>
      </w:r>
      <w:r>
        <w:instrText xml:space="preserve"> PAGEREF _Toc10188485 \h </w:instrText>
      </w:r>
      <w:r>
        <w:fldChar w:fldCharType="separate"/>
      </w:r>
      <w:r>
        <w:t>11</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"_Toc10188486" </w:instrText>
      </w:r>
      <w:r>
        <w:fldChar w:fldCharType="separate"/>
      </w:r>
      <w:r>
        <w:rPr>
          <w:rStyle w:val="50"/>
          <w:rFonts w:hint="eastAsia" w:asciiTheme="majorEastAsia" w:hAnsiTheme="majorEastAsia" w:eastAsiaTheme="majorEastAsia"/>
          <w:color w:val="auto"/>
        </w:rPr>
        <w:t>五、开标及评标</w:t>
      </w:r>
      <w:r>
        <w:tab/>
      </w:r>
      <w:r>
        <w:fldChar w:fldCharType="begin"/>
      </w:r>
      <w:r>
        <w:instrText xml:space="preserve"> PAGEREF _Toc10188486 \h </w:instrText>
      </w:r>
      <w:r>
        <w:fldChar w:fldCharType="separate"/>
      </w:r>
      <w:r>
        <w:t>13</w:t>
      </w:r>
      <w:r>
        <w:fldChar w:fldCharType="end"/>
      </w:r>
      <w:r>
        <w:fldChar w:fldCharType="end"/>
      </w:r>
    </w:p>
    <w:p>
      <w:pPr>
        <w:pStyle w:val="34"/>
        <w:tabs>
          <w:tab w:val="right" w:leader="dot" w:pos="9629"/>
        </w:tabs>
        <w:spacing w:line="360" w:lineRule="auto"/>
        <w:rPr>
          <w:rFonts w:asciiTheme="minorHAnsi" w:hAnsiTheme="minorHAnsi" w:eastAsiaTheme="minorEastAsia" w:cstheme="minorBidi"/>
          <w:smallCaps w:val="0"/>
          <w:kern w:val="2"/>
          <w:sz w:val="21"/>
          <w:szCs w:val="22"/>
        </w:rPr>
      </w:pPr>
      <w:r>
        <w:fldChar w:fldCharType="begin"/>
      </w:r>
      <w:r>
        <w:instrText xml:space="preserve"> HYPERLINK \l "_Toc10188487" </w:instrText>
      </w:r>
      <w:r>
        <w:fldChar w:fldCharType="separate"/>
      </w:r>
      <w:r>
        <w:rPr>
          <w:rStyle w:val="50"/>
          <w:rFonts w:hint="eastAsia" w:asciiTheme="majorEastAsia" w:hAnsiTheme="majorEastAsia" w:eastAsiaTheme="majorEastAsia"/>
          <w:color w:val="auto"/>
        </w:rPr>
        <w:t>六、授标及签约</w:t>
      </w:r>
      <w:r>
        <w:tab/>
      </w:r>
      <w:r>
        <w:fldChar w:fldCharType="begin"/>
      </w:r>
      <w:r>
        <w:instrText xml:space="preserve"> PAGEREF _Toc10188487 \h </w:instrText>
      </w:r>
      <w:r>
        <w:fldChar w:fldCharType="separate"/>
      </w:r>
      <w:r>
        <w:t>14</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"_Toc10188488" </w:instrText>
      </w:r>
      <w:r>
        <w:fldChar w:fldCharType="separate"/>
      </w:r>
      <w:r>
        <w:rPr>
          <w:rStyle w:val="50"/>
          <w:rFonts w:hint="eastAsia"/>
          <w:color w:val="auto"/>
        </w:rPr>
        <w:t>第三章</w:t>
      </w:r>
      <w:r>
        <w:rPr>
          <w:rStyle w:val="50"/>
          <w:color w:val="auto"/>
        </w:rPr>
        <w:t xml:space="preserve"> </w:t>
      </w:r>
      <w:r>
        <w:rPr>
          <w:rStyle w:val="50"/>
          <w:rFonts w:hint="eastAsia"/>
          <w:color w:val="auto"/>
        </w:rPr>
        <w:t>海棠区林旺片区（藤海社区、江林村、青田村、铁炉村）农村环境卫生清扫保洁收运服务项目实施方案</w:t>
      </w:r>
      <w:r>
        <w:tab/>
      </w:r>
      <w:r>
        <w:fldChar w:fldCharType="begin"/>
      </w:r>
      <w:r>
        <w:instrText xml:space="preserve"> PAGEREF _Toc10188488 \h </w:instrText>
      </w:r>
      <w:r>
        <w:fldChar w:fldCharType="separate"/>
      </w:r>
      <w:r>
        <w:t>18</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"_Toc10188489" </w:instrText>
      </w:r>
      <w:r>
        <w:fldChar w:fldCharType="separate"/>
      </w:r>
      <w:r>
        <w:rPr>
          <w:rStyle w:val="50"/>
          <w:rFonts w:hint="eastAsia"/>
          <w:color w:val="auto"/>
        </w:rPr>
        <w:t>第四章</w:t>
      </w:r>
      <w:r>
        <w:rPr>
          <w:rStyle w:val="50"/>
          <w:color w:val="auto"/>
        </w:rPr>
        <w:t xml:space="preserve"> </w:t>
      </w:r>
      <w:r>
        <w:rPr>
          <w:rStyle w:val="50"/>
          <w:rFonts w:hint="eastAsia"/>
          <w:color w:val="auto"/>
        </w:rPr>
        <w:t>合同条款</w:t>
      </w:r>
      <w:r>
        <w:tab/>
      </w:r>
      <w:r>
        <w:fldChar w:fldCharType="begin"/>
      </w:r>
      <w:r>
        <w:instrText xml:space="preserve"> PAGEREF _Toc10188489 \h </w:instrText>
      </w:r>
      <w:r>
        <w:fldChar w:fldCharType="separate"/>
      </w:r>
      <w:r>
        <w:t>26</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"_Toc10188490" </w:instrText>
      </w:r>
      <w:r>
        <w:fldChar w:fldCharType="separate"/>
      </w:r>
      <w:r>
        <w:rPr>
          <w:rStyle w:val="50"/>
          <w:rFonts w:hint="eastAsia"/>
          <w:color w:val="auto"/>
        </w:rPr>
        <w:t>第五章</w:t>
      </w:r>
      <w:r>
        <w:rPr>
          <w:rStyle w:val="50"/>
          <w:color w:val="auto"/>
        </w:rPr>
        <w:t xml:space="preserve"> </w:t>
      </w:r>
      <w:r>
        <w:rPr>
          <w:rStyle w:val="50"/>
          <w:rFonts w:hint="eastAsia"/>
          <w:color w:val="auto"/>
        </w:rPr>
        <w:t>投标文件格式</w:t>
      </w:r>
      <w:r>
        <w:tab/>
      </w:r>
      <w:r>
        <w:fldChar w:fldCharType="begin"/>
      </w:r>
      <w:r>
        <w:instrText xml:space="preserve"> PAGEREF _Toc10188490 \h </w:instrText>
      </w:r>
      <w:r>
        <w:fldChar w:fldCharType="separate"/>
      </w:r>
      <w:r>
        <w:t>34</w:t>
      </w:r>
      <w:r>
        <w:fldChar w:fldCharType="end"/>
      </w:r>
      <w:r>
        <w:fldChar w:fldCharType="end"/>
      </w:r>
    </w:p>
    <w:p>
      <w:pPr>
        <w:pStyle w:val="29"/>
        <w:tabs>
          <w:tab w:val="right" w:leader="dot" w:pos="9629"/>
        </w:tabs>
        <w:spacing w:line="360" w:lineRule="auto"/>
        <w:rPr>
          <w:rFonts w:asciiTheme="minorHAnsi" w:hAnsiTheme="minorHAnsi" w:eastAsiaTheme="minorEastAsia" w:cstheme="minorBidi"/>
          <w:b w:val="0"/>
          <w:bCs w:val="0"/>
          <w:caps w:val="0"/>
          <w:kern w:val="2"/>
          <w:sz w:val="21"/>
          <w:szCs w:val="22"/>
        </w:rPr>
      </w:pPr>
      <w:r>
        <w:fldChar w:fldCharType="begin"/>
      </w:r>
      <w:r>
        <w:instrText xml:space="preserve"> HYPERLINK \l "_Toc10188504" </w:instrText>
      </w:r>
      <w:r>
        <w:fldChar w:fldCharType="separate"/>
      </w:r>
      <w:r>
        <w:rPr>
          <w:rStyle w:val="50"/>
          <w:rFonts w:hint="eastAsia"/>
          <w:color w:val="auto"/>
        </w:rPr>
        <w:t>第六章</w:t>
      </w:r>
      <w:r>
        <w:rPr>
          <w:rStyle w:val="50"/>
          <w:color w:val="auto"/>
        </w:rPr>
        <w:t xml:space="preserve"> </w:t>
      </w:r>
      <w:r>
        <w:rPr>
          <w:rStyle w:val="50"/>
          <w:rFonts w:hint="eastAsia"/>
          <w:color w:val="auto"/>
        </w:rPr>
        <w:t>评标办法</w:t>
      </w:r>
      <w:r>
        <w:tab/>
      </w:r>
      <w:r>
        <w:fldChar w:fldCharType="begin"/>
      </w:r>
      <w:r>
        <w:instrText xml:space="preserve"> PAGEREF _Toc10188504 \h </w:instrText>
      </w:r>
      <w:r>
        <w:fldChar w:fldCharType="separate"/>
      </w:r>
      <w:r>
        <w:t>52</w:t>
      </w:r>
      <w:r>
        <w:fldChar w:fldCharType="end"/>
      </w:r>
      <w:r>
        <w:fldChar w:fldCharType="end"/>
      </w:r>
    </w:p>
    <w:p>
      <w:pPr>
        <w:spacing w:line="360" w:lineRule="auto"/>
        <w:rPr>
          <w:rFonts w:ascii="仿宋_GB2312" w:hAnsi="华文中宋" w:eastAsia="仿宋_GB2312" w:cs="Times New Roman"/>
          <w:sz w:val="30"/>
          <w:szCs w:val="30"/>
        </w:rPr>
      </w:pPr>
      <w:r>
        <w:rPr>
          <w:rFonts w:ascii="宋体" w:hAnsi="宋体" w:cs="宋体"/>
          <w:bCs/>
        </w:rPr>
        <w:fldChar w:fldCharType="end"/>
      </w:r>
      <w:bookmarkStart w:id="0" w:name="_Toc238871023"/>
      <w:bookmarkStart w:id="1" w:name="_Toc238906999"/>
    </w:p>
    <w:p>
      <w:pPr>
        <w:spacing w:line="360" w:lineRule="auto"/>
        <w:rPr>
          <w:rFonts w:ascii="仿宋_GB2312" w:hAnsi="华文中宋" w:eastAsia="仿宋_GB2312" w:cs="Times New Roman"/>
          <w:sz w:val="30"/>
          <w:szCs w:val="30"/>
        </w:rPr>
        <w:sectPr>
          <w:footerReference r:id="rId5" w:type="default"/>
          <w:pgSz w:w="11907" w:h="16840"/>
          <w:pgMar w:top="1418" w:right="1134" w:bottom="1361" w:left="1134" w:header="794" w:footer="794" w:gutter="0"/>
          <w:pgNumType w:fmt="decimal" w:start="1"/>
          <w:cols w:space="720" w:num="1"/>
          <w:docGrid w:linePitch="285" w:charSpace="0"/>
        </w:sectPr>
      </w:pPr>
    </w:p>
    <w:bookmarkEnd w:id="0"/>
    <w:bookmarkEnd w:id="1"/>
    <w:p>
      <w:pPr>
        <w:pStyle w:val="41"/>
        <w:spacing w:line="360" w:lineRule="auto"/>
        <w:jc w:val="center"/>
      </w:pPr>
      <w:bookmarkStart w:id="2" w:name="_Toc468811073"/>
      <w:bookmarkStart w:id="3" w:name="_Toc10188473"/>
      <w:r>
        <w:rPr>
          <w:rFonts w:hint="eastAsia"/>
        </w:rPr>
        <w:t xml:space="preserve">第一章 </w:t>
      </w:r>
      <w:bookmarkEnd w:id="2"/>
      <w:r>
        <w:rPr>
          <w:rFonts w:hint="eastAsia"/>
        </w:rPr>
        <w:t>投标邀请</w:t>
      </w:r>
      <w:bookmarkEnd w:id="3"/>
    </w:p>
    <w:p>
      <w:pPr>
        <w:snapToGrid w:val="0"/>
        <w:spacing w:line="360" w:lineRule="auto"/>
        <w:ind w:firstLine="480" w:firstLineChars="200"/>
        <w:rPr>
          <w:rFonts w:hint="eastAsia" w:cs="宋体" w:asciiTheme="minorEastAsia" w:hAnsiTheme="minorEastAsia" w:eastAsiaTheme="minorEastAsia"/>
          <w:sz w:val="24"/>
          <w:szCs w:val="24"/>
        </w:rPr>
      </w:pPr>
      <w:bookmarkStart w:id="4" w:name="_Toc468811079"/>
      <w:bookmarkStart w:id="5" w:name="_Toc238907000"/>
      <w:bookmarkStart w:id="6" w:name="_Toc10188480"/>
      <w:r>
        <w:rPr>
          <w:rFonts w:hint="eastAsia" w:cs="宋体" w:asciiTheme="minorEastAsia" w:hAnsiTheme="minorEastAsia" w:eastAsiaTheme="minorEastAsia"/>
          <w:sz w:val="24"/>
          <w:szCs w:val="24"/>
        </w:rPr>
        <w:t>海南恒晨工程项目管理有限公司受三亚市海棠区综合行政执法局委托，对海棠区林旺片区（藤海社区、江林村、青田村、铁炉村）农村环境卫生清扫保洁收运服务项目（项目编号：HNHC-CG-2019-01）进行国内公开招标，欢迎符合资格条件的投标人参加投标。</w:t>
      </w:r>
    </w:p>
    <w:p>
      <w:pPr>
        <w:snapToGrid w:val="0"/>
        <w:spacing w:line="360" w:lineRule="auto"/>
        <w:rPr>
          <w:rFonts w:hint="eastAsia" w:cs="宋体" w:asciiTheme="minorEastAsia" w:hAnsiTheme="minorEastAsia" w:eastAsiaTheme="minorEastAsia"/>
          <w:b/>
          <w:bCs/>
          <w:sz w:val="24"/>
          <w:szCs w:val="24"/>
        </w:rPr>
      </w:pPr>
      <w:bookmarkStart w:id="7" w:name="_Toc468811074"/>
      <w:bookmarkStart w:id="8" w:name="_Toc492026074"/>
      <w:bookmarkStart w:id="9" w:name="_Toc8141925"/>
      <w:bookmarkStart w:id="10" w:name="_Toc483396274"/>
      <w:bookmarkStart w:id="11" w:name="_Toc483396362"/>
      <w:bookmarkStart w:id="12" w:name="_Toc468811075"/>
      <w:r>
        <w:rPr>
          <w:rFonts w:hint="eastAsia" w:cs="宋体" w:asciiTheme="minorEastAsia" w:hAnsiTheme="minorEastAsia" w:eastAsiaTheme="minorEastAsia"/>
          <w:b/>
          <w:bCs/>
          <w:sz w:val="24"/>
          <w:szCs w:val="24"/>
        </w:rPr>
        <w:t>1、</w:t>
      </w:r>
      <w:bookmarkEnd w:id="7"/>
      <w:bookmarkEnd w:id="8"/>
      <w:r>
        <w:rPr>
          <w:rFonts w:hint="eastAsia" w:cs="宋体" w:asciiTheme="minorEastAsia" w:hAnsiTheme="minorEastAsia" w:eastAsiaTheme="minorEastAsia"/>
          <w:b/>
          <w:bCs/>
          <w:sz w:val="24"/>
          <w:szCs w:val="24"/>
        </w:rPr>
        <w:t>招标编号：HNHC-CG-2019-01</w:t>
      </w:r>
    </w:p>
    <w:p>
      <w:pPr>
        <w:snapToGrid w:val="0"/>
        <w:spacing w:line="360" w:lineRule="auto"/>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2、</w:t>
      </w:r>
      <w:bookmarkEnd w:id="9"/>
      <w:bookmarkEnd w:id="10"/>
      <w:bookmarkEnd w:id="11"/>
      <w:r>
        <w:rPr>
          <w:rFonts w:hint="eastAsia" w:cs="宋体" w:asciiTheme="minorEastAsia" w:hAnsiTheme="minorEastAsia" w:eastAsiaTheme="minorEastAsia"/>
          <w:b/>
          <w:bCs/>
          <w:sz w:val="24"/>
          <w:szCs w:val="24"/>
        </w:rPr>
        <w:t>招标项目及范围：海棠区林旺片区（藤海社区、江林村、青田村、铁炉村）农村环境卫生清扫保洁收运服务项目（1个包）</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包号：项目本身</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2.1</w:t>
      </w:r>
      <w:r>
        <w:rPr>
          <w:rFonts w:hint="eastAsia" w:cs="宋体" w:asciiTheme="minorEastAsia" w:hAnsiTheme="minorEastAsia" w:eastAsiaTheme="minorEastAsia"/>
          <w:sz w:val="24"/>
          <w:szCs w:val="24"/>
        </w:rPr>
        <w:t>项目名称：海棠区林旺片区（藤海社区、江林村、青田村、铁炉村）农村环境卫生清扫保洁收运服务项目；</w:t>
      </w:r>
    </w:p>
    <w:p>
      <w:pPr>
        <w:snapToGrid w:val="0"/>
        <w:spacing w:line="360" w:lineRule="auto"/>
        <w:ind w:firstLine="480" w:firstLineChars="200"/>
        <w:rPr>
          <w:rFonts w:hint="eastAsia" w:cs="宋体" w:asciiTheme="minorEastAsia" w:hAnsiTheme="minorEastAsia" w:eastAsiaTheme="minorEastAsia"/>
          <w:sz w:val="24"/>
          <w:szCs w:val="24"/>
        </w:rPr>
      </w:pPr>
      <w:bookmarkStart w:id="13" w:name="_Toc8283210"/>
      <w:r>
        <w:rPr>
          <w:rFonts w:hint="eastAsia" w:cs="宋体" w:asciiTheme="minorEastAsia" w:hAnsiTheme="minorEastAsia" w:eastAsiaTheme="minorEastAsia"/>
          <w:sz w:val="24"/>
          <w:szCs w:val="24"/>
          <w:lang w:val="en-US" w:eastAsia="zh-CN"/>
        </w:rPr>
        <w:t>2.2</w:t>
      </w:r>
      <w:r>
        <w:rPr>
          <w:rFonts w:hint="eastAsia" w:cs="宋体" w:asciiTheme="minorEastAsia" w:hAnsiTheme="minorEastAsia" w:eastAsiaTheme="minorEastAsia"/>
          <w:sz w:val="24"/>
          <w:szCs w:val="24"/>
        </w:rPr>
        <w:t>项目编号：HNHC-CG-2019-01</w:t>
      </w:r>
      <w:bookmarkEnd w:id="13"/>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2.3</w:t>
      </w:r>
      <w:r>
        <w:rPr>
          <w:rFonts w:hint="eastAsia" w:cs="宋体" w:asciiTheme="minorEastAsia" w:hAnsiTheme="minorEastAsia" w:eastAsiaTheme="minorEastAsia"/>
          <w:sz w:val="24"/>
          <w:szCs w:val="24"/>
        </w:rPr>
        <w:t>采购内容：海棠区林旺片区（藤海社区、江林村、青田村、铁炉村）农村环境卫生清扫保洁收运服务。</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2.4</w:t>
      </w:r>
      <w:r>
        <w:rPr>
          <w:rFonts w:hint="eastAsia" w:cs="宋体" w:asciiTheme="minorEastAsia" w:hAnsiTheme="minorEastAsia" w:eastAsiaTheme="minorEastAsia"/>
          <w:sz w:val="24"/>
          <w:szCs w:val="24"/>
        </w:rPr>
        <w:t>技术要求：具体详见招标文件第三章“项目实施方案”。</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2.5</w:t>
      </w:r>
      <w:r>
        <w:rPr>
          <w:rFonts w:hint="eastAsia" w:cs="宋体" w:asciiTheme="minorEastAsia" w:hAnsiTheme="minorEastAsia" w:eastAsiaTheme="minorEastAsia"/>
          <w:sz w:val="24"/>
          <w:szCs w:val="24"/>
        </w:rPr>
        <w:t>项目预算：3329126.39元/年，最高限价为3329126.39元/年；超出采购预算金额（最高限价）的投标，按无效投标处理。</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2.6</w:t>
      </w:r>
      <w:r>
        <w:rPr>
          <w:rFonts w:hint="eastAsia" w:cs="宋体" w:asciiTheme="minorEastAsia" w:hAnsiTheme="minorEastAsia" w:eastAsiaTheme="minorEastAsia"/>
          <w:sz w:val="24"/>
          <w:szCs w:val="24"/>
        </w:rPr>
        <w:t>服务期限：三年。</w:t>
      </w:r>
    </w:p>
    <w:p>
      <w:pPr>
        <w:snapToGrid w:val="0"/>
        <w:spacing w:line="360" w:lineRule="auto"/>
        <w:rPr>
          <w:rFonts w:hint="eastAsia" w:cs="宋体" w:asciiTheme="minorEastAsia" w:hAnsiTheme="minorEastAsia" w:eastAsiaTheme="minorEastAsia"/>
          <w:b/>
          <w:bCs/>
          <w:sz w:val="24"/>
          <w:szCs w:val="24"/>
          <w:lang w:val="en-US" w:eastAsia="zh-CN"/>
        </w:rPr>
      </w:pPr>
      <w:bookmarkStart w:id="14" w:name="_Toc10188475"/>
      <w:r>
        <w:rPr>
          <w:rFonts w:hint="eastAsia" w:cs="宋体" w:asciiTheme="minorEastAsia" w:hAnsiTheme="minorEastAsia" w:eastAsiaTheme="minorEastAsia"/>
          <w:b/>
          <w:bCs/>
          <w:sz w:val="24"/>
          <w:szCs w:val="24"/>
          <w:lang w:val="en-US" w:eastAsia="zh-CN"/>
        </w:rPr>
        <w:t>3、投标人资格要求</w:t>
      </w:r>
      <w:bookmarkEnd w:id="12"/>
      <w:bookmarkEnd w:id="14"/>
    </w:p>
    <w:p>
      <w:pPr>
        <w:snapToGrid w:val="0"/>
        <w:spacing w:line="360" w:lineRule="auto"/>
        <w:ind w:firstLine="480" w:firstLineChars="200"/>
        <w:rPr>
          <w:rFonts w:hint="eastAsia" w:cs="宋体" w:asciiTheme="minorEastAsia" w:hAnsiTheme="minorEastAsia" w:eastAsiaTheme="minorEastAsia"/>
          <w:sz w:val="24"/>
          <w:szCs w:val="24"/>
        </w:rPr>
      </w:pPr>
      <w:bookmarkStart w:id="15" w:name="_Toc468811076"/>
      <w:r>
        <w:rPr>
          <w:rFonts w:hint="eastAsia" w:cs="宋体" w:asciiTheme="minorEastAsia" w:hAnsiTheme="minorEastAsia" w:eastAsiaTheme="minorEastAsia"/>
          <w:sz w:val="24"/>
          <w:szCs w:val="24"/>
          <w:lang w:val="en-US" w:eastAsia="zh-CN"/>
        </w:rPr>
        <w:t>3.1</w:t>
      </w:r>
      <w:r>
        <w:rPr>
          <w:rFonts w:hint="eastAsia" w:cs="宋体" w:asciiTheme="minorEastAsia" w:hAnsiTheme="minorEastAsia" w:eastAsiaTheme="minorEastAsia"/>
          <w:sz w:val="24"/>
          <w:szCs w:val="24"/>
        </w:rPr>
        <w:t>符合《中华人民共和国政府采购法》第二十二条规定；</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3.2</w:t>
      </w:r>
      <w:r>
        <w:rPr>
          <w:rFonts w:hint="default" w:cs="宋体" w:asciiTheme="minorEastAsia" w:hAnsiTheme="minorEastAsia" w:eastAsiaTheme="minorEastAsia"/>
          <w:sz w:val="24"/>
          <w:szCs w:val="24"/>
        </w:rPr>
        <w:t>单位负责人为同一人或者存在直接控股、 管理关系的不同投标人， 不得参加</w:t>
      </w:r>
      <w:r>
        <w:rPr>
          <w:rFonts w:hint="eastAsia" w:cs="宋体" w:asciiTheme="minorEastAsia" w:hAnsiTheme="minorEastAsia" w:eastAsiaTheme="minorEastAsia"/>
          <w:sz w:val="24"/>
          <w:szCs w:val="24"/>
        </w:rPr>
        <w:br w:type="textWrapping"/>
      </w:r>
      <w:r>
        <w:rPr>
          <w:rFonts w:hint="default" w:cs="宋体" w:asciiTheme="minorEastAsia" w:hAnsiTheme="minorEastAsia" w:eastAsiaTheme="minorEastAsia"/>
          <w:sz w:val="24"/>
          <w:szCs w:val="24"/>
        </w:rPr>
        <w:t>同一合同项下的政府采购活动。</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具有良好的商业信誉和健全的财务会计制度（需提供2019年任意1个月纳税证明）；</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3.4</w:t>
      </w:r>
      <w:r>
        <w:rPr>
          <w:rFonts w:hint="eastAsia" w:cs="宋体" w:asciiTheme="minorEastAsia" w:hAnsiTheme="minorEastAsia" w:eastAsiaTheme="minorEastAsia"/>
          <w:sz w:val="24"/>
          <w:szCs w:val="24"/>
        </w:rPr>
        <w:t>具有依法缴纳社会保障资金的良好记录（需提供2019年任意1个月社会保障缴费记录证明）；</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3.5</w:t>
      </w:r>
      <w:r>
        <w:rPr>
          <w:rFonts w:hint="eastAsia" w:cs="宋体" w:asciiTheme="minorEastAsia" w:hAnsiTheme="minorEastAsia" w:eastAsiaTheme="minorEastAsia"/>
          <w:sz w:val="24"/>
          <w:szCs w:val="24"/>
        </w:rPr>
        <w:t>提供“信用中国”网站(www.creditchina.gov.cn)或中国政府采购网(www.ccgp.gov.cn)查询的企业信用记录；</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3.6</w:t>
      </w:r>
      <w:r>
        <w:rPr>
          <w:rFonts w:hint="eastAsia" w:cs="宋体" w:asciiTheme="minorEastAsia" w:hAnsiTheme="minorEastAsia" w:eastAsiaTheme="minorEastAsia"/>
          <w:sz w:val="24"/>
          <w:szCs w:val="24"/>
        </w:rPr>
        <w:t>不接受联合体投标。</w:t>
      </w:r>
    </w:p>
    <w:p>
      <w:pPr>
        <w:snapToGrid w:val="0"/>
        <w:spacing w:line="360" w:lineRule="auto"/>
        <w:rPr>
          <w:rFonts w:hint="eastAsia" w:cs="宋体" w:asciiTheme="minorEastAsia" w:hAnsiTheme="minorEastAsia" w:eastAsiaTheme="minorEastAsia"/>
          <w:b/>
          <w:bCs/>
          <w:sz w:val="24"/>
          <w:szCs w:val="24"/>
          <w:lang w:val="en-US" w:eastAsia="zh-CN"/>
        </w:rPr>
      </w:pPr>
      <w:bookmarkStart w:id="16" w:name="_Toc10188476"/>
      <w:r>
        <w:rPr>
          <w:rFonts w:hint="eastAsia" w:cs="宋体" w:asciiTheme="minorEastAsia" w:hAnsiTheme="minorEastAsia" w:eastAsiaTheme="minorEastAsia"/>
          <w:b/>
          <w:bCs/>
          <w:sz w:val="24"/>
          <w:szCs w:val="24"/>
          <w:lang w:val="en-US" w:eastAsia="zh-CN"/>
        </w:rPr>
        <w:t>4、招标文件的获取</w:t>
      </w:r>
      <w:bookmarkEnd w:id="15"/>
      <w:bookmarkEnd w:id="16"/>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4.1</w:t>
      </w:r>
      <w:r>
        <w:rPr>
          <w:rFonts w:hint="eastAsia" w:cs="宋体" w:asciiTheme="minorEastAsia" w:hAnsiTheme="minorEastAsia" w:eastAsiaTheme="minorEastAsia"/>
          <w:sz w:val="24"/>
          <w:szCs w:val="24"/>
        </w:rPr>
        <w:t>发售标书时间：自2019 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 xml:space="preserve">月 </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日 00:00:00起至2019年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 xml:space="preserve">月 </w:t>
      </w:r>
      <w:r>
        <w:rPr>
          <w:rFonts w:hint="eastAsia" w:cs="宋体" w:asciiTheme="minorEastAsia" w:hAnsiTheme="minorEastAsia" w:eastAsiaTheme="minorEastAsia"/>
          <w:sz w:val="24"/>
          <w:szCs w:val="24"/>
          <w:lang w:val="en-US" w:eastAsia="zh-CN"/>
        </w:rPr>
        <w:t>15</w:t>
      </w:r>
      <w:r>
        <w:rPr>
          <w:rFonts w:hint="eastAsia" w:cs="宋体" w:asciiTheme="minorEastAsia" w:hAnsiTheme="minorEastAsia" w:eastAsiaTheme="minorEastAsia"/>
          <w:sz w:val="24"/>
          <w:szCs w:val="24"/>
        </w:rPr>
        <w:t>日00:00:00（北京时间）止。</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4.2</w:t>
      </w:r>
      <w:r>
        <w:rPr>
          <w:rFonts w:hint="eastAsia" w:cs="宋体" w:asciiTheme="minorEastAsia" w:hAnsiTheme="minorEastAsia" w:eastAsiaTheme="minorEastAsia"/>
          <w:sz w:val="24"/>
          <w:szCs w:val="24"/>
        </w:rPr>
        <w:t>下载标书地址：</w:t>
      </w:r>
      <w:r>
        <w:rPr>
          <w:rFonts w:hint="eastAsia" w:cs="宋体" w:asciiTheme="minorEastAsia" w:hAnsiTheme="minorEastAsia" w:eastAsiaTheme="minorEastAsia"/>
          <w:sz w:val="24"/>
          <w:szCs w:val="24"/>
        </w:rPr>
        <w:fldChar w:fldCharType="begin"/>
      </w:r>
      <w:r>
        <w:rPr>
          <w:rFonts w:hint="eastAsia" w:cs="宋体" w:asciiTheme="minorEastAsia" w:hAnsiTheme="minorEastAsia" w:eastAsiaTheme="minorEastAsia"/>
          <w:sz w:val="24"/>
          <w:szCs w:val="24"/>
        </w:rPr>
        <w:instrText xml:space="preserve"> HYPERLINK "http://zw.hainan.gov.cn/htms/login!register.do" \l "_blank" </w:instrText>
      </w:r>
      <w:r>
        <w:rPr>
          <w:rFonts w:hint="eastAsia" w:cs="宋体" w:asciiTheme="minorEastAsia" w:hAnsiTheme="minorEastAsia" w:eastAsiaTheme="minorEastAsia"/>
          <w:sz w:val="24"/>
          <w:szCs w:val="24"/>
        </w:rPr>
        <w:fldChar w:fldCharType="separate"/>
      </w:r>
      <w:r>
        <w:rPr>
          <w:rFonts w:hint="eastAsia" w:cs="宋体" w:asciiTheme="minorEastAsia" w:hAnsiTheme="minorEastAsia" w:eastAsiaTheme="minorEastAsia"/>
          <w:sz w:val="24"/>
          <w:szCs w:val="24"/>
        </w:rPr>
        <w:t>http://zw.hainan.gov.cn/htms/login!register.do</w:t>
      </w:r>
      <w:r>
        <w:rPr>
          <w:rFonts w:hint="eastAsia"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4.3</w:t>
      </w:r>
      <w:r>
        <w:rPr>
          <w:rFonts w:hint="eastAsia" w:cs="宋体" w:asciiTheme="minorEastAsia" w:hAnsiTheme="minorEastAsia" w:eastAsiaTheme="minorEastAsia"/>
          <w:sz w:val="24"/>
          <w:szCs w:val="24"/>
        </w:rPr>
        <w:t>标书售价：海棠区林旺片区（藤海社区、江林村、青田村、铁炉村）农村环境卫生清扫保洁收运服务项目招标文件每套售价壹佰元整（￥100.00元）；投标保证金金额：伍万元整（￥50000.00元）。</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4.4</w:t>
      </w:r>
      <w:r>
        <w:rPr>
          <w:rFonts w:hint="eastAsia" w:cs="宋体" w:asciiTheme="minorEastAsia" w:hAnsiTheme="minorEastAsia" w:eastAsiaTheme="minorEastAsia"/>
          <w:sz w:val="24"/>
          <w:szCs w:val="24"/>
        </w:rPr>
        <w:t>投标人提问截止时间：2019年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18</w:t>
      </w:r>
      <w:r>
        <w:rPr>
          <w:rFonts w:hint="eastAsia" w:cs="宋体" w:asciiTheme="minorEastAsia" w:hAnsiTheme="minorEastAsia" w:eastAsiaTheme="minorEastAsia"/>
          <w:sz w:val="24"/>
          <w:szCs w:val="24"/>
        </w:rPr>
        <w:t xml:space="preserve">日 </w:t>
      </w:r>
      <w:r>
        <w:rPr>
          <w:rFonts w:hint="eastAsia" w:cs="宋体" w:asciiTheme="minorEastAsia" w:hAnsiTheme="minorEastAsia" w:eastAsiaTheme="minorEastAsia"/>
          <w:sz w:val="24"/>
          <w:szCs w:val="24"/>
          <w:lang w:val="en-US" w:eastAsia="zh-CN"/>
        </w:rPr>
        <w:t xml:space="preserve"> 09</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00</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 xml:space="preserve">00  </w:t>
      </w:r>
      <w:r>
        <w:rPr>
          <w:rFonts w:hint="eastAsia" w:cs="宋体" w:asciiTheme="minorEastAsia" w:hAnsiTheme="minorEastAsia" w:eastAsiaTheme="minorEastAsia"/>
          <w:sz w:val="24"/>
          <w:szCs w:val="24"/>
        </w:rPr>
        <w:t>（北京时间）。</w:t>
      </w:r>
    </w:p>
    <w:p>
      <w:pPr>
        <w:snapToGrid w:val="0"/>
        <w:spacing w:line="360" w:lineRule="auto"/>
        <w:rPr>
          <w:rFonts w:hint="eastAsia" w:cs="宋体" w:asciiTheme="minorEastAsia" w:hAnsiTheme="minorEastAsia" w:eastAsiaTheme="minorEastAsia"/>
          <w:b/>
          <w:bCs/>
          <w:sz w:val="24"/>
          <w:szCs w:val="24"/>
          <w:lang w:val="en-US" w:eastAsia="zh-CN"/>
        </w:rPr>
      </w:pPr>
      <w:bookmarkStart w:id="17" w:name="_Toc10188477"/>
      <w:r>
        <w:rPr>
          <w:rFonts w:hint="eastAsia" w:cs="宋体" w:asciiTheme="minorEastAsia" w:hAnsiTheme="minorEastAsia" w:eastAsiaTheme="minorEastAsia"/>
          <w:b/>
          <w:bCs/>
          <w:sz w:val="24"/>
          <w:szCs w:val="24"/>
          <w:lang w:val="en-US" w:eastAsia="zh-CN"/>
        </w:rPr>
        <w:t>5、投标文件和保证金的递交</w:t>
      </w:r>
      <w:bookmarkEnd w:id="17"/>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5.1</w:t>
      </w:r>
      <w:r>
        <w:rPr>
          <w:rFonts w:hint="eastAsia" w:cs="宋体" w:asciiTheme="minorEastAsia" w:hAnsiTheme="minorEastAsia" w:eastAsiaTheme="minorEastAsia"/>
          <w:sz w:val="24"/>
          <w:szCs w:val="24"/>
        </w:rPr>
        <w:t>投标文件递交截止时间：2019年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28</w:t>
      </w:r>
      <w:r>
        <w:rPr>
          <w:rFonts w:hint="eastAsia" w:cs="宋体" w:asciiTheme="minorEastAsia" w:hAnsiTheme="minorEastAsia" w:eastAsiaTheme="minorEastAsia"/>
          <w:sz w:val="24"/>
          <w:szCs w:val="24"/>
        </w:rPr>
        <w:t xml:space="preserve">日 </w:t>
      </w:r>
      <w:r>
        <w:rPr>
          <w:rFonts w:hint="eastAsia" w:cs="宋体" w:asciiTheme="minorEastAsia" w:hAnsiTheme="minorEastAsia" w:eastAsiaTheme="minorEastAsia"/>
          <w:sz w:val="24"/>
          <w:szCs w:val="24"/>
          <w:lang w:val="en-US" w:eastAsia="zh-CN"/>
        </w:rPr>
        <w:t xml:space="preserve"> 09</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00</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 xml:space="preserve">00 </w:t>
      </w:r>
      <w:r>
        <w:rPr>
          <w:rFonts w:hint="eastAsia" w:cs="宋体" w:asciiTheme="minorEastAsia" w:hAnsiTheme="minorEastAsia" w:eastAsiaTheme="minorEastAsia"/>
          <w:sz w:val="24"/>
          <w:szCs w:val="24"/>
        </w:rPr>
        <w:t>（北京时间）。</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5.2</w:t>
      </w:r>
      <w:r>
        <w:rPr>
          <w:rFonts w:hint="eastAsia" w:cs="宋体" w:asciiTheme="minorEastAsia" w:hAnsiTheme="minorEastAsia" w:eastAsiaTheme="minorEastAsia"/>
          <w:sz w:val="24"/>
          <w:szCs w:val="24"/>
        </w:rPr>
        <w:t>投标文件递交地点(地址)为：三亚市政务中心公共资源交易大厅</w:t>
      </w:r>
      <w:r>
        <w:rPr>
          <w:rFonts w:hint="eastAsia" w:cs="宋体" w:asciiTheme="minorEastAsia" w:hAnsiTheme="minorEastAsia" w:eastAsiaTheme="minorEastAsia"/>
          <w:sz w:val="24"/>
          <w:szCs w:val="24"/>
          <w:lang w:val="en-US" w:eastAsia="zh-CN"/>
        </w:rPr>
        <w:t>二</w:t>
      </w:r>
      <w:r>
        <w:rPr>
          <w:rFonts w:hint="eastAsia" w:cs="宋体" w:asciiTheme="minorEastAsia" w:hAnsiTheme="minorEastAsia" w:eastAsiaTheme="minorEastAsia"/>
          <w:sz w:val="24"/>
          <w:szCs w:val="24"/>
        </w:rPr>
        <w:t>号开标室。</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5.3</w:t>
      </w:r>
      <w:r>
        <w:rPr>
          <w:rFonts w:hint="eastAsia" w:cs="宋体" w:asciiTheme="minorEastAsia" w:hAnsiTheme="minorEastAsia" w:eastAsiaTheme="minorEastAsia"/>
          <w:sz w:val="24"/>
          <w:szCs w:val="24"/>
        </w:rPr>
        <w:t>开标时间：报名成功后于系统的项目信息中查看。</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5.4</w:t>
      </w:r>
      <w:r>
        <w:rPr>
          <w:rFonts w:hint="eastAsia" w:cs="宋体" w:asciiTheme="minorEastAsia" w:hAnsiTheme="minorEastAsia" w:eastAsiaTheme="minorEastAsia"/>
          <w:sz w:val="24"/>
          <w:szCs w:val="24"/>
        </w:rPr>
        <w:t>开标地点：报名成功后于系统的项目信息中查看。</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5.5</w:t>
      </w:r>
      <w:r>
        <w:rPr>
          <w:rFonts w:hint="eastAsia" w:cs="宋体" w:asciiTheme="minorEastAsia" w:hAnsiTheme="minorEastAsia" w:eastAsiaTheme="minorEastAsia"/>
          <w:sz w:val="24"/>
          <w:szCs w:val="24"/>
        </w:rPr>
        <w:t>保证金到账截止日期：2019年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28</w:t>
      </w:r>
      <w:r>
        <w:rPr>
          <w:rFonts w:hint="eastAsia" w:cs="宋体" w:asciiTheme="minorEastAsia" w:hAnsiTheme="minorEastAsia" w:eastAsiaTheme="minorEastAsia"/>
          <w:sz w:val="24"/>
          <w:szCs w:val="24"/>
        </w:rPr>
        <w:t xml:space="preserve">日 </w:t>
      </w:r>
      <w:r>
        <w:rPr>
          <w:rFonts w:hint="eastAsia" w:cs="宋体" w:asciiTheme="minorEastAsia" w:hAnsiTheme="minorEastAsia" w:eastAsiaTheme="minorEastAsia"/>
          <w:sz w:val="24"/>
          <w:szCs w:val="24"/>
          <w:lang w:val="en-US" w:eastAsia="zh-CN"/>
        </w:rPr>
        <w:t xml:space="preserve"> 09</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00</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 xml:space="preserve">00 </w:t>
      </w:r>
      <w:r>
        <w:rPr>
          <w:rFonts w:hint="eastAsia" w:cs="宋体" w:asciiTheme="minorEastAsia" w:hAnsiTheme="minorEastAsia" w:eastAsiaTheme="minorEastAsia"/>
          <w:sz w:val="24"/>
          <w:szCs w:val="24"/>
        </w:rPr>
        <w:t>（北京时间），投标保证金支付形式：网上支付；支付地址为：</w:t>
      </w:r>
      <w:r>
        <w:rPr>
          <w:rFonts w:hint="eastAsia" w:cs="宋体" w:asciiTheme="minorEastAsia" w:hAnsiTheme="minorEastAsia" w:eastAsiaTheme="minorEastAsia"/>
          <w:sz w:val="24"/>
          <w:szCs w:val="24"/>
        </w:rPr>
        <w:fldChar w:fldCharType="begin"/>
      </w:r>
      <w:r>
        <w:rPr>
          <w:rFonts w:hint="eastAsia" w:cs="宋体" w:asciiTheme="minorEastAsia" w:hAnsiTheme="minorEastAsia" w:eastAsiaTheme="minorEastAsia"/>
          <w:sz w:val="24"/>
          <w:szCs w:val="24"/>
        </w:rPr>
        <w:instrText xml:space="preserve"> HYPERLINK "http://zw.hainan.gov.cn/htms/login!register.do" \t "http://zw.hainan.gov.cn/ggzy/syggzy/GGZFZBGS/_blank" </w:instrText>
      </w:r>
      <w:r>
        <w:rPr>
          <w:rFonts w:hint="eastAsia" w:cs="宋体" w:asciiTheme="minorEastAsia" w:hAnsiTheme="minorEastAsia" w:eastAsiaTheme="minorEastAsia"/>
          <w:sz w:val="24"/>
          <w:szCs w:val="24"/>
        </w:rPr>
        <w:fldChar w:fldCharType="separate"/>
      </w:r>
      <w:r>
        <w:rPr>
          <w:rFonts w:hint="eastAsia" w:cs="宋体" w:asciiTheme="minorEastAsia" w:hAnsiTheme="minorEastAsia" w:eastAsiaTheme="minorEastAsia"/>
          <w:sz w:val="24"/>
          <w:szCs w:val="24"/>
        </w:rPr>
        <w:t>http://zw.hainan.gov.cn/htms/login!register.do</w:t>
      </w:r>
      <w:r>
        <w:rPr>
          <w:rFonts w:hint="eastAsia"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5.6</w:t>
      </w:r>
      <w:r>
        <w:rPr>
          <w:rFonts w:hint="eastAsia" w:cs="宋体" w:asciiTheme="minorEastAsia" w:hAnsiTheme="minorEastAsia" w:eastAsiaTheme="minorEastAsia"/>
          <w:sz w:val="24"/>
          <w:szCs w:val="24"/>
        </w:rPr>
        <w:t>公告发布媒介：</w:t>
      </w:r>
      <w:r>
        <w:rPr>
          <w:rFonts w:hint="eastAsia" w:cs="宋体" w:asciiTheme="minorEastAsia" w:hAnsiTheme="minorEastAsia" w:eastAsiaTheme="minorEastAsia"/>
          <w:sz w:val="24"/>
          <w:szCs w:val="24"/>
          <w:lang w:val="en-US" w:eastAsia="zh-CN"/>
        </w:rPr>
        <w:t>中国海南政府采购网:www.ccgp-hainan.gov.cn、全国公共资源交易平台（海南省）·三亚市：http://zw.hainan.gov.cn/ggzy/syggzy/ 。</w:t>
      </w:r>
    </w:p>
    <w:p>
      <w:pPr>
        <w:snapToGrid w:val="0"/>
        <w:spacing w:line="360" w:lineRule="auto"/>
        <w:rPr>
          <w:rFonts w:hint="eastAsia" w:cs="宋体" w:asciiTheme="minorEastAsia" w:hAnsiTheme="minorEastAsia" w:eastAsiaTheme="minorEastAsia"/>
          <w:b/>
          <w:bCs/>
          <w:sz w:val="24"/>
          <w:szCs w:val="24"/>
          <w:lang w:val="en-US" w:eastAsia="zh-CN"/>
        </w:rPr>
      </w:pPr>
      <w:bookmarkStart w:id="18" w:name="_Toc10188478"/>
      <w:r>
        <w:rPr>
          <w:rFonts w:hint="eastAsia" w:cs="宋体" w:asciiTheme="minorEastAsia" w:hAnsiTheme="minorEastAsia" w:eastAsiaTheme="minorEastAsia"/>
          <w:b/>
          <w:bCs/>
          <w:sz w:val="24"/>
          <w:szCs w:val="24"/>
          <w:lang w:val="en-US" w:eastAsia="zh-CN"/>
        </w:rPr>
        <w:t>6、其他</w:t>
      </w:r>
      <w:bookmarkEnd w:id="18"/>
    </w:p>
    <w:p>
      <w:pPr>
        <w:snapToGrid w:val="0"/>
        <w:spacing w:line="360" w:lineRule="auto"/>
        <w:ind w:firstLine="480" w:firstLineChars="200"/>
        <w:rPr>
          <w:rFonts w:hint="eastAsia" w:cs="宋体" w:asciiTheme="minorEastAsia" w:hAnsiTheme="minorEastAsia" w:eastAsiaTheme="minorEastAsia"/>
          <w:sz w:val="24"/>
          <w:szCs w:val="24"/>
        </w:rPr>
      </w:pPr>
      <w:bookmarkStart w:id="19" w:name="_Toc468811078"/>
      <w:bookmarkStart w:id="20" w:name="_Toc11085"/>
      <w:r>
        <w:rPr>
          <w:rFonts w:hint="eastAsia" w:cs="宋体" w:asciiTheme="minorEastAsia" w:hAnsiTheme="minorEastAsia" w:eastAsiaTheme="minorEastAsia"/>
          <w:sz w:val="24"/>
          <w:szCs w:val="24"/>
          <w:lang w:val="en-US" w:eastAsia="zh-CN"/>
        </w:rPr>
        <w:t>6.1</w:t>
      </w:r>
      <w:r>
        <w:rPr>
          <w:rFonts w:hint="eastAsia" w:cs="宋体" w:asciiTheme="minorEastAsia" w:hAnsiTheme="minorEastAsia" w:eastAsiaTheme="minorEastAsia"/>
          <w:sz w:val="24"/>
          <w:szCs w:val="24"/>
        </w:rPr>
        <w:t>须在海南省市场主体管理系统（http://zw.hainan.gov.cn/ggzy）中注册备案通过，并登陆电子招投标系统（http://zw.hainan.gov.cn/htms/login!register.do）下载、购买电子版的招标文件。</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6.2</w:t>
      </w:r>
      <w:r>
        <w:rPr>
          <w:rFonts w:hint="eastAsia" w:cs="宋体" w:asciiTheme="minorEastAsia" w:hAnsiTheme="minorEastAsia" w:eastAsiaTheme="minorEastAsia"/>
          <w:sz w:val="24"/>
          <w:szCs w:val="24"/>
        </w:rPr>
        <w:t>投标截止日期前，必须在网上上传电子投标文件（PDF格式，WinRAR加密压缩)。</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6.3</w:t>
      </w:r>
      <w:r>
        <w:rPr>
          <w:rFonts w:hint="eastAsia" w:cs="宋体" w:asciiTheme="minorEastAsia" w:hAnsiTheme="minorEastAsia" w:eastAsiaTheme="minorEastAsia"/>
          <w:sz w:val="24"/>
          <w:szCs w:val="24"/>
        </w:rPr>
        <w:t>招标文件费用于开标现场缴纳。</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6.4</w:t>
      </w:r>
      <w:r>
        <w:rPr>
          <w:rFonts w:hint="eastAsia" w:cs="宋体" w:asciiTheme="minorEastAsia" w:hAnsiTheme="minorEastAsia" w:eastAsiaTheme="minorEastAsia"/>
          <w:sz w:val="24"/>
          <w:szCs w:val="24"/>
        </w:rPr>
        <w:t>公告期限：自2019 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日 00:00:00起至2019年</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15</w:t>
      </w:r>
      <w:r>
        <w:rPr>
          <w:rFonts w:hint="eastAsia" w:cs="宋体" w:asciiTheme="minorEastAsia" w:hAnsiTheme="minorEastAsia" w:eastAsiaTheme="minorEastAsia"/>
          <w:sz w:val="24"/>
          <w:szCs w:val="24"/>
        </w:rPr>
        <w:t>日00:00:00（北京时间）止。</w:t>
      </w:r>
    </w:p>
    <w:p>
      <w:pPr>
        <w:snapToGrid w:val="0"/>
        <w:spacing w:line="360" w:lineRule="auto"/>
        <w:rPr>
          <w:rFonts w:hint="eastAsia" w:cs="宋体" w:asciiTheme="minorEastAsia" w:hAnsiTheme="minorEastAsia" w:eastAsiaTheme="minorEastAsia"/>
          <w:b/>
          <w:bCs/>
          <w:sz w:val="24"/>
          <w:szCs w:val="24"/>
          <w:lang w:val="en-US" w:eastAsia="zh-CN"/>
        </w:rPr>
      </w:pPr>
      <w:bookmarkStart w:id="21" w:name="_Toc10188479"/>
      <w:bookmarkStart w:id="22" w:name="_Toc8283211"/>
      <w:r>
        <w:rPr>
          <w:rFonts w:hint="eastAsia" w:cs="宋体" w:asciiTheme="minorEastAsia" w:hAnsiTheme="minorEastAsia" w:eastAsiaTheme="minorEastAsia"/>
          <w:b/>
          <w:bCs/>
          <w:sz w:val="24"/>
          <w:szCs w:val="24"/>
          <w:lang w:val="en-US" w:eastAsia="zh-CN"/>
        </w:rPr>
        <w:t>7、联系方式</w:t>
      </w:r>
      <w:bookmarkEnd w:id="19"/>
      <w:bookmarkEnd w:id="20"/>
      <w:bookmarkEnd w:id="21"/>
      <w:bookmarkEnd w:id="22"/>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1．采购人：三亚市海棠区综合行政执法局</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2．地  址：三亚市海棠区政府办公楼</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3．联系人：曾女士</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4．电  话：0898-38888107</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5．代理机构：海南恒晨工程项目管理有限公司</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6．地    址：三亚市胜利路91号海湾商务大厦704</w:t>
      </w:r>
    </w:p>
    <w:p>
      <w:pPr>
        <w:snapToGrid w:val="0"/>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7．联 系 人：黎先生</w:t>
      </w:r>
    </w:p>
    <w:p>
      <w:pPr>
        <w:snapToGrid w:val="0"/>
        <w:spacing w:line="360" w:lineRule="auto"/>
        <w:ind w:firstLine="480" w:firstLineChars="200"/>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8．电    话：</w:t>
      </w:r>
      <w:r>
        <w:rPr>
          <w:rFonts w:hint="eastAsia" w:cs="宋体" w:asciiTheme="minorEastAsia" w:hAnsiTheme="minorEastAsia" w:eastAsiaTheme="minorEastAsia"/>
          <w:sz w:val="24"/>
          <w:szCs w:val="24"/>
          <w:lang w:val="en-US" w:eastAsia="zh-CN"/>
        </w:rPr>
        <w:t>13322000554</w:t>
      </w:r>
    </w:p>
    <w:p>
      <w:pPr>
        <w:snapToGrid w:val="0"/>
        <w:spacing w:line="360" w:lineRule="auto"/>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b/>
          <w:bCs/>
          <w:sz w:val="24"/>
          <w:szCs w:val="24"/>
          <w:lang w:val="en-US" w:eastAsia="zh-CN"/>
        </w:rPr>
        <w:t>海南恒晨工程项目管理有限公司</w:t>
      </w:r>
    </w:p>
    <w:p>
      <w:pPr>
        <w:snapToGrid w:val="0"/>
        <w:spacing w:line="360" w:lineRule="auto"/>
        <w:rPr>
          <w:rFonts w:hint="default"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 xml:space="preserve">                                            2019年6月7日</w:t>
      </w: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rPr>
          <w:rFonts w:hint="eastAsia"/>
        </w:rPr>
      </w:pPr>
    </w:p>
    <w:p>
      <w:pPr>
        <w:pStyle w:val="41"/>
        <w:spacing w:line="360" w:lineRule="auto"/>
        <w:jc w:val="center"/>
      </w:pPr>
      <w:r>
        <w:rPr>
          <w:rFonts w:hint="eastAsia"/>
        </w:rPr>
        <w:t>第二章 供应商须知</w:t>
      </w:r>
      <w:bookmarkEnd w:id="4"/>
      <w:bookmarkEnd w:id="5"/>
      <w:bookmarkEnd w:id="6"/>
      <w:bookmarkStart w:id="23" w:name="_Toc29782"/>
      <w:bookmarkStart w:id="24" w:name="_Toc238907001"/>
    </w:p>
    <w:p>
      <w:pPr>
        <w:pStyle w:val="41"/>
        <w:spacing w:line="360" w:lineRule="auto"/>
        <w:rPr>
          <w:sz w:val="24"/>
          <w:szCs w:val="24"/>
        </w:rPr>
      </w:pPr>
      <w:bookmarkStart w:id="25" w:name="_Toc10188481"/>
      <w:r>
        <w:rPr>
          <w:rFonts w:hint="eastAsia"/>
          <w:sz w:val="24"/>
          <w:szCs w:val="24"/>
        </w:rPr>
        <w:t>供应商须知前附表</w:t>
      </w:r>
      <w:bookmarkEnd w:id="23"/>
      <w:bookmarkEnd w:id="25"/>
    </w:p>
    <w:tbl>
      <w:tblPr>
        <w:tblStyle w:val="4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957"/>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pStyle w:val="213"/>
              <w:spacing w:line="240" w:lineRule="auto"/>
              <w:ind w:left="-105" w:leftChars="-50" w:right="-105" w:rightChars="-50"/>
              <w:jc w:val="center"/>
              <w:rPr>
                <w:b/>
                <w:color w:val="auto"/>
                <w:sz w:val="24"/>
                <w:szCs w:val="24"/>
              </w:rPr>
            </w:pPr>
            <w:r>
              <w:rPr>
                <w:rFonts w:hint="eastAsia"/>
                <w:b/>
                <w:color w:val="auto"/>
                <w:sz w:val="24"/>
                <w:szCs w:val="24"/>
                <w:lang w:eastAsia="zh-CN"/>
              </w:rPr>
              <w:t>条款</w:t>
            </w:r>
            <w:r>
              <w:rPr>
                <w:rFonts w:hint="eastAsia"/>
                <w:b/>
                <w:color w:val="auto"/>
                <w:sz w:val="24"/>
                <w:szCs w:val="24"/>
              </w:rPr>
              <w:t>号</w:t>
            </w:r>
          </w:p>
        </w:tc>
        <w:tc>
          <w:tcPr>
            <w:tcW w:w="1957" w:type="dxa"/>
            <w:vAlign w:val="center"/>
          </w:tcPr>
          <w:p>
            <w:pPr>
              <w:pStyle w:val="213"/>
              <w:spacing w:line="240" w:lineRule="auto"/>
              <w:jc w:val="center"/>
              <w:rPr>
                <w:b/>
                <w:color w:val="auto"/>
                <w:sz w:val="24"/>
                <w:szCs w:val="24"/>
                <w:lang w:eastAsia="zh-CN"/>
              </w:rPr>
            </w:pPr>
            <w:r>
              <w:rPr>
                <w:rFonts w:hint="eastAsia"/>
                <w:b/>
                <w:color w:val="auto"/>
                <w:sz w:val="24"/>
                <w:szCs w:val="24"/>
                <w:lang w:eastAsia="zh-CN"/>
              </w:rPr>
              <w:t>条款名称</w:t>
            </w:r>
          </w:p>
        </w:tc>
        <w:tc>
          <w:tcPr>
            <w:tcW w:w="6428" w:type="dxa"/>
            <w:vAlign w:val="center"/>
          </w:tcPr>
          <w:p>
            <w:pPr>
              <w:pStyle w:val="213"/>
              <w:spacing w:line="240" w:lineRule="auto"/>
              <w:jc w:val="center"/>
              <w:rPr>
                <w:b/>
                <w:color w:val="auto"/>
                <w:sz w:val="24"/>
                <w:szCs w:val="24"/>
              </w:rPr>
            </w:pPr>
            <w:r>
              <w:rPr>
                <w:rFonts w:hint="eastAsia"/>
                <w:b/>
                <w:color w:val="auto"/>
                <w:sz w:val="24"/>
                <w:szCs w:val="24"/>
                <w:lang w:eastAsia="zh-CN"/>
              </w:rPr>
              <w:t>编列</w:t>
            </w:r>
            <w:r>
              <w:rPr>
                <w:rFonts w:hint="eastAsia"/>
                <w:b/>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1.2</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rPr>
              <w:t>项目名称</w:t>
            </w:r>
          </w:p>
        </w:tc>
        <w:tc>
          <w:tcPr>
            <w:tcW w:w="6428" w:type="dxa"/>
            <w:vAlign w:val="center"/>
          </w:tcPr>
          <w:p>
            <w:pPr>
              <w:pStyle w:val="213"/>
              <w:spacing w:line="460" w:lineRule="exact"/>
              <w:rPr>
                <w:rFonts w:cs="宋体"/>
                <w:color w:val="auto"/>
                <w:sz w:val="24"/>
                <w:szCs w:val="24"/>
                <w:lang w:eastAsia="zh-CN"/>
              </w:rPr>
            </w:pPr>
            <w:r>
              <w:rPr>
                <w:rFonts w:hint="eastAsia" w:cs="宋体" w:asciiTheme="minorEastAsia" w:hAnsiTheme="minorEastAsia" w:eastAsiaTheme="minorEastAsia"/>
                <w:color w:val="auto"/>
                <w:sz w:val="24"/>
                <w:szCs w:val="24"/>
              </w:rPr>
              <w:t>海棠区林旺片区（藤海社区、江林村、青田村、铁炉村）农村环境卫生清扫保洁收运服务项目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1" w:type="dxa"/>
            <w:vAlign w:val="center"/>
          </w:tcPr>
          <w:p>
            <w:pPr>
              <w:spacing w:line="460" w:lineRule="exact"/>
              <w:jc w:val="center"/>
              <w:rPr>
                <w:sz w:val="24"/>
                <w:szCs w:val="24"/>
              </w:rPr>
            </w:pPr>
            <w:r>
              <w:rPr>
                <w:rFonts w:hint="eastAsia"/>
                <w:sz w:val="24"/>
                <w:szCs w:val="24"/>
              </w:rPr>
              <w:t>1.3</w:t>
            </w:r>
          </w:p>
        </w:tc>
        <w:tc>
          <w:tcPr>
            <w:tcW w:w="1957" w:type="dxa"/>
            <w:vAlign w:val="center"/>
          </w:tcPr>
          <w:p>
            <w:pPr>
              <w:pStyle w:val="213"/>
              <w:spacing w:line="460" w:lineRule="exact"/>
              <w:jc w:val="center"/>
              <w:rPr>
                <w:color w:val="auto"/>
                <w:sz w:val="24"/>
                <w:szCs w:val="24"/>
              </w:rPr>
            </w:pPr>
            <w:r>
              <w:rPr>
                <w:rFonts w:hint="eastAsia"/>
                <w:color w:val="auto"/>
                <w:sz w:val="24"/>
                <w:szCs w:val="24"/>
                <w:lang w:eastAsia="zh-CN"/>
              </w:rPr>
              <w:t>项目</w:t>
            </w:r>
            <w:r>
              <w:rPr>
                <w:rFonts w:hint="eastAsia"/>
                <w:color w:val="auto"/>
                <w:sz w:val="24"/>
                <w:szCs w:val="24"/>
              </w:rPr>
              <w:t>编号</w:t>
            </w:r>
          </w:p>
        </w:tc>
        <w:tc>
          <w:tcPr>
            <w:tcW w:w="6428" w:type="dxa"/>
            <w:vAlign w:val="center"/>
          </w:tcPr>
          <w:p>
            <w:pPr>
              <w:pStyle w:val="213"/>
              <w:spacing w:line="460" w:lineRule="exact"/>
              <w:rPr>
                <w:rFonts w:cs="宋体"/>
                <w:color w:val="auto"/>
                <w:sz w:val="24"/>
                <w:szCs w:val="24"/>
                <w:lang w:eastAsia="zh-CN"/>
              </w:rPr>
            </w:pPr>
            <w:r>
              <w:rPr>
                <w:rFonts w:hint="eastAsia" w:cs="宋体" w:asciiTheme="minorEastAsia" w:hAnsiTheme="minorEastAsia" w:eastAsiaTheme="minorEastAsia"/>
                <w:color w:val="auto"/>
                <w:sz w:val="24"/>
                <w:szCs w:val="24"/>
              </w:rPr>
              <w:t>HNHC-CG-2019-01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1" w:type="dxa"/>
            <w:vAlign w:val="center"/>
          </w:tcPr>
          <w:p>
            <w:pPr>
              <w:spacing w:line="460" w:lineRule="exact"/>
              <w:jc w:val="center"/>
              <w:rPr>
                <w:sz w:val="24"/>
                <w:szCs w:val="24"/>
              </w:rPr>
            </w:pPr>
            <w:r>
              <w:rPr>
                <w:rFonts w:hint="eastAsia"/>
                <w:sz w:val="24"/>
                <w:szCs w:val="24"/>
              </w:rPr>
              <w:t>1.4</w:t>
            </w:r>
          </w:p>
        </w:tc>
        <w:tc>
          <w:tcPr>
            <w:tcW w:w="1957" w:type="dxa"/>
            <w:vAlign w:val="center"/>
          </w:tcPr>
          <w:p>
            <w:pPr>
              <w:pStyle w:val="213"/>
              <w:spacing w:line="460" w:lineRule="exact"/>
              <w:jc w:val="center"/>
              <w:rPr>
                <w:color w:val="auto"/>
                <w:sz w:val="24"/>
                <w:szCs w:val="24"/>
              </w:rPr>
            </w:pPr>
            <w:r>
              <w:rPr>
                <w:rFonts w:hint="eastAsia"/>
                <w:color w:val="auto"/>
                <w:sz w:val="24"/>
                <w:szCs w:val="24"/>
              </w:rPr>
              <w:t>采购人</w:t>
            </w:r>
          </w:p>
        </w:tc>
        <w:tc>
          <w:tcPr>
            <w:tcW w:w="6428" w:type="dxa"/>
            <w:vAlign w:val="center"/>
          </w:tcPr>
          <w:p>
            <w:pPr>
              <w:pStyle w:val="213"/>
              <w:spacing w:line="460" w:lineRule="exact"/>
              <w:rPr>
                <w:rFonts w:cs="宋体"/>
                <w:color w:val="auto"/>
                <w:sz w:val="24"/>
                <w:szCs w:val="24"/>
                <w:lang w:eastAsia="zh-CN"/>
              </w:rPr>
            </w:pPr>
            <w:r>
              <w:rPr>
                <w:rFonts w:hint="eastAsia" w:cs="宋体"/>
                <w:color w:val="auto"/>
                <w:sz w:val="24"/>
                <w:szCs w:val="24"/>
                <w:lang w:eastAsia="zh-CN"/>
              </w:rPr>
              <w:t>采购人：</w:t>
            </w:r>
            <w:r>
              <w:rPr>
                <w:rFonts w:hint="eastAsia" w:cs="宋体" w:asciiTheme="minorEastAsia" w:hAnsiTheme="minorEastAsia" w:eastAsiaTheme="minorEastAsia"/>
                <w:color w:val="auto"/>
                <w:sz w:val="24"/>
                <w:szCs w:val="24"/>
              </w:rPr>
              <w:t>三亚市海棠区综合行政执法局</w:t>
            </w:r>
          </w:p>
          <w:p>
            <w:pPr>
              <w:pStyle w:val="213"/>
              <w:spacing w:line="460" w:lineRule="exact"/>
              <w:rPr>
                <w:rFonts w:cs="宋体"/>
                <w:color w:val="auto"/>
                <w:sz w:val="24"/>
                <w:szCs w:val="24"/>
                <w:lang w:eastAsia="zh-CN"/>
              </w:rPr>
            </w:pPr>
            <w:r>
              <w:rPr>
                <w:rFonts w:hint="eastAsia" w:cs="宋体"/>
                <w:color w:val="auto"/>
                <w:sz w:val="24"/>
                <w:szCs w:val="24"/>
                <w:lang w:eastAsia="zh-CN"/>
              </w:rPr>
              <w:t xml:space="preserve">联系人：曾女士 </w:t>
            </w:r>
          </w:p>
          <w:p>
            <w:pPr>
              <w:pStyle w:val="213"/>
              <w:spacing w:line="460" w:lineRule="exact"/>
              <w:rPr>
                <w:rFonts w:cs="宋体"/>
                <w:color w:val="auto"/>
                <w:sz w:val="24"/>
                <w:szCs w:val="24"/>
                <w:lang w:eastAsia="zh-CN"/>
              </w:rPr>
            </w:pPr>
            <w:r>
              <w:rPr>
                <w:rFonts w:hint="eastAsia" w:cs="宋体"/>
                <w:color w:val="auto"/>
                <w:sz w:val="24"/>
                <w:szCs w:val="24"/>
                <w:lang w:eastAsia="zh-CN"/>
              </w:rPr>
              <w:t xml:space="preserve">电话： </w:t>
            </w:r>
            <w:r>
              <w:rPr>
                <w:rFonts w:hint="eastAsia" w:cs="宋体" w:asciiTheme="minorEastAsia" w:hAnsiTheme="minorEastAsia" w:eastAsiaTheme="minorEastAsia"/>
                <w:color w:val="auto"/>
                <w:sz w:val="24"/>
                <w:szCs w:val="24"/>
              </w:rPr>
              <w:t>0898</w:t>
            </w: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rPr>
              <w:t>38888107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1.5</w:t>
            </w:r>
          </w:p>
        </w:tc>
        <w:tc>
          <w:tcPr>
            <w:tcW w:w="1957" w:type="dxa"/>
            <w:vAlign w:val="center"/>
          </w:tcPr>
          <w:p>
            <w:pPr>
              <w:pStyle w:val="213"/>
              <w:spacing w:line="460" w:lineRule="exact"/>
              <w:jc w:val="center"/>
              <w:rPr>
                <w:color w:val="auto"/>
                <w:sz w:val="24"/>
                <w:szCs w:val="24"/>
              </w:rPr>
            </w:pPr>
            <w:r>
              <w:rPr>
                <w:rFonts w:hint="eastAsia"/>
                <w:color w:val="auto"/>
                <w:sz w:val="24"/>
                <w:szCs w:val="24"/>
              </w:rPr>
              <w:t>代理机构</w:t>
            </w:r>
          </w:p>
        </w:tc>
        <w:tc>
          <w:tcPr>
            <w:tcW w:w="6428" w:type="dxa"/>
            <w:vAlign w:val="center"/>
          </w:tcPr>
          <w:p>
            <w:pPr>
              <w:snapToGrid w:val="0"/>
              <w:spacing w:line="460" w:lineRule="exact"/>
              <w:rPr>
                <w:rFonts w:cs="宋体"/>
                <w:sz w:val="24"/>
                <w:szCs w:val="24"/>
              </w:rPr>
            </w:pPr>
            <w:r>
              <w:rPr>
                <w:rFonts w:hint="eastAsia" w:cs="宋体"/>
                <w:sz w:val="24"/>
                <w:szCs w:val="24"/>
              </w:rPr>
              <w:t>名称：</w:t>
            </w:r>
            <w:r>
              <w:rPr>
                <w:rFonts w:hint="eastAsia" w:cs="宋体" w:asciiTheme="minorEastAsia" w:hAnsiTheme="minorEastAsia" w:eastAsiaTheme="minorEastAsia"/>
                <w:sz w:val="24"/>
                <w:szCs w:val="24"/>
              </w:rPr>
              <w:t>海南恒晨工程项目管理有限公司</w:t>
            </w:r>
          </w:p>
          <w:p>
            <w:pPr>
              <w:pStyle w:val="213"/>
              <w:spacing w:line="460" w:lineRule="exact"/>
              <w:rPr>
                <w:rFonts w:cs="宋体"/>
                <w:color w:val="auto"/>
                <w:sz w:val="24"/>
                <w:szCs w:val="24"/>
                <w:lang w:eastAsia="zh-CN"/>
              </w:rPr>
            </w:pPr>
            <w:r>
              <w:rPr>
                <w:rFonts w:hint="eastAsia" w:cs="宋体"/>
                <w:color w:val="auto"/>
                <w:sz w:val="24"/>
                <w:szCs w:val="24"/>
                <w:lang w:eastAsia="zh-CN"/>
              </w:rPr>
              <w:t>联系人：黎先生</w:t>
            </w:r>
          </w:p>
          <w:p>
            <w:pPr>
              <w:pStyle w:val="213"/>
              <w:spacing w:line="460" w:lineRule="exact"/>
              <w:rPr>
                <w:rFonts w:hint="default" w:eastAsia="宋体" w:cs="宋体"/>
                <w:color w:val="auto"/>
                <w:sz w:val="24"/>
                <w:szCs w:val="24"/>
                <w:lang w:val="en-US" w:eastAsia="zh-CN"/>
              </w:rPr>
            </w:pPr>
            <w:r>
              <w:rPr>
                <w:rFonts w:hint="eastAsia" w:cs="宋体"/>
                <w:color w:val="auto"/>
                <w:sz w:val="24"/>
                <w:szCs w:val="24"/>
                <w:lang w:eastAsia="zh-CN"/>
              </w:rPr>
              <w:t>电  话：</w:t>
            </w:r>
            <w:r>
              <w:rPr>
                <w:rFonts w:hint="eastAsia" w:cs="宋体" w:asciiTheme="minorEastAsia" w:hAnsiTheme="minorEastAsia" w:eastAsiaTheme="minorEastAsia"/>
                <w:color w:val="auto"/>
                <w:sz w:val="24"/>
                <w:szCs w:val="24"/>
                <w:lang w:val="en-US" w:eastAsia="zh-CN"/>
              </w:rPr>
              <w:t>13322000554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1" w:type="dxa"/>
            <w:vAlign w:val="center"/>
          </w:tcPr>
          <w:p>
            <w:pPr>
              <w:spacing w:line="460" w:lineRule="exact"/>
              <w:jc w:val="center"/>
              <w:rPr>
                <w:sz w:val="24"/>
                <w:szCs w:val="24"/>
              </w:rPr>
            </w:pPr>
            <w:r>
              <w:rPr>
                <w:rFonts w:hint="eastAsia"/>
                <w:sz w:val="24"/>
                <w:szCs w:val="24"/>
              </w:rPr>
              <w:t>1.6</w:t>
            </w:r>
          </w:p>
        </w:tc>
        <w:tc>
          <w:tcPr>
            <w:tcW w:w="1957" w:type="dxa"/>
            <w:vAlign w:val="center"/>
          </w:tcPr>
          <w:p>
            <w:pPr>
              <w:pStyle w:val="213"/>
              <w:spacing w:line="460" w:lineRule="exact"/>
              <w:jc w:val="center"/>
              <w:rPr>
                <w:color w:val="auto"/>
                <w:sz w:val="24"/>
                <w:szCs w:val="24"/>
              </w:rPr>
            </w:pPr>
            <w:r>
              <w:rPr>
                <w:rFonts w:hint="eastAsia"/>
                <w:color w:val="auto"/>
                <w:sz w:val="24"/>
                <w:szCs w:val="24"/>
              </w:rPr>
              <w:t>采购预算</w:t>
            </w:r>
          </w:p>
        </w:tc>
        <w:tc>
          <w:tcPr>
            <w:tcW w:w="6428" w:type="dxa"/>
            <w:vAlign w:val="center"/>
          </w:tcPr>
          <w:p>
            <w:pPr>
              <w:snapToGrid w:val="0"/>
              <w:spacing w:line="460" w:lineRule="exact"/>
              <w:rPr>
                <w:rFonts w:cs="宋体"/>
                <w:sz w:val="24"/>
                <w:szCs w:val="24"/>
              </w:rPr>
            </w:pPr>
            <w:r>
              <w:rPr>
                <w:rFonts w:cs="宋体" w:asciiTheme="minorEastAsia" w:hAnsiTheme="minorEastAsia" w:eastAsiaTheme="minorEastAsia"/>
                <w:sz w:val="24"/>
                <w:szCs w:val="24"/>
              </w:rPr>
              <w:t>3329126.39</w:t>
            </w:r>
            <w:r>
              <w:rPr>
                <w:rFonts w:hint="eastAsia" w:hAnsi="宋体" w:cs="宋体"/>
                <w:sz w:val="24"/>
                <w:szCs w:val="24"/>
              </w:rPr>
              <w:t>元</w:t>
            </w:r>
            <w:r>
              <w:rPr>
                <w:rFonts w:hint="eastAsia" w:cs="宋体" w:asciiTheme="minorEastAsia" w:hAnsiTheme="minorEastAsia" w:eastAsiaTheme="minorEastAsia"/>
                <w:sz w:val="24"/>
                <w:szCs w:val="24"/>
              </w:rPr>
              <w:t>/年</w:t>
            </w:r>
            <w:r>
              <w:rPr>
                <w:rFonts w:hint="eastAsia" w:hAnsi="宋体" w:cs="宋体"/>
                <w:sz w:val="24"/>
                <w:szCs w:val="24"/>
              </w:rPr>
              <w:t>，</w:t>
            </w:r>
            <w:r>
              <w:rPr>
                <w:rFonts w:hint="eastAsia" w:cs="宋体" w:asciiTheme="minorEastAsia" w:hAnsiTheme="minorEastAsia" w:eastAsiaTheme="minorEastAsia"/>
                <w:sz w:val="24"/>
                <w:szCs w:val="24"/>
              </w:rPr>
              <w:t>最高限价为</w:t>
            </w:r>
            <w:r>
              <w:rPr>
                <w:rFonts w:cs="宋体" w:asciiTheme="minorEastAsia" w:hAnsiTheme="minorEastAsia" w:eastAsiaTheme="minorEastAsia"/>
                <w:sz w:val="24"/>
                <w:szCs w:val="24"/>
              </w:rPr>
              <w:t>3329126.39</w:t>
            </w:r>
            <w:r>
              <w:rPr>
                <w:rFonts w:hint="eastAsia" w:cs="宋体" w:asciiTheme="minorEastAsia" w:hAnsiTheme="minorEastAsia" w:eastAsiaTheme="minorEastAsia"/>
                <w:sz w:val="24"/>
                <w:szCs w:val="24"/>
              </w:rPr>
              <w:t>元/年</w:t>
            </w:r>
            <w:r>
              <w:rPr>
                <w:rFonts w:hint="eastAsia" w:hAnsi="宋体" w:cs="宋体"/>
                <w:sz w:val="24"/>
                <w:szCs w:val="24"/>
              </w:rPr>
              <w:t>；超出采购预算金额（最高限价）的投标，按无效投标处理。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1.7</w:t>
            </w:r>
          </w:p>
        </w:tc>
        <w:tc>
          <w:tcPr>
            <w:tcW w:w="1957" w:type="dxa"/>
            <w:vAlign w:val="center"/>
          </w:tcPr>
          <w:p>
            <w:pPr>
              <w:pStyle w:val="213"/>
              <w:spacing w:line="460" w:lineRule="exact"/>
              <w:jc w:val="center"/>
              <w:rPr>
                <w:color w:val="auto"/>
                <w:sz w:val="24"/>
                <w:szCs w:val="24"/>
              </w:rPr>
            </w:pPr>
            <w:r>
              <w:rPr>
                <w:rFonts w:hint="eastAsia"/>
                <w:color w:val="auto"/>
                <w:sz w:val="24"/>
                <w:szCs w:val="24"/>
              </w:rPr>
              <w:t>投资模式</w:t>
            </w:r>
          </w:p>
        </w:tc>
        <w:tc>
          <w:tcPr>
            <w:tcW w:w="6428" w:type="dxa"/>
            <w:vAlign w:val="center"/>
          </w:tcPr>
          <w:p>
            <w:pPr>
              <w:pStyle w:val="213"/>
              <w:spacing w:line="460" w:lineRule="exact"/>
              <w:rPr>
                <w:rFonts w:cs="宋体"/>
                <w:color w:val="auto"/>
                <w:sz w:val="24"/>
                <w:szCs w:val="24"/>
                <w:lang w:eastAsia="zh-CN"/>
              </w:rPr>
            </w:pPr>
            <w:r>
              <w:rPr>
                <w:rFonts w:hint="eastAsia" w:cs="宋体"/>
                <w:color w:val="auto"/>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1.8</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服务周期</w:t>
            </w:r>
          </w:p>
        </w:tc>
        <w:tc>
          <w:tcPr>
            <w:tcW w:w="6428" w:type="dxa"/>
            <w:vAlign w:val="center"/>
          </w:tcPr>
          <w:p>
            <w:pPr>
              <w:pStyle w:val="213"/>
              <w:spacing w:line="460" w:lineRule="exact"/>
              <w:ind w:left="1440" w:hanging="1440" w:hangingChars="600"/>
              <w:rPr>
                <w:color w:val="auto"/>
                <w:sz w:val="24"/>
                <w:szCs w:val="24"/>
                <w:lang w:eastAsia="zh-CN"/>
              </w:rPr>
            </w:pPr>
            <w:r>
              <w:rPr>
                <w:rFonts w:hint="eastAsia" w:cs="宋体" w:asciiTheme="minorEastAsia" w:hAnsiTheme="minorEastAsia" w:eastAsiaTheme="minorEastAsia"/>
                <w:color w:val="auto"/>
                <w:sz w:val="24"/>
                <w:szCs w:val="24"/>
              </w:rPr>
              <w:t>三年</w:t>
            </w:r>
            <w:r>
              <w:rPr>
                <w:rFonts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lang w:eastAsia="zh-CN"/>
              </w:rPr>
              <w:t>（合同一年一签）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01" w:type="dxa"/>
            <w:vAlign w:val="center"/>
          </w:tcPr>
          <w:p>
            <w:pPr>
              <w:spacing w:line="460" w:lineRule="exact"/>
              <w:jc w:val="center"/>
              <w:rPr>
                <w:sz w:val="24"/>
                <w:szCs w:val="24"/>
              </w:rPr>
            </w:pPr>
            <w:r>
              <w:rPr>
                <w:rFonts w:hint="eastAsia"/>
                <w:sz w:val="24"/>
                <w:szCs w:val="24"/>
              </w:rPr>
              <w:t>2.1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供应商资格要求</w:t>
            </w:r>
          </w:p>
        </w:tc>
        <w:tc>
          <w:tcPr>
            <w:tcW w:w="6428" w:type="dxa"/>
            <w:vAlign w:val="center"/>
          </w:tcPr>
          <w:p>
            <w:pPr>
              <w:snapToGrid w:val="0"/>
              <w:spacing w:line="4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1．符合《中华人民共和国政府采购法》第二十二条规定；</w:t>
            </w:r>
          </w:p>
          <w:p>
            <w:pPr>
              <w:snapToGrid w:val="0"/>
              <w:spacing w:line="4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Style w:val="227"/>
                <w:rFonts w:hint="default"/>
                <w:color w:val="auto"/>
              </w:rPr>
              <w:t>单位负责人为同一人或者存在直接控股、 管理关系的不同投标人，不得参加同一合同项下的政府采购活动。</w:t>
            </w:r>
          </w:p>
          <w:p>
            <w:pPr>
              <w:snapToGrid w:val="0"/>
              <w:spacing w:line="4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3．具有良好的商业信誉和健全的财务会计制度（需提供2019年任意1个月纳税证明）；</w:t>
            </w:r>
          </w:p>
          <w:p>
            <w:pPr>
              <w:snapToGrid w:val="0"/>
              <w:spacing w:line="4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4．具有依法缴纳社会保障资金的良好记录（需提供2019年任意1个月社会保障缴费记录证明）；</w:t>
            </w:r>
          </w:p>
          <w:p>
            <w:pPr>
              <w:snapToGrid w:val="0"/>
              <w:spacing w:line="4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5．提供“信用中国”网站(www.creditchina.gov.cn)或中国政府采购网(www.ccgp.gov.cn)查询的企业信用记录；</w:t>
            </w:r>
          </w:p>
          <w:p>
            <w:pPr>
              <w:snapToGrid w:val="0"/>
              <w:spacing w:line="460" w:lineRule="exact"/>
              <w:rPr>
                <w:rFonts w:hAnsi="宋体" w:cs="宋体"/>
                <w:sz w:val="24"/>
                <w:szCs w:val="24"/>
              </w:rPr>
            </w:pPr>
            <w:r>
              <w:rPr>
                <w:rFonts w:hint="eastAsia" w:cs="宋体" w:asciiTheme="minorEastAsia" w:hAnsiTheme="minorEastAsia" w:eastAsiaTheme="minorEastAsia"/>
                <w:sz w:val="24"/>
                <w:szCs w:val="24"/>
              </w:rPr>
              <w:t>6．不接受联合体投标。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01" w:type="dxa"/>
            <w:vAlign w:val="center"/>
          </w:tcPr>
          <w:p>
            <w:pPr>
              <w:spacing w:line="460" w:lineRule="exact"/>
              <w:jc w:val="center"/>
              <w:rPr>
                <w:sz w:val="24"/>
                <w:szCs w:val="24"/>
              </w:rPr>
            </w:pPr>
            <w:r>
              <w:rPr>
                <w:rFonts w:hint="eastAsia"/>
                <w:sz w:val="24"/>
                <w:szCs w:val="24"/>
              </w:rPr>
              <w:t>7.7</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现场考察和</w:t>
            </w:r>
          </w:p>
          <w:p>
            <w:pPr>
              <w:pStyle w:val="213"/>
              <w:spacing w:line="460" w:lineRule="exact"/>
              <w:jc w:val="center"/>
              <w:rPr>
                <w:color w:val="auto"/>
                <w:sz w:val="24"/>
                <w:szCs w:val="24"/>
                <w:lang w:eastAsia="zh-CN"/>
              </w:rPr>
            </w:pPr>
            <w:r>
              <w:rPr>
                <w:rFonts w:hint="eastAsia"/>
                <w:color w:val="auto"/>
                <w:sz w:val="24"/>
                <w:szCs w:val="24"/>
                <w:lang w:eastAsia="zh-CN"/>
              </w:rPr>
              <w:t>答疑会</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11.2</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是否允许</w:t>
            </w:r>
          </w:p>
          <w:p>
            <w:pPr>
              <w:pStyle w:val="213"/>
              <w:spacing w:line="460" w:lineRule="exact"/>
              <w:jc w:val="center"/>
              <w:rPr>
                <w:color w:val="auto"/>
                <w:sz w:val="24"/>
                <w:szCs w:val="24"/>
                <w:lang w:eastAsia="zh-CN"/>
              </w:rPr>
            </w:pPr>
            <w:r>
              <w:rPr>
                <w:rFonts w:hint="eastAsia"/>
                <w:color w:val="auto"/>
                <w:sz w:val="24"/>
                <w:szCs w:val="24"/>
                <w:lang w:eastAsia="zh-CN"/>
              </w:rPr>
              <w:t>选择性报价</w:t>
            </w:r>
          </w:p>
        </w:tc>
        <w:tc>
          <w:tcPr>
            <w:tcW w:w="6428" w:type="dxa"/>
            <w:vAlign w:val="center"/>
          </w:tcPr>
          <w:p>
            <w:pPr>
              <w:autoSpaceDE w:val="0"/>
              <w:autoSpaceDN w:val="0"/>
              <w:adjustRightInd w:val="0"/>
              <w:spacing w:line="460" w:lineRule="exact"/>
              <w:rPr>
                <w:sz w:val="24"/>
                <w:szCs w:val="24"/>
              </w:rPr>
            </w:pPr>
            <w:r>
              <w:rPr>
                <w:rFonts w:hint="eastAsia"/>
                <w:sz w:val="24"/>
                <w:szCs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01" w:type="dxa"/>
            <w:vAlign w:val="center"/>
          </w:tcPr>
          <w:p>
            <w:pPr>
              <w:spacing w:line="460" w:lineRule="exact"/>
              <w:jc w:val="center"/>
              <w:rPr>
                <w:sz w:val="24"/>
                <w:szCs w:val="24"/>
              </w:rPr>
            </w:pPr>
            <w:r>
              <w:rPr>
                <w:rFonts w:hint="eastAsia"/>
                <w:sz w:val="24"/>
                <w:szCs w:val="24"/>
              </w:rPr>
              <w:t>13.1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投标保证金数额</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投标保证金的支付形式：网络支付</w:t>
            </w:r>
          </w:p>
          <w:p>
            <w:pPr>
              <w:pStyle w:val="213"/>
              <w:spacing w:line="460" w:lineRule="exact"/>
              <w:rPr>
                <w:rFonts w:hint="eastAsia"/>
                <w:color w:val="auto"/>
                <w:sz w:val="24"/>
                <w:szCs w:val="24"/>
                <w:lang w:eastAsia="zh-CN"/>
              </w:rPr>
            </w:pPr>
            <w:r>
              <w:rPr>
                <w:rFonts w:hint="eastAsia"/>
                <w:color w:val="auto"/>
                <w:sz w:val="24"/>
                <w:szCs w:val="24"/>
                <w:lang w:eastAsia="zh-CN"/>
              </w:rPr>
              <w:t>网络支付地址：</w:t>
            </w:r>
          </w:p>
          <w:p>
            <w:pPr>
              <w:pStyle w:val="213"/>
              <w:spacing w:line="460" w:lineRule="exact"/>
              <w:rPr>
                <w:color w:val="auto"/>
                <w:sz w:val="24"/>
                <w:szCs w:val="24"/>
                <w:lang w:eastAsia="zh-CN"/>
              </w:rPr>
            </w:pPr>
            <w:r>
              <w:fldChar w:fldCharType="begin"/>
            </w:r>
            <w:r>
              <w:instrText xml:space="preserve"> HYPERLINK "http://zw.hainan.gov.cn/htms/login!register.do" \t "http://zw.hainan.gov.cn/ggzy/syggzy/GGZFZBGS/_blank" </w:instrText>
            </w:r>
            <w:r>
              <w:fldChar w:fldCharType="separate"/>
            </w:r>
            <w:r>
              <w:rPr>
                <w:rFonts w:hint="eastAsia" w:cs="宋体" w:asciiTheme="minorEastAsia" w:hAnsiTheme="minorEastAsia" w:eastAsiaTheme="minorEastAsia"/>
                <w:sz w:val="24"/>
                <w:szCs w:val="24"/>
              </w:rPr>
              <w:t>http://zw.hainan.gov.cn/htms/login!register.do</w:t>
            </w:r>
            <w:r>
              <w:rPr>
                <w:rFonts w:hint="eastAsia" w:cs="宋体" w:asciiTheme="minorEastAsia" w:hAnsiTheme="minorEastAsia" w:eastAsiaTheme="minorEastAsia"/>
                <w:sz w:val="24"/>
                <w:szCs w:val="24"/>
              </w:rPr>
              <w:fldChar w:fldCharType="end"/>
            </w:r>
            <w:r>
              <w:rPr>
                <w:color w:val="auto"/>
                <w:sz w:val="24"/>
                <w:szCs w:val="24"/>
                <w:lang w:eastAsia="zh-CN"/>
              </w:rPr>
              <w:t xml:space="preserve"> </w:t>
            </w:r>
          </w:p>
          <w:p>
            <w:pPr>
              <w:pStyle w:val="213"/>
              <w:spacing w:line="460" w:lineRule="exact"/>
              <w:rPr>
                <w:color w:val="auto"/>
                <w:sz w:val="24"/>
                <w:szCs w:val="24"/>
                <w:lang w:eastAsia="zh-CN"/>
              </w:rPr>
            </w:pPr>
            <w:r>
              <w:rPr>
                <w:rFonts w:hint="eastAsia"/>
                <w:color w:val="auto"/>
                <w:sz w:val="24"/>
                <w:szCs w:val="24"/>
                <w:lang w:eastAsia="zh-CN"/>
              </w:rPr>
              <w:t>金额：人民币伍万元整（￥50,000.00）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jc w:val="center"/>
        </w:trPr>
        <w:tc>
          <w:tcPr>
            <w:tcW w:w="901" w:type="dxa"/>
            <w:vAlign w:val="center"/>
          </w:tcPr>
          <w:p>
            <w:pPr>
              <w:spacing w:line="460" w:lineRule="exact"/>
              <w:jc w:val="center"/>
              <w:rPr>
                <w:sz w:val="24"/>
                <w:szCs w:val="24"/>
              </w:rPr>
            </w:pPr>
            <w:r>
              <w:rPr>
                <w:rFonts w:hint="eastAsia"/>
                <w:sz w:val="24"/>
                <w:szCs w:val="24"/>
              </w:rPr>
              <w:t>13.2.1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投标保证金缴纳时间及缴纳账户</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投标保证金缴纳截止时间：2019年6月28日09点00分前</w:t>
            </w:r>
          </w:p>
          <w:p>
            <w:pPr>
              <w:pStyle w:val="213"/>
              <w:spacing w:line="460" w:lineRule="exact"/>
              <w:rPr>
                <w:color w:val="auto"/>
                <w:sz w:val="24"/>
                <w:szCs w:val="24"/>
                <w:lang w:eastAsia="zh-CN"/>
              </w:rPr>
            </w:pPr>
            <w:r>
              <w:rPr>
                <w:rFonts w:hint="eastAsia"/>
                <w:color w:val="auto"/>
                <w:sz w:val="24"/>
                <w:szCs w:val="24"/>
                <w:lang w:eastAsia="zh-CN"/>
              </w:rPr>
              <w:t>指定账户：</w:t>
            </w:r>
          </w:p>
          <w:p>
            <w:pPr>
              <w:snapToGrid w:val="0"/>
              <w:spacing w:line="460" w:lineRule="exact"/>
              <w:rPr>
                <w:rFonts w:ascii="Times New Roman" w:hAnsi="Times New Roman" w:cs="Times New Roman"/>
                <w:kern w:val="0"/>
                <w:sz w:val="24"/>
                <w:szCs w:val="24"/>
              </w:rPr>
            </w:pPr>
            <w:r>
              <w:rPr>
                <w:rFonts w:hint="eastAsia" w:ascii="Times New Roman" w:hAnsi="Times New Roman" w:cs="Times New Roman"/>
                <w:kern w:val="0"/>
                <w:sz w:val="24"/>
                <w:szCs w:val="24"/>
              </w:rPr>
              <w:t>账户名称：三亚市人民政府政务服务中心</w:t>
            </w:r>
          </w:p>
          <w:p>
            <w:pPr>
              <w:snapToGrid w:val="0"/>
              <w:spacing w:line="460" w:lineRule="exact"/>
              <w:rPr>
                <w:rFonts w:ascii="Times New Roman" w:hAnsi="Times New Roman" w:cs="Times New Roman"/>
                <w:kern w:val="0"/>
                <w:sz w:val="24"/>
                <w:szCs w:val="24"/>
              </w:rPr>
            </w:pPr>
            <w:r>
              <w:rPr>
                <w:rFonts w:hint="eastAsia" w:ascii="Times New Roman" w:hAnsi="Times New Roman" w:cs="Times New Roman"/>
                <w:kern w:val="0"/>
                <w:sz w:val="24"/>
                <w:szCs w:val="24"/>
              </w:rPr>
              <w:t>账号：</w:t>
            </w:r>
            <w:r>
              <w:rPr>
                <w:rFonts w:ascii="Times New Roman" w:hAnsi="Times New Roman" w:cs="Times New Roman"/>
                <w:kern w:val="0"/>
                <w:sz w:val="24"/>
                <w:szCs w:val="24"/>
              </w:rPr>
              <w:t>46050100513600000808</w:t>
            </w:r>
          </w:p>
          <w:p>
            <w:pPr>
              <w:snapToGrid w:val="0"/>
              <w:spacing w:line="460" w:lineRule="exact"/>
              <w:rPr>
                <w:rFonts w:ascii="Times New Roman" w:hAnsi="Times New Roman" w:cs="Times New Roman"/>
                <w:kern w:val="0"/>
                <w:sz w:val="24"/>
                <w:szCs w:val="24"/>
              </w:rPr>
            </w:pPr>
            <w:r>
              <w:rPr>
                <w:rFonts w:hint="eastAsia" w:ascii="Times New Roman" w:hAnsi="Times New Roman" w:cs="Times New Roman"/>
                <w:kern w:val="0"/>
                <w:sz w:val="24"/>
                <w:szCs w:val="24"/>
              </w:rPr>
              <w:t>开户银行：中国建设银行三亚市分行</w:t>
            </w:r>
          </w:p>
          <w:p>
            <w:pPr>
              <w:pStyle w:val="213"/>
              <w:spacing w:line="460" w:lineRule="exact"/>
              <w:rPr>
                <w:color w:val="auto"/>
                <w:sz w:val="24"/>
                <w:szCs w:val="24"/>
                <w:lang w:eastAsia="zh-CN"/>
              </w:rPr>
            </w:pPr>
            <w:r>
              <w:rPr>
                <w:rFonts w:hint="eastAsia"/>
                <w:color w:val="auto"/>
                <w:sz w:val="24"/>
                <w:szCs w:val="24"/>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14.1</w:t>
            </w:r>
          </w:p>
        </w:tc>
        <w:tc>
          <w:tcPr>
            <w:tcW w:w="1957" w:type="dxa"/>
            <w:vAlign w:val="center"/>
          </w:tcPr>
          <w:p>
            <w:pPr>
              <w:pStyle w:val="213"/>
              <w:spacing w:line="460" w:lineRule="exact"/>
              <w:jc w:val="center"/>
              <w:rPr>
                <w:color w:val="auto"/>
                <w:sz w:val="24"/>
                <w:szCs w:val="24"/>
              </w:rPr>
            </w:pPr>
            <w:r>
              <w:rPr>
                <w:rFonts w:hint="eastAsia"/>
                <w:color w:val="auto"/>
                <w:sz w:val="24"/>
                <w:szCs w:val="24"/>
                <w:lang w:eastAsia="zh-CN"/>
              </w:rPr>
              <w:t>投标文件</w:t>
            </w:r>
            <w:r>
              <w:rPr>
                <w:rFonts w:hint="eastAsia"/>
                <w:color w:val="auto"/>
                <w:sz w:val="24"/>
                <w:szCs w:val="24"/>
              </w:rPr>
              <w:t>有效期</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自响应文件开启之日起60天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01" w:type="dxa"/>
            <w:vAlign w:val="center"/>
          </w:tcPr>
          <w:p>
            <w:pPr>
              <w:spacing w:line="460" w:lineRule="exact"/>
              <w:jc w:val="center"/>
              <w:rPr>
                <w:sz w:val="24"/>
                <w:szCs w:val="24"/>
              </w:rPr>
            </w:pPr>
            <w:r>
              <w:rPr>
                <w:rFonts w:hint="eastAsia"/>
                <w:sz w:val="24"/>
                <w:szCs w:val="24"/>
              </w:rPr>
              <w:t>15.1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投标文件份数</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正本1份、副本6份，电子版响应文件1份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01" w:type="dxa"/>
            <w:vAlign w:val="center"/>
          </w:tcPr>
          <w:p>
            <w:pPr>
              <w:spacing w:line="460" w:lineRule="exact"/>
              <w:jc w:val="center"/>
              <w:rPr>
                <w:sz w:val="24"/>
                <w:szCs w:val="24"/>
              </w:rPr>
            </w:pPr>
            <w:r>
              <w:rPr>
                <w:rFonts w:hint="eastAsia"/>
                <w:sz w:val="24"/>
                <w:szCs w:val="24"/>
              </w:rPr>
              <w:t>15.2</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投标文件打印要求</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投标文件应加盖骑缝章、正本须经法定代表人或授权代表人在招标文件明示需要签名盖章的地方签名和加盖投标人公章，副本可以是正本的复印件，副本与正本不一致的，以正本为准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01" w:type="dxa"/>
            <w:vAlign w:val="center"/>
          </w:tcPr>
          <w:p>
            <w:pPr>
              <w:spacing w:line="460" w:lineRule="exact"/>
              <w:jc w:val="center"/>
              <w:rPr>
                <w:sz w:val="24"/>
                <w:szCs w:val="24"/>
              </w:rPr>
            </w:pPr>
            <w:r>
              <w:rPr>
                <w:rFonts w:hint="eastAsia"/>
                <w:sz w:val="24"/>
                <w:szCs w:val="24"/>
              </w:rPr>
              <w:t>18.1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投标文件密封要求</w:t>
            </w:r>
          </w:p>
        </w:tc>
        <w:tc>
          <w:tcPr>
            <w:tcW w:w="6428" w:type="dxa"/>
            <w:vAlign w:val="center"/>
          </w:tcPr>
          <w:p>
            <w:pPr>
              <w:pStyle w:val="213"/>
              <w:spacing w:line="460" w:lineRule="exact"/>
              <w:rPr>
                <w:color w:val="auto"/>
                <w:sz w:val="24"/>
                <w:szCs w:val="24"/>
                <w:lang w:eastAsia="zh-CN"/>
              </w:rPr>
            </w:pPr>
            <w:r>
              <w:rPr>
                <w:rFonts w:hint="eastAsia" w:cs="宋体" w:asciiTheme="minorEastAsia" w:hAnsiTheme="minorEastAsia" w:eastAsiaTheme="minorEastAsia"/>
                <w:color w:val="auto"/>
                <w:sz w:val="24"/>
                <w:szCs w:val="24"/>
              </w:rPr>
              <w:t>投标人应将投标文件密封在投标专用袋（箱）中，并在投标专用袋（箱）上标明“正本”“副本”字样，所有外层密封袋的封口处应加盖骑缝章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01" w:type="dxa"/>
            <w:vAlign w:val="center"/>
          </w:tcPr>
          <w:p>
            <w:pPr>
              <w:spacing w:line="460" w:lineRule="exact"/>
              <w:jc w:val="center"/>
              <w:rPr>
                <w:sz w:val="24"/>
                <w:szCs w:val="24"/>
              </w:rPr>
            </w:pPr>
            <w:r>
              <w:rPr>
                <w:rFonts w:hint="eastAsia"/>
                <w:sz w:val="24"/>
                <w:szCs w:val="24"/>
              </w:rPr>
              <w:t>19.1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纸质版投标文件递交截止时间及地点</w:t>
            </w:r>
          </w:p>
        </w:tc>
        <w:tc>
          <w:tcPr>
            <w:tcW w:w="6428" w:type="dxa"/>
            <w:vAlign w:val="center"/>
          </w:tcPr>
          <w:p>
            <w:pPr>
              <w:pStyle w:val="213"/>
              <w:spacing w:line="460" w:lineRule="exact"/>
              <w:rPr>
                <w:rFonts w:ascii="Calibri" w:hAnsi="宋体" w:cs="宋体"/>
                <w:color w:val="auto"/>
                <w:sz w:val="24"/>
                <w:szCs w:val="24"/>
                <w:lang w:eastAsia="zh-CN"/>
              </w:rPr>
            </w:pPr>
            <w:r>
              <w:rPr>
                <w:rFonts w:hint="eastAsia" w:ascii="Calibri" w:hAnsi="宋体" w:cs="宋体"/>
                <w:color w:val="auto"/>
                <w:sz w:val="24"/>
                <w:szCs w:val="24"/>
                <w:lang w:eastAsia="zh-CN"/>
              </w:rPr>
              <w:t>递交截止时间：</w:t>
            </w:r>
            <w:r>
              <w:rPr>
                <w:rFonts w:hint="eastAsia"/>
                <w:color w:val="auto"/>
                <w:sz w:val="24"/>
                <w:szCs w:val="24"/>
                <w:lang w:eastAsia="zh-CN"/>
              </w:rPr>
              <w:t>2019年6月28日09点00分</w:t>
            </w:r>
          </w:p>
          <w:p>
            <w:pPr>
              <w:pStyle w:val="213"/>
              <w:spacing w:line="460" w:lineRule="exact"/>
              <w:rPr>
                <w:color w:val="auto"/>
                <w:sz w:val="24"/>
                <w:szCs w:val="24"/>
                <w:lang w:eastAsia="zh-CN"/>
              </w:rPr>
            </w:pPr>
            <w:r>
              <w:rPr>
                <w:rFonts w:hint="eastAsia" w:ascii="Calibri" w:hAnsi="宋体" w:cs="宋体"/>
                <w:color w:val="auto"/>
                <w:sz w:val="24"/>
                <w:szCs w:val="24"/>
                <w:lang w:eastAsia="zh-CN"/>
              </w:rPr>
              <w:t>递交地点：</w:t>
            </w:r>
            <w:r>
              <w:rPr>
                <w:rFonts w:hint="eastAsia" w:cs="宋体" w:asciiTheme="minorEastAsia" w:hAnsiTheme="minorEastAsia" w:eastAsiaTheme="minorEastAsia"/>
                <w:color w:val="auto"/>
                <w:sz w:val="24"/>
                <w:szCs w:val="24"/>
              </w:rPr>
              <w:t>三亚市政务中心公共资源交易大厅</w:t>
            </w:r>
            <w:r>
              <w:rPr>
                <w:rFonts w:hint="eastAsia" w:cs="宋体" w:asciiTheme="minorEastAsia" w:hAnsiTheme="minorEastAsia" w:eastAsiaTheme="minorEastAsia"/>
                <w:color w:val="auto"/>
                <w:sz w:val="24"/>
                <w:szCs w:val="24"/>
                <w:lang w:eastAsia="zh-CN"/>
              </w:rPr>
              <w:t>二</w:t>
            </w:r>
            <w:r>
              <w:rPr>
                <w:rFonts w:hint="eastAsia" w:cs="宋体" w:asciiTheme="minorEastAsia" w:hAnsiTheme="minorEastAsia" w:eastAsiaTheme="minorEastAsia"/>
                <w:color w:val="auto"/>
                <w:sz w:val="24"/>
                <w:szCs w:val="24"/>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21.4</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rPr>
              <w:t>是否退还</w:t>
            </w:r>
          </w:p>
          <w:p>
            <w:pPr>
              <w:pStyle w:val="213"/>
              <w:spacing w:line="460" w:lineRule="exact"/>
              <w:jc w:val="center"/>
              <w:rPr>
                <w:color w:val="auto"/>
                <w:sz w:val="24"/>
                <w:szCs w:val="24"/>
                <w:lang w:eastAsia="zh-CN"/>
              </w:rPr>
            </w:pPr>
            <w:r>
              <w:rPr>
                <w:rFonts w:hint="eastAsia"/>
                <w:color w:val="auto"/>
                <w:sz w:val="24"/>
                <w:szCs w:val="24"/>
                <w:lang w:eastAsia="zh-CN"/>
              </w:rPr>
              <w:t>投标文件</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901" w:type="dxa"/>
            <w:vAlign w:val="center"/>
          </w:tcPr>
          <w:p>
            <w:pPr>
              <w:spacing w:line="460" w:lineRule="exact"/>
              <w:jc w:val="center"/>
              <w:rPr>
                <w:sz w:val="24"/>
                <w:szCs w:val="24"/>
              </w:rPr>
            </w:pPr>
            <w:r>
              <w:rPr>
                <w:rFonts w:hint="eastAsia"/>
                <w:sz w:val="24"/>
                <w:szCs w:val="24"/>
              </w:rPr>
              <w:t>23.1</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lang w:eastAsia="zh-CN"/>
              </w:rPr>
              <w:t>评标小组</w:t>
            </w:r>
          </w:p>
          <w:p>
            <w:pPr>
              <w:pStyle w:val="213"/>
              <w:spacing w:line="460" w:lineRule="exact"/>
              <w:jc w:val="center"/>
              <w:rPr>
                <w:color w:val="auto"/>
                <w:sz w:val="24"/>
                <w:szCs w:val="24"/>
                <w:lang w:eastAsia="zh-CN"/>
              </w:rPr>
            </w:pPr>
            <w:r>
              <w:rPr>
                <w:rFonts w:hint="eastAsia"/>
                <w:color w:val="auto"/>
                <w:sz w:val="24"/>
                <w:szCs w:val="24"/>
                <w:lang w:eastAsia="zh-CN"/>
              </w:rPr>
              <w:t>的组成</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评标小组由7人组成，其中采购人代表2人，专家5人。</w:t>
            </w:r>
          </w:p>
          <w:p>
            <w:pPr>
              <w:pStyle w:val="213"/>
              <w:spacing w:line="460" w:lineRule="exact"/>
              <w:rPr>
                <w:color w:val="auto"/>
                <w:sz w:val="24"/>
                <w:szCs w:val="24"/>
                <w:lang w:eastAsia="zh-CN"/>
              </w:rPr>
            </w:pPr>
            <w:r>
              <w:rPr>
                <w:rFonts w:hint="eastAsia"/>
                <w:color w:val="auto"/>
                <w:sz w:val="24"/>
                <w:szCs w:val="24"/>
                <w:lang w:eastAsia="zh-CN"/>
              </w:rPr>
              <w:t>评审专家从三亚市综合评标专家库中随机抽取。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26.2</w:t>
            </w:r>
          </w:p>
        </w:tc>
        <w:tc>
          <w:tcPr>
            <w:tcW w:w="1957" w:type="dxa"/>
            <w:vAlign w:val="center"/>
          </w:tcPr>
          <w:p>
            <w:pPr>
              <w:pStyle w:val="213"/>
              <w:spacing w:line="460" w:lineRule="exact"/>
              <w:jc w:val="center"/>
              <w:rPr>
                <w:color w:val="auto"/>
                <w:sz w:val="24"/>
                <w:szCs w:val="24"/>
                <w:lang w:eastAsia="zh-CN"/>
              </w:rPr>
            </w:pPr>
            <w:r>
              <w:rPr>
                <w:rFonts w:hint="eastAsia"/>
                <w:color w:val="auto"/>
                <w:sz w:val="24"/>
                <w:szCs w:val="24"/>
              </w:rPr>
              <w:t>评</w:t>
            </w:r>
            <w:r>
              <w:rPr>
                <w:rFonts w:hint="eastAsia"/>
                <w:color w:val="auto"/>
                <w:sz w:val="24"/>
                <w:szCs w:val="24"/>
                <w:lang w:eastAsia="zh-CN"/>
              </w:rPr>
              <w:t>审</w:t>
            </w:r>
            <w:r>
              <w:rPr>
                <w:rFonts w:hint="eastAsia"/>
                <w:color w:val="auto"/>
                <w:sz w:val="24"/>
                <w:szCs w:val="24"/>
              </w:rPr>
              <w:t>方法</w:t>
            </w:r>
          </w:p>
        </w:tc>
        <w:tc>
          <w:tcPr>
            <w:tcW w:w="6428" w:type="dxa"/>
            <w:vAlign w:val="center"/>
          </w:tcPr>
          <w:p>
            <w:pPr>
              <w:pStyle w:val="211"/>
              <w:spacing w:line="460" w:lineRule="exact"/>
              <w:jc w:val="both"/>
              <w:rPr>
                <w:rFonts w:ascii="Times New Roman" w:cs="Times New Roman"/>
                <w:color w:val="auto"/>
              </w:rPr>
            </w:pPr>
            <w:r>
              <w:rPr>
                <w:rFonts w:hint="eastAsia" w:ascii="Times New Roman" w:cs="Times New Roman"/>
                <w:color w:val="auto"/>
              </w:rPr>
              <w:t>由评标小组采用综合评分法对合格的供应商的响应文件和报价进行综合评分。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 w:type="dxa"/>
            <w:vAlign w:val="center"/>
          </w:tcPr>
          <w:p>
            <w:pPr>
              <w:spacing w:line="460" w:lineRule="exact"/>
              <w:jc w:val="center"/>
              <w:rPr>
                <w:sz w:val="24"/>
                <w:szCs w:val="24"/>
              </w:rPr>
            </w:pPr>
            <w:r>
              <w:rPr>
                <w:rFonts w:hint="eastAsia"/>
                <w:sz w:val="24"/>
                <w:szCs w:val="24"/>
              </w:rPr>
              <w:t>28</w:t>
            </w:r>
          </w:p>
        </w:tc>
        <w:tc>
          <w:tcPr>
            <w:tcW w:w="1957" w:type="dxa"/>
            <w:vAlign w:val="center"/>
          </w:tcPr>
          <w:p>
            <w:pPr>
              <w:pStyle w:val="213"/>
              <w:spacing w:line="460" w:lineRule="exact"/>
              <w:jc w:val="center"/>
              <w:rPr>
                <w:color w:val="auto"/>
                <w:sz w:val="24"/>
                <w:szCs w:val="24"/>
              </w:rPr>
            </w:pPr>
            <w:r>
              <w:rPr>
                <w:rFonts w:hint="eastAsia"/>
                <w:color w:val="auto"/>
                <w:sz w:val="24"/>
                <w:szCs w:val="24"/>
                <w:lang w:eastAsia="zh-CN"/>
              </w:rPr>
              <w:t>成交候选人数量</w:t>
            </w:r>
          </w:p>
        </w:tc>
        <w:tc>
          <w:tcPr>
            <w:tcW w:w="6428" w:type="dxa"/>
            <w:vAlign w:val="center"/>
          </w:tcPr>
          <w:p>
            <w:pPr>
              <w:pStyle w:val="213"/>
              <w:spacing w:line="460" w:lineRule="exact"/>
              <w:rPr>
                <w:color w:val="auto"/>
                <w:sz w:val="24"/>
                <w:szCs w:val="24"/>
                <w:lang w:eastAsia="zh-CN"/>
              </w:rPr>
            </w:pPr>
            <w:r>
              <w:rPr>
                <w:rFonts w:hint="eastAsia"/>
                <w:color w:val="auto"/>
                <w:sz w:val="24"/>
                <w:szCs w:val="24"/>
                <w:lang w:eastAsia="zh-CN"/>
              </w:rPr>
              <w:t>推荐3名成交候选供应商</w:t>
            </w:r>
          </w:p>
        </w:tc>
      </w:tr>
    </w:tbl>
    <w:p>
      <w:pPr>
        <w:pStyle w:val="2"/>
        <w:numPr>
          <w:ilvl w:val="0"/>
          <w:numId w:val="0"/>
        </w:numPr>
        <w:ind w:left="482"/>
        <w:rPr>
          <w:rStyle w:val="82"/>
          <w:rFonts w:asciiTheme="majorEastAsia" w:hAnsiTheme="majorEastAsia" w:eastAsiaTheme="majorEastAsia"/>
          <w:b/>
          <w:bCs w:val="0"/>
          <w:sz w:val="24"/>
          <w:szCs w:val="24"/>
        </w:rPr>
      </w:pPr>
      <w:bookmarkStart w:id="26" w:name="_Toc10188482"/>
      <w:bookmarkStart w:id="27" w:name="_Toc30227"/>
      <w:bookmarkStart w:id="28" w:name="_Toc8283215"/>
      <w:bookmarkStart w:id="29" w:name="_Toc468811080"/>
      <w:r>
        <w:rPr>
          <w:rStyle w:val="82"/>
          <w:rFonts w:hint="eastAsia" w:asciiTheme="majorEastAsia" w:hAnsiTheme="majorEastAsia" w:eastAsiaTheme="majorEastAsia"/>
          <w:b/>
          <w:bCs w:val="0"/>
          <w:sz w:val="24"/>
          <w:szCs w:val="24"/>
        </w:rPr>
        <w:t>一、总则</w:t>
      </w:r>
      <w:bookmarkEnd w:id="24"/>
      <w:bookmarkEnd w:id="26"/>
      <w:bookmarkEnd w:id="27"/>
      <w:bookmarkEnd w:id="28"/>
      <w:bookmarkEnd w:id="29"/>
    </w:p>
    <w:p>
      <w:pPr>
        <w:snapToGrid w:val="0"/>
        <w:spacing w:line="360" w:lineRule="auto"/>
        <w:ind w:firstLine="482" w:firstLineChars="200"/>
        <w:rPr>
          <w:rFonts w:cs="宋体" w:asciiTheme="minorEastAsia" w:hAnsiTheme="minorEastAsia" w:eastAsiaTheme="minorEastAsia"/>
          <w:b/>
          <w:sz w:val="24"/>
          <w:szCs w:val="24"/>
        </w:rPr>
      </w:pPr>
      <w:bookmarkStart w:id="30" w:name="_Toc8283216"/>
      <w:bookmarkStart w:id="31" w:name="_Toc483396369"/>
      <w:bookmarkStart w:id="32" w:name="_Toc238907002"/>
      <w:bookmarkStart w:id="33" w:name="_Toc32090"/>
      <w:bookmarkStart w:id="34" w:name="_Toc483396281"/>
      <w:bookmarkStart w:id="35" w:name="_Toc501916466"/>
      <w:bookmarkStart w:id="36" w:name="_Toc238907038"/>
      <w:r>
        <w:rPr>
          <w:rFonts w:cs="宋体" w:asciiTheme="minorEastAsia" w:hAnsiTheme="minorEastAsia" w:eastAsiaTheme="minorEastAsia"/>
          <w:b/>
          <w:sz w:val="24"/>
          <w:szCs w:val="24"/>
        </w:rPr>
        <w:t>1</w:t>
      </w:r>
      <w:r>
        <w:rPr>
          <w:rFonts w:hint="eastAsia" w:cs="宋体" w:asciiTheme="minorEastAsia" w:hAnsiTheme="minorEastAsia" w:eastAsiaTheme="minorEastAsia"/>
          <w:b/>
          <w:sz w:val="24"/>
          <w:szCs w:val="24"/>
        </w:rPr>
        <w:t>．适用范围</w:t>
      </w:r>
      <w:bookmarkEnd w:id="30"/>
      <w:bookmarkEnd w:id="31"/>
      <w:bookmarkEnd w:id="32"/>
      <w:bookmarkEnd w:id="33"/>
      <w:bookmarkEnd w:id="34"/>
      <w:bookmarkEnd w:id="35"/>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1.1 </w:t>
      </w:r>
      <w:r>
        <w:rPr>
          <w:rFonts w:hint="eastAsia" w:cs="宋体" w:asciiTheme="minorEastAsia" w:hAnsiTheme="minorEastAsia" w:eastAsiaTheme="minorEastAsia"/>
          <w:sz w:val="24"/>
          <w:szCs w:val="24"/>
        </w:rPr>
        <w:t>本招标文件仅适用于本次公开招标所叙述的服务采购。</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1.2 项目名称：详见供应商须知前附表。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 项目编号：详见供应商须知前附表。</w:t>
      </w:r>
    </w:p>
    <w:p>
      <w:pPr>
        <w:snapToGrid w:val="0"/>
        <w:spacing w:line="360" w:lineRule="auto"/>
        <w:ind w:firstLine="480" w:firstLineChars="200"/>
        <w:rPr>
          <w:rFonts w:cs="宋体" w:asciiTheme="minorEastAsia" w:hAnsiTheme="minorEastAsia" w:eastAsiaTheme="minorEastAsia"/>
          <w:sz w:val="24"/>
          <w:szCs w:val="24"/>
        </w:rPr>
      </w:pPr>
      <w:bookmarkStart w:id="37" w:name="_Toc483396282"/>
      <w:bookmarkStart w:id="38" w:name="_Toc483396370"/>
      <w:bookmarkStart w:id="39" w:name="_Toc6404"/>
      <w:bookmarkStart w:id="40" w:name="_Toc501916467"/>
      <w:bookmarkStart w:id="41" w:name="_Toc8283217"/>
      <w:bookmarkStart w:id="42" w:name="_Toc238907003"/>
      <w:r>
        <w:rPr>
          <w:rFonts w:hint="eastAsia" w:cs="宋体" w:asciiTheme="minorEastAsia" w:hAnsiTheme="minorEastAsia" w:eastAsiaTheme="minorEastAsia"/>
          <w:sz w:val="24"/>
          <w:szCs w:val="24"/>
        </w:rPr>
        <w:t>1.4 采购人：详见供应商须知前附表。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 代理机构：详见供应商须知前附表。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1.6 采购预算：详见供应商须知前附表。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1.7 投资模式：详见供应商须知前附表。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1.8服务周期：详见供应商须知前附表。</w:t>
      </w:r>
    </w:p>
    <w:p>
      <w:pPr>
        <w:snapToGrid w:val="0"/>
        <w:spacing w:line="360" w:lineRule="auto"/>
        <w:ind w:firstLine="482" w:firstLineChars="200"/>
        <w:rPr>
          <w:rFonts w:cs="宋体" w:asciiTheme="minorEastAsia" w:hAnsiTheme="minorEastAsia" w:eastAsiaTheme="minorEastAsia"/>
          <w:b/>
          <w:sz w:val="24"/>
          <w:szCs w:val="24"/>
        </w:rPr>
      </w:pPr>
      <w:r>
        <w:rPr>
          <w:rFonts w:cs="宋体" w:asciiTheme="minorEastAsia" w:hAnsiTheme="minorEastAsia" w:eastAsiaTheme="minorEastAsia"/>
          <w:b/>
          <w:sz w:val="24"/>
          <w:szCs w:val="24"/>
        </w:rPr>
        <w:t>2</w:t>
      </w:r>
      <w:r>
        <w:rPr>
          <w:rFonts w:hint="eastAsia" w:cs="宋体" w:asciiTheme="minorEastAsia" w:hAnsiTheme="minorEastAsia" w:eastAsiaTheme="minorEastAsia"/>
          <w:b/>
          <w:sz w:val="24"/>
          <w:szCs w:val="24"/>
        </w:rPr>
        <w:t>．合格的投标人</w:t>
      </w:r>
      <w:bookmarkEnd w:id="37"/>
      <w:bookmarkEnd w:id="38"/>
      <w:bookmarkEnd w:id="39"/>
      <w:bookmarkEnd w:id="40"/>
      <w:bookmarkEnd w:id="41"/>
      <w:bookmarkEnd w:id="4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1</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投标人其他合格条件详见供应商须知前附表。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3如为信息系统采购项目，供应商不得为该整体项目或其中分项目前期工作提供过设计、编制、管理等服务的法人及附属单位。</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4招标（采购）文件中未明确规定允许进口产品参加的，均视为拒绝进口产品参加。（进口产品是指通过中国海关报关验放进入中国境内且产自关境外的产品）。</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bookmarkStart w:id="43" w:name="_Toc483396283"/>
      <w:bookmarkStart w:id="44" w:name="_Toc238907004"/>
      <w:bookmarkStart w:id="45" w:name="_Toc483396371"/>
      <w:r>
        <w:rPr>
          <w:rFonts w:hint="eastAsia" w:cs="宋体" w:asciiTheme="minorEastAsia" w:hAnsiTheme="minorEastAsia" w:eastAsiaTheme="minorEastAsia"/>
          <w:sz w:val="24"/>
          <w:szCs w:val="24"/>
        </w:rPr>
        <w:t>5投标人在本项目招标公告前三年内被列入失信被执行人、重大税收违法案件当事人名单、政府采购严重违法失信行为记录名单，以及存在其他不符合《中华人民共和国政府采购法》第二十二条规定的情况的投标人不得参与投标。（信用记录以“信用中国”网站（</w:t>
      </w:r>
      <w:r>
        <w:rPr>
          <w:rFonts w:cs="宋体" w:asciiTheme="minorEastAsia" w:hAnsiTheme="minorEastAsia" w:eastAsiaTheme="minorEastAsia"/>
          <w:sz w:val="24"/>
          <w:szCs w:val="24"/>
        </w:rPr>
        <w:t>www.creditchina.gov.cn</w:t>
      </w:r>
      <w:r>
        <w:rPr>
          <w:rFonts w:hint="eastAsia" w:cs="宋体" w:asciiTheme="minorEastAsia" w:hAnsiTheme="minorEastAsia" w:eastAsiaTheme="minorEastAsia"/>
          <w:sz w:val="24"/>
          <w:szCs w:val="24"/>
        </w:rPr>
        <w:t>）或中国政府采购网（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）上公布的信用记录为准。）</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两个以上的自然人、法人或者其他组织组成一个联合体，以一个供应商的身份共同参加政府采购活动，联合体任意成员存在不良信用记录的，视同联合体存在不良信用记录。</w:t>
      </w:r>
    </w:p>
    <w:p>
      <w:pPr>
        <w:snapToGrid w:val="0"/>
        <w:spacing w:line="360" w:lineRule="auto"/>
        <w:ind w:firstLine="480" w:firstLineChars="200"/>
        <w:rPr>
          <w:rFonts w:cs="宋体" w:asciiTheme="minorEastAsia" w:hAnsiTheme="minorEastAsia" w:eastAsiaTheme="minorEastAsia"/>
          <w:sz w:val="24"/>
          <w:szCs w:val="24"/>
        </w:rPr>
      </w:pPr>
      <w:bookmarkStart w:id="46" w:name="_Toc8283218"/>
      <w:bookmarkStart w:id="47" w:name="_Toc22710"/>
      <w:bookmarkStart w:id="48" w:name="_Toc501916468"/>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．投标费用</w:t>
      </w:r>
      <w:bookmarkEnd w:id="43"/>
      <w:bookmarkEnd w:id="44"/>
      <w:bookmarkEnd w:id="45"/>
      <w:bookmarkEnd w:id="46"/>
      <w:bookmarkEnd w:id="47"/>
      <w:bookmarkEnd w:id="48"/>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3.1</w:t>
      </w:r>
      <w:r>
        <w:rPr>
          <w:rFonts w:hint="eastAsia" w:cs="宋体" w:asciiTheme="minorEastAsia" w:hAnsiTheme="minorEastAsia" w:eastAsiaTheme="minorEastAsia"/>
          <w:sz w:val="24"/>
          <w:szCs w:val="24"/>
        </w:rPr>
        <w:t>投标人应承担其编制投标文件与递交投标文件等投标过程中所涉及的一切费用，不论投标结果如何，招标人及采购代理机构将不予承担。</w:t>
      </w:r>
    </w:p>
    <w:p>
      <w:pPr>
        <w:snapToGrid w:val="0"/>
        <w:spacing w:line="360" w:lineRule="auto"/>
        <w:ind w:firstLine="480" w:firstLineChars="200"/>
        <w:rPr>
          <w:rFonts w:cs="宋体" w:asciiTheme="minorEastAsia" w:hAnsiTheme="minorEastAsia" w:eastAsiaTheme="minorEastAsia"/>
          <w:sz w:val="24"/>
          <w:szCs w:val="24"/>
        </w:rPr>
      </w:pPr>
      <w:bookmarkStart w:id="49" w:name="_Toc11263"/>
      <w:bookmarkStart w:id="50" w:name="_Toc483396372"/>
      <w:bookmarkStart w:id="51" w:name="_Toc238907005"/>
      <w:bookmarkStart w:id="52" w:name="_Toc483396284"/>
      <w:bookmarkStart w:id="53" w:name="_Toc8283219"/>
      <w:bookmarkStart w:id="54" w:name="_Toc501916469"/>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．法律适用</w:t>
      </w:r>
      <w:bookmarkEnd w:id="49"/>
      <w:bookmarkEnd w:id="50"/>
      <w:bookmarkEnd w:id="51"/>
      <w:bookmarkEnd w:id="52"/>
      <w:bookmarkEnd w:id="53"/>
      <w:bookmarkEnd w:id="54"/>
    </w:p>
    <w:p>
      <w:pPr>
        <w:snapToGrid w:val="0"/>
        <w:spacing w:line="360" w:lineRule="auto"/>
        <w:ind w:firstLine="480" w:firstLineChars="200"/>
        <w:rPr>
          <w:rFonts w:cs="宋体" w:asciiTheme="minorEastAsia" w:hAnsiTheme="minorEastAsia" w:eastAsiaTheme="minorEastAsia"/>
          <w:sz w:val="24"/>
          <w:szCs w:val="24"/>
        </w:rPr>
      </w:pPr>
      <w:bookmarkStart w:id="55" w:name="_Toc23474"/>
      <w:bookmarkStart w:id="56" w:name="_Toc501916470"/>
      <w:bookmarkStart w:id="57" w:name="_Toc8283220"/>
      <w:r>
        <w:rPr>
          <w:rFonts w:cs="宋体" w:asciiTheme="minorEastAsia" w:hAnsiTheme="minorEastAsia" w:eastAsiaTheme="minorEastAsia"/>
          <w:sz w:val="24"/>
          <w:szCs w:val="24"/>
        </w:rPr>
        <w:t xml:space="preserve">4.1 </w:t>
      </w:r>
      <w:r>
        <w:rPr>
          <w:rFonts w:hint="eastAsia" w:cs="宋体" w:asciiTheme="minorEastAsia" w:hAnsiTheme="minorEastAsia" w:eastAsiaTheme="minorEastAsia"/>
          <w:sz w:val="24"/>
          <w:szCs w:val="24"/>
        </w:rPr>
        <w:t>本次招标活动及由本次招标产生的合同受中华人民共和国的法律制约和保护。</w:t>
      </w:r>
      <w:bookmarkEnd w:id="55"/>
      <w:bookmarkEnd w:id="56"/>
      <w:bookmarkEnd w:id="57"/>
    </w:p>
    <w:p>
      <w:pPr>
        <w:snapToGrid w:val="0"/>
        <w:spacing w:line="360" w:lineRule="auto"/>
        <w:ind w:firstLine="480" w:firstLineChars="200"/>
        <w:rPr>
          <w:rFonts w:cs="宋体" w:asciiTheme="minorEastAsia" w:hAnsiTheme="minorEastAsia" w:eastAsiaTheme="minorEastAsia"/>
          <w:sz w:val="24"/>
          <w:szCs w:val="24"/>
        </w:rPr>
      </w:pPr>
      <w:bookmarkStart w:id="58" w:name="_Toc28125"/>
      <w:bookmarkStart w:id="59" w:name="_Toc501916471"/>
      <w:bookmarkStart w:id="60" w:name="_Toc238907006"/>
      <w:bookmarkStart w:id="61" w:name="_Toc483396285"/>
      <w:bookmarkStart w:id="62" w:name="_Toc483396373"/>
      <w:bookmarkStart w:id="63" w:name="_Toc8283221"/>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．招标文件的约束力</w:t>
      </w:r>
      <w:bookmarkEnd w:id="58"/>
      <w:bookmarkEnd w:id="59"/>
      <w:bookmarkEnd w:id="60"/>
      <w:bookmarkEnd w:id="61"/>
      <w:bookmarkEnd w:id="62"/>
      <w:bookmarkEnd w:id="63"/>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5.l </w:t>
      </w:r>
      <w:r>
        <w:rPr>
          <w:rFonts w:hint="eastAsia" w:cs="宋体" w:asciiTheme="minorEastAsia" w:hAnsiTheme="minorEastAsia" w:eastAsiaTheme="minorEastAsia"/>
          <w:sz w:val="24"/>
          <w:szCs w:val="24"/>
        </w:rPr>
        <w:t>投标人一旦购买了本招标文件并在</w:t>
      </w:r>
      <w:r>
        <w:rPr>
          <w:rFonts w:cs="宋体" w:asciiTheme="minorEastAsia" w:hAnsiTheme="minorEastAsia" w:eastAsiaTheme="minorEastAsia"/>
          <w:sz w:val="24"/>
          <w:szCs w:val="24"/>
        </w:rPr>
        <w:t>7</w:t>
      </w:r>
      <w:r>
        <w:rPr>
          <w:rFonts w:hint="eastAsia" w:cs="宋体" w:asciiTheme="minorEastAsia" w:hAnsiTheme="minorEastAsia" w:eastAsiaTheme="minorEastAsia"/>
          <w:sz w:val="24"/>
          <w:szCs w:val="24"/>
        </w:rPr>
        <w:t>个工作日内未对采购代理机构提出书面质疑，即被认为接受了本招标文件中的所有条款和规定。</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5.2 </w:t>
      </w:r>
      <w:r>
        <w:rPr>
          <w:rFonts w:hint="eastAsia" w:cs="宋体" w:asciiTheme="minorEastAsia" w:hAnsiTheme="minorEastAsia" w:eastAsiaTheme="minorEastAsia"/>
          <w:sz w:val="24"/>
          <w:szCs w:val="24"/>
        </w:rPr>
        <w:t>本招标文件由采购代理人负责解释。</w:t>
      </w:r>
    </w:p>
    <w:p>
      <w:pPr>
        <w:pStyle w:val="2"/>
        <w:numPr>
          <w:ilvl w:val="0"/>
          <w:numId w:val="0"/>
        </w:numPr>
        <w:ind w:left="482"/>
        <w:rPr>
          <w:rStyle w:val="82"/>
          <w:rFonts w:asciiTheme="majorEastAsia" w:hAnsiTheme="majorEastAsia" w:eastAsiaTheme="majorEastAsia"/>
          <w:b w:val="0"/>
          <w:bCs w:val="0"/>
          <w:sz w:val="24"/>
          <w:szCs w:val="24"/>
        </w:rPr>
      </w:pPr>
      <w:bookmarkStart w:id="64" w:name="_Toc10188483"/>
      <w:bookmarkStart w:id="65" w:name="_Toc8283222"/>
      <w:bookmarkStart w:id="66" w:name="_Toc14786"/>
      <w:bookmarkStart w:id="67" w:name="_Toc483396374"/>
      <w:bookmarkStart w:id="68" w:name="_Toc501916472"/>
      <w:bookmarkStart w:id="69" w:name="_Toc238907007"/>
      <w:bookmarkStart w:id="70" w:name="_Toc483396286"/>
      <w:r>
        <w:rPr>
          <w:rStyle w:val="82"/>
          <w:rFonts w:hint="eastAsia" w:asciiTheme="majorEastAsia" w:hAnsiTheme="majorEastAsia" w:eastAsiaTheme="majorEastAsia"/>
          <w:b w:val="0"/>
          <w:bCs w:val="0"/>
          <w:sz w:val="24"/>
          <w:szCs w:val="24"/>
        </w:rPr>
        <w:t>二、招标文件</w:t>
      </w:r>
      <w:bookmarkEnd w:id="64"/>
      <w:bookmarkEnd w:id="65"/>
      <w:bookmarkEnd w:id="66"/>
      <w:bookmarkEnd w:id="67"/>
      <w:bookmarkEnd w:id="68"/>
      <w:bookmarkEnd w:id="69"/>
      <w:bookmarkEnd w:id="70"/>
    </w:p>
    <w:p>
      <w:pPr>
        <w:snapToGrid w:val="0"/>
        <w:spacing w:line="360" w:lineRule="auto"/>
        <w:ind w:firstLine="480" w:firstLineChars="200"/>
        <w:rPr>
          <w:rFonts w:cs="宋体" w:asciiTheme="minorEastAsia" w:hAnsiTheme="minorEastAsia" w:eastAsiaTheme="minorEastAsia"/>
          <w:sz w:val="24"/>
          <w:szCs w:val="24"/>
        </w:rPr>
      </w:pPr>
      <w:bookmarkStart w:id="71" w:name="_Toc483396375"/>
      <w:bookmarkStart w:id="72" w:name="_Toc501916473"/>
      <w:bookmarkStart w:id="73" w:name="_Toc23638"/>
      <w:bookmarkStart w:id="74" w:name="_Toc238907008"/>
      <w:bookmarkStart w:id="75" w:name="_Toc483396287"/>
      <w:bookmarkStart w:id="76" w:name="_Toc8283223"/>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．招标文件的组成</w:t>
      </w:r>
      <w:bookmarkEnd w:id="71"/>
      <w:bookmarkEnd w:id="72"/>
      <w:bookmarkEnd w:id="73"/>
      <w:bookmarkEnd w:id="74"/>
      <w:bookmarkEnd w:id="75"/>
      <w:bookmarkEnd w:id="76"/>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6.l </w:t>
      </w:r>
      <w:r>
        <w:rPr>
          <w:rFonts w:hint="eastAsia" w:cs="宋体" w:asciiTheme="minorEastAsia" w:hAnsiTheme="minorEastAsia" w:eastAsiaTheme="minorEastAsia"/>
          <w:sz w:val="24"/>
          <w:szCs w:val="24"/>
        </w:rPr>
        <w:t>招标文件由六部分组成，包括：</w:t>
      </w:r>
    </w:p>
    <w:p>
      <w:pPr>
        <w:snapToGrid w:val="0"/>
        <w:spacing w:line="360" w:lineRule="auto"/>
        <w:ind w:firstLine="480" w:firstLineChars="200"/>
        <w:rPr>
          <w:rFonts w:cs="宋体" w:asciiTheme="minorEastAsia" w:hAnsiTheme="minorEastAsia" w:eastAsiaTheme="minorEastAsia"/>
          <w:sz w:val="24"/>
          <w:szCs w:val="24"/>
        </w:rPr>
      </w:pPr>
      <w:bookmarkStart w:id="77" w:name="_Toc483396288"/>
      <w:bookmarkStart w:id="78" w:name="_Toc501916474"/>
      <w:bookmarkStart w:id="79" w:name="_Toc8283224"/>
      <w:bookmarkStart w:id="80" w:name="_Toc483396376"/>
      <w:bookmarkStart w:id="81" w:name="_Toc31105"/>
      <w:r>
        <w:rPr>
          <w:rFonts w:hint="eastAsia" w:cs="宋体" w:asciiTheme="minorEastAsia" w:hAnsiTheme="minorEastAsia" w:eastAsiaTheme="minorEastAsia"/>
          <w:sz w:val="24"/>
          <w:szCs w:val="24"/>
        </w:rPr>
        <w:t>第一章 招标公告</w:t>
      </w:r>
      <w:bookmarkEnd w:id="77"/>
      <w:bookmarkEnd w:id="78"/>
      <w:bookmarkEnd w:id="79"/>
      <w:bookmarkEnd w:id="80"/>
      <w:bookmarkEnd w:id="81"/>
    </w:p>
    <w:p>
      <w:pPr>
        <w:snapToGrid w:val="0"/>
        <w:spacing w:line="360" w:lineRule="auto"/>
        <w:ind w:firstLine="480" w:firstLineChars="200"/>
        <w:rPr>
          <w:rFonts w:cs="宋体" w:asciiTheme="minorEastAsia" w:hAnsiTheme="minorEastAsia" w:eastAsiaTheme="minorEastAsia"/>
          <w:sz w:val="24"/>
          <w:szCs w:val="24"/>
        </w:rPr>
      </w:pPr>
      <w:bookmarkStart w:id="82" w:name="_Toc8283225"/>
      <w:bookmarkStart w:id="83" w:name="_Toc483396289"/>
      <w:bookmarkStart w:id="84" w:name="_Toc483396377"/>
      <w:bookmarkStart w:id="85" w:name="_Toc501916475"/>
      <w:bookmarkStart w:id="86" w:name="_Toc3124"/>
      <w:r>
        <w:rPr>
          <w:rFonts w:hint="eastAsia" w:cs="宋体" w:asciiTheme="minorEastAsia" w:hAnsiTheme="minorEastAsia" w:eastAsiaTheme="minorEastAsia"/>
          <w:sz w:val="24"/>
          <w:szCs w:val="24"/>
        </w:rPr>
        <w:t>第二章 投标人须知</w:t>
      </w:r>
      <w:bookmarkEnd w:id="82"/>
      <w:bookmarkEnd w:id="83"/>
      <w:bookmarkEnd w:id="84"/>
      <w:bookmarkEnd w:id="85"/>
      <w:bookmarkEnd w:id="86"/>
    </w:p>
    <w:p>
      <w:pPr>
        <w:snapToGrid w:val="0"/>
        <w:spacing w:line="360" w:lineRule="auto"/>
        <w:ind w:firstLine="480" w:firstLineChars="200"/>
        <w:rPr>
          <w:rFonts w:cs="宋体" w:asciiTheme="minorEastAsia" w:hAnsiTheme="minorEastAsia" w:eastAsiaTheme="minorEastAsia"/>
          <w:sz w:val="24"/>
          <w:szCs w:val="24"/>
        </w:rPr>
      </w:pPr>
      <w:bookmarkStart w:id="87" w:name="_Toc27314"/>
      <w:bookmarkStart w:id="88" w:name="_Toc501916476"/>
      <w:bookmarkStart w:id="89" w:name="_Toc483396378"/>
      <w:bookmarkStart w:id="90" w:name="_Toc8283226"/>
      <w:bookmarkStart w:id="91" w:name="_Toc483396290"/>
      <w:r>
        <w:rPr>
          <w:rFonts w:hint="eastAsia" w:cs="宋体" w:asciiTheme="minorEastAsia" w:hAnsiTheme="minorEastAsia" w:eastAsiaTheme="minorEastAsia"/>
          <w:sz w:val="24"/>
          <w:szCs w:val="24"/>
        </w:rPr>
        <w:t>第三章 用户需求书</w:t>
      </w:r>
      <w:bookmarkEnd w:id="87"/>
      <w:bookmarkEnd w:id="88"/>
      <w:bookmarkEnd w:id="89"/>
      <w:bookmarkEnd w:id="90"/>
      <w:bookmarkEnd w:id="91"/>
    </w:p>
    <w:p>
      <w:pPr>
        <w:snapToGrid w:val="0"/>
        <w:spacing w:line="360" w:lineRule="auto"/>
        <w:ind w:firstLine="480" w:firstLineChars="200"/>
        <w:rPr>
          <w:rFonts w:cs="宋体" w:asciiTheme="minorEastAsia" w:hAnsiTheme="minorEastAsia" w:eastAsiaTheme="minorEastAsia"/>
          <w:sz w:val="24"/>
          <w:szCs w:val="24"/>
        </w:rPr>
      </w:pPr>
      <w:bookmarkStart w:id="92" w:name="_Toc483396291"/>
      <w:bookmarkStart w:id="93" w:name="_Toc483396379"/>
      <w:bookmarkStart w:id="94" w:name="_Toc8283227"/>
      <w:bookmarkStart w:id="95" w:name="_Toc19433"/>
      <w:bookmarkStart w:id="96" w:name="_Toc501916477"/>
      <w:r>
        <w:rPr>
          <w:rFonts w:hint="eastAsia" w:cs="宋体" w:asciiTheme="minorEastAsia" w:hAnsiTheme="minorEastAsia" w:eastAsiaTheme="minorEastAsia"/>
          <w:sz w:val="24"/>
          <w:szCs w:val="24"/>
        </w:rPr>
        <w:t>第四章 合同条款</w:t>
      </w:r>
      <w:bookmarkEnd w:id="92"/>
      <w:bookmarkEnd w:id="93"/>
      <w:bookmarkEnd w:id="94"/>
      <w:bookmarkEnd w:id="95"/>
      <w:bookmarkEnd w:id="96"/>
    </w:p>
    <w:p>
      <w:pPr>
        <w:snapToGrid w:val="0"/>
        <w:spacing w:line="360" w:lineRule="auto"/>
        <w:ind w:firstLine="480" w:firstLineChars="200"/>
        <w:rPr>
          <w:rFonts w:cs="宋体" w:asciiTheme="minorEastAsia" w:hAnsiTheme="minorEastAsia" w:eastAsiaTheme="minorEastAsia"/>
          <w:sz w:val="24"/>
          <w:szCs w:val="24"/>
        </w:rPr>
      </w:pPr>
      <w:bookmarkStart w:id="97" w:name="_Toc8283228"/>
      <w:bookmarkStart w:id="98" w:name="_Toc501916478"/>
      <w:bookmarkStart w:id="99" w:name="_Toc483396380"/>
      <w:bookmarkStart w:id="100" w:name="_Toc483396292"/>
      <w:bookmarkStart w:id="101" w:name="_Toc12516"/>
      <w:r>
        <w:rPr>
          <w:rFonts w:hint="eastAsia" w:cs="宋体" w:asciiTheme="minorEastAsia" w:hAnsiTheme="minorEastAsia" w:eastAsiaTheme="minorEastAsia"/>
          <w:sz w:val="24"/>
          <w:szCs w:val="24"/>
        </w:rPr>
        <w:t>第五章 投标文件格式</w:t>
      </w:r>
      <w:bookmarkEnd w:id="97"/>
      <w:bookmarkEnd w:id="98"/>
      <w:bookmarkEnd w:id="99"/>
      <w:bookmarkEnd w:id="100"/>
      <w:bookmarkEnd w:id="101"/>
    </w:p>
    <w:p>
      <w:pPr>
        <w:snapToGrid w:val="0"/>
        <w:spacing w:line="360" w:lineRule="auto"/>
        <w:ind w:firstLine="480" w:firstLineChars="200"/>
        <w:rPr>
          <w:rFonts w:cs="宋体" w:asciiTheme="minorEastAsia" w:hAnsiTheme="minorEastAsia" w:eastAsiaTheme="minorEastAsia"/>
          <w:sz w:val="24"/>
          <w:szCs w:val="24"/>
        </w:rPr>
      </w:pPr>
      <w:bookmarkStart w:id="102" w:name="_Toc8283229"/>
      <w:bookmarkStart w:id="103" w:name="_Toc483396293"/>
      <w:bookmarkStart w:id="104" w:name="_Toc501916479"/>
      <w:bookmarkStart w:id="105" w:name="_Toc11264"/>
      <w:bookmarkStart w:id="106" w:name="_Toc483396381"/>
      <w:r>
        <w:rPr>
          <w:rFonts w:hint="eastAsia" w:cs="宋体" w:asciiTheme="minorEastAsia" w:hAnsiTheme="minorEastAsia" w:eastAsiaTheme="minorEastAsia"/>
          <w:sz w:val="24"/>
          <w:szCs w:val="24"/>
        </w:rPr>
        <w:t>第六章 评标办法</w:t>
      </w:r>
      <w:bookmarkEnd w:id="102"/>
      <w:bookmarkEnd w:id="103"/>
      <w:bookmarkEnd w:id="104"/>
      <w:bookmarkEnd w:id="105"/>
      <w:bookmarkEnd w:id="106"/>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请仔细检查招标文件是否齐全，如有缺漏，请立即与采购代理人联系解决。</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6.2 </w:t>
      </w:r>
      <w:r>
        <w:rPr>
          <w:rFonts w:hint="eastAsia" w:cs="宋体" w:asciiTheme="minorEastAsia" w:hAnsiTheme="minorEastAsia" w:eastAsiaTheme="minorEastAsia"/>
          <w:sz w:val="24"/>
          <w:szCs w:val="24"/>
        </w:rPr>
        <w:t>投标人被视为充分熟悉本招标项目所在地的与履行合同有关的各种情况，包括自然环境、气候条件、劳动力及公用设施等，本招标文件不再对上述情况进行描述。</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6.3 </w:t>
      </w:r>
      <w:r>
        <w:rPr>
          <w:rFonts w:hint="eastAsia" w:cs="宋体" w:asciiTheme="minorEastAsia" w:hAnsiTheme="minorEastAsia" w:eastAsiaTheme="minorEastAsia"/>
          <w:sz w:val="24"/>
          <w:szCs w:val="24"/>
        </w:rPr>
        <w:t>投标人必须详阅招标文件的所有条款、文件及表格格式。投标人若未按招标文件的要求和规范编制、提交投标文件，将有可能导致投标文件被拒绝接受，所造成的负面后果由投标人负责。</w:t>
      </w:r>
    </w:p>
    <w:p>
      <w:pPr>
        <w:snapToGrid w:val="0"/>
        <w:spacing w:line="360" w:lineRule="auto"/>
        <w:ind w:firstLine="480" w:firstLineChars="200"/>
        <w:rPr>
          <w:rFonts w:cs="宋体" w:asciiTheme="minorEastAsia" w:hAnsiTheme="minorEastAsia" w:eastAsiaTheme="minorEastAsia"/>
          <w:sz w:val="24"/>
          <w:szCs w:val="24"/>
        </w:rPr>
      </w:pPr>
      <w:bookmarkStart w:id="107" w:name="_Toc8283230"/>
      <w:bookmarkStart w:id="108" w:name="_Toc501916480"/>
      <w:bookmarkStart w:id="109" w:name="_Toc483396294"/>
      <w:bookmarkStart w:id="110" w:name="_Toc12462"/>
      <w:bookmarkStart w:id="111" w:name="_Toc483396382"/>
      <w:bookmarkStart w:id="112" w:name="_Toc238907009"/>
      <w:r>
        <w:rPr>
          <w:rFonts w:cs="宋体" w:asciiTheme="minorEastAsia" w:hAnsiTheme="minorEastAsia" w:eastAsiaTheme="minorEastAsia"/>
          <w:sz w:val="24"/>
          <w:szCs w:val="24"/>
        </w:rPr>
        <w:t>7</w:t>
      </w:r>
      <w:r>
        <w:rPr>
          <w:rFonts w:hint="eastAsia" w:cs="宋体" w:asciiTheme="minorEastAsia" w:hAnsiTheme="minorEastAsia" w:eastAsiaTheme="minorEastAsia"/>
          <w:sz w:val="24"/>
          <w:szCs w:val="24"/>
        </w:rPr>
        <w:t>．招标文件的澄清</w:t>
      </w:r>
      <w:bookmarkEnd w:id="107"/>
      <w:bookmarkEnd w:id="108"/>
      <w:bookmarkEnd w:id="109"/>
      <w:bookmarkEnd w:id="110"/>
      <w:bookmarkEnd w:id="111"/>
      <w:bookmarkEnd w:id="11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7.1 </w:t>
      </w:r>
      <w:r>
        <w:rPr>
          <w:rFonts w:hint="eastAsia" w:cs="宋体" w:asciiTheme="minorEastAsia" w:hAnsiTheme="minorEastAsia" w:eastAsiaTheme="minorEastAsia"/>
          <w:sz w:val="24"/>
          <w:szCs w:val="24"/>
        </w:rPr>
        <w:t>招标采购单位对已发出的招标文件进行澄清或者修改，将在招标文件要求的提交投标文件截止时间十五日前进行，并以书面形式将澄清或者修改的内容通知所有购买了招标文件的供应商。该澄清或者修改的内容为招标文件的组成部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7.2</w:t>
      </w:r>
      <w:r>
        <w:rPr>
          <w:rFonts w:hint="eastAsia" w:cs="宋体" w:asciiTheme="minorEastAsia" w:hAnsiTheme="minorEastAsia" w:eastAsiaTheme="minorEastAsia"/>
          <w:sz w:val="24"/>
          <w:szCs w:val="24"/>
        </w:rPr>
        <w:t>投标人要求对招标文件进行澄清的，均应在投标截止日</w:t>
      </w:r>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天前按招标文件中的联系方式，以书面形式通知采购代理机构。</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7.3 </w:t>
      </w:r>
      <w:r>
        <w:rPr>
          <w:rFonts w:hint="eastAsia" w:cs="宋体" w:asciiTheme="minorEastAsia" w:hAnsiTheme="minorEastAsia" w:eastAsiaTheme="minorEastAsia"/>
          <w:sz w:val="24"/>
          <w:szCs w:val="24"/>
        </w:rPr>
        <w:t>在投标截止时间前，招标采购单位可以视采购具体情况，延长投标截止时间和开标时间，并在招标文件要求提交投标文件的截止时间三日前，将变更时间以书面形式通知所有购买了招标文件的供应商。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7.4 </w:t>
      </w:r>
      <w:r>
        <w:rPr>
          <w:rFonts w:hint="eastAsia" w:cs="宋体" w:asciiTheme="minorEastAsia" w:hAnsiTheme="minorEastAsia" w:eastAsiaTheme="minorEastAsia"/>
          <w:sz w:val="24"/>
          <w:szCs w:val="24"/>
        </w:rPr>
        <w:t>投标人对采购代理机构提供的招标文件所做出的推论、解释和结论，采购代理机构概不负责。投标人由于对招标文件的任何推论误解以及采购代理机构对有关问题的口头解释所造成的后果，均由投标人自负。</w:t>
      </w:r>
      <w:bookmarkStart w:id="113" w:name="_Toc208848971"/>
      <w:bookmarkStart w:id="114" w:name="_Toc183582213"/>
      <w:bookmarkStart w:id="115" w:name="_Toc183682350"/>
      <w:bookmarkStart w:id="116" w:name="_Toc217446041"/>
    </w:p>
    <w:bookmarkEnd w:id="113"/>
    <w:bookmarkEnd w:id="114"/>
    <w:bookmarkEnd w:id="115"/>
    <w:bookmarkEnd w:id="116"/>
    <w:p>
      <w:pPr>
        <w:snapToGrid w:val="0"/>
        <w:spacing w:line="360" w:lineRule="auto"/>
        <w:ind w:firstLine="480" w:firstLineChars="200"/>
        <w:rPr>
          <w:rFonts w:cs="宋体" w:asciiTheme="minorEastAsia" w:hAnsiTheme="minorEastAsia" w:eastAsiaTheme="minorEastAsia"/>
          <w:sz w:val="24"/>
          <w:szCs w:val="24"/>
        </w:rPr>
      </w:pPr>
      <w:bookmarkStart w:id="117" w:name="_Toc9230"/>
      <w:bookmarkStart w:id="118" w:name="_Toc483396383"/>
      <w:bookmarkStart w:id="119" w:name="_Toc483396295"/>
      <w:bookmarkStart w:id="120" w:name="_Toc501916481"/>
      <w:bookmarkStart w:id="121" w:name="_Toc238907010"/>
      <w:bookmarkStart w:id="122" w:name="_Toc8283231"/>
      <w:r>
        <w:rPr>
          <w:rFonts w:hint="eastAsia" w:cs="宋体" w:asciiTheme="minorEastAsia" w:hAnsiTheme="minorEastAsia" w:eastAsiaTheme="minorEastAsia"/>
          <w:sz w:val="24"/>
          <w:szCs w:val="24"/>
        </w:rPr>
        <w:t>7.5采购代理机构根据投标人提出的问题或质疑情况决定是否举行现场考察和答疑会，具体情况详见供应商须知前附表。</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8</w:t>
      </w:r>
      <w:r>
        <w:rPr>
          <w:rFonts w:hint="eastAsia" w:cs="宋体" w:asciiTheme="minorEastAsia" w:hAnsiTheme="minorEastAsia" w:eastAsiaTheme="minorEastAsia"/>
          <w:sz w:val="24"/>
          <w:szCs w:val="24"/>
        </w:rPr>
        <w:t>．招标文件的更正或补充</w:t>
      </w:r>
      <w:bookmarkEnd w:id="117"/>
      <w:bookmarkEnd w:id="118"/>
      <w:bookmarkEnd w:id="119"/>
      <w:bookmarkEnd w:id="120"/>
      <w:bookmarkEnd w:id="121"/>
      <w:bookmarkEnd w:id="12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8.l </w:t>
      </w:r>
      <w:r>
        <w:rPr>
          <w:rFonts w:hint="eastAsia" w:cs="宋体" w:asciiTheme="minorEastAsia" w:hAnsiTheme="minorEastAsia" w:eastAsiaTheme="minorEastAsia"/>
          <w:sz w:val="24"/>
          <w:szCs w:val="24"/>
        </w:rPr>
        <w:t>在投标截止时间前十五天，采购代理机构均可对招标文件用更正招标文件的方式进行修正。</w:t>
      </w:r>
    </w:p>
    <w:p>
      <w:pPr>
        <w:snapToGrid w:val="0"/>
        <w:spacing w:line="360" w:lineRule="auto"/>
        <w:ind w:firstLine="480" w:firstLineChars="200"/>
        <w:rPr>
          <w:rFonts w:cs="宋体" w:asciiTheme="minorEastAsia" w:hAnsiTheme="minorEastAsia" w:eastAsiaTheme="minorEastAsia"/>
          <w:sz w:val="24"/>
          <w:szCs w:val="24"/>
        </w:rPr>
      </w:pPr>
      <w:bookmarkStart w:id="123" w:name="_Toc501916482"/>
      <w:bookmarkStart w:id="124" w:name="_Toc23395"/>
      <w:bookmarkStart w:id="125" w:name="_Toc8283232"/>
      <w:r>
        <w:rPr>
          <w:rFonts w:cs="宋体" w:asciiTheme="minorEastAsia" w:hAnsiTheme="minorEastAsia" w:eastAsiaTheme="minorEastAsia"/>
          <w:sz w:val="24"/>
          <w:szCs w:val="24"/>
        </w:rPr>
        <w:t xml:space="preserve">8.2 </w:t>
      </w:r>
      <w:r>
        <w:rPr>
          <w:rFonts w:hint="eastAsia" w:cs="宋体" w:asciiTheme="minorEastAsia" w:hAnsiTheme="minorEastAsia" w:eastAsiaTheme="minorEastAsia"/>
          <w:sz w:val="24"/>
          <w:szCs w:val="24"/>
        </w:rPr>
        <w:t>对招标文件的更正，将以书面形式通知所有投标人。更正内容将作为招标文件的组成部分，对所有投标人有约束力。</w:t>
      </w:r>
      <w:bookmarkEnd w:id="123"/>
      <w:bookmarkEnd w:id="124"/>
      <w:bookmarkEnd w:id="125"/>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8.3 </w:t>
      </w:r>
      <w:r>
        <w:rPr>
          <w:rFonts w:hint="eastAsia" w:cs="宋体" w:asciiTheme="minorEastAsia" w:hAnsiTheme="minorEastAsia" w:eastAsiaTheme="minorEastAsia"/>
          <w:sz w:val="24"/>
          <w:szCs w:val="24"/>
        </w:rPr>
        <w:t>当招标文件与更正内容相互矛盾时，以采购代理机构最后发出的更正内容为准。</w:t>
      </w:r>
    </w:p>
    <w:p>
      <w:pPr>
        <w:snapToGrid w:val="0"/>
        <w:spacing w:line="360" w:lineRule="auto"/>
        <w:ind w:firstLine="480" w:firstLineChars="200"/>
        <w:rPr>
          <w:rFonts w:cs="宋体" w:asciiTheme="minorEastAsia" w:hAnsiTheme="minorEastAsia" w:eastAsiaTheme="minorEastAsia"/>
          <w:sz w:val="24"/>
          <w:szCs w:val="24"/>
        </w:rPr>
      </w:pPr>
      <w:bookmarkStart w:id="126" w:name="_Toc501916483"/>
      <w:bookmarkStart w:id="127" w:name="_Toc32763"/>
      <w:bookmarkStart w:id="128" w:name="_Toc8283233"/>
      <w:r>
        <w:rPr>
          <w:rFonts w:cs="宋体" w:asciiTheme="minorEastAsia" w:hAnsiTheme="minorEastAsia" w:eastAsiaTheme="minorEastAsia"/>
          <w:sz w:val="24"/>
          <w:szCs w:val="24"/>
        </w:rPr>
        <w:t xml:space="preserve">8.4 </w:t>
      </w:r>
      <w:r>
        <w:rPr>
          <w:rFonts w:hint="eastAsia" w:cs="宋体" w:asciiTheme="minorEastAsia" w:hAnsiTheme="minorEastAsia" w:eastAsiaTheme="minorEastAsia"/>
          <w:sz w:val="24"/>
          <w:szCs w:val="24"/>
        </w:rPr>
        <w:t>投标人在收到更正内容后，应于一个工作日内正式书面回函采购代理机构。逾期不回的，采购代理机构视同投标人已收到更正公告。</w:t>
      </w:r>
      <w:bookmarkEnd w:id="126"/>
      <w:bookmarkEnd w:id="127"/>
      <w:bookmarkEnd w:id="128"/>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8.5 </w:t>
      </w:r>
      <w:r>
        <w:rPr>
          <w:rFonts w:hint="eastAsia" w:cs="宋体" w:asciiTheme="minorEastAsia" w:hAnsiTheme="minorEastAsia" w:eastAsiaTheme="minorEastAsia"/>
          <w:sz w:val="24"/>
          <w:szCs w:val="24"/>
        </w:rPr>
        <w:t>为使投标人有足够的时间按招标文件的更正要求修正投标文件，采购代理机构有权决定推迟投标截止日期和开标时间，并将此变更书面通知所有购买了同一招标文件的投标人。</w:t>
      </w:r>
    </w:p>
    <w:p>
      <w:pPr>
        <w:pStyle w:val="2"/>
        <w:numPr>
          <w:ilvl w:val="0"/>
          <w:numId w:val="0"/>
        </w:numPr>
        <w:ind w:left="482"/>
        <w:rPr>
          <w:rStyle w:val="82"/>
          <w:rFonts w:asciiTheme="majorEastAsia" w:hAnsiTheme="majorEastAsia" w:eastAsiaTheme="majorEastAsia"/>
          <w:b/>
          <w:bCs w:val="0"/>
          <w:sz w:val="24"/>
          <w:szCs w:val="24"/>
        </w:rPr>
      </w:pPr>
      <w:bookmarkStart w:id="129" w:name="_Toc483396384"/>
      <w:bookmarkStart w:id="130" w:name="_Toc483396296"/>
      <w:bookmarkStart w:id="131" w:name="_Toc30108"/>
      <w:bookmarkStart w:id="132" w:name="_Toc501916484"/>
      <w:bookmarkStart w:id="133" w:name="_Toc238907011"/>
      <w:bookmarkStart w:id="134" w:name="_Toc8283234"/>
      <w:bookmarkStart w:id="135" w:name="_Toc10188484"/>
      <w:r>
        <w:rPr>
          <w:rStyle w:val="82"/>
          <w:rFonts w:hint="eastAsia" w:asciiTheme="majorEastAsia" w:hAnsiTheme="majorEastAsia" w:eastAsiaTheme="majorEastAsia"/>
          <w:b/>
          <w:bCs w:val="0"/>
          <w:sz w:val="24"/>
          <w:szCs w:val="24"/>
        </w:rPr>
        <w:t>三、投标文件</w:t>
      </w:r>
      <w:bookmarkEnd w:id="129"/>
      <w:bookmarkEnd w:id="130"/>
      <w:bookmarkEnd w:id="131"/>
      <w:bookmarkEnd w:id="132"/>
      <w:bookmarkEnd w:id="133"/>
      <w:bookmarkEnd w:id="134"/>
      <w:bookmarkEnd w:id="135"/>
    </w:p>
    <w:p>
      <w:pPr>
        <w:snapToGrid w:val="0"/>
        <w:spacing w:line="360" w:lineRule="auto"/>
        <w:ind w:firstLine="480" w:firstLineChars="200"/>
        <w:rPr>
          <w:rFonts w:cs="宋体" w:asciiTheme="minorEastAsia" w:hAnsiTheme="minorEastAsia" w:eastAsiaTheme="minorEastAsia"/>
          <w:sz w:val="24"/>
          <w:szCs w:val="24"/>
        </w:rPr>
      </w:pPr>
      <w:bookmarkStart w:id="136" w:name="_Toc483396297"/>
      <w:bookmarkStart w:id="137" w:name="_Toc483396385"/>
      <w:bookmarkStart w:id="138" w:name="_Toc24810"/>
      <w:bookmarkStart w:id="139" w:name="_Toc501916485"/>
      <w:bookmarkStart w:id="140" w:name="_Toc238907012"/>
      <w:bookmarkStart w:id="141" w:name="_Toc8283235"/>
      <w:r>
        <w:rPr>
          <w:rFonts w:cs="宋体" w:asciiTheme="minorEastAsia" w:hAnsiTheme="minorEastAsia" w:eastAsiaTheme="minorEastAsia"/>
          <w:sz w:val="24"/>
          <w:szCs w:val="24"/>
        </w:rPr>
        <w:t>9</w:t>
      </w:r>
      <w:r>
        <w:rPr>
          <w:rFonts w:hint="eastAsia" w:cs="宋体" w:asciiTheme="minorEastAsia" w:hAnsiTheme="minorEastAsia" w:eastAsiaTheme="minorEastAsia"/>
          <w:sz w:val="24"/>
          <w:szCs w:val="24"/>
        </w:rPr>
        <w:t>．投标文件的语言及度量衡</w:t>
      </w:r>
      <w:bookmarkEnd w:id="136"/>
      <w:bookmarkEnd w:id="137"/>
      <w:bookmarkEnd w:id="138"/>
      <w:bookmarkEnd w:id="139"/>
      <w:bookmarkEnd w:id="140"/>
      <w:bookmarkEnd w:id="141"/>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9.1</w:t>
      </w:r>
      <w:r>
        <w:rPr>
          <w:rFonts w:hint="eastAsia" w:cs="宋体" w:asciiTheme="minorEastAsia" w:hAnsiTheme="minorEastAsia" w:eastAsiaTheme="minorEastAsia"/>
          <w:sz w:val="24"/>
          <w:szCs w:val="24"/>
        </w:rPr>
        <w:t>投标人提交的投标文件以及投标人与招标采购单位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9.2 </w:t>
      </w:r>
      <w:r>
        <w:rPr>
          <w:rFonts w:hint="eastAsia" w:cs="宋体" w:asciiTheme="minorEastAsia" w:hAnsiTheme="minorEastAsia" w:eastAsiaTheme="minorEastAsia"/>
          <w:sz w:val="24"/>
          <w:szCs w:val="24"/>
        </w:rPr>
        <w:t>投标人已印刷好的资料如产品样本、说明书等可以用其他语言，但其中要点应附有中文译文。在解释投标文件时，以译文为准。</w:t>
      </w:r>
    </w:p>
    <w:p>
      <w:pPr>
        <w:snapToGrid w:val="0"/>
        <w:spacing w:line="360" w:lineRule="auto"/>
        <w:ind w:firstLine="480" w:firstLineChars="200"/>
        <w:rPr>
          <w:rFonts w:cs="宋体" w:asciiTheme="minorEastAsia" w:hAnsiTheme="minorEastAsia" w:eastAsiaTheme="minorEastAsia"/>
          <w:sz w:val="24"/>
          <w:szCs w:val="24"/>
        </w:rPr>
      </w:pPr>
      <w:bookmarkStart w:id="142" w:name="_Toc5922"/>
      <w:bookmarkStart w:id="143" w:name="_Toc501916486"/>
      <w:bookmarkStart w:id="144" w:name="_Toc8283236"/>
      <w:r>
        <w:rPr>
          <w:rFonts w:cs="宋体" w:asciiTheme="minorEastAsia" w:hAnsiTheme="minorEastAsia" w:eastAsiaTheme="minorEastAsia"/>
          <w:sz w:val="24"/>
          <w:szCs w:val="24"/>
        </w:rPr>
        <w:t xml:space="preserve">9.3 </w:t>
      </w:r>
      <w:r>
        <w:rPr>
          <w:rFonts w:hint="eastAsia" w:cs="宋体" w:asciiTheme="minorEastAsia" w:hAnsiTheme="minorEastAsia" w:eastAsiaTheme="minorEastAsia"/>
          <w:sz w:val="24"/>
          <w:szCs w:val="24"/>
        </w:rPr>
        <w:t>除在招标文件第五章中另有规定外，度量衡单位应使用国际单位制。</w:t>
      </w:r>
      <w:bookmarkEnd w:id="142"/>
      <w:bookmarkEnd w:id="143"/>
      <w:bookmarkEnd w:id="144"/>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9.4 </w:t>
      </w:r>
      <w:r>
        <w:rPr>
          <w:rFonts w:hint="eastAsia" w:cs="宋体" w:asciiTheme="minorEastAsia" w:hAnsiTheme="minorEastAsia" w:eastAsiaTheme="minorEastAsia"/>
          <w:sz w:val="24"/>
          <w:szCs w:val="24"/>
        </w:rPr>
        <w:t>本招标文件所表述的时间均为北京时间。</w:t>
      </w:r>
    </w:p>
    <w:p>
      <w:pPr>
        <w:snapToGrid w:val="0"/>
        <w:spacing w:line="360" w:lineRule="auto"/>
        <w:ind w:firstLine="480" w:firstLineChars="200"/>
        <w:rPr>
          <w:rFonts w:cs="宋体" w:asciiTheme="minorEastAsia" w:hAnsiTheme="minorEastAsia" w:eastAsiaTheme="minorEastAsia"/>
          <w:sz w:val="24"/>
          <w:szCs w:val="24"/>
        </w:rPr>
      </w:pPr>
      <w:bookmarkStart w:id="145" w:name="_Toc8283237"/>
      <w:bookmarkStart w:id="146" w:name="_Toc483396386"/>
      <w:bookmarkStart w:id="147" w:name="_Toc13828"/>
      <w:bookmarkStart w:id="148" w:name="_Toc238907013"/>
      <w:bookmarkStart w:id="149" w:name="_Toc483396298"/>
      <w:bookmarkStart w:id="150" w:name="_Toc501916487"/>
      <w:r>
        <w:rPr>
          <w:rFonts w:cs="宋体" w:asciiTheme="minorEastAsia" w:hAnsiTheme="minorEastAsia" w:eastAsiaTheme="minorEastAsia"/>
          <w:sz w:val="24"/>
          <w:szCs w:val="24"/>
        </w:rPr>
        <w:t>10</w:t>
      </w:r>
      <w:r>
        <w:rPr>
          <w:rFonts w:hint="eastAsia" w:cs="宋体" w:asciiTheme="minorEastAsia" w:hAnsiTheme="minorEastAsia" w:eastAsiaTheme="minorEastAsia"/>
          <w:sz w:val="24"/>
          <w:szCs w:val="24"/>
        </w:rPr>
        <w:t>．投标文件的组成</w:t>
      </w:r>
      <w:bookmarkEnd w:id="145"/>
      <w:bookmarkEnd w:id="146"/>
      <w:bookmarkEnd w:id="147"/>
      <w:bookmarkEnd w:id="148"/>
      <w:bookmarkEnd w:id="149"/>
      <w:bookmarkEnd w:id="150"/>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10</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l </w:t>
      </w:r>
      <w:r>
        <w:rPr>
          <w:rFonts w:hint="eastAsia" w:cs="宋体" w:asciiTheme="minorEastAsia" w:hAnsiTheme="minorEastAsia" w:eastAsiaTheme="minorEastAsia"/>
          <w:sz w:val="24"/>
          <w:szCs w:val="24"/>
        </w:rPr>
        <w:t>投标文件应包括下列部分（目录及有关格式按招标文件第五章“投标文件格式”要求）：</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10.1.l </w:t>
      </w:r>
      <w:r>
        <w:rPr>
          <w:rFonts w:hint="eastAsia" w:cs="宋体" w:asciiTheme="minorEastAsia" w:hAnsiTheme="minorEastAsia" w:eastAsiaTheme="minorEastAsia"/>
          <w:sz w:val="24"/>
          <w:szCs w:val="24"/>
        </w:rPr>
        <w:t>投标函、投标报价及相关证明文件。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10.1.2 </w:t>
      </w:r>
      <w:r>
        <w:rPr>
          <w:rFonts w:hint="eastAsia" w:cs="宋体" w:asciiTheme="minorEastAsia" w:hAnsiTheme="minorEastAsia" w:eastAsiaTheme="minorEastAsia"/>
          <w:sz w:val="24"/>
          <w:szCs w:val="24"/>
        </w:rPr>
        <w:t>投标人资格证明文件。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10.2 </w:t>
      </w:r>
      <w:r>
        <w:rPr>
          <w:rFonts w:hint="eastAsia" w:cs="宋体" w:asciiTheme="minorEastAsia" w:hAnsiTheme="minorEastAsia" w:eastAsiaTheme="minorEastAsia"/>
          <w:sz w:val="24"/>
          <w:szCs w:val="24"/>
        </w:rPr>
        <w:t>招标文件第三章中指出的工艺、材料和设备的标准，以及商标、牌号或其目录编号，仅起说明作用并非进行限制。</w:t>
      </w:r>
    </w:p>
    <w:p>
      <w:pPr>
        <w:snapToGrid w:val="0"/>
        <w:spacing w:line="360" w:lineRule="auto"/>
        <w:ind w:firstLine="480" w:firstLineChars="200"/>
        <w:rPr>
          <w:rFonts w:cs="宋体" w:asciiTheme="minorEastAsia" w:hAnsiTheme="minorEastAsia" w:eastAsiaTheme="minorEastAsia"/>
          <w:sz w:val="24"/>
          <w:szCs w:val="24"/>
        </w:rPr>
      </w:pPr>
      <w:bookmarkStart w:id="151" w:name="_Toc8283238"/>
      <w:bookmarkStart w:id="152" w:name="_Toc501916488"/>
      <w:bookmarkStart w:id="153" w:name="_Toc22255"/>
      <w:r>
        <w:rPr>
          <w:rFonts w:cs="宋体" w:asciiTheme="minorEastAsia" w:hAnsiTheme="minorEastAsia" w:eastAsiaTheme="minorEastAsia"/>
          <w:sz w:val="24"/>
          <w:szCs w:val="24"/>
        </w:rPr>
        <w:t xml:space="preserve">10.3 </w:t>
      </w:r>
      <w:r>
        <w:rPr>
          <w:rFonts w:hint="eastAsia" w:cs="宋体" w:asciiTheme="minorEastAsia" w:hAnsiTheme="minorEastAsia" w:eastAsiaTheme="minorEastAsia"/>
          <w:sz w:val="24"/>
          <w:szCs w:val="24"/>
        </w:rPr>
        <w:t>若投标人未按招标文件的要求提供资料，或未对招标文件做出实质性响应，将导致投标文件被视为无效。</w:t>
      </w:r>
      <w:bookmarkEnd w:id="151"/>
      <w:bookmarkEnd w:id="152"/>
      <w:bookmarkEnd w:id="153"/>
    </w:p>
    <w:p>
      <w:pPr>
        <w:snapToGrid w:val="0"/>
        <w:spacing w:line="360" w:lineRule="auto"/>
        <w:ind w:firstLine="480" w:firstLineChars="200"/>
        <w:rPr>
          <w:rFonts w:cs="宋体" w:asciiTheme="minorEastAsia" w:hAnsiTheme="minorEastAsia" w:eastAsiaTheme="minorEastAsia"/>
          <w:sz w:val="24"/>
          <w:szCs w:val="24"/>
        </w:rPr>
      </w:pPr>
      <w:bookmarkStart w:id="154" w:name="_Toc238907014"/>
      <w:bookmarkStart w:id="155" w:name="_Toc501916489"/>
      <w:bookmarkStart w:id="156" w:name="_Toc29935"/>
      <w:bookmarkStart w:id="157" w:name="_Toc483396387"/>
      <w:bookmarkStart w:id="158" w:name="_Toc483396299"/>
      <w:bookmarkStart w:id="159" w:name="_Toc8283239"/>
      <w:r>
        <w:rPr>
          <w:rFonts w:cs="宋体" w:asciiTheme="minorEastAsia" w:hAnsiTheme="minorEastAsia" w:eastAsiaTheme="minorEastAsia"/>
          <w:sz w:val="24"/>
          <w:szCs w:val="24"/>
        </w:rPr>
        <w:t>11</w:t>
      </w:r>
      <w:r>
        <w:rPr>
          <w:rFonts w:hint="eastAsia" w:cs="宋体" w:asciiTheme="minorEastAsia" w:hAnsiTheme="minorEastAsia" w:eastAsiaTheme="minorEastAsia"/>
          <w:sz w:val="24"/>
          <w:szCs w:val="24"/>
        </w:rPr>
        <w:t>．投标报价</w:t>
      </w:r>
      <w:bookmarkEnd w:id="154"/>
      <w:bookmarkEnd w:id="155"/>
      <w:bookmarkEnd w:id="156"/>
      <w:bookmarkEnd w:id="157"/>
      <w:bookmarkEnd w:id="158"/>
      <w:bookmarkEnd w:id="159"/>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11.1</w:t>
      </w:r>
      <w:r>
        <w:rPr>
          <w:rFonts w:hint="eastAsia" w:cs="宋体" w:asciiTheme="minorEastAsia" w:hAnsiTheme="minorEastAsia" w:eastAsiaTheme="minorEastAsia"/>
          <w:sz w:val="24"/>
          <w:szCs w:val="24"/>
        </w:rPr>
        <w:t>本次采购采用总承包方式，因此投标人的报价应包括全部货物、服务的价格及相关税费、运输到指定地点的装运费用、安装调试、培训、售后服务等其他有关的所有费用。</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11.2</w:t>
      </w:r>
      <w:r>
        <w:rPr>
          <w:rFonts w:hint="eastAsia" w:cs="宋体" w:asciiTheme="minorEastAsia" w:hAnsiTheme="minorEastAsia" w:eastAsiaTheme="minorEastAsia"/>
          <w:sz w:val="24"/>
          <w:szCs w:val="24"/>
        </w:rPr>
        <w:t>采购代理机构不接受任何有选择的报价，必须是唯一报价。</w:t>
      </w:r>
    </w:p>
    <w:p>
      <w:pPr>
        <w:snapToGrid w:val="0"/>
        <w:spacing w:line="360" w:lineRule="auto"/>
        <w:ind w:firstLine="480" w:firstLineChars="200"/>
        <w:rPr>
          <w:rFonts w:cs="宋体" w:asciiTheme="minorEastAsia" w:hAnsiTheme="minorEastAsia" w:eastAsiaTheme="minorEastAsia"/>
          <w:sz w:val="24"/>
          <w:szCs w:val="24"/>
        </w:rPr>
      </w:pPr>
      <w:bookmarkStart w:id="160" w:name="_Toc483396388"/>
      <w:bookmarkStart w:id="161" w:name="_Toc27739"/>
      <w:bookmarkStart w:id="162" w:name="_Toc238907015"/>
      <w:bookmarkStart w:id="163" w:name="_Toc483396300"/>
      <w:bookmarkStart w:id="164" w:name="_Toc501916490"/>
      <w:bookmarkStart w:id="165" w:name="_Toc8283240"/>
      <w:r>
        <w:rPr>
          <w:rFonts w:cs="宋体" w:asciiTheme="minorEastAsia" w:hAnsiTheme="minorEastAsia" w:eastAsiaTheme="minorEastAsia"/>
          <w:sz w:val="24"/>
          <w:szCs w:val="24"/>
        </w:rPr>
        <w:t xml:space="preserve">12. </w:t>
      </w:r>
      <w:r>
        <w:rPr>
          <w:rFonts w:hint="eastAsia" w:cs="宋体" w:asciiTheme="minorEastAsia" w:hAnsiTheme="minorEastAsia" w:eastAsiaTheme="minorEastAsia"/>
          <w:sz w:val="24"/>
          <w:szCs w:val="24"/>
        </w:rPr>
        <w:t>投标货币</w:t>
      </w:r>
      <w:bookmarkEnd w:id="160"/>
      <w:bookmarkEnd w:id="161"/>
      <w:bookmarkEnd w:id="162"/>
      <w:bookmarkEnd w:id="163"/>
      <w:bookmarkEnd w:id="164"/>
      <w:bookmarkEnd w:id="165"/>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12.1 </w:t>
      </w:r>
      <w:r>
        <w:rPr>
          <w:rFonts w:hint="eastAsia" w:cs="宋体" w:asciiTheme="minorEastAsia" w:hAnsiTheme="minorEastAsia" w:eastAsiaTheme="minorEastAsia"/>
          <w:sz w:val="24"/>
          <w:szCs w:val="24"/>
        </w:rPr>
        <w:t>投标报价均须以人民币为计算单位。招标文件另有规定的，从其规定。</w:t>
      </w:r>
    </w:p>
    <w:p>
      <w:pPr>
        <w:snapToGrid w:val="0"/>
        <w:spacing w:line="360" w:lineRule="auto"/>
        <w:ind w:firstLine="480" w:firstLineChars="200"/>
        <w:rPr>
          <w:rFonts w:cs="宋体" w:asciiTheme="minorEastAsia" w:hAnsiTheme="minorEastAsia" w:eastAsiaTheme="minorEastAsia"/>
          <w:sz w:val="24"/>
          <w:szCs w:val="24"/>
        </w:rPr>
      </w:pPr>
      <w:bookmarkStart w:id="166" w:name="_Toc483396301"/>
      <w:bookmarkStart w:id="167" w:name="_Toc22209"/>
      <w:bookmarkStart w:id="168" w:name="_Toc8283241"/>
      <w:bookmarkStart w:id="169" w:name="_Toc501916491"/>
      <w:bookmarkStart w:id="170" w:name="_Toc483396389"/>
      <w:r>
        <w:rPr>
          <w:rFonts w:cs="宋体" w:asciiTheme="minorEastAsia" w:hAnsiTheme="minorEastAsia" w:eastAsiaTheme="minorEastAsia"/>
          <w:sz w:val="24"/>
          <w:szCs w:val="24"/>
        </w:rPr>
        <w:t>13</w:t>
      </w:r>
      <w:r>
        <w:rPr>
          <w:rFonts w:hint="eastAsia" w:cs="宋体" w:asciiTheme="minorEastAsia" w:hAnsiTheme="minorEastAsia" w:eastAsiaTheme="minorEastAsia"/>
          <w:sz w:val="24"/>
          <w:szCs w:val="24"/>
        </w:rPr>
        <w:t>．投标保证金</w:t>
      </w:r>
      <w:bookmarkEnd w:id="166"/>
      <w:bookmarkEnd w:id="167"/>
      <w:bookmarkEnd w:id="168"/>
      <w:bookmarkEnd w:id="169"/>
      <w:bookmarkEnd w:id="170"/>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13.1 </w:t>
      </w:r>
      <w:r>
        <w:rPr>
          <w:rFonts w:hint="eastAsia" w:cs="宋体" w:asciiTheme="minorEastAsia" w:hAnsiTheme="minorEastAsia" w:eastAsiaTheme="minorEastAsia"/>
          <w:sz w:val="24"/>
          <w:szCs w:val="24"/>
        </w:rPr>
        <w:t>投标保证金是参加本项目投标的必要条件，保证金金额：伍万元整（￥50000</w:t>
      </w:r>
      <w:r>
        <w:rPr>
          <w:rFonts w:cs="宋体" w:asciiTheme="minorEastAsia" w:hAnsiTheme="minorEastAsia" w:eastAsiaTheme="minorEastAsia"/>
          <w:sz w:val="24"/>
          <w:szCs w:val="24"/>
        </w:rPr>
        <w:t>.00</w:t>
      </w:r>
      <w:r>
        <w:rPr>
          <w:rFonts w:hint="eastAsia" w:cs="宋体" w:asciiTheme="minorEastAsia" w:hAnsiTheme="minorEastAsia" w:eastAsiaTheme="minorEastAsia"/>
          <w:sz w:val="24"/>
          <w:szCs w:val="24"/>
        </w:rPr>
        <w:t>元）。</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13.2 </w:t>
      </w:r>
      <w:r>
        <w:rPr>
          <w:rFonts w:hint="eastAsia" w:cs="宋体" w:asciiTheme="minorEastAsia" w:hAnsiTheme="minorEastAsia" w:eastAsiaTheme="minorEastAsia"/>
          <w:sz w:val="24"/>
          <w:szCs w:val="24"/>
        </w:rPr>
        <w:t>投标保证金可采用下列形式，并符合下列规定：</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13.2.1 </w:t>
      </w:r>
      <w:r>
        <w:rPr>
          <w:rFonts w:hint="eastAsia" w:cs="宋体" w:asciiTheme="minorEastAsia" w:hAnsiTheme="minorEastAsia" w:eastAsiaTheme="minorEastAsia"/>
          <w:sz w:val="24"/>
          <w:szCs w:val="24"/>
        </w:rPr>
        <w:t>投标保证金必须在开标之前划入三亚市人民政府政务服务中心账户（按保证金账户）并注明汇款单位（网络支付地址：</w:t>
      </w:r>
      <w:r>
        <w:fldChar w:fldCharType="begin"/>
      </w:r>
      <w:r>
        <w:instrText xml:space="preserve"> HYPERLINK "http://218.77.183.48/htms" \t "_blank" </w:instrText>
      </w:r>
      <w:r>
        <w:fldChar w:fldCharType="separate"/>
      </w:r>
      <w:r>
        <w:rPr>
          <w:rFonts w:cs="宋体" w:asciiTheme="minorEastAsia" w:hAnsiTheme="minorEastAsia" w:eastAsiaTheme="minorEastAsia"/>
          <w:sz w:val="24"/>
          <w:szCs w:val="24"/>
        </w:rPr>
        <w:t>http://218.77.183.48/htms</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账户名称：三亚市人民政府政务服务中心</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账号：</w:t>
      </w:r>
      <w:r>
        <w:rPr>
          <w:rFonts w:cs="宋体" w:asciiTheme="minorEastAsia" w:hAnsiTheme="minorEastAsia" w:eastAsiaTheme="minorEastAsia"/>
          <w:sz w:val="24"/>
          <w:szCs w:val="24"/>
        </w:rPr>
        <w:t>46050100513600000808</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开户银行：中国建设银行三亚市分行</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13.2.2</w:t>
      </w:r>
      <w:r>
        <w:rPr>
          <w:rFonts w:hint="eastAsia" w:cs="宋体" w:asciiTheme="minorEastAsia" w:hAnsiTheme="minorEastAsia" w:eastAsiaTheme="minorEastAsia"/>
          <w:sz w:val="24"/>
          <w:szCs w:val="24"/>
        </w:rPr>
        <w:t>如在中标通知书发出后须提交以下材料方可办理保证金退还：</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）保证金退还申请书</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）授权委托书</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）法人代表身份证复印件</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）经办人身份证复印件</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）银行转账凭证复印件</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合同复印件（第一中标人）</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13.3 </w:t>
      </w:r>
      <w:r>
        <w:rPr>
          <w:rFonts w:hint="eastAsia" w:cs="宋体" w:asciiTheme="minorEastAsia" w:hAnsiTheme="minorEastAsia" w:eastAsiaTheme="minorEastAsia"/>
          <w:sz w:val="24"/>
          <w:szCs w:val="24"/>
        </w:rPr>
        <w:t>若投标人不按第</w:t>
      </w:r>
      <w:r>
        <w:rPr>
          <w:rFonts w:cs="宋体" w:asciiTheme="minorEastAsia" w:hAnsiTheme="minorEastAsia" w:eastAsiaTheme="minorEastAsia"/>
          <w:sz w:val="24"/>
          <w:szCs w:val="24"/>
        </w:rPr>
        <w:t xml:space="preserve"> 13.l</w:t>
      </w:r>
      <w:r>
        <w:rPr>
          <w:rFonts w:hint="eastAsia" w:cs="宋体" w:asciiTheme="minorEastAsia" w:hAnsiTheme="minorEastAsia" w:eastAsiaTheme="minorEastAsia"/>
          <w:sz w:val="24"/>
          <w:szCs w:val="24"/>
        </w:rPr>
        <w:t>和</w:t>
      </w:r>
      <w:r>
        <w:rPr>
          <w:rFonts w:cs="宋体" w:asciiTheme="minorEastAsia" w:hAnsiTheme="minorEastAsia" w:eastAsiaTheme="minorEastAsia"/>
          <w:sz w:val="24"/>
          <w:szCs w:val="24"/>
        </w:rPr>
        <w:t xml:space="preserve"> 13.2</w:t>
      </w:r>
      <w:r>
        <w:rPr>
          <w:rFonts w:hint="eastAsia" w:cs="宋体" w:asciiTheme="minorEastAsia" w:hAnsiTheme="minorEastAsia" w:eastAsiaTheme="minorEastAsia"/>
          <w:sz w:val="24"/>
          <w:szCs w:val="24"/>
        </w:rPr>
        <w:t>条的规定提交投标保证金，其投标文件将被拒绝接受。</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13.4 </w:t>
      </w:r>
      <w:r>
        <w:rPr>
          <w:rFonts w:hint="eastAsia" w:cs="宋体" w:asciiTheme="minorEastAsia" w:hAnsiTheme="minorEastAsia" w:eastAsiaTheme="minorEastAsia"/>
          <w:sz w:val="24"/>
          <w:szCs w:val="24"/>
        </w:rPr>
        <w:t>投标保证金的退还</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13.4.l </w:t>
      </w:r>
      <w:r>
        <w:rPr>
          <w:rFonts w:hint="eastAsia" w:cs="宋体" w:asciiTheme="minorEastAsia" w:hAnsiTheme="minorEastAsia" w:eastAsiaTheme="minorEastAsia"/>
          <w:sz w:val="24"/>
          <w:szCs w:val="24"/>
        </w:rPr>
        <w:t>中标人的投标保证金在其与采购人签订了采购合同后</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个工作日内办理退还手续。</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13.4.2 </w:t>
      </w:r>
      <w:r>
        <w:rPr>
          <w:rFonts w:hint="eastAsia" w:cs="宋体" w:asciiTheme="minorEastAsia" w:hAnsiTheme="minorEastAsia" w:eastAsiaTheme="minorEastAsia"/>
          <w:sz w:val="24"/>
          <w:szCs w:val="24"/>
        </w:rPr>
        <w:t>落标的投标人的投标保证金将在采购代理机构发出中标通知书</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个工作日内办理退还手续。</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13.5 </w:t>
      </w:r>
      <w:r>
        <w:rPr>
          <w:rFonts w:hint="eastAsia" w:cs="宋体" w:asciiTheme="minorEastAsia" w:hAnsiTheme="minorEastAsia" w:eastAsiaTheme="minorEastAsia"/>
          <w:sz w:val="24"/>
          <w:szCs w:val="24"/>
        </w:rPr>
        <w:t>发生下列情况之一，投标保证金将不予退还：</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）投标人在投标有效期内撤回投标；</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）中标人不按第</w:t>
      </w:r>
      <w:r>
        <w:rPr>
          <w:rFonts w:cs="宋体" w:asciiTheme="minorEastAsia" w:hAnsiTheme="minorEastAsia" w:eastAsiaTheme="minorEastAsia"/>
          <w:sz w:val="24"/>
          <w:szCs w:val="24"/>
        </w:rPr>
        <w:t>29</w:t>
      </w:r>
      <w:r>
        <w:rPr>
          <w:rFonts w:hint="eastAsia" w:cs="宋体" w:asciiTheme="minorEastAsia" w:hAnsiTheme="minorEastAsia" w:eastAsiaTheme="minorEastAsia"/>
          <w:sz w:val="24"/>
          <w:szCs w:val="24"/>
        </w:rPr>
        <w:t>条规定签订合同；</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）投标人提供虚假材料谋取中标、成交的；</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）采取不正当手段诋毁、排挤其他供应商的；</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）与采购人、其他供应商或者采购代理机构恶意串通的；</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）向采购人、采购代理机构行贿或者提供其他不正当利益的；</w:t>
      </w:r>
    </w:p>
    <w:p>
      <w:pPr>
        <w:snapToGrid w:val="0"/>
        <w:spacing w:line="360" w:lineRule="auto"/>
        <w:ind w:firstLine="480" w:firstLineChars="200"/>
        <w:rPr>
          <w:rFonts w:cs="宋体" w:asciiTheme="minorEastAsia" w:hAnsiTheme="minorEastAsia" w:eastAsiaTheme="minorEastAsia"/>
          <w:sz w:val="24"/>
          <w:szCs w:val="24"/>
        </w:rPr>
      </w:pPr>
      <w:bookmarkStart w:id="171" w:name="_Toc8283242"/>
      <w:bookmarkStart w:id="172" w:name="_Toc5823"/>
      <w:bookmarkStart w:id="173" w:name="_Toc483396390"/>
      <w:bookmarkStart w:id="174" w:name="_Toc501916492"/>
      <w:bookmarkStart w:id="175" w:name="_Toc483396302"/>
      <w:bookmarkStart w:id="176" w:name="_Toc238907017"/>
      <w:r>
        <w:rPr>
          <w:rFonts w:cs="宋体" w:asciiTheme="minorEastAsia" w:hAnsiTheme="minorEastAsia" w:eastAsiaTheme="minorEastAsia"/>
          <w:sz w:val="24"/>
          <w:szCs w:val="24"/>
        </w:rPr>
        <w:t>14</w:t>
      </w:r>
      <w:r>
        <w:rPr>
          <w:rFonts w:hint="eastAsia" w:cs="宋体" w:asciiTheme="minorEastAsia" w:hAnsiTheme="minorEastAsia" w:eastAsiaTheme="minorEastAsia"/>
          <w:sz w:val="24"/>
          <w:szCs w:val="24"/>
        </w:rPr>
        <w:t>．投标有效期</w:t>
      </w:r>
      <w:bookmarkEnd w:id="171"/>
      <w:bookmarkEnd w:id="172"/>
      <w:bookmarkEnd w:id="173"/>
      <w:bookmarkEnd w:id="174"/>
      <w:bookmarkEnd w:id="175"/>
      <w:bookmarkEnd w:id="176"/>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14.l </w:t>
      </w:r>
      <w:r>
        <w:rPr>
          <w:rFonts w:hint="eastAsia" w:cs="宋体" w:asciiTheme="minorEastAsia" w:hAnsiTheme="minorEastAsia" w:eastAsiaTheme="minorEastAsia"/>
          <w:sz w:val="24"/>
          <w:szCs w:val="24"/>
        </w:rPr>
        <w:t>投标有效期为从开标截止之日起计算的六十天，有效期短于此规定的投标文件将被视为无效。</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14.2 </w:t>
      </w:r>
      <w:r>
        <w:rPr>
          <w:rFonts w:hint="eastAsia" w:cs="宋体" w:asciiTheme="minorEastAsia" w:hAnsiTheme="minorEastAsia" w:eastAsiaTheme="minorEastAsia"/>
          <w:sz w:val="24"/>
          <w:szCs w:val="24"/>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napToGrid w:val="0"/>
        <w:spacing w:line="360" w:lineRule="auto"/>
        <w:ind w:firstLine="480" w:firstLineChars="200"/>
        <w:rPr>
          <w:rFonts w:cs="宋体" w:asciiTheme="minorEastAsia" w:hAnsiTheme="minorEastAsia" w:eastAsiaTheme="minorEastAsia"/>
          <w:sz w:val="24"/>
          <w:szCs w:val="24"/>
        </w:rPr>
      </w:pPr>
      <w:bookmarkStart w:id="177" w:name="_Toc483396391"/>
      <w:bookmarkStart w:id="178" w:name="_Toc8283243"/>
      <w:bookmarkStart w:id="179" w:name="_Toc17827"/>
      <w:bookmarkStart w:id="180" w:name="_Toc483396303"/>
      <w:bookmarkStart w:id="181" w:name="_Toc501916493"/>
      <w:bookmarkStart w:id="182" w:name="_Toc238907018"/>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．投标文件的数量、签署及形式</w:t>
      </w:r>
      <w:bookmarkEnd w:id="177"/>
      <w:bookmarkEnd w:id="178"/>
      <w:bookmarkEnd w:id="179"/>
      <w:bookmarkEnd w:id="180"/>
      <w:bookmarkEnd w:id="181"/>
      <w:bookmarkEnd w:id="18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15.1</w:t>
      </w:r>
      <w:r>
        <w:rPr>
          <w:rFonts w:hint="eastAsia" w:cs="宋体" w:asciiTheme="minorEastAsia" w:hAnsiTheme="minorEastAsia" w:eastAsiaTheme="minorEastAsia"/>
          <w:sz w:val="24"/>
          <w:szCs w:val="24"/>
        </w:rPr>
        <w:t>投标文件一式陆份，固定无线胶装订。其中正本壹份、副本陆份，</w:t>
      </w:r>
      <w:r>
        <w:rPr>
          <w:rFonts w:hint="eastAsia"/>
          <w:sz w:val="24"/>
          <w:szCs w:val="24"/>
        </w:rPr>
        <w:t>电子版响应文件1份</w:t>
      </w:r>
      <w:r>
        <w:rPr>
          <w:rFonts w:hint="eastAsia" w:cs="宋体" w:asciiTheme="minorEastAsia" w:hAnsiTheme="minorEastAsia" w:eastAsiaTheme="minorEastAsia"/>
          <w:sz w:val="24"/>
          <w:szCs w:val="24"/>
        </w:rPr>
        <w:t>。每份投标文件均在封面上清楚标明“正本”或“副本”字样。“正本”和“副本”之间如有差异，以正本为准。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15.2 </w:t>
      </w:r>
      <w:r>
        <w:rPr>
          <w:rFonts w:hint="eastAsia" w:cs="宋体" w:asciiTheme="minorEastAsia" w:hAnsiTheme="minorEastAsia" w:eastAsiaTheme="minorEastAsia"/>
          <w:sz w:val="24"/>
          <w:szCs w:val="24"/>
        </w:rPr>
        <w:t>投标文件正本中，除招标文件中规定的可提交复印件外，其他文件均须提交原件，文字材料需打印或用不褪色墨水书写。投标文件应加盖骑缝章、正本须经法定代表人或授权代表人在招标文件明示需要签名盖章的地方签名和加盖投标人公章，副本可以是正本的复印件，副本与正本不一致的，以正本为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15.3 </w:t>
      </w:r>
      <w:r>
        <w:rPr>
          <w:rFonts w:hint="eastAsia" w:cs="宋体" w:asciiTheme="minorEastAsia" w:hAnsiTheme="minorEastAsia" w:eastAsiaTheme="minorEastAsia"/>
          <w:sz w:val="24"/>
          <w:szCs w:val="24"/>
        </w:rPr>
        <w:t>投标文件如有错误必须修改时，修改处须由法人代表或授权代表签名或加盖公章。</w:t>
      </w:r>
    </w:p>
    <w:p>
      <w:pPr>
        <w:snapToGrid w:val="0"/>
        <w:spacing w:line="360" w:lineRule="auto"/>
        <w:ind w:firstLine="480" w:firstLineChars="200"/>
        <w:rPr>
          <w:rFonts w:cs="宋体" w:asciiTheme="minorEastAsia" w:hAnsiTheme="minorEastAsia" w:eastAsiaTheme="minorEastAsia"/>
          <w:sz w:val="24"/>
          <w:szCs w:val="24"/>
        </w:rPr>
      </w:pPr>
      <w:bookmarkStart w:id="183" w:name="_Toc501916494"/>
      <w:bookmarkStart w:id="184" w:name="_Toc26379"/>
      <w:bookmarkStart w:id="185" w:name="_Toc483396392"/>
      <w:bookmarkStart w:id="186" w:name="_Toc483396304"/>
      <w:bookmarkStart w:id="187" w:name="_Toc8283244"/>
      <w:r>
        <w:rPr>
          <w:rFonts w:cs="宋体" w:asciiTheme="minorEastAsia" w:hAnsiTheme="minorEastAsia" w:eastAsiaTheme="minorEastAsia"/>
          <w:sz w:val="24"/>
          <w:szCs w:val="24"/>
        </w:rPr>
        <w:t>16</w:t>
      </w:r>
      <w:r>
        <w:rPr>
          <w:rFonts w:hint="eastAsia" w:cs="宋体" w:asciiTheme="minorEastAsia" w:hAnsiTheme="minorEastAsia" w:eastAsiaTheme="minorEastAsia"/>
          <w:sz w:val="24"/>
          <w:szCs w:val="24"/>
        </w:rPr>
        <w:t>．联合体投标</w:t>
      </w:r>
      <w:bookmarkEnd w:id="183"/>
      <w:bookmarkEnd w:id="184"/>
      <w:bookmarkEnd w:id="185"/>
      <w:bookmarkEnd w:id="186"/>
      <w:bookmarkEnd w:id="187"/>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16.1</w:t>
      </w:r>
      <w:r>
        <w:rPr>
          <w:rFonts w:hint="eastAsia" w:cs="宋体" w:asciiTheme="minorEastAsia" w:hAnsiTheme="minorEastAsia" w:eastAsiaTheme="minorEastAsia"/>
          <w:sz w:val="24"/>
          <w:szCs w:val="24"/>
        </w:rPr>
        <w:t>两个以上投标人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16.2</w:t>
      </w:r>
      <w:r>
        <w:rPr>
          <w:rFonts w:hint="eastAsia" w:cs="宋体" w:asciiTheme="minorEastAsia" w:hAnsiTheme="minorEastAsia" w:eastAsiaTheme="minorEastAsia"/>
          <w:sz w:val="24"/>
          <w:szCs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16.3 </w:t>
      </w:r>
      <w:r>
        <w:rPr>
          <w:rFonts w:hint="eastAsia" w:cs="宋体" w:asciiTheme="minorEastAsia" w:hAnsiTheme="minorEastAsia" w:eastAsiaTheme="minorEastAsia"/>
          <w:sz w:val="24"/>
          <w:szCs w:val="24"/>
        </w:rPr>
        <w:t>联合体应当确定其中一个单位为投标的全权代表，负责参加投标的一切事务，并承担投标及履约中应承担的全部责任与义务。</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16.4 </w:t>
      </w:r>
      <w:r>
        <w:rPr>
          <w:rFonts w:hint="eastAsia" w:cs="宋体" w:asciiTheme="minorEastAsia" w:hAnsiTheme="minorEastAsia" w:eastAsiaTheme="minorEastAsia"/>
          <w:sz w:val="24"/>
          <w:szCs w:val="24"/>
        </w:rPr>
        <w:t>联合体各方应当共同与采购人签订采购合同，就采购合同约定的事项对采购人承担连带责任。</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16.5</w:t>
      </w:r>
      <w:r>
        <w:rPr>
          <w:rFonts w:hint="eastAsia" w:cs="宋体" w:asciiTheme="minorEastAsia" w:hAnsiTheme="minorEastAsia" w:eastAsiaTheme="minorEastAsia"/>
          <w:sz w:val="24"/>
          <w:szCs w:val="24"/>
        </w:rPr>
        <w:t>本次政府采购活动不接受联合体投标。</w:t>
      </w:r>
    </w:p>
    <w:p>
      <w:pPr>
        <w:snapToGrid w:val="0"/>
        <w:spacing w:line="360" w:lineRule="auto"/>
        <w:ind w:firstLine="480" w:firstLineChars="200"/>
        <w:rPr>
          <w:rFonts w:cs="宋体" w:asciiTheme="minorEastAsia" w:hAnsiTheme="minorEastAsia" w:eastAsiaTheme="minorEastAsia"/>
          <w:sz w:val="24"/>
          <w:szCs w:val="24"/>
        </w:rPr>
      </w:pPr>
      <w:bookmarkStart w:id="188" w:name="_Toc217446047"/>
      <w:bookmarkStart w:id="189" w:name="_Toc501916495"/>
      <w:bookmarkStart w:id="190" w:name="_Toc483396305"/>
      <w:bookmarkStart w:id="191" w:name="_Toc18568"/>
      <w:bookmarkStart w:id="192" w:name="_Toc483396393"/>
      <w:bookmarkStart w:id="193" w:name="_Toc8283245"/>
      <w:r>
        <w:rPr>
          <w:rFonts w:cs="宋体" w:asciiTheme="minorEastAsia" w:hAnsiTheme="minorEastAsia" w:eastAsiaTheme="minorEastAsia"/>
          <w:sz w:val="24"/>
          <w:szCs w:val="24"/>
        </w:rPr>
        <w:t xml:space="preserve">17. </w:t>
      </w:r>
      <w:r>
        <w:rPr>
          <w:rFonts w:hint="eastAsia" w:cs="宋体" w:asciiTheme="minorEastAsia" w:hAnsiTheme="minorEastAsia" w:eastAsiaTheme="minorEastAsia"/>
          <w:sz w:val="24"/>
          <w:szCs w:val="24"/>
        </w:rPr>
        <w:t>知识产权</w:t>
      </w:r>
      <w:bookmarkEnd w:id="188"/>
      <w:bookmarkEnd w:id="189"/>
      <w:bookmarkEnd w:id="190"/>
      <w:bookmarkEnd w:id="191"/>
      <w:bookmarkEnd w:id="192"/>
      <w:bookmarkEnd w:id="193"/>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17.1 </w:t>
      </w:r>
      <w:r>
        <w:rPr>
          <w:rFonts w:hint="eastAsia" w:cs="宋体" w:asciiTheme="minorEastAsia" w:hAnsiTheme="minorEastAsia" w:eastAsiaTheme="minor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17.2 </w:t>
      </w:r>
      <w:r>
        <w:rPr>
          <w:rFonts w:hint="eastAsia" w:cs="宋体" w:asciiTheme="minorEastAsia" w:hAnsiTheme="minorEastAsia" w:eastAsiaTheme="minorEastAsia"/>
          <w:sz w:val="24"/>
          <w:szCs w:val="24"/>
        </w:rPr>
        <w:t>采购人享有本项目实施过程中产生的知识成果及知识产权。</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 17.3 </w:t>
      </w:r>
      <w:r>
        <w:rPr>
          <w:rFonts w:hint="eastAsia" w:cs="宋体" w:asciiTheme="minorEastAsia" w:hAnsiTheme="minorEastAsia" w:eastAsiaTheme="minorEastAsia"/>
          <w:sz w:val="24"/>
          <w:szCs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17.4 </w:t>
      </w:r>
      <w:r>
        <w:rPr>
          <w:rFonts w:hint="eastAsia" w:cs="宋体" w:asciiTheme="minorEastAsia" w:hAnsiTheme="minorEastAsia" w:eastAsiaTheme="minorEastAsia"/>
          <w:sz w:val="24"/>
          <w:szCs w:val="24"/>
        </w:rPr>
        <w:t>如采用投标人所不拥有的知识产权，则在投标报价中必须包括合法获取该知识产权的相关费用。</w:t>
      </w:r>
    </w:p>
    <w:p>
      <w:pPr>
        <w:pStyle w:val="2"/>
        <w:numPr>
          <w:ilvl w:val="0"/>
          <w:numId w:val="0"/>
        </w:numPr>
        <w:ind w:left="482"/>
        <w:rPr>
          <w:rStyle w:val="82"/>
          <w:rFonts w:asciiTheme="majorEastAsia" w:hAnsiTheme="majorEastAsia" w:eastAsiaTheme="majorEastAsia"/>
          <w:b w:val="0"/>
          <w:bCs w:val="0"/>
          <w:sz w:val="24"/>
          <w:szCs w:val="24"/>
        </w:rPr>
      </w:pPr>
      <w:bookmarkStart w:id="194" w:name="_Toc483396394"/>
      <w:bookmarkStart w:id="195" w:name="_Toc8991"/>
      <w:bookmarkStart w:id="196" w:name="_Toc501916496"/>
      <w:bookmarkStart w:id="197" w:name="_Toc483396306"/>
      <w:bookmarkStart w:id="198" w:name="_Toc238907019"/>
      <w:bookmarkStart w:id="199" w:name="_Toc8283246"/>
      <w:bookmarkStart w:id="200" w:name="_Toc10188485"/>
      <w:r>
        <w:rPr>
          <w:rStyle w:val="82"/>
          <w:rFonts w:hint="eastAsia" w:asciiTheme="majorEastAsia" w:hAnsiTheme="majorEastAsia" w:eastAsiaTheme="majorEastAsia"/>
          <w:b w:val="0"/>
          <w:bCs w:val="0"/>
          <w:sz w:val="24"/>
          <w:szCs w:val="24"/>
        </w:rPr>
        <w:t>四、投标文件的递交</w:t>
      </w:r>
      <w:bookmarkEnd w:id="194"/>
      <w:bookmarkEnd w:id="195"/>
      <w:bookmarkEnd w:id="196"/>
      <w:bookmarkEnd w:id="197"/>
      <w:bookmarkEnd w:id="198"/>
      <w:bookmarkEnd w:id="199"/>
      <w:bookmarkEnd w:id="200"/>
    </w:p>
    <w:p>
      <w:pPr>
        <w:snapToGrid w:val="0"/>
        <w:spacing w:line="360" w:lineRule="auto"/>
        <w:ind w:firstLine="480" w:firstLineChars="200"/>
        <w:rPr>
          <w:rFonts w:cs="宋体" w:asciiTheme="minorEastAsia" w:hAnsiTheme="minorEastAsia" w:eastAsiaTheme="minorEastAsia"/>
          <w:sz w:val="24"/>
          <w:szCs w:val="24"/>
        </w:rPr>
      </w:pPr>
      <w:bookmarkStart w:id="201" w:name="_Toc483396307"/>
      <w:bookmarkStart w:id="202" w:name="_Toc26019"/>
      <w:bookmarkStart w:id="203" w:name="_Toc483396395"/>
      <w:bookmarkStart w:id="204" w:name="_Toc501916497"/>
      <w:bookmarkStart w:id="205" w:name="_Toc238907020"/>
      <w:bookmarkStart w:id="206" w:name="_Toc8283247"/>
      <w:r>
        <w:rPr>
          <w:rFonts w:cs="宋体" w:asciiTheme="minorEastAsia" w:hAnsiTheme="minorEastAsia" w:eastAsiaTheme="minorEastAsia"/>
          <w:sz w:val="24"/>
          <w:szCs w:val="24"/>
        </w:rPr>
        <w:t>18</w:t>
      </w:r>
      <w:r>
        <w:rPr>
          <w:rFonts w:hint="eastAsia" w:cs="宋体" w:asciiTheme="minorEastAsia" w:hAnsiTheme="minorEastAsia" w:eastAsiaTheme="minorEastAsia"/>
          <w:sz w:val="24"/>
          <w:szCs w:val="24"/>
        </w:rPr>
        <w:t>．投标文件的密封及标记</w:t>
      </w:r>
      <w:bookmarkEnd w:id="201"/>
      <w:bookmarkEnd w:id="202"/>
      <w:bookmarkEnd w:id="203"/>
      <w:bookmarkEnd w:id="204"/>
      <w:bookmarkEnd w:id="205"/>
      <w:bookmarkEnd w:id="206"/>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18</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l </w:t>
      </w:r>
      <w:r>
        <w:rPr>
          <w:rFonts w:hint="eastAsia" w:cs="宋体" w:asciiTheme="minorEastAsia" w:hAnsiTheme="minorEastAsia" w:eastAsiaTheme="minorEastAsia"/>
          <w:sz w:val="24"/>
          <w:szCs w:val="24"/>
        </w:rPr>
        <w:t>投标人应将投标文件密封在投标专用袋（箱）中，并在投标专用袋（箱）上标明“正本”“副本”字样，所有外层密封袋的封口处应加盖骑缝章，开标时间由招标人和投标人代表共同检查，未按要求签署和密封，视为不合格投标，投标文件将被拒绝接受。</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18.2 </w:t>
      </w:r>
      <w:r>
        <w:rPr>
          <w:rFonts w:hint="eastAsia" w:cs="宋体" w:asciiTheme="minorEastAsia" w:hAnsiTheme="minorEastAsia" w:eastAsiaTheme="minorEastAsia"/>
          <w:sz w:val="24"/>
          <w:szCs w:val="24"/>
        </w:rPr>
        <w:t>投标专用袋（箱）上须按采购代理机构提供的格式注明：</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l</w:t>
      </w:r>
      <w:r>
        <w:rPr>
          <w:rFonts w:hint="eastAsia" w:cs="宋体" w:asciiTheme="minorEastAsia" w:hAnsiTheme="minorEastAsia" w:eastAsiaTheme="minorEastAsia"/>
          <w:sz w:val="24"/>
          <w:szCs w:val="24"/>
        </w:rPr>
        <w:t>）项目编号及项目名称；</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）分包号（如有的话）；</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）投标人的名称、地址、联系人、电话和传真。</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18.3 </w:t>
      </w:r>
      <w:r>
        <w:rPr>
          <w:rFonts w:hint="eastAsia" w:cs="宋体" w:asciiTheme="minorEastAsia" w:hAnsiTheme="minorEastAsia" w:eastAsiaTheme="minorEastAsia"/>
          <w:sz w:val="24"/>
          <w:szCs w:val="24"/>
        </w:rPr>
        <w:t>投标文件未按第</w:t>
      </w:r>
      <w:r>
        <w:rPr>
          <w:rFonts w:cs="宋体" w:asciiTheme="minorEastAsia" w:hAnsiTheme="minorEastAsia" w:eastAsiaTheme="minorEastAsia"/>
          <w:sz w:val="24"/>
          <w:szCs w:val="24"/>
        </w:rPr>
        <w:t>18.1</w:t>
      </w:r>
      <w:r>
        <w:rPr>
          <w:rFonts w:hint="eastAsia" w:cs="宋体" w:asciiTheme="minorEastAsia" w:hAnsiTheme="minorEastAsia" w:eastAsiaTheme="minorEastAsia"/>
          <w:sz w:val="24"/>
          <w:szCs w:val="24"/>
        </w:rPr>
        <w:t>和</w:t>
      </w:r>
      <w:r>
        <w:rPr>
          <w:rFonts w:cs="宋体" w:asciiTheme="minorEastAsia" w:hAnsiTheme="minorEastAsia" w:eastAsiaTheme="minorEastAsia"/>
          <w:sz w:val="24"/>
          <w:szCs w:val="24"/>
        </w:rPr>
        <w:t>18.2</w:t>
      </w:r>
      <w:r>
        <w:rPr>
          <w:rFonts w:hint="eastAsia" w:cs="宋体" w:asciiTheme="minorEastAsia" w:hAnsiTheme="minorEastAsia" w:eastAsiaTheme="minorEastAsia"/>
          <w:sz w:val="24"/>
          <w:szCs w:val="24"/>
        </w:rPr>
        <w:t>条规定书写标记和密封者，采购代理机构不对投标文件被错放或先期启封负责。</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18.4</w:t>
      </w:r>
      <w:r>
        <w:rPr>
          <w:rFonts w:hint="eastAsia" w:cs="宋体" w:asciiTheme="minorEastAsia" w:hAnsiTheme="minorEastAsia" w:eastAsiaTheme="minorEastAsia"/>
          <w:sz w:val="24"/>
          <w:szCs w:val="24"/>
        </w:rPr>
        <w:t>投标人提交投标文件时应备有一个“唱标信封”，并将下列内容单独密封入该信封，再将其封装于投标文件正本封套内：</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）从投标文件正本中复印的开标一览表；</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）交纳投标保证金证明文件的复印件；</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）投标函；</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）电子版投标文件。</w:t>
      </w:r>
    </w:p>
    <w:p>
      <w:pPr>
        <w:snapToGrid w:val="0"/>
        <w:spacing w:line="360" w:lineRule="auto"/>
        <w:ind w:firstLine="480" w:firstLineChars="200"/>
        <w:rPr>
          <w:rFonts w:cs="宋体" w:asciiTheme="minorEastAsia" w:hAnsiTheme="minorEastAsia" w:eastAsiaTheme="minorEastAsia"/>
          <w:sz w:val="24"/>
          <w:szCs w:val="24"/>
        </w:rPr>
      </w:pPr>
      <w:bookmarkStart w:id="207" w:name="_Toc501916498"/>
      <w:bookmarkStart w:id="208" w:name="_Toc483396308"/>
      <w:bookmarkStart w:id="209" w:name="_Toc483396396"/>
      <w:bookmarkStart w:id="210" w:name="_Toc238907021"/>
      <w:bookmarkStart w:id="211" w:name="_Toc30956"/>
      <w:bookmarkStart w:id="212" w:name="_Toc8283248"/>
      <w:r>
        <w:rPr>
          <w:rFonts w:cs="宋体" w:asciiTheme="minorEastAsia" w:hAnsiTheme="minorEastAsia" w:eastAsiaTheme="minorEastAsia"/>
          <w:sz w:val="24"/>
          <w:szCs w:val="24"/>
        </w:rPr>
        <w:t>19</w:t>
      </w:r>
      <w:r>
        <w:rPr>
          <w:rFonts w:hint="eastAsia" w:cs="宋体" w:asciiTheme="minorEastAsia" w:hAnsiTheme="minorEastAsia" w:eastAsiaTheme="minorEastAsia"/>
          <w:sz w:val="24"/>
          <w:szCs w:val="24"/>
        </w:rPr>
        <w:t>．投标截止时间</w:t>
      </w:r>
      <w:bookmarkEnd w:id="207"/>
      <w:bookmarkEnd w:id="208"/>
      <w:bookmarkEnd w:id="209"/>
      <w:bookmarkEnd w:id="210"/>
      <w:bookmarkEnd w:id="211"/>
      <w:bookmarkEnd w:id="21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19.l </w:t>
      </w:r>
      <w:r>
        <w:rPr>
          <w:rFonts w:hint="eastAsia" w:cs="宋体" w:asciiTheme="minorEastAsia" w:hAnsiTheme="minorEastAsia" w:eastAsiaTheme="minorEastAsia"/>
          <w:sz w:val="24"/>
          <w:szCs w:val="24"/>
        </w:rPr>
        <w:t>投标人须在招标文件第一部分规定的投标截止时间前将投标文件送达采购代理机构规定的投标地点。</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19.2 </w:t>
      </w:r>
      <w:r>
        <w:rPr>
          <w:rFonts w:hint="eastAsia" w:cs="宋体" w:asciiTheme="minorEastAsia" w:hAnsiTheme="minorEastAsia" w:eastAsiaTheme="minorEastAsia"/>
          <w:sz w:val="24"/>
          <w:szCs w:val="24"/>
        </w:rPr>
        <w:t>若采购代理机构按</w:t>
      </w:r>
      <w:r>
        <w:rPr>
          <w:rFonts w:cs="宋体" w:asciiTheme="minorEastAsia" w:hAnsiTheme="minorEastAsia" w:eastAsiaTheme="minorEastAsia"/>
          <w:sz w:val="24"/>
          <w:szCs w:val="24"/>
        </w:rPr>
        <w:t>8</w:t>
      </w:r>
      <w:r>
        <w:rPr>
          <w:rFonts w:hint="eastAsia" w:cs="宋体" w:asciiTheme="minorEastAsia" w:hAnsiTheme="minorEastAsia" w:eastAsiaTheme="minorEastAsia"/>
          <w:sz w:val="24"/>
          <w:szCs w:val="24"/>
        </w:rPr>
        <w:t>条规定推迟了投标截止时间，采购代理机构和投标人受投标截止时间制约的所有权利和义务均应以新的截止时间为准。</w:t>
      </w:r>
    </w:p>
    <w:p>
      <w:pPr>
        <w:snapToGrid w:val="0"/>
        <w:spacing w:line="360" w:lineRule="auto"/>
        <w:ind w:firstLine="480" w:firstLineChars="200"/>
        <w:rPr>
          <w:rFonts w:cs="宋体" w:asciiTheme="minorEastAsia" w:hAnsiTheme="minorEastAsia" w:eastAsiaTheme="minorEastAsia"/>
          <w:sz w:val="24"/>
          <w:szCs w:val="24"/>
        </w:rPr>
      </w:pPr>
      <w:bookmarkStart w:id="213" w:name="_Toc238907022"/>
      <w:bookmarkStart w:id="214" w:name="_Toc483396309"/>
      <w:bookmarkStart w:id="215" w:name="_Toc31104"/>
      <w:bookmarkStart w:id="216" w:name="_Toc483396397"/>
      <w:bookmarkStart w:id="217" w:name="_Toc501916499"/>
      <w:bookmarkStart w:id="218" w:name="_Toc8283249"/>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．迟交的投标文件</w:t>
      </w:r>
      <w:bookmarkEnd w:id="213"/>
      <w:bookmarkEnd w:id="214"/>
      <w:bookmarkEnd w:id="215"/>
      <w:bookmarkEnd w:id="216"/>
      <w:bookmarkEnd w:id="217"/>
      <w:bookmarkEnd w:id="218"/>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20.1 </w:t>
      </w:r>
      <w:r>
        <w:rPr>
          <w:rFonts w:hint="eastAsia" w:cs="宋体" w:asciiTheme="minorEastAsia" w:hAnsiTheme="minorEastAsia" w:eastAsiaTheme="minorEastAsia"/>
          <w:sz w:val="24"/>
          <w:szCs w:val="24"/>
        </w:rPr>
        <w:t>在投标截止时间后递交的投标文件，采购代理机构将拒绝接受。</w:t>
      </w:r>
    </w:p>
    <w:p>
      <w:pPr>
        <w:snapToGrid w:val="0"/>
        <w:spacing w:line="360" w:lineRule="auto"/>
        <w:ind w:firstLine="480" w:firstLineChars="200"/>
        <w:rPr>
          <w:rFonts w:cs="宋体" w:asciiTheme="minorEastAsia" w:hAnsiTheme="minorEastAsia" w:eastAsiaTheme="minorEastAsia"/>
          <w:sz w:val="24"/>
          <w:szCs w:val="24"/>
        </w:rPr>
      </w:pPr>
      <w:bookmarkStart w:id="219" w:name="_Toc483396310"/>
      <w:bookmarkStart w:id="220" w:name="_Toc483396398"/>
      <w:bookmarkStart w:id="221" w:name="_Toc501916500"/>
      <w:bookmarkStart w:id="222" w:name="_Toc10155"/>
      <w:bookmarkStart w:id="223" w:name="_Toc238907023"/>
      <w:bookmarkStart w:id="224" w:name="_Toc8283250"/>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．投标文件的修改和撤回</w:t>
      </w:r>
      <w:bookmarkEnd w:id="219"/>
      <w:bookmarkEnd w:id="220"/>
      <w:bookmarkEnd w:id="221"/>
      <w:bookmarkEnd w:id="222"/>
      <w:bookmarkEnd w:id="223"/>
      <w:bookmarkEnd w:id="224"/>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21.l </w:t>
      </w:r>
      <w:r>
        <w:rPr>
          <w:rFonts w:hint="eastAsia" w:cs="宋体" w:asciiTheme="minorEastAsia" w:hAnsiTheme="minorEastAsia" w:eastAsiaTheme="minorEastAsia"/>
          <w:sz w:val="24"/>
          <w:szCs w:val="24"/>
        </w:rPr>
        <w:t>投标人在提交投标文件后可对其进行修改或撤回，但必须使采购代理机构在投标截止时间前收到该修改的书面内容或撤回的书面通知，该书面文件须由法人代表或其授权代表签署。</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21.2 </w:t>
      </w:r>
      <w:r>
        <w:rPr>
          <w:rFonts w:hint="eastAsia" w:cs="宋体" w:asciiTheme="minorEastAsia" w:hAnsiTheme="minorEastAsia" w:eastAsiaTheme="minorEastAsia"/>
          <w:sz w:val="24"/>
          <w:szCs w:val="24"/>
        </w:rPr>
        <w:t>投标文件的修改文件应按第</w:t>
      </w:r>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条规定签署、密封，并按第</w:t>
      </w:r>
      <w:r>
        <w:rPr>
          <w:rFonts w:cs="宋体" w:asciiTheme="minorEastAsia" w:hAnsiTheme="minorEastAsia" w:eastAsiaTheme="minorEastAsia"/>
          <w:sz w:val="24"/>
          <w:szCs w:val="24"/>
        </w:rPr>
        <w:t xml:space="preserve"> 18.2</w:t>
      </w:r>
      <w:r>
        <w:rPr>
          <w:rFonts w:hint="eastAsia" w:cs="宋体" w:asciiTheme="minorEastAsia" w:hAnsiTheme="minorEastAsia" w:eastAsiaTheme="minorEastAsia"/>
          <w:sz w:val="24"/>
          <w:szCs w:val="24"/>
        </w:rPr>
        <w:t>条规定标记，还须注明“修改投标文件”和“开标前不得启封”字样。修改文件须在投标截止时间前送达采购代理机构规定的投标地点。上述补充或修改若涉及投标报价，必须注明“最终唯一报价”字样，否则将视为有选择的报价。</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21.3 </w:t>
      </w:r>
      <w:r>
        <w:rPr>
          <w:rFonts w:hint="eastAsia" w:cs="宋体" w:asciiTheme="minorEastAsia" w:hAnsiTheme="minorEastAsia" w:eastAsiaTheme="minorEastAsia"/>
          <w:sz w:val="24"/>
          <w:szCs w:val="24"/>
        </w:rPr>
        <w:t>投标人不得在投标截止时间以后修改投标文件。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21.4 </w:t>
      </w:r>
      <w:r>
        <w:rPr>
          <w:rFonts w:hint="eastAsia" w:cs="宋体" w:asciiTheme="minorEastAsia" w:hAnsiTheme="minorEastAsia" w:eastAsiaTheme="minorEastAsia"/>
          <w:sz w:val="24"/>
          <w:szCs w:val="24"/>
        </w:rPr>
        <w:t>投标人不得在投标截止时间起至投标有效期满前撤回投标文件，否则投标保证金将被没收。该投标人的投标文件不予退还。</w:t>
      </w:r>
    </w:p>
    <w:p>
      <w:pPr>
        <w:pStyle w:val="2"/>
        <w:numPr>
          <w:ilvl w:val="0"/>
          <w:numId w:val="0"/>
        </w:numPr>
        <w:ind w:left="482"/>
        <w:rPr>
          <w:rStyle w:val="82"/>
          <w:rFonts w:asciiTheme="majorEastAsia" w:hAnsiTheme="majorEastAsia" w:eastAsiaTheme="majorEastAsia"/>
          <w:b/>
          <w:bCs w:val="0"/>
          <w:sz w:val="24"/>
          <w:szCs w:val="24"/>
        </w:rPr>
      </w:pPr>
      <w:bookmarkStart w:id="225" w:name="_Toc501916501"/>
      <w:bookmarkStart w:id="226" w:name="_Toc483396399"/>
      <w:bookmarkStart w:id="227" w:name="_Toc238907024"/>
      <w:bookmarkStart w:id="228" w:name="_Toc483396311"/>
      <w:bookmarkStart w:id="229" w:name="_Toc12264"/>
      <w:bookmarkStart w:id="230" w:name="_Toc8283251"/>
      <w:bookmarkStart w:id="231" w:name="_Toc10188486"/>
      <w:r>
        <w:rPr>
          <w:rStyle w:val="82"/>
          <w:rFonts w:hint="eastAsia" w:asciiTheme="majorEastAsia" w:hAnsiTheme="majorEastAsia" w:eastAsiaTheme="majorEastAsia"/>
          <w:b/>
          <w:bCs w:val="0"/>
          <w:sz w:val="24"/>
          <w:szCs w:val="24"/>
        </w:rPr>
        <w:t>五、开标及评标</w:t>
      </w:r>
      <w:bookmarkEnd w:id="225"/>
      <w:bookmarkEnd w:id="226"/>
      <w:bookmarkEnd w:id="227"/>
      <w:bookmarkEnd w:id="228"/>
      <w:bookmarkEnd w:id="229"/>
      <w:bookmarkEnd w:id="230"/>
      <w:bookmarkEnd w:id="231"/>
    </w:p>
    <w:p>
      <w:pPr>
        <w:snapToGrid w:val="0"/>
        <w:spacing w:line="360" w:lineRule="auto"/>
        <w:ind w:firstLine="480" w:firstLineChars="200"/>
        <w:rPr>
          <w:rFonts w:cs="宋体" w:asciiTheme="minorEastAsia" w:hAnsiTheme="minorEastAsia" w:eastAsiaTheme="minorEastAsia"/>
          <w:sz w:val="24"/>
          <w:szCs w:val="24"/>
        </w:rPr>
      </w:pPr>
      <w:bookmarkStart w:id="232" w:name="_Toc238907025"/>
      <w:bookmarkStart w:id="233" w:name="_Toc483396400"/>
      <w:bookmarkStart w:id="234" w:name="_Toc501916502"/>
      <w:bookmarkStart w:id="235" w:name="_Toc483396312"/>
      <w:bookmarkStart w:id="236" w:name="_Toc14244"/>
      <w:bookmarkStart w:id="237" w:name="_Toc8283252"/>
      <w:r>
        <w:rPr>
          <w:rFonts w:cs="宋体" w:asciiTheme="minorEastAsia" w:hAnsiTheme="minorEastAsia" w:eastAsiaTheme="minorEastAsia"/>
          <w:sz w:val="24"/>
          <w:szCs w:val="24"/>
        </w:rPr>
        <w:t>22</w:t>
      </w:r>
      <w:r>
        <w:rPr>
          <w:rFonts w:hint="eastAsia" w:cs="宋体" w:asciiTheme="minorEastAsia" w:hAnsiTheme="minorEastAsia" w:eastAsiaTheme="minorEastAsia"/>
          <w:sz w:val="24"/>
          <w:szCs w:val="24"/>
        </w:rPr>
        <w:t>．开标</w:t>
      </w:r>
      <w:bookmarkEnd w:id="232"/>
      <w:bookmarkEnd w:id="233"/>
      <w:bookmarkEnd w:id="234"/>
      <w:bookmarkEnd w:id="235"/>
      <w:bookmarkEnd w:id="236"/>
      <w:bookmarkEnd w:id="237"/>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22.l </w:t>
      </w:r>
      <w:r>
        <w:rPr>
          <w:rFonts w:hint="eastAsia" w:cs="宋体" w:asciiTheme="minorEastAsia" w:hAnsiTheme="minorEastAsia" w:eastAsiaTheme="minorEastAsia"/>
          <w:sz w:val="24"/>
          <w:szCs w:val="24"/>
        </w:rPr>
        <w:t>采购代理机构按招标文件第一章规定的时间和地点开标。采购人代表、采购代理机构有关工作人员参加。政府采购主管部门、监督部门、国家公证机关公证员由其视情况决定是否派代表到现场进行监督。</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22.2 </w:t>
      </w:r>
      <w:r>
        <w:rPr>
          <w:rFonts w:hint="eastAsia" w:cs="宋体" w:asciiTheme="minorEastAsia" w:hAnsiTheme="minorEastAsia" w:eastAsiaTheme="minorEastAsia"/>
          <w:sz w:val="24"/>
          <w:szCs w:val="24"/>
        </w:rPr>
        <w:t>投标人应委派授权代表参加开标活动，参加开标的代表须持本人身份证件签名报到以证明其出席。未派授权代表或不能证明其授权代表身份的，采购代理机构对投标文件的处理不承担责任。</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22.3 </w:t>
      </w:r>
      <w:r>
        <w:rPr>
          <w:rFonts w:hint="eastAsia" w:cs="宋体" w:asciiTheme="minorEastAsia" w:hAnsiTheme="minorEastAsia" w:eastAsiaTheme="minorEastAsia"/>
          <w:sz w:val="24"/>
          <w:szCs w:val="24"/>
        </w:rPr>
        <w:t>开标时，采购代理机构、公证员（如有）或投标人代表将查验投标文件密封情况，确认无误后拆封唱标，公布每份投标文件中“开标一览表”的内容，以及采购代理机构认为合适的其他内容，采购代理机构将作开标记录。</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22.4 </w:t>
      </w:r>
      <w:r>
        <w:rPr>
          <w:rFonts w:hint="eastAsia" w:cs="宋体" w:asciiTheme="minorEastAsia" w:hAnsiTheme="minorEastAsia" w:eastAsiaTheme="minorEastAsia"/>
          <w:sz w:val="24"/>
          <w:szCs w:val="24"/>
        </w:rPr>
        <w:t>若投标文件未密封，或投标人未提交投标保证金（包括投标保证金不符合第</w:t>
      </w:r>
      <w:r>
        <w:rPr>
          <w:rFonts w:cs="宋体" w:asciiTheme="minorEastAsia" w:hAnsiTheme="minorEastAsia" w:eastAsiaTheme="minorEastAsia"/>
          <w:sz w:val="24"/>
          <w:szCs w:val="24"/>
        </w:rPr>
        <w:t>13</w:t>
      </w:r>
      <w:r>
        <w:rPr>
          <w:rFonts w:hint="eastAsia" w:cs="宋体" w:asciiTheme="minorEastAsia" w:hAnsiTheme="minorEastAsia" w:eastAsiaTheme="minorEastAsia"/>
          <w:sz w:val="24"/>
          <w:szCs w:val="24"/>
        </w:rPr>
        <w:t>条规定），采购代理机构将拒绝接受该投标人的投标文件。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22.5 </w:t>
      </w:r>
      <w:r>
        <w:rPr>
          <w:rFonts w:hint="eastAsia" w:cs="宋体" w:asciiTheme="minorEastAsia" w:hAnsiTheme="minorEastAsia" w:eastAsiaTheme="minorEastAsia"/>
          <w:sz w:val="24"/>
          <w:szCs w:val="24"/>
        </w:rPr>
        <w:t>按照第</w:t>
      </w:r>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条规定，同意撤回的投标文件将不予拆封。</w:t>
      </w:r>
    </w:p>
    <w:p>
      <w:pPr>
        <w:snapToGrid w:val="0"/>
        <w:spacing w:line="360" w:lineRule="auto"/>
        <w:ind w:firstLine="480" w:firstLineChars="200"/>
        <w:rPr>
          <w:rFonts w:cs="宋体" w:asciiTheme="minorEastAsia" w:hAnsiTheme="minorEastAsia" w:eastAsiaTheme="minorEastAsia"/>
          <w:sz w:val="24"/>
          <w:szCs w:val="24"/>
        </w:rPr>
      </w:pPr>
      <w:bookmarkStart w:id="238" w:name="_Toc483396401"/>
      <w:bookmarkStart w:id="239" w:name="_Toc238907026"/>
      <w:bookmarkStart w:id="240" w:name="_Toc501916503"/>
      <w:bookmarkStart w:id="241" w:name="_Toc483396313"/>
      <w:bookmarkStart w:id="242" w:name="_Toc29955"/>
      <w:bookmarkStart w:id="243" w:name="_Toc8283253"/>
      <w:r>
        <w:rPr>
          <w:rFonts w:cs="宋体" w:asciiTheme="minorEastAsia" w:hAnsiTheme="minorEastAsia" w:eastAsiaTheme="minorEastAsia"/>
          <w:sz w:val="24"/>
          <w:szCs w:val="24"/>
        </w:rPr>
        <w:t>23</w:t>
      </w:r>
      <w:r>
        <w:rPr>
          <w:rFonts w:hint="eastAsia" w:cs="宋体" w:asciiTheme="minorEastAsia" w:hAnsiTheme="minorEastAsia" w:eastAsiaTheme="minorEastAsia"/>
          <w:sz w:val="24"/>
          <w:szCs w:val="24"/>
        </w:rPr>
        <w:t>．评标委员会</w:t>
      </w:r>
      <w:bookmarkEnd w:id="238"/>
      <w:bookmarkEnd w:id="239"/>
      <w:bookmarkEnd w:id="240"/>
      <w:bookmarkEnd w:id="241"/>
      <w:bookmarkEnd w:id="242"/>
      <w:bookmarkEnd w:id="243"/>
    </w:p>
    <w:p>
      <w:pPr>
        <w:snapToGrid w:val="0"/>
        <w:spacing w:line="360" w:lineRule="auto"/>
        <w:ind w:firstLine="480" w:firstLineChars="200"/>
        <w:rPr>
          <w:rFonts w:cs="宋体" w:asciiTheme="minorEastAsia" w:hAnsiTheme="minorEastAsia" w:eastAsiaTheme="minorEastAsia"/>
          <w:sz w:val="24"/>
          <w:szCs w:val="24"/>
        </w:rPr>
      </w:pPr>
      <w:bookmarkStart w:id="244" w:name="_Toc238907027"/>
      <w:r>
        <w:rPr>
          <w:rFonts w:cs="宋体" w:asciiTheme="minorEastAsia" w:hAnsiTheme="minorEastAsia" w:eastAsiaTheme="minorEastAsia"/>
          <w:sz w:val="24"/>
          <w:szCs w:val="24"/>
        </w:rPr>
        <w:t xml:space="preserve">23.1 </w:t>
      </w:r>
      <w:r>
        <w:rPr>
          <w:rFonts w:hint="eastAsia" w:cs="宋体" w:asciiTheme="minorEastAsia" w:hAnsiTheme="minorEastAsia" w:eastAsiaTheme="minorEastAsia"/>
          <w:sz w:val="24"/>
          <w:szCs w:val="24"/>
        </w:rPr>
        <w:t>受采购人的委托，从海南省人民政府政务服务中心综合专家库专家库中随机抽取4名专家和招标人指派1名评委组成评标委员会，该委员会独立工作，负责评审所有投标文件并确定中标候选人。</w:t>
      </w:r>
    </w:p>
    <w:p>
      <w:pPr>
        <w:snapToGrid w:val="0"/>
        <w:spacing w:line="360" w:lineRule="auto"/>
        <w:ind w:firstLine="480" w:firstLineChars="200"/>
        <w:rPr>
          <w:rFonts w:cs="宋体" w:asciiTheme="minorEastAsia" w:hAnsiTheme="minorEastAsia" w:eastAsiaTheme="minorEastAsia"/>
          <w:sz w:val="24"/>
          <w:szCs w:val="24"/>
        </w:rPr>
      </w:pPr>
      <w:bookmarkStart w:id="245" w:name="_Toc483396314"/>
      <w:bookmarkStart w:id="246" w:name="_Toc483396402"/>
      <w:bookmarkStart w:id="247" w:name="_Toc501916504"/>
      <w:bookmarkStart w:id="248" w:name="_Toc23904"/>
      <w:bookmarkStart w:id="249" w:name="_Toc8283254"/>
      <w:r>
        <w:rPr>
          <w:rFonts w:cs="宋体" w:asciiTheme="minorEastAsia" w:hAnsiTheme="minorEastAsia" w:eastAsiaTheme="minorEastAsia"/>
          <w:sz w:val="24"/>
          <w:szCs w:val="24"/>
        </w:rPr>
        <w:t>24</w:t>
      </w:r>
      <w:r>
        <w:rPr>
          <w:rFonts w:hint="eastAsia" w:cs="宋体" w:asciiTheme="minorEastAsia" w:hAnsiTheme="minorEastAsia" w:eastAsiaTheme="minorEastAsia"/>
          <w:sz w:val="24"/>
          <w:szCs w:val="24"/>
        </w:rPr>
        <w:t>．对投标文件的资格性审查</w:t>
      </w:r>
      <w:bookmarkEnd w:id="244"/>
      <w:bookmarkEnd w:id="245"/>
      <w:bookmarkEnd w:id="246"/>
      <w:bookmarkEnd w:id="247"/>
      <w:bookmarkEnd w:id="248"/>
      <w:bookmarkEnd w:id="249"/>
    </w:p>
    <w:p>
      <w:pPr>
        <w:snapToGrid w:val="0"/>
        <w:spacing w:line="360" w:lineRule="auto"/>
        <w:ind w:firstLine="480" w:firstLineChars="200"/>
        <w:rPr>
          <w:rFonts w:cs="宋体" w:asciiTheme="minorEastAsia" w:hAnsiTheme="minorEastAsia" w:eastAsiaTheme="minorEastAsia"/>
          <w:sz w:val="24"/>
          <w:szCs w:val="24"/>
        </w:rPr>
      </w:pPr>
      <w:bookmarkStart w:id="250" w:name="_Toc501916505"/>
      <w:bookmarkStart w:id="251" w:name="_Toc10314"/>
      <w:bookmarkStart w:id="252" w:name="_Toc8283255"/>
      <w:r>
        <w:rPr>
          <w:rFonts w:cs="宋体" w:asciiTheme="minorEastAsia" w:hAnsiTheme="minorEastAsia" w:eastAsiaTheme="minorEastAsia"/>
          <w:sz w:val="24"/>
          <w:szCs w:val="24"/>
        </w:rPr>
        <w:t xml:space="preserve">24.l </w:t>
      </w:r>
      <w:r>
        <w:rPr>
          <w:rFonts w:hint="eastAsia" w:cs="宋体" w:asciiTheme="minorEastAsia" w:hAnsiTheme="minorEastAsia" w:eastAsiaTheme="minorEastAsia"/>
          <w:sz w:val="24"/>
          <w:szCs w:val="24"/>
        </w:rPr>
        <w:t>资格性审查的内容包括：详见资格性审查表</w:t>
      </w:r>
      <w:bookmarkEnd w:id="250"/>
      <w:bookmarkEnd w:id="251"/>
      <w:bookmarkEnd w:id="25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24.2</w:t>
      </w:r>
      <w:r>
        <w:rPr>
          <w:rFonts w:hint="eastAsia" w:cs="宋体" w:asciiTheme="minorEastAsia" w:hAnsiTheme="minorEastAsia" w:eastAsiaTheme="minorEastAsia"/>
          <w:sz w:val="24"/>
          <w:szCs w:val="24"/>
        </w:rPr>
        <w:t>以上资格性审查的内容只要有一条不满足，则投标文件无效。</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24.3 </w:t>
      </w:r>
      <w:r>
        <w:rPr>
          <w:rFonts w:hint="eastAsia" w:cs="宋体" w:asciiTheme="minorEastAsia" w:hAnsiTheme="minorEastAsia" w:eastAsiaTheme="minorEastAsia"/>
          <w:sz w:val="24"/>
          <w:szCs w:val="24"/>
        </w:rPr>
        <w:t>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24</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3.1 </w:t>
      </w:r>
      <w:r>
        <w:rPr>
          <w:rFonts w:hint="eastAsia" w:cs="宋体" w:asciiTheme="minorEastAsia" w:hAnsiTheme="minorEastAsia" w:eastAsiaTheme="minorEastAsia"/>
          <w:sz w:val="24"/>
          <w:szCs w:val="24"/>
        </w:rPr>
        <w:t>判断投标文件的响应与否只根据投标文件本身，而不寻求外部证据。</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24.4 </w:t>
      </w:r>
      <w:r>
        <w:rPr>
          <w:rFonts w:hint="eastAsia" w:cs="宋体" w:asciiTheme="minorEastAsia" w:hAnsiTheme="minorEastAsia" w:eastAsiaTheme="minorEastAsia"/>
          <w:sz w:val="24"/>
          <w:szCs w:val="24"/>
        </w:rPr>
        <w:t>评标委员会在初审中，对算术错误的修正原则如下</w:t>
      </w:r>
      <w:r>
        <w:rPr>
          <w:rFonts w:cs="宋体" w:asciiTheme="minorEastAsia" w:hAnsiTheme="minorEastAsia" w:eastAsiaTheme="minorEastAsia"/>
          <w:sz w:val="24"/>
          <w:szCs w:val="24"/>
        </w:rPr>
        <w:t>:</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24.4.l</w:t>
      </w:r>
      <w:r>
        <w:rPr>
          <w:rFonts w:hint="eastAsia" w:cs="宋体" w:asciiTheme="minorEastAsia" w:hAnsiTheme="minorEastAsia" w:eastAsiaTheme="minorEastAsia"/>
          <w:sz w:val="24"/>
          <w:szCs w:val="24"/>
        </w:rPr>
        <w:t>开标一览表（报价表）内容与投标文件中明细表内容不一致的，以开标一览表（报价表）为准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24.4.2 </w:t>
      </w:r>
      <w:r>
        <w:rPr>
          <w:rFonts w:hint="eastAsia" w:cs="宋体" w:asciiTheme="minorEastAsia" w:hAnsiTheme="minorEastAsia" w:eastAsiaTheme="minorEastAsia"/>
          <w:sz w:val="24"/>
          <w:szCs w:val="24"/>
        </w:rPr>
        <w:t>投标文件的大写金额和小写金额不一致的，以大写金额为准；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24.4.3 </w:t>
      </w:r>
      <w:r>
        <w:rPr>
          <w:rFonts w:hint="eastAsia" w:cs="宋体" w:asciiTheme="minorEastAsia" w:hAnsiTheme="minorEastAsia" w:eastAsiaTheme="minorEastAsia"/>
          <w:sz w:val="24"/>
          <w:szCs w:val="24"/>
        </w:rPr>
        <w:t>总价金额与按单价汇总金额不一致的，以单价金额计算结果为准；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24.4.4 </w:t>
      </w:r>
      <w:r>
        <w:rPr>
          <w:rFonts w:hint="eastAsia" w:cs="宋体" w:asciiTheme="minorEastAsia" w:hAnsiTheme="minorEastAsia" w:eastAsiaTheme="minorEastAsia"/>
          <w:sz w:val="24"/>
          <w:szCs w:val="24"/>
        </w:rPr>
        <w:t>单价金额小数点有明显错位的，以总价为准并修改单价。</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24.4.5 </w:t>
      </w:r>
      <w:r>
        <w:rPr>
          <w:rFonts w:hint="eastAsia" w:cs="宋体" w:asciiTheme="minorEastAsia" w:hAnsiTheme="minorEastAsia" w:eastAsiaTheme="minorEastAsia"/>
          <w:sz w:val="24"/>
          <w:szCs w:val="24"/>
        </w:rPr>
        <w:t>若投标人不同意以上修正，投标文件将视为无效。</w:t>
      </w:r>
    </w:p>
    <w:p>
      <w:pPr>
        <w:snapToGrid w:val="0"/>
        <w:spacing w:line="360" w:lineRule="auto"/>
        <w:ind w:firstLine="480" w:firstLineChars="200"/>
        <w:rPr>
          <w:rFonts w:cs="宋体" w:asciiTheme="minorEastAsia" w:hAnsiTheme="minorEastAsia" w:eastAsiaTheme="minorEastAsia"/>
          <w:sz w:val="24"/>
          <w:szCs w:val="24"/>
        </w:rPr>
      </w:pPr>
      <w:bookmarkStart w:id="253" w:name="_Toc501916506"/>
      <w:bookmarkStart w:id="254" w:name="_Toc483396315"/>
      <w:bookmarkStart w:id="255" w:name="_Toc483396403"/>
      <w:bookmarkStart w:id="256" w:name="_Toc238907028"/>
      <w:bookmarkStart w:id="257" w:name="_Toc19260"/>
      <w:bookmarkStart w:id="258" w:name="_Toc8283256"/>
      <w:r>
        <w:rPr>
          <w:rFonts w:cs="宋体" w:asciiTheme="minorEastAsia" w:hAnsiTheme="minorEastAsia" w:eastAsiaTheme="minorEastAsia"/>
          <w:sz w:val="24"/>
          <w:szCs w:val="24"/>
        </w:rPr>
        <w:t>25</w:t>
      </w:r>
      <w:r>
        <w:rPr>
          <w:rFonts w:hint="eastAsia" w:cs="宋体" w:asciiTheme="minorEastAsia" w:hAnsiTheme="minorEastAsia" w:eastAsiaTheme="minorEastAsia"/>
          <w:sz w:val="24"/>
          <w:szCs w:val="24"/>
        </w:rPr>
        <w:t>．投标文件的澄清</w:t>
      </w:r>
      <w:bookmarkEnd w:id="253"/>
      <w:bookmarkEnd w:id="254"/>
      <w:bookmarkEnd w:id="255"/>
      <w:bookmarkEnd w:id="256"/>
      <w:bookmarkEnd w:id="257"/>
      <w:bookmarkEnd w:id="258"/>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25.1 </w:t>
      </w:r>
      <w:r>
        <w:rPr>
          <w:rFonts w:hint="eastAsia" w:cs="宋体" w:asciiTheme="minorEastAsia" w:hAnsiTheme="minorEastAsia" w:eastAsiaTheme="minorEastAsia"/>
          <w:sz w:val="24"/>
          <w:szCs w:val="24"/>
        </w:rPr>
        <w:t>在评标期间，评标委员会有权要求投标人对其投标文件中含义不明确、同类问题表述不一致或者有明显文字和计算错误的内容进行澄清。投标人应派授权代表和技术人员按评标委员会通知的时间和地点接受询标。</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25.2 </w:t>
      </w:r>
      <w:r>
        <w:rPr>
          <w:rFonts w:hint="eastAsia" w:cs="宋体" w:asciiTheme="minorEastAsia" w:hAnsiTheme="minorEastAsia" w:eastAsiaTheme="minorEastAsia"/>
          <w:sz w:val="24"/>
          <w:szCs w:val="24"/>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 25.3</w:t>
      </w:r>
      <w:r>
        <w:rPr>
          <w:rFonts w:hint="eastAsia" w:cs="宋体" w:asciiTheme="minorEastAsia" w:hAnsiTheme="minorEastAsia" w:eastAsiaTheme="minorEastAsia"/>
          <w:sz w:val="24"/>
          <w:szCs w:val="24"/>
        </w:rPr>
        <w:t>投标供应商不按评标委员会规定的时间和地点作书面澄清，将视为放弃该权利。</w:t>
      </w:r>
    </w:p>
    <w:p>
      <w:pPr>
        <w:snapToGrid w:val="0"/>
        <w:spacing w:line="360" w:lineRule="auto"/>
        <w:ind w:firstLine="480" w:firstLineChars="200"/>
        <w:rPr>
          <w:rFonts w:cs="宋体" w:asciiTheme="minorEastAsia" w:hAnsiTheme="minorEastAsia" w:eastAsiaTheme="minorEastAsia"/>
          <w:sz w:val="24"/>
          <w:szCs w:val="24"/>
        </w:rPr>
      </w:pPr>
      <w:bookmarkStart w:id="259" w:name="_Toc501916507"/>
      <w:bookmarkStart w:id="260" w:name="_Toc26695"/>
      <w:bookmarkStart w:id="261" w:name="_Toc8283257"/>
      <w:r>
        <w:rPr>
          <w:rFonts w:cs="宋体" w:asciiTheme="minorEastAsia" w:hAnsiTheme="minorEastAsia" w:eastAsiaTheme="minorEastAsia"/>
          <w:sz w:val="24"/>
          <w:szCs w:val="24"/>
        </w:rPr>
        <w:t xml:space="preserve">25.4 </w:t>
      </w:r>
      <w:r>
        <w:rPr>
          <w:rFonts w:hint="eastAsia" w:cs="宋体" w:asciiTheme="minorEastAsia" w:hAnsiTheme="minorEastAsia" w:eastAsiaTheme="minorEastAsia"/>
          <w:sz w:val="24"/>
          <w:szCs w:val="24"/>
        </w:rPr>
        <w:t>并非每个投标人都将被询标。</w:t>
      </w:r>
      <w:bookmarkEnd w:id="259"/>
      <w:bookmarkEnd w:id="260"/>
      <w:bookmarkEnd w:id="261"/>
    </w:p>
    <w:p>
      <w:pPr>
        <w:snapToGrid w:val="0"/>
        <w:spacing w:line="360" w:lineRule="auto"/>
        <w:ind w:firstLine="480" w:firstLineChars="200"/>
        <w:rPr>
          <w:rFonts w:cs="宋体" w:asciiTheme="minorEastAsia" w:hAnsiTheme="minorEastAsia" w:eastAsiaTheme="minorEastAsia"/>
          <w:sz w:val="24"/>
          <w:szCs w:val="24"/>
        </w:rPr>
      </w:pPr>
      <w:bookmarkStart w:id="262" w:name="_Toc501916508"/>
      <w:bookmarkStart w:id="263" w:name="_Toc483396316"/>
      <w:bookmarkStart w:id="264" w:name="_Toc238907029"/>
      <w:bookmarkStart w:id="265" w:name="_Toc483396404"/>
      <w:bookmarkStart w:id="266" w:name="_Toc3249"/>
      <w:bookmarkStart w:id="267" w:name="_Toc8283258"/>
      <w:r>
        <w:rPr>
          <w:rFonts w:cs="宋体" w:asciiTheme="minorEastAsia" w:hAnsiTheme="minorEastAsia" w:eastAsiaTheme="minorEastAsia"/>
          <w:sz w:val="24"/>
          <w:szCs w:val="24"/>
        </w:rPr>
        <w:t>26</w:t>
      </w:r>
      <w:r>
        <w:rPr>
          <w:rFonts w:hint="eastAsia" w:cs="宋体" w:asciiTheme="minorEastAsia" w:hAnsiTheme="minorEastAsia" w:eastAsiaTheme="minorEastAsia"/>
          <w:sz w:val="24"/>
          <w:szCs w:val="24"/>
        </w:rPr>
        <w:t>．评标及定标</w:t>
      </w:r>
      <w:bookmarkEnd w:id="262"/>
      <w:bookmarkEnd w:id="263"/>
      <w:bookmarkEnd w:id="264"/>
      <w:bookmarkEnd w:id="265"/>
      <w:bookmarkEnd w:id="266"/>
      <w:bookmarkEnd w:id="267"/>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26.1 </w:t>
      </w:r>
      <w:r>
        <w:rPr>
          <w:rFonts w:hint="eastAsia" w:cs="宋体" w:asciiTheme="minorEastAsia" w:hAnsiTheme="minorEastAsia" w:eastAsiaTheme="minorEastAsia"/>
          <w:sz w:val="24"/>
          <w:szCs w:val="24"/>
        </w:rPr>
        <w:t>采购代理机构、评标委员会分别对通过资格性审查的投标文件进行评价和比较。</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26.2</w:t>
      </w:r>
      <w:r>
        <w:rPr>
          <w:rFonts w:hint="eastAsia" w:cs="宋体" w:asciiTheme="minorEastAsia" w:hAnsiTheme="minorEastAsia" w:eastAsiaTheme="minorEastAsia"/>
          <w:sz w:val="24"/>
          <w:szCs w:val="24"/>
        </w:rPr>
        <w:t>评标委员会按招标文件“第六章”中公布的评标办法对每份投标文件进行评审，确定中标候选人。最低投标价等任何单项因素的最优不能作为中标的保证。</w:t>
      </w:r>
    </w:p>
    <w:p>
      <w:pPr>
        <w:snapToGrid w:val="0"/>
        <w:spacing w:line="360" w:lineRule="auto"/>
        <w:ind w:firstLine="480" w:firstLineChars="200"/>
        <w:rPr>
          <w:rFonts w:cs="宋体" w:asciiTheme="minorEastAsia" w:hAnsiTheme="minorEastAsia" w:eastAsiaTheme="minorEastAsia"/>
          <w:sz w:val="24"/>
          <w:szCs w:val="24"/>
        </w:rPr>
      </w:pPr>
      <w:bookmarkStart w:id="268" w:name="_Toc17730"/>
      <w:bookmarkStart w:id="269" w:name="_Toc483396405"/>
      <w:bookmarkStart w:id="270" w:name="_Toc501916509"/>
      <w:bookmarkStart w:id="271" w:name="_Toc238907030"/>
      <w:bookmarkStart w:id="272" w:name="_Toc483396317"/>
      <w:bookmarkStart w:id="273" w:name="_Toc8283259"/>
      <w:r>
        <w:rPr>
          <w:rFonts w:cs="宋体" w:asciiTheme="minorEastAsia" w:hAnsiTheme="minorEastAsia" w:eastAsiaTheme="minorEastAsia"/>
          <w:sz w:val="24"/>
          <w:szCs w:val="24"/>
        </w:rPr>
        <w:t>27</w:t>
      </w:r>
      <w:r>
        <w:rPr>
          <w:rFonts w:hint="eastAsia" w:cs="宋体" w:asciiTheme="minorEastAsia" w:hAnsiTheme="minorEastAsia" w:eastAsiaTheme="minorEastAsia"/>
          <w:sz w:val="24"/>
          <w:szCs w:val="24"/>
        </w:rPr>
        <w:t>．评标过程保密</w:t>
      </w:r>
      <w:bookmarkEnd w:id="268"/>
      <w:bookmarkEnd w:id="269"/>
      <w:bookmarkEnd w:id="270"/>
      <w:bookmarkEnd w:id="271"/>
      <w:bookmarkEnd w:id="272"/>
      <w:bookmarkEnd w:id="273"/>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27.l </w:t>
      </w:r>
      <w:r>
        <w:rPr>
          <w:rFonts w:hint="eastAsia" w:cs="宋体" w:asciiTheme="minorEastAsia" w:hAnsiTheme="minorEastAsia" w:eastAsiaTheme="minorEastAsia"/>
          <w:sz w:val="24"/>
          <w:szCs w:val="24"/>
        </w:rPr>
        <w:t>在宣布中标结果之前，凡属于审查、澄清、评价、比较投标文件和中标意向等有关信息，相关当事人均不得泄露给任何投标人或与评标工作无关的人员。</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27.2 </w:t>
      </w:r>
      <w:r>
        <w:rPr>
          <w:rFonts w:hint="eastAsia" w:cs="宋体" w:asciiTheme="minorEastAsia" w:hAnsiTheme="minorEastAsia" w:eastAsiaTheme="minorEastAsia"/>
          <w:sz w:val="24"/>
          <w:szCs w:val="24"/>
        </w:rPr>
        <w:t>投标人不得探听上述信息，不得以任何行为影响评标过程，否则其投标文件将被作为无效投标文件。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27.3 </w:t>
      </w:r>
      <w:r>
        <w:rPr>
          <w:rFonts w:hint="eastAsia" w:cs="宋体" w:asciiTheme="minorEastAsia" w:hAnsiTheme="minorEastAsia" w:eastAsiaTheme="minorEastAsia"/>
          <w:sz w:val="24"/>
          <w:szCs w:val="24"/>
        </w:rPr>
        <w:t>在评标期间，采购代理机构将有专门人员与投标人进行联络。</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27.4 </w:t>
      </w:r>
      <w:r>
        <w:rPr>
          <w:rFonts w:hint="eastAsia" w:cs="宋体" w:asciiTheme="minorEastAsia" w:hAnsiTheme="minorEastAsia" w:eastAsiaTheme="minorEastAsia"/>
          <w:sz w:val="24"/>
          <w:szCs w:val="24"/>
        </w:rPr>
        <w:t>采购代理机构和评标委员会不向落标的投标人解释落标原因，也不对评标过程中的细节问题进行公布。</w:t>
      </w:r>
    </w:p>
    <w:p>
      <w:pPr>
        <w:pStyle w:val="2"/>
        <w:numPr>
          <w:ilvl w:val="0"/>
          <w:numId w:val="0"/>
        </w:numPr>
        <w:ind w:left="482"/>
        <w:rPr>
          <w:rStyle w:val="82"/>
          <w:rFonts w:asciiTheme="majorEastAsia" w:hAnsiTheme="majorEastAsia" w:eastAsiaTheme="majorEastAsia"/>
          <w:b w:val="0"/>
          <w:bCs w:val="0"/>
          <w:sz w:val="24"/>
          <w:szCs w:val="24"/>
        </w:rPr>
      </w:pPr>
      <w:bookmarkStart w:id="274" w:name="_Toc238907031"/>
      <w:bookmarkStart w:id="275" w:name="_Toc483396406"/>
      <w:bookmarkStart w:id="276" w:name="_Toc501916510"/>
      <w:bookmarkStart w:id="277" w:name="_Toc483396318"/>
      <w:bookmarkStart w:id="278" w:name="_Toc8403"/>
      <w:bookmarkStart w:id="279" w:name="_Toc8283260"/>
      <w:bookmarkStart w:id="280" w:name="_Toc10188487"/>
      <w:r>
        <w:rPr>
          <w:rStyle w:val="82"/>
          <w:rFonts w:hint="eastAsia" w:asciiTheme="majorEastAsia" w:hAnsiTheme="majorEastAsia" w:eastAsiaTheme="majorEastAsia"/>
          <w:b w:val="0"/>
          <w:bCs w:val="0"/>
          <w:sz w:val="24"/>
          <w:szCs w:val="24"/>
        </w:rPr>
        <w:t>六、授标及签约</w:t>
      </w:r>
      <w:bookmarkEnd w:id="274"/>
      <w:bookmarkEnd w:id="275"/>
      <w:bookmarkEnd w:id="276"/>
      <w:bookmarkEnd w:id="277"/>
      <w:bookmarkEnd w:id="278"/>
      <w:bookmarkEnd w:id="279"/>
      <w:bookmarkEnd w:id="280"/>
    </w:p>
    <w:p>
      <w:pPr>
        <w:snapToGrid w:val="0"/>
        <w:spacing w:line="360" w:lineRule="auto"/>
        <w:ind w:firstLine="480" w:firstLineChars="200"/>
        <w:rPr>
          <w:rFonts w:cs="宋体" w:asciiTheme="minorEastAsia" w:hAnsiTheme="minorEastAsia" w:eastAsiaTheme="minorEastAsia"/>
          <w:sz w:val="24"/>
          <w:szCs w:val="24"/>
        </w:rPr>
      </w:pPr>
      <w:bookmarkStart w:id="281" w:name="_Toc501916511"/>
      <w:bookmarkStart w:id="282" w:name="_Toc483396407"/>
      <w:bookmarkStart w:id="283" w:name="_Toc238907032"/>
      <w:bookmarkStart w:id="284" w:name="_Toc483396319"/>
      <w:bookmarkStart w:id="285" w:name="_Toc23102"/>
      <w:bookmarkStart w:id="286" w:name="_Toc8283261"/>
      <w:r>
        <w:rPr>
          <w:rFonts w:cs="宋体" w:asciiTheme="minorEastAsia" w:hAnsiTheme="minorEastAsia" w:eastAsiaTheme="minorEastAsia"/>
          <w:sz w:val="24"/>
          <w:szCs w:val="24"/>
        </w:rPr>
        <w:t>28</w:t>
      </w:r>
      <w:r>
        <w:rPr>
          <w:rFonts w:hint="eastAsia" w:cs="宋体" w:asciiTheme="minorEastAsia" w:hAnsiTheme="minorEastAsia" w:eastAsiaTheme="minorEastAsia"/>
          <w:sz w:val="24"/>
          <w:szCs w:val="24"/>
        </w:rPr>
        <w:t>．定标原则</w:t>
      </w:r>
      <w:bookmarkEnd w:id="281"/>
      <w:bookmarkEnd w:id="282"/>
      <w:bookmarkEnd w:id="283"/>
      <w:bookmarkEnd w:id="284"/>
      <w:bookmarkEnd w:id="285"/>
      <w:bookmarkEnd w:id="286"/>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评标委员会将严格按照招标文件的要求和条件进行评标</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p>
    <w:p>
      <w:pPr>
        <w:snapToGrid w:val="0"/>
        <w:spacing w:line="360" w:lineRule="auto"/>
        <w:ind w:firstLine="480" w:firstLineChars="200"/>
        <w:rPr>
          <w:rFonts w:cs="宋体" w:asciiTheme="minorEastAsia" w:hAnsiTheme="minorEastAsia" w:eastAsiaTheme="minorEastAsia"/>
          <w:sz w:val="24"/>
          <w:szCs w:val="24"/>
        </w:rPr>
      </w:pPr>
      <w:bookmarkStart w:id="287" w:name="_Toc483396408"/>
      <w:bookmarkStart w:id="288" w:name="_Toc238907033"/>
      <w:bookmarkStart w:id="289" w:name="_Toc501916512"/>
      <w:bookmarkStart w:id="290" w:name="_Toc483396320"/>
      <w:bookmarkStart w:id="291" w:name="_Toc30166"/>
      <w:bookmarkStart w:id="292" w:name="_Toc8283262"/>
      <w:r>
        <w:rPr>
          <w:rFonts w:cs="宋体" w:asciiTheme="minorEastAsia" w:hAnsiTheme="minorEastAsia" w:eastAsiaTheme="minorEastAsia"/>
          <w:sz w:val="24"/>
          <w:szCs w:val="24"/>
        </w:rPr>
        <w:t xml:space="preserve">29. </w:t>
      </w:r>
      <w:r>
        <w:rPr>
          <w:rFonts w:hint="eastAsia" w:cs="宋体" w:asciiTheme="minorEastAsia" w:hAnsiTheme="minorEastAsia" w:eastAsiaTheme="minorEastAsia"/>
          <w:sz w:val="24"/>
          <w:szCs w:val="24"/>
        </w:rPr>
        <w:t>质疑和投诉</w:t>
      </w:r>
      <w:bookmarkEnd w:id="287"/>
      <w:bookmarkEnd w:id="288"/>
      <w:bookmarkEnd w:id="289"/>
      <w:bookmarkEnd w:id="290"/>
      <w:bookmarkEnd w:id="291"/>
      <w:bookmarkEnd w:id="292"/>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29.1</w:t>
      </w:r>
      <w:r>
        <w:rPr>
          <w:rFonts w:hint="eastAsia" w:cs="宋体" w:asciiTheme="minorEastAsia" w:hAnsiTheme="minorEastAsia" w:eastAsiaTheme="minorEastAsia"/>
          <w:sz w:val="24"/>
          <w:szCs w:val="24"/>
        </w:rPr>
        <w:t>质疑、投诉的接收和处理严格按照《中华人共和国政府采购法》、《中华人共和国政府采购法实施条例》、《政府采购投标人投诉处理办法》、《财政部关于加强政府采购投标人投诉受理审查工作的通知》的规定办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29.2</w:t>
      </w:r>
      <w:r>
        <w:rPr>
          <w:rFonts w:hint="eastAsia" w:cs="宋体" w:asciiTheme="minorEastAsia" w:hAnsiTheme="minorEastAsia" w:eastAsiaTheme="minorEastAsia"/>
          <w:sz w:val="24"/>
          <w:szCs w:val="24"/>
        </w:rPr>
        <w:t>投标人对政府采购活动事项有疑问的，可以向采购人或采购代理机构提出询问，采购人或采购代理机构应当及时作出答复，但答复的内容不得涉及商业秘密。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29.3</w:t>
      </w:r>
      <w:r>
        <w:rPr>
          <w:rFonts w:hint="eastAsia" w:cs="宋体" w:asciiTheme="minorEastAsia" w:hAnsiTheme="minorEastAsia" w:eastAsiaTheme="minorEastAsia"/>
          <w:sz w:val="24"/>
          <w:szCs w:val="24"/>
        </w:rPr>
        <w:t>投标人认为采购文件、采购过程和中标、成交结果使自己的权益受到损害的，可以以书面形式向采购人或采购代理机构提出质疑。</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29.4</w:t>
      </w:r>
      <w:r>
        <w:rPr>
          <w:rFonts w:hint="eastAsia" w:cs="宋体" w:asciiTheme="minorEastAsia" w:hAnsiTheme="minorEastAsia" w:eastAsiaTheme="minorEastAsia"/>
          <w:sz w:val="24"/>
          <w:szCs w:val="24"/>
        </w:rPr>
        <w:t>采购人或采购代理机构应当在收到投标人的书面质疑后</w:t>
      </w:r>
      <w:r>
        <w:rPr>
          <w:rFonts w:cs="宋体" w:asciiTheme="minorEastAsia" w:hAnsiTheme="minorEastAsia" w:eastAsiaTheme="minorEastAsia"/>
          <w:sz w:val="24"/>
          <w:szCs w:val="24"/>
        </w:rPr>
        <w:t>7</w:t>
      </w:r>
      <w:r>
        <w:rPr>
          <w:rFonts w:hint="eastAsia" w:cs="宋体" w:asciiTheme="minorEastAsia" w:hAnsiTheme="minorEastAsia" w:eastAsiaTheme="minorEastAsia"/>
          <w:sz w:val="24"/>
          <w:szCs w:val="24"/>
        </w:rPr>
        <w:t>个工作日内作出答复，并以书面形式通知质疑投标人和其他有关投标人，但答复的内容不得涉及商业秘密。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29.5</w:t>
      </w:r>
      <w:r>
        <w:rPr>
          <w:rFonts w:hint="eastAsia" w:cs="宋体" w:asciiTheme="minorEastAsia" w:hAnsiTheme="minorEastAsia" w:eastAsiaTheme="minorEastAsia"/>
          <w:sz w:val="24"/>
          <w:szCs w:val="24"/>
        </w:rPr>
        <w:t>质疑投标人对采购人、采购代理机构的答复不满意或者采购人、采购代理机构在规定的时间内未作出答复的，可以在答复期满后</w:t>
      </w:r>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个工作日内向同级政府采购监督管理部门投诉。</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29.6</w:t>
      </w:r>
      <w:r>
        <w:rPr>
          <w:rFonts w:hint="eastAsia" w:cs="宋体" w:asciiTheme="minorEastAsia" w:hAnsiTheme="minorEastAsia" w:eastAsiaTheme="minorEastAsia"/>
          <w:sz w:val="24"/>
          <w:szCs w:val="24"/>
        </w:rPr>
        <w:t>政府采购监督管理部门应当在收到投诉后</w:t>
      </w:r>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个工作日内，对投诉事项作出处理决定，并以书面形式通知投诉人和与投诉事项有关的当事人。</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29.7</w:t>
      </w:r>
      <w:r>
        <w:rPr>
          <w:rFonts w:hint="eastAsia" w:cs="宋体" w:asciiTheme="minorEastAsia" w:hAnsiTheme="minorEastAsia" w:eastAsiaTheme="minorEastAsia"/>
          <w:sz w:val="24"/>
          <w:szCs w:val="24"/>
        </w:rPr>
        <w:t>政府采购监督管理部门在处理投诉事项期间，可以视具体情况书面通知采购人暂停采购活动，但暂停时间最长不得超过</w:t>
      </w:r>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日。</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29.8</w:t>
      </w:r>
      <w:r>
        <w:rPr>
          <w:rFonts w:hint="eastAsia" w:cs="宋体" w:asciiTheme="minorEastAsia" w:hAnsiTheme="minorEastAsia" w:eastAsiaTheme="minorEastAsia"/>
          <w:sz w:val="24"/>
          <w:szCs w:val="24"/>
        </w:rPr>
        <w:t>投诉人对政府采购监督管理部门的投诉处理决定不服或者政府采购监督管理部门逾期未作处理的，可以依法申请行政复议或者向人民法院提起行政投诉。</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29.9</w:t>
      </w:r>
      <w:r>
        <w:rPr>
          <w:rFonts w:hint="eastAsia" w:cs="宋体" w:asciiTheme="minorEastAsia" w:hAnsiTheme="minorEastAsia" w:eastAsiaTheme="minorEastAsia"/>
          <w:sz w:val="24"/>
          <w:szCs w:val="24"/>
        </w:rPr>
        <w:t>投标人认为采购文件、采购过程和中标结果使自己的权益受到损害的，可以在知道或者应知其权益受到损害之日起七个工作日内，以书面形式向采购代理机构提出质疑。非书面原件形式、七个工作日之外以及匿名的质疑将不予受理。</w:t>
      </w:r>
    </w:p>
    <w:p>
      <w:pPr>
        <w:snapToGrid w:val="0"/>
        <w:spacing w:line="360" w:lineRule="auto"/>
        <w:ind w:firstLine="480" w:firstLineChars="200"/>
        <w:rPr>
          <w:rFonts w:cs="宋体" w:asciiTheme="minorEastAsia" w:hAnsiTheme="minorEastAsia" w:eastAsiaTheme="minorEastAsia"/>
          <w:sz w:val="24"/>
          <w:szCs w:val="24"/>
        </w:rPr>
      </w:pPr>
      <w:bookmarkStart w:id="293" w:name="_Toc483396409"/>
      <w:bookmarkStart w:id="294" w:name="_Toc238907034"/>
      <w:bookmarkStart w:id="295" w:name="_Toc501916513"/>
      <w:bookmarkStart w:id="296" w:name="_Toc483396321"/>
      <w:bookmarkStart w:id="297" w:name="_Toc1780"/>
      <w:bookmarkStart w:id="298" w:name="_Toc8283263"/>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．中标通知</w:t>
      </w:r>
      <w:bookmarkEnd w:id="293"/>
      <w:bookmarkEnd w:id="294"/>
      <w:bookmarkEnd w:id="295"/>
      <w:bookmarkEnd w:id="296"/>
      <w:bookmarkEnd w:id="297"/>
      <w:bookmarkEnd w:id="298"/>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30.l </w:t>
      </w:r>
      <w:r>
        <w:rPr>
          <w:rFonts w:hint="eastAsia" w:cs="宋体" w:asciiTheme="minorEastAsia" w:hAnsiTheme="minorEastAsia" w:eastAsiaTheme="minorEastAsia"/>
          <w:sz w:val="24"/>
          <w:szCs w:val="24"/>
        </w:rPr>
        <w:t>定标后</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采购代理机构应将定标结果通知所有的投标人，并向中标人发出中标通知书。</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30.2  </w:t>
      </w:r>
      <w:r>
        <w:rPr>
          <w:rFonts w:hint="eastAsia" w:cs="宋体" w:asciiTheme="minorEastAsia" w:hAnsiTheme="minorEastAsia" w:eastAsiaTheme="minorEastAsia"/>
          <w:sz w:val="24"/>
          <w:szCs w:val="24"/>
        </w:rPr>
        <w:t>中标人收到中标通知书后，须立即以书面形式回复采购代理机构，确认中标通知书已收到，并同意接受（若到采购代理机构领取则无需回复）。</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30.3 </w:t>
      </w:r>
      <w:r>
        <w:rPr>
          <w:rFonts w:hint="eastAsia" w:cs="宋体" w:asciiTheme="minorEastAsia" w:hAnsiTheme="minorEastAsia" w:eastAsiaTheme="minorEastAsia"/>
          <w:sz w:val="24"/>
          <w:szCs w:val="24"/>
        </w:rPr>
        <w:t>中标通知书将是合同的一个组成部分。</w:t>
      </w:r>
    </w:p>
    <w:p>
      <w:pPr>
        <w:snapToGrid w:val="0"/>
        <w:spacing w:line="360" w:lineRule="auto"/>
        <w:ind w:firstLine="480" w:firstLineChars="200"/>
        <w:rPr>
          <w:rFonts w:cs="宋体" w:asciiTheme="minorEastAsia" w:hAnsiTheme="minorEastAsia" w:eastAsiaTheme="minorEastAsia"/>
          <w:sz w:val="24"/>
          <w:szCs w:val="24"/>
        </w:rPr>
      </w:pPr>
      <w:bookmarkStart w:id="299" w:name="_Toc501916514"/>
      <w:bookmarkStart w:id="300" w:name="_Toc238907035"/>
      <w:bookmarkStart w:id="301" w:name="_Toc483396410"/>
      <w:bookmarkStart w:id="302" w:name="_Toc483396322"/>
      <w:bookmarkStart w:id="303" w:name="_Toc13716"/>
      <w:bookmarkStart w:id="304" w:name="_Toc8283264"/>
      <w:r>
        <w:rPr>
          <w:rFonts w:cs="宋体" w:asciiTheme="minorEastAsia" w:hAnsiTheme="minorEastAsia" w:eastAsiaTheme="minorEastAsia"/>
          <w:sz w:val="24"/>
          <w:szCs w:val="24"/>
        </w:rPr>
        <w:t>31</w:t>
      </w:r>
      <w:r>
        <w:rPr>
          <w:rFonts w:hint="eastAsia" w:cs="宋体" w:asciiTheme="minorEastAsia" w:hAnsiTheme="minorEastAsia" w:eastAsiaTheme="minorEastAsia"/>
          <w:sz w:val="24"/>
          <w:szCs w:val="24"/>
        </w:rPr>
        <w:t>．签订合同</w:t>
      </w:r>
      <w:bookmarkEnd w:id="299"/>
      <w:bookmarkEnd w:id="300"/>
      <w:bookmarkEnd w:id="301"/>
      <w:bookmarkEnd w:id="302"/>
      <w:bookmarkEnd w:id="303"/>
      <w:bookmarkEnd w:id="304"/>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31.l</w:t>
      </w:r>
      <w:r>
        <w:rPr>
          <w:rFonts w:hint="eastAsia" w:cs="宋体" w:asciiTheme="minorEastAsia" w:hAnsiTheme="minorEastAsia" w:eastAsiaTheme="minorEastAsia"/>
          <w:sz w:val="24"/>
          <w:szCs w:val="24"/>
        </w:rPr>
        <w:t>中标人按中标通知书规定的时间、地点与采购人签订中标合同</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否则投标保证金将不予退还，给采购人和采购代理机构造成损失的，投标人还应承担赔偿责任。</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31.2 </w:t>
      </w:r>
      <w:r>
        <w:rPr>
          <w:rFonts w:hint="eastAsia" w:cs="宋体" w:asciiTheme="minorEastAsia" w:hAnsiTheme="minorEastAsia" w:eastAsiaTheme="minorEastAsia"/>
          <w:sz w:val="24"/>
          <w:szCs w:val="24"/>
        </w:rPr>
        <w:t>招标文件、中标人的投标文件及评标过程中有关澄清文件均应作为合同附件。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31.3 </w:t>
      </w:r>
      <w:r>
        <w:rPr>
          <w:rFonts w:hint="eastAsia" w:cs="宋体" w:asciiTheme="minorEastAsia" w:hAnsiTheme="minorEastAsia" w:eastAsiaTheme="minorEastAsia"/>
          <w:sz w:val="24"/>
          <w:szCs w:val="24"/>
        </w:rPr>
        <w:t>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p>
    <w:p>
      <w:pPr>
        <w:snapToGrid w:val="0"/>
        <w:spacing w:line="360" w:lineRule="auto"/>
        <w:ind w:firstLine="480" w:firstLineChars="200"/>
        <w:rPr>
          <w:rFonts w:cs="宋体" w:asciiTheme="minorEastAsia" w:hAnsiTheme="minorEastAsia" w:eastAsiaTheme="minorEastAsia"/>
          <w:sz w:val="24"/>
          <w:szCs w:val="24"/>
        </w:rPr>
      </w:pPr>
      <w:bookmarkStart w:id="305" w:name="_Toc483396411"/>
      <w:bookmarkStart w:id="306" w:name="_Toc483396323"/>
      <w:bookmarkStart w:id="307" w:name="_Toc501916515"/>
      <w:bookmarkStart w:id="308" w:name="_Toc6842"/>
      <w:bookmarkStart w:id="309" w:name="_Toc8283265"/>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．政策功能</w:t>
      </w:r>
      <w:bookmarkEnd w:id="305"/>
      <w:bookmarkEnd w:id="306"/>
      <w:bookmarkEnd w:id="307"/>
      <w:bookmarkEnd w:id="308"/>
      <w:bookmarkEnd w:id="309"/>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1 </w:t>
      </w:r>
      <w:r>
        <w:rPr>
          <w:rFonts w:hint="eastAsia" w:cs="宋体" w:asciiTheme="minorEastAsia" w:hAnsiTheme="minorEastAsia" w:eastAsiaTheme="minorEastAsia"/>
          <w:sz w:val="24"/>
          <w:szCs w:val="24"/>
        </w:rPr>
        <w:t>本次招标优先选购中华人民共和国财政部公布的《政府采购自主创新产品目录》和《节能环保产品目录》的标的物。</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2 </w:t>
      </w:r>
      <w:r>
        <w:rPr>
          <w:rFonts w:hint="eastAsia" w:cs="宋体" w:asciiTheme="minorEastAsia" w:hAnsiTheme="minorEastAsia" w:eastAsiaTheme="minorEastAsia"/>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cs="宋体" w:asciiTheme="minorEastAsia" w:hAnsiTheme="minorEastAsia" w:eastAsiaTheme="minorEastAsia"/>
          <w:sz w:val="24"/>
          <w:szCs w:val="24"/>
        </w:rPr>
        <w:t> </w:t>
      </w:r>
      <w:r>
        <w:rPr>
          <w:rFonts w:hint="eastAsia" w:cs="宋体" w:asciiTheme="minorEastAsia" w:hAnsiTheme="minorEastAsia" w:eastAsiaTheme="minorEastAsia"/>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3 </w:t>
      </w:r>
      <w:r>
        <w:rPr>
          <w:rFonts w:hint="eastAsia" w:cs="宋体" w:asciiTheme="minorEastAsia" w:hAnsiTheme="minorEastAsia" w:eastAsiaTheme="minorEastAsia"/>
          <w:sz w:val="24"/>
          <w:szCs w:val="24"/>
        </w:rPr>
        <w:t>投标产品属于信息安全产品的，投标人应当选择经国家认证的信息安全产品投标，并提供由中国信息安全认证中心按国家标准颁发的有效认证证书复印件。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4 </w:t>
      </w:r>
      <w:r>
        <w:rPr>
          <w:rFonts w:hint="eastAsia" w:cs="宋体" w:asciiTheme="minorEastAsia" w:hAnsiTheme="minorEastAsia" w:eastAsiaTheme="minorEastAsia"/>
          <w:sz w:val="24"/>
          <w:szCs w:val="24"/>
        </w:rPr>
        <w:t>投标产品属于政府强制采购节能产品的，投标人应当选择《节能产品政府采购清单》中的产品投标，并提供有效的节能产品认证证书复印件。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5 </w:t>
      </w:r>
      <w:r>
        <w:rPr>
          <w:rFonts w:hint="eastAsia" w:cs="宋体" w:asciiTheme="minorEastAsia" w:hAnsiTheme="minorEastAsia" w:eastAsiaTheme="minorEastAsia"/>
          <w:sz w:val="24"/>
          <w:szCs w:val="24"/>
        </w:rPr>
        <w:t>招标文件中提供的参考产品品牌或型号，是采购人根据项目所要实现的功能根据市场情况列出的品牌或型号，并不是限制条件。</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6 </w:t>
      </w:r>
      <w:r>
        <w:rPr>
          <w:rFonts w:hint="eastAsia" w:cs="宋体" w:asciiTheme="minorEastAsia" w:hAnsiTheme="minorEastAsia" w:eastAsiaTheme="minorEastAsia"/>
          <w:sz w:val="24"/>
          <w:szCs w:val="24"/>
        </w:rPr>
        <w:t>投标人为小型和微型企业（含联合体）的情况：</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32.6.1</w:t>
      </w:r>
      <w:r>
        <w:rPr>
          <w:rFonts w:hint="eastAsia" w:cs="宋体" w:asciiTheme="minorEastAsia" w:hAnsiTheme="minorEastAsia" w:eastAsiaTheme="minorEastAsia"/>
          <w:sz w:val="24"/>
          <w:szCs w:val="24"/>
        </w:rPr>
        <w:t>中小企业的认定标准：</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）提供本企业制造的货物、承担的工程或者服务，或者提供其他中小企业制造的货物，不包括提供或使用大型企业注册商标的货物；</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）本规定所称中小企业划分标准，是指国务院有关部门根据企业从业人员、营业收入、资产总额等指标制定的中小企业划型标准（工信部联企业〔</w:t>
      </w:r>
      <w:r>
        <w:rPr>
          <w:rFonts w:cs="宋体" w:asciiTheme="minorEastAsia" w:hAnsiTheme="minorEastAsia" w:eastAsiaTheme="minorEastAsia"/>
          <w:sz w:val="24"/>
          <w:szCs w:val="24"/>
        </w:rPr>
        <w:t>2011</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300</w:t>
      </w:r>
      <w:r>
        <w:rPr>
          <w:rFonts w:hint="eastAsia" w:cs="宋体" w:asciiTheme="minorEastAsia" w:hAnsiTheme="minorEastAsia" w:eastAsiaTheme="minorEastAsia"/>
          <w:sz w:val="24"/>
          <w:szCs w:val="24"/>
        </w:rPr>
        <w:t>号）；</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）小型、微型企业提供有中型企业制造的货物的，视同为中型企业；小型、微型、中型企业提供有大型企业制造的货物的，视同为大型企业；</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）监狱企业视同为小型、微型企业。</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32.6.2</w:t>
      </w:r>
      <w:r>
        <w:rPr>
          <w:rFonts w:hint="eastAsia" w:cs="宋体" w:asciiTheme="minorEastAsia" w:hAnsiTheme="minorEastAsia" w:eastAsiaTheme="minorEastAsia"/>
          <w:sz w:val="24"/>
          <w:szCs w:val="24"/>
        </w:rPr>
        <w:t>具体评审价说明：</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）投标人为小型或微型企业，其评审价</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投标报价</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1-6%</w:t>
      </w:r>
      <w:r>
        <w:rPr>
          <w:rFonts w:hint="eastAsia" w:cs="宋体" w:asciiTheme="minorEastAsia" w:hAnsiTheme="minorEastAsia" w:eastAsiaTheme="minorEastAsia"/>
          <w:sz w:val="24"/>
          <w:szCs w:val="24"/>
        </w:rPr>
        <w:t>）；</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）投标人为联合体投标，联合体中有小型或微型企业且联合协议中约定小型、微型企业的协议合同金额占到联合体协议合同总金额</w:t>
      </w:r>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％以上的，其评审价</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投标报价</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1-2%</w:t>
      </w:r>
      <w:r>
        <w:rPr>
          <w:rFonts w:hint="eastAsia" w:cs="宋体" w:asciiTheme="minorEastAsia" w:hAnsiTheme="minorEastAsia" w:eastAsiaTheme="minorEastAsia"/>
          <w:sz w:val="24"/>
          <w:szCs w:val="24"/>
        </w:rPr>
        <w:t>）。</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投标人为工信部联企业〔</w:t>
      </w:r>
      <w:r>
        <w:rPr>
          <w:rFonts w:cs="宋体" w:asciiTheme="minorEastAsia" w:hAnsiTheme="minorEastAsia" w:eastAsiaTheme="minorEastAsia"/>
          <w:sz w:val="24"/>
          <w:szCs w:val="24"/>
        </w:rPr>
        <w:t>2011</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300</w:t>
      </w:r>
      <w:r>
        <w:rPr>
          <w:rFonts w:hint="eastAsia" w:cs="宋体" w:asciiTheme="minorEastAsia" w:hAnsiTheme="minorEastAsia" w:eastAsiaTheme="minorEastAsia"/>
          <w:sz w:val="24"/>
          <w:szCs w:val="24"/>
        </w:rPr>
        <w:t>号文规定的小型和微型企业（含联合体）的，必须如实填写“中小企业声明函”（内容、格式见财库〔</w:t>
      </w:r>
      <w:r>
        <w:rPr>
          <w:rFonts w:cs="宋体" w:asciiTheme="minorEastAsia" w:hAnsiTheme="minorEastAsia" w:eastAsiaTheme="minorEastAsia"/>
          <w:sz w:val="24"/>
          <w:szCs w:val="24"/>
        </w:rPr>
        <w:t>2011</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181</w:t>
      </w:r>
      <w:r>
        <w:rPr>
          <w:rFonts w:hint="eastAsia" w:cs="宋体" w:asciiTheme="minorEastAsia" w:hAnsiTheme="minorEastAsia" w:eastAsiaTheme="minorEastAsia"/>
          <w:sz w:val="24"/>
          <w:szCs w:val="24"/>
        </w:rPr>
        <w:t>号），并提供中小企业认定机构的证明材料，否则无效。</w:t>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如有虚假骗取政策性加分，将依法承担相应责任。</w:t>
      </w:r>
    </w:p>
    <w:p>
      <w:pPr>
        <w:snapToGrid w:val="0"/>
        <w:spacing w:line="360" w:lineRule="auto"/>
        <w:ind w:firstLine="480" w:firstLineChars="200"/>
        <w:rPr>
          <w:rFonts w:cs="宋体" w:asciiTheme="minorEastAsia" w:hAnsiTheme="minorEastAsia" w:eastAsiaTheme="minorEastAsia"/>
          <w:sz w:val="24"/>
          <w:szCs w:val="24"/>
        </w:rPr>
      </w:pPr>
    </w:p>
    <w:p>
      <w:pPr>
        <w:snapToGrid w:val="0"/>
        <w:spacing w:line="360" w:lineRule="auto"/>
        <w:ind w:firstLine="480" w:firstLineChars="200"/>
        <w:rPr>
          <w:rFonts w:cs="宋体" w:asciiTheme="minorEastAsia" w:hAnsiTheme="minorEastAsia" w:eastAsiaTheme="minorEastAsia"/>
          <w:sz w:val="24"/>
          <w:szCs w:val="24"/>
        </w:rPr>
      </w:pPr>
    </w:p>
    <w:p>
      <w:pPr>
        <w:snapToGrid w:val="0"/>
        <w:spacing w:line="360" w:lineRule="auto"/>
        <w:ind w:firstLine="480" w:firstLineChars="200"/>
        <w:rPr>
          <w:rFonts w:cs="宋体" w:asciiTheme="minorEastAsia" w:hAnsiTheme="minorEastAsia" w:eastAsiaTheme="minorEastAsia"/>
          <w:sz w:val="24"/>
          <w:szCs w:val="24"/>
        </w:rPr>
      </w:pPr>
    </w:p>
    <w:p>
      <w:pPr>
        <w:snapToGrid w:val="0"/>
        <w:spacing w:line="360" w:lineRule="auto"/>
        <w:ind w:firstLine="480" w:firstLineChars="200"/>
        <w:rPr>
          <w:rFonts w:cs="宋体" w:asciiTheme="minorEastAsia" w:hAnsiTheme="minorEastAsia" w:eastAsiaTheme="minorEastAsia"/>
          <w:sz w:val="24"/>
          <w:szCs w:val="24"/>
        </w:rPr>
        <w:sectPr>
          <w:footerReference r:id="rId7" w:type="first"/>
          <w:footerReference r:id="rId6" w:type="default"/>
          <w:pgSz w:w="11905" w:h="16837"/>
          <w:pgMar w:top="1361" w:right="1361" w:bottom="1361" w:left="1474" w:header="851" w:footer="992" w:gutter="0"/>
          <w:pgNumType w:fmt="decimal" w:start="1" w:chapStyle="1"/>
          <w:cols w:space="720" w:num="1"/>
          <w:titlePg/>
          <w:docGrid w:linePitch="312" w:charSpace="0"/>
        </w:sectPr>
      </w:pPr>
      <w:bookmarkStart w:id="310" w:name="_Toc468811122"/>
    </w:p>
    <w:p>
      <w:pPr>
        <w:pStyle w:val="41"/>
        <w:spacing w:line="360" w:lineRule="auto"/>
        <w:jc w:val="center"/>
      </w:pPr>
      <w:bookmarkStart w:id="311" w:name="_Toc10188488"/>
      <w:r>
        <w:rPr>
          <w:rFonts w:hint="eastAsia"/>
        </w:rPr>
        <w:t>第三章</w:t>
      </w:r>
      <w:bookmarkEnd w:id="36"/>
      <w:bookmarkEnd w:id="310"/>
      <w:bookmarkEnd w:id="311"/>
      <w:bookmarkStart w:id="312" w:name="_Toc238907047"/>
      <w:bookmarkStart w:id="313" w:name="_Toc468811128"/>
      <w:r>
        <w:rPr>
          <w:rFonts w:hint="eastAsia"/>
        </w:rPr>
        <w:t xml:space="preserve"> 海棠区林旺片区（藤海社区、江林村、青田村、铁炉村）农村环境卫生清扫保洁收运服务项目公开招标实施方案</w:t>
      </w:r>
    </w:p>
    <w:p>
      <w:pPr>
        <w:spacing w:line="480" w:lineRule="exact"/>
        <w:rPr>
          <w:rFonts w:ascii="仿宋" w:hAnsi="仿宋" w:eastAsia="仿宋" w:cs="仿宋"/>
          <w:sz w:val="28"/>
          <w:szCs w:val="28"/>
        </w:rPr>
      </w:pPr>
    </w:p>
    <w:p>
      <w:pPr>
        <w:numPr>
          <w:ilvl w:val="0"/>
          <w:numId w:val="5"/>
        </w:numPr>
        <w:spacing w:line="480" w:lineRule="exact"/>
        <w:rPr>
          <w:rFonts w:ascii="仿宋" w:hAnsi="仿宋" w:eastAsia="仿宋" w:cs="仿宋"/>
          <w:sz w:val="24"/>
          <w:szCs w:val="24"/>
        </w:rPr>
      </w:pPr>
      <w:r>
        <w:rPr>
          <w:rFonts w:hint="eastAsia" w:ascii="仿宋" w:hAnsi="仿宋" w:eastAsia="仿宋" w:cs="仿宋"/>
          <w:b/>
          <w:bCs/>
          <w:sz w:val="24"/>
          <w:szCs w:val="24"/>
        </w:rPr>
        <w:t>采购项目</w:t>
      </w:r>
      <w:r>
        <w:rPr>
          <w:rFonts w:hint="eastAsia" w:ascii="仿宋" w:hAnsi="仿宋" w:eastAsia="仿宋" w:cs="仿宋"/>
          <w:sz w:val="24"/>
          <w:szCs w:val="24"/>
        </w:rPr>
        <w:t>：海棠区林旺片区（藤海社区、江林村、青田村、铁炉村）农村环境卫生清扫保洁收运服务项目</w:t>
      </w:r>
    </w:p>
    <w:p>
      <w:pPr>
        <w:spacing w:line="480" w:lineRule="exact"/>
        <w:rPr>
          <w:rFonts w:ascii="仿宋" w:hAnsi="仿宋" w:eastAsia="仿宋" w:cs="仿宋"/>
          <w:sz w:val="24"/>
          <w:szCs w:val="24"/>
        </w:rPr>
      </w:pPr>
      <w:r>
        <w:rPr>
          <w:rFonts w:hint="eastAsia" w:ascii="仿宋" w:hAnsi="仿宋" w:eastAsia="仿宋" w:cs="仿宋"/>
          <w:b/>
          <w:bCs/>
          <w:sz w:val="24"/>
          <w:szCs w:val="24"/>
        </w:rPr>
        <w:t>二、采购需求</w:t>
      </w:r>
    </w:p>
    <w:p>
      <w:pPr>
        <w:spacing w:line="480" w:lineRule="exact"/>
        <w:ind w:firstLine="560"/>
        <w:rPr>
          <w:rFonts w:ascii="仿宋" w:hAnsi="仿宋" w:eastAsia="仿宋" w:cs="仿宋"/>
          <w:sz w:val="24"/>
          <w:szCs w:val="24"/>
        </w:rPr>
      </w:pPr>
      <w:r>
        <w:rPr>
          <w:rFonts w:hint="eastAsia" w:ascii="仿宋" w:hAnsi="仿宋" w:eastAsia="仿宋" w:cs="仿宋"/>
          <w:sz w:val="24"/>
          <w:szCs w:val="24"/>
        </w:rPr>
        <w:t>采购人通过公开招标的方式确定中标人,由中标人负责林旺片区（藤海社区、江林村、青田村、铁炉村）农村环境卫生清扫保洁收运服务，具体服务工作如下：</w:t>
      </w:r>
    </w:p>
    <w:p>
      <w:pPr>
        <w:spacing w:line="480" w:lineRule="exact"/>
        <w:ind w:firstLine="560"/>
        <w:rPr>
          <w:rFonts w:ascii="仿宋" w:hAnsi="仿宋" w:eastAsia="仿宋" w:cs="仿宋"/>
          <w:sz w:val="24"/>
          <w:szCs w:val="24"/>
        </w:rPr>
      </w:pPr>
      <w:r>
        <w:rPr>
          <w:rFonts w:hint="eastAsia" w:ascii="仿宋" w:hAnsi="仿宋" w:eastAsia="仿宋" w:cs="仿宋"/>
          <w:sz w:val="24"/>
          <w:szCs w:val="24"/>
        </w:rPr>
        <w:t>表1：清扫保洁</w:t>
      </w:r>
    </w:p>
    <w:tbl>
      <w:tblPr>
        <w:tblStyle w:val="44"/>
        <w:tblW w:w="10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441"/>
        <w:gridCol w:w="1250"/>
        <w:gridCol w:w="1758"/>
        <w:gridCol w:w="1431"/>
        <w:gridCol w:w="1643"/>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691" w:type="dxa"/>
            <w:gridSpan w:val="2"/>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区域</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测算面积</w:t>
            </w:r>
          </w:p>
          <w:p>
            <w:pPr>
              <w:spacing w:line="480" w:lineRule="exact"/>
              <w:jc w:val="center"/>
              <w:rPr>
                <w:rFonts w:ascii="仿宋" w:hAnsi="仿宋" w:eastAsia="仿宋" w:cs="仿宋"/>
                <w:sz w:val="24"/>
                <w:szCs w:val="24"/>
              </w:rPr>
            </w:pPr>
            <w:r>
              <w:rPr>
                <w:rFonts w:hint="eastAsia" w:ascii="仿宋" w:hAnsi="仿宋" w:eastAsia="仿宋" w:cs="仿宋"/>
                <w:sz w:val="24"/>
                <w:szCs w:val="24"/>
              </w:rPr>
              <w:t>（㎡）</w:t>
            </w:r>
          </w:p>
        </w:tc>
        <w:tc>
          <w:tcPr>
            <w:tcW w:w="1431"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保洁单价</w:t>
            </w:r>
          </w:p>
          <w:p>
            <w:pPr>
              <w:spacing w:line="480" w:lineRule="exact"/>
              <w:jc w:val="center"/>
              <w:rPr>
                <w:rFonts w:ascii="仿宋" w:hAnsi="仿宋" w:eastAsia="仿宋" w:cs="仿宋"/>
                <w:sz w:val="24"/>
                <w:szCs w:val="24"/>
              </w:rPr>
            </w:pPr>
            <w:r>
              <w:rPr>
                <w:rFonts w:hint="eastAsia" w:ascii="仿宋" w:hAnsi="仿宋" w:eastAsia="仿宋" w:cs="仿宋"/>
                <w:spacing w:val="-20"/>
                <w:sz w:val="24"/>
                <w:szCs w:val="24"/>
              </w:rPr>
              <w:t>（元/</w:t>
            </w:r>
            <w:r>
              <w:rPr>
                <w:rFonts w:hint="eastAsia" w:ascii="仿宋" w:hAnsi="仿宋" w:eastAsia="仿宋" w:cs="仿宋"/>
                <w:sz w:val="24"/>
                <w:szCs w:val="24"/>
              </w:rPr>
              <w:t>㎡</w:t>
            </w:r>
            <w:r>
              <w:rPr>
                <w:rFonts w:hint="eastAsia" w:ascii="仿宋" w:hAnsi="仿宋" w:eastAsia="仿宋" w:cs="仿宋"/>
                <w:spacing w:val="-20"/>
                <w:sz w:val="24"/>
                <w:szCs w:val="24"/>
              </w:rPr>
              <w:t>/年）</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测算金额</w:t>
            </w:r>
          </w:p>
          <w:p>
            <w:pPr>
              <w:spacing w:line="480" w:lineRule="exact"/>
              <w:jc w:val="center"/>
              <w:rPr>
                <w:rFonts w:ascii="仿宋" w:hAnsi="仿宋" w:eastAsia="仿宋" w:cs="仿宋"/>
                <w:sz w:val="24"/>
                <w:szCs w:val="24"/>
              </w:rPr>
            </w:pPr>
            <w:r>
              <w:rPr>
                <w:rFonts w:hint="eastAsia" w:ascii="仿宋" w:hAnsi="仿宋" w:eastAsia="仿宋" w:cs="仿宋"/>
                <w:sz w:val="24"/>
                <w:szCs w:val="24"/>
              </w:rPr>
              <w:t>（元/年）</w:t>
            </w:r>
          </w:p>
        </w:tc>
        <w:tc>
          <w:tcPr>
            <w:tcW w:w="817"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33" w:type="dxa"/>
            <w:vMerge w:val="restart"/>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w:t>
            </w:r>
          </w:p>
        </w:tc>
        <w:tc>
          <w:tcPr>
            <w:tcW w:w="2441" w:type="dxa"/>
            <w:vMerge w:val="restart"/>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藤海社区、江林村</w:t>
            </w: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主干</w:t>
            </w:r>
          </w:p>
          <w:p>
            <w:pPr>
              <w:spacing w:line="480" w:lineRule="exact"/>
              <w:jc w:val="center"/>
              <w:rPr>
                <w:rFonts w:ascii="仿宋" w:hAnsi="仿宋" w:eastAsia="仿宋" w:cs="仿宋"/>
                <w:sz w:val="24"/>
                <w:szCs w:val="24"/>
              </w:rPr>
            </w:pPr>
            <w:r>
              <w:rPr>
                <w:rFonts w:hint="eastAsia" w:ascii="仿宋" w:hAnsi="仿宋" w:eastAsia="仿宋" w:cs="仿宋"/>
                <w:sz w:val="24"/>
                <w:szCs w:val="24"/>
              </w:rPr>
              <w:t>道路</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82112</w:t>
            </w:r>
          </w:p>
        </w:tc>
        <w:tc>
          <w:tcPr>
            <w:tcW w:w="1431"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12.00</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985344.00</w:t>
            </w:r>
          </w:p>
        </w:tc>
        <w:tc>
          <w:tcPr>
            <w:tcW w:w="817" w:type="dxa"/>
            <w:vMerge w:val="restart"/>
            <w:vAlign w:val="center"/>
          </w:tcPr>
          <w:p>
            <w:pPr>
              <w:spacing w:line="480" w:lineRule="exact"/>
              <w:rPr>
                <w:rFonts w:ascii="仿宋" w:hAnsi="仿宋" w:eastAsia="仿宋" w:cs="仿宋"/>
                <w:sz w:val="24"/>
                <w:szCs w:val="24"/>
              </w:rPr>
            </w:pPr>
            <w:r>
              <w:rPr>
                <w:rFonts w:hint="eastAsia" w:ascii="仿宋" w:hAnsi="仿宋" w:eastAsia="仿宋" w:cs="仿宋"/>
                <w:sz w:val="24"/>
                <w:szCs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Merge w:val="continue"/>
            <w:vAlign w:val="center"/>
          </w:tcPr>
          <w:p>
            <w:pPr>
              <w:spacing w:line="480" w:lineRule="exact"/>
              <w:jc w:val="center"/>
              <w:rPr>
                <w:rFonts w:ascii="仿宋" w:hAnsi="仿宋" w:eastAsia="仿宋" w:cs="仿宋"/>
                <w:sz w:val="24"/>
                <w:szCs w:val="24"/>
              </w:rPr>
            </w:pPr>
          </w:p>
        </w:tc>
        <w:tc>
          <w:tcPr>
            <w:tcW w:w="2441" w:type="dxa"/>
            <w:vMerge w:val="continue"/>
            <w:vAlign w:val="center"/>
          </w:tcPr>
          <w:p>
            <w:pPr>
              <w:spacing w:line="480" w:lineRule="exact"/>
              <w:jc w:val="center"/>
              <w:rPr>
                <w:rFonts w:ascii="仿宋" w:hAnsi="仿宋" w:eastAsia="仿宋" w:cs="仿宋"/>
                <w:sz w:val="24"/>
                <w:szCs w:val="24"/>
              </w:rPr>
            </w:pP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主干道外道路</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53379.13</w:t>
            </w:r>
          </w:p>
        </w:tc>
        <w:tc>
          <w:tcPr>
            <w:tcW w:w="1431"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6.00</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320274.78</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Merge w:val="continue"/>
            <w:vAlign w:val="center"/>
          </w:tcPr>
          <w:p>
            <w:pPr>
              <w:spacing w:line="480" w:lineRule="exact"/>
              <w:jc w:val="center"/>
              <w:rPr>
                <w:rFonts w:ascii="仿宋" w:hAnsi="仿宋" w:eastAsia="仿宋" w:cs="仿宋"/>
                <w:sz w:val="24"/>
                <w:szCs w:val="24"/>
              </w:rPr>
            </w:pPr>
          </w:p>
        </w:tc>
        <w:tc>
          <w:tcPr>
            <w:tcW w:w="2441" w:type="dxa"/>
            <w:vMerge w:val="continue"/>
            <w:vAlign w:val="center"/>
          </w:tcPr>
          <w:p>
            <w:pPr>
              <w:spacing w:line="480" w:lineRule="exact"/>
              <w:jc w:val="center"/>
              <w:rPr>
                <w:rFonts w:ascii="仿宋" w:hAnsi="仿宋" w:eastAsia="仿宋" w:cs="仿宋"/>
                <w:sz w:val="24"/>
                <w:szCs w:val="24"/>
              </w:rPr>
            </w:pP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空地、水利沟及桥梁</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18303.58</w:t>
            </w:r>
          </w:p>
        </w:tc>
        <w:tc>
          <w:tcPr>
            <w:tcW w:w="1431"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2.00</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36607.16</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4" w:type="dxa"/>
            <w:gridSpan w:val="3"/>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小计</w:t>
            </w:r>
          </w:p>
        </w:tc>
        <w:tc>
          <w:tcPr>
            <w:tcW w:w="1758" w:type="dxa"/>
            <w:vAlign w:val="center"/>
          </w:tcPr>
          <w:p>
            <w:pPr>
              <w:spacing w:line="480" w:lineRule="exact"/>
              <w:jc w:val="center"/>
              <w:rPr>
                <w:rFonts w:ascii="仿宋" w:hAnsi="仿宋" w:eastAsia="仿宋" w:cs="仿宋"/>
                <w:sz w:val="24"/>
                <w:szCs w:val="24"/>
              </w:rPr>
            </w:pPr>
          </w:p>
        </w:tc>
        <w:tc>
          <w:tcPr>
            <w:tcW w:w="1431" w:type="dxa"/>
            <w:vAlign w:val="center"/>
          </w:tcPr>
          <w:p>
            <w:pPr>
              <w:spacing w:line="480" w:lineRule="exact"/>
              <w:jc w:val="center"/>
              <w:rPr>
                <w:rFonts w:ascii="仿宋" w:hAnsi="仿宋" w:eastAsia="仿宋" w:cs="仿宋"/>
                <w:sz w:val="24"/>
                <w:szCs w:val="24"/>
              </w:rPr>
            </w:pP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1342225.94</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3" w:type="dxa"/>
            <w:gridSpan w:val="5"/>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三年合计</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4026677.82</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Merge w:val="restart"/>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2</w:t>
            </w:r>
          </w:p>
        </w:tc>
        <w:tc>
          <w:tcPr>
            <w:tcW w:w="2441" w:type="dxa"/>
            <w:vMerge w:val="restart"/>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青田村、铁炉村</w:t>
            </w: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主干</w:t>
            </w:r>
          </w:p>
          <w:p>
            <w:pPr>
              <w:spacing w:line="480" w:lineRule="exact"/>
              <w:jc w:val="center"/>
              <w:rPr>
                <w:rFonts w:ascii="仿宋" w:hAnsi="仿宋" w:eastAsia="仿宋" w:cs="仿宋"/>
                <w:sz w:val="24"/>
                <w:szCs w:val="24"/>
              </w:rPr>
            </w:pPr>
            <w:r>
              <w:rPr>
                <w:rFonts w:hint="eastAsia" w:ascii="仿宋" w:hAnsi="仿宋" w:eastAsia="仿宋" w:cs="仿宋"/>
                <w:sz w:val="24"/>
                <w:szCs w:val="24"/>
              </w:rPr>
              <w:t>道路</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139408</w:t>
            </w:r>
          </w:p>
        </w:tc>
        <w:tc>
          <w:tcPr>
            <w:tcW w:w="1431" w:type="dxa"/>
            <w:vAlign w:val="center"/>
          </w:tcPr>
          <w:p>
            <w:pPr>
              <w:spacing w:line="480" w:lineRule="exact"/>
              <w:jc w:val="center"/>
              <w:rPr>
                <w:rFonts w:ascii="仿宋" w:hAnsi="仿宋" w:eastAsia="仿宋" w:cs="仿宋"/>
                <w:sz w:val="24"/>
                <w:szCs w:val="24"/>
              </w:rPr>
            </w:pPr>
            <w:r>
              <w:rPr>
                <w:rFonts w:ascii="仿宋" w:hAnsi="仿宋" w:eastAsia="仿宋" w:cs="仿宋"/>
                <w:sz w:val="24"/>
                <w:szCs w:val="24"/>
              </w:rPr>
              <w:t>5.12</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713768.96</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Merge w:val="continue"/>
            <w:vAlign w:val="center"/>
          </w:tcPr>
          <w:p>
            <w:pPr>
              <w:spacing w:line="480" w:lineRule="exact"/>
              <w:jc w:val="center"/>
              <w:rPr>
                <w:rFonts w:ascii="仿宋" w:hAnsi="仿宋" w:eastAsia="仿宋" w:cs="仿宋"/>
                <w:sz w:val="24"/>
                <w:szCs w:val="24"/>
              </w:rPr>
            </w:pPr>
          </w:p>
        </w:tc>
        <w:tc>
          <w:tcPr>
            <w:tcW w:w="2441" w:type="dxa"/>
            <w:vMerge w:val="continue"/>
            <w:vAlign w:val="center"/>
          </w:tcPr>
          <w:p>
            <w:pPr>
              <w:spacing w:line="480" w:lineRule="exact"/>
              <w:jc w:val="center"/>
              <w:rPr>
                <w:rFonts w:ascii="仿宋" w:hAnsi="仿宋" w:eastAsia="仿宋" w:cs="仿宋"/>
                <w:sz w:val="24"/>
                <w:szCs w:val="24"/>
              </w:rPr>
            </w:pP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主干道外道路</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213944</w:t>
            </w:r>
          </w:p>
        </w:tc>
        <w:tc>
          <w:tcPr>
            <w:tcW w:w="1431" w:type="dxa"/>
            <w:vAlign w:val="center"/>
          </w:tcPr>
          <w:p>
            <w:pPr>
              <w:spacing w:line="480" w:lineRule="exact"/>
              <w:jc w:val="center"/>
              <w:rPr>
                <w:rFonts w:ascii="仿宋" w:hAnsi="仿宋" w:eastAsia="仿宋" w:cs="仿宋"/>
                <w:sz w:val="24"/>
                <w:szCs w:val="24"/>
              </w:rPr>
            </w:pPr>
            <w:r>
              <w:rPr>
                <w:rFonts w:ascii="仿宋" w:hAnsi="仿宋" w:eastAsia="仿宋" w:cs="仿宋"/>
                <w:sz w:val="24"/>
                <w:szCs w:val="24"/>
              </w:rPr>
              <w:t>2.56</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547696.64</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Merge w:val="continue"/>
            <w:vAlign w:val="center"/>
          </w:tcPr>
          <w:p>
            <w:pPr>
              <w:spacing w:line="480" w:lineRule="exact"/>
              <w:jc w:val="center"/>
              <w:rPr>
                <w:rFonts w:ascii="仿宋" w:hAnsi="仿宋" w:eastAsia="仿宋" w:cs="仿宋"/>
                <w:sz w:val="24"/>
                <w:szCs w:val="24"/>
              </w:rPr>
            </w:pPr>
          </w:p>
        </w:tc>
        <w:tc>
          <w:tcPr>
            <w:tcW w:w="2441" w:type="dxa"/>
            <w:vMerge w:val="continue"/>
            <w:vAlign w:val="center"/>
          </w:tcPr>
          <w:p>
            <w:pPr>
              <w:spacing w:line="480" w:lineRule="exact"/>
              <w:jc w:val="center"/>
              <w:rPr>
                <w:rFonts w:ascii="仿宋" w:hAnsi="仿宋" w:eastAsia="仿宋" w:cs="仿宋"/>
                <w:sz w:val="24"/>
                <w:szCs w:val="24"/>
              </w:rPr>
            </w:pPr>
          </w:p>
        </w:tc>
        <w:tc>
          <w:tcPr>
            <w:tcW w:w="125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空地、水利沟及桥梁</w:t>
            </w:r>
          </w:p>
        </w:tc>
        <w:tc>
          <w:tcPr>
            <w:tcW w:w="175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94992.03</w:t>
            </w:r>
          </w:p>
        </w:tc>
        <w:tc>
          <w:tcPr>
            <w:tcW w:w="1431"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1.20</w:t>
            </w:r>
          </w:p>
        </w:tc>
        <w:tc>
          <w:tcPr>
            <w:tcW w:w="1643"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113990.43</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4" w:type="dxa"/>
            <w:gridSpan w:val="3"/>
          </w:tcPr>
          <w:p>
            <w:pPr>
              <w:spacing w:line="480" w:lineRule="exact"/>
              <w:jc w:val="center"/>
              <w:rPr>
                <w:rFonts w:ascii="仿宋" w:hAnsi="仿宋" w:eastAsia="仿宋" w:cs="仿宋"/>
                <w:sz w:val="24"/>
                <w:szCs w:val="24"/>
              </w:rPr>
            </w:pPr>
            <w:r>
              <w:rPr>
                <w:rFonts w:hint="eastAsia" w:ascii="仿宋" w:hAnsi="仿宋" w:eastAsia="仿宋" w:cs="仿宋"/>
                <w:sz w:val="24"/>
                <w:szCs w:val="24"/>
              </w:rPr>
              <w:t>小计</w:t>
            </w:r>
          </w:p>
        </w:tc>
        <w:tc>
          <w:tcPr>
            <w:tcW w:w="1758" w:type="dxa"/>
          </w:tcPr>
          <w:p>
            <w:pPr>
              <w:spacing w:line="480" w:lineRule="exact"/>
              <w:jc w:val="center"/>
              <w:rPr>
                <w:rFonts w:ascii="仿宋" w:hAnsi="仿宋" w:eastAsia="仿宋" w:cs="仿宋"/>
                <w:sz w:val="24"/>
                <w:szCs w:val="24"/>
              </w:rPr>
            </w:pPr>
            <w:r>
              <w:rPr>
                <w:rFonts w:hint="eastAsia" w:ascii="仿宋" w:hAnsi="仿宋" w:eastAsia="仿宋" w:cs="仿宋"/>
                <w:sz w:val="24"/>
                <w:szCs w:val="24"/>
              </w:rPr>
              <w:t>448344.03</w:t>
            </w:r>
          </w:p>
        </w:tc>
        <w:tc>
          <w:tcPr>
            <w:tcW w:w="1431" w:type="dxa"/>
          </w:tcPr>
          <w:p>
            <w:pPr>
              <w:spacing w:line="480" w:lineRule="exact"/>
              <w:jc w:val="center"/>
              <w:rPr>
                <w:rFonts w:ascii="仿宋" w:hAnsi="仿宋" w:eastAsia="仿宋" w:cs="仿宋"/>
                <w:sz w:val="24"/>
                <w:szCs w:val="24"/>
              </w:rPr>
            </w:pPr>
          </w:p>
        </w:tc>
        <w:tc>
          <w:tcPr>
            <w:tcW w:w="1643" w:type="dxa"/>
          </w:tcPr>
          <w:p>
            <w:pPr>
              <w:spacing w:line="480" w:lineRule="exact"/>
              <w:rPr>
                <w:rFonts w:ascii="仿宋" w:hAnsi="仿宋" w:eastAsia="仿宋" w:cs="仿宋"/>
                <w:sz w:val="24"/>
                <w:szCs w:val="24"/>
              </w:rPr>
            </w:pPr>
            <w:r>
              <w:rPr>
                <w:rFonts w:hint="eastAsia" w:ascii="仿宋" w:hAnsi="仿宋" w:eastAsia="仿宋" w:cs="仿宋"/>
                <w:sz w:val="24"/>
                <w:szCs w:val="24"/>
              </w:rPr>
              <w:t>1375456.03</w:t>
            </w:r>
          </w:p>
        </w:tc>
        <w:tc>
          <w:tcPr>
            <w:tcW w:w="817" w:type="dxa"/>
            <w:vMerge w:val="continue"/>
          </w:tcPr>
          <w:p>
            <w:pPr>
              <w:spacing w:line="4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3" w:type="dxa"/>
            <w:gridSpan w:val="5"/>
          </w:tcPr>
          <w:p>
            <w:pPr>
              <w:spacing w:line="480" w:lineRule="exact"/>
              <w:jc w:val="center"/>
              <w:rPr>
                <w:rFonts w:ascii="仿宋" w:hAnsi="仿宋" w:eastAsia="仿宋" w:cs="仿宋"/>
                <w:sz w:val="24"/>
                <w:szCs w:val="24"/>
              </w:rPr>
            </w:pPr>
            <w:r>
              <w:rPr>
                <w:rFonts w:hint="eastAsia" w:ascii="仿宋" w:hAnsi="仿宋" w:eastAsia="仿宋" w:cs="仿宋"/>
                <w:sz w:val="24"/>
                <w:szCs w:val="24"/>
              </w:rPr>
              <w:t>三年合计</w:t>
            </w:r>
          </w:p>
        </w:tc>
        <w:tc>
          <w:tcPr>
            <w:tcW w:w="1643" w:type="dxa"/>
          </w:tcPr>
          <w:p>
            <w:pPr>
              <w:spacing w:line="480" w:lineRule="exact"/>
              <w:rPr>
                <w:rFonts w:ascii="仿宋" w:hAnsi="仿宋" w:eastAsia="仿宋" w:cs="仿宋"/>
                <w:sz w:val="24"/>
                <w:szCs w:val="24"/>
              </w:rPr>
            </w:pPr>
            <w:r>
              <w:rPr>
                <w:rFonts w:hint="eastAsia" w:ascii="仿宋" w:hAnsi="仿宋" w:eastAsia="仿宋" w:cs="仿宋"/>
                <w:sz w:val="24"/>
                <w:szCs w:val="24"/>
              </w:rPr>
              <w:t>4126368.09</w:t>
            </w:r>
          </w:p>
        </w:tc>
        <w:tc>
          <w:tcPr>
            <w:tcW w:w="817" w:type="dxa"/>
            <w:vMerge w:val="continue"/>
          </w:tcPr>
          <w:p>
            <w:pPr>
              <w:spacing w:line="480" w:lineRule="exact"/>
              <w:rPr>
                <w:rFonts w:ascii="仿宋" w:hAnsi="仿宋" w:eastAsia="仿宋" w:cs="仿宋"/>
                <w:sz w:val="24"/>
                <w:szCs w:val="24"/>
              </w:rPr>
            </w:pPr>
          </w:p>
        </w:tc>
      </w:tr>
    </w:tbl>
    <w:p>
      <w:pPr>
        <w:spacing w:line="480" w:lineRule="exact"/>
        <w:rPr>
          <w:rFonts w:ascii="仿宋" w:hAnsi="仿宋" w:eastAsia="仿宋" w:cs="仿宋"/>
          <w:sz w:val="24"/>
          <w:szCs w:val="24"/>
        </w:rPr>
      </w:pPr>
    </w:p>
    <w:p>
      <w:pPr>
        <w:spacing w:line="480" w:lineRule="exact"/>
        <w:rPr>
          <w:rFonts w:ascii="仿宋" w:hAnsi="仿宋" w:eastAsia="仿宋" w:cs="仿宋"/>
          <w:sz w:val="24"/>
          <w:szCs w:val="24"/>
        </w:rPr>
      </w:pPr>
    </w:p>
    <w:p>
      <w:pPr>
        <w:spacing w:line="480" w:lineRule="exact"/>
        <w:rPr>
          <w:rFonts w:ascii="仿宋" w:hAnsi="仿宋" w:eastAsia="仿宋" w:cs="仿宋"/>
          <w:sz w:val="24"/>
          <w:szCs w:val="24"/>
        </w:rPr>
      </w:pPr>
      <w:r>
        <w:rPr>
          <w:rFonts w:hint="eastAsia" w:ascii="仿宋" w:hAnsi="仿宋" w:eastAsia="仿宋" w:cs="仿宋"/>
          <w:sz w:val="24"/>
          <w:szCs w:val="24"/>
        </w:rPr>
        <w:t>表2：垃圾收运</w:t>
      </w:r>
    </w:p>
    <w:tbl>
      <w:tblPr>
        <w:tblStyle w:val="44"/>
        <w:tblW w:w="9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900"/>
        <w:gridCol w:w="1532"/>
        <w:gridCol w:w="1985"/>
        <w:gridCol w:w="1998"/>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7"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290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服务内容</w:t>
            </w:r>
          </w:p>
        </w:tc>
        <w:tc>
          <w:tcPr>
            <w:tcW w:w="1532"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年垃圾产量（吨）</w:t>
            </w:r>
          </w:p>
        </w:tc>
        <w:tc>
          <w:tcPr>
            <w:tcW w:w="1985"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收运单价</w:t>
            </w:r>
          </w:p>
          <w:p>
            <w:pPr>
              <w:spacing w:line="480" w:lineRule="exact"/>
              <w:jc w:val="center"/>
              <w:rPr>
                <w:rFonts w:ascii="仿宋" w:hAnsi="仿宋" w:eastAsia="仿宋" w:cs="仿宋"/>
                <w:sz w:val="24"/>
                <w:szCs w:val="24"/>
              </w:rPr>
            </w:pPr>
            <w:r>
              <w:rPr>
                <w:rFonts w:hint="eastAsia" w:ascii="仿宋" w:hAnsi="仿宋" w:eastAsia="仿宋" w:cs="仿宋"/>
                <w:spacing w:val="-20"/>
                <w:sz w:val="24"/>
                <w:szCs w:val="24"/>
              </w:rPr>
              <w:t>（元/吨/年）</w:t>
            </w:r>
          </w:p>
        </w:tc>
        <w:tc>
          <w:tcPr>
            <w:tcW w:w="199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测算金额</w:t>
            </w:r>
          </w:p>
          <w:p>
            <w:pPr>
              <w:spacing w:line="480" w:lineRule="exact"/>
              <w:jc w:val="center"/>
              <w:rPr>
                <w:rFonts w:ascii="仿宋" w:hAnsi="仿宋" w:eastAsia="仿宋" w:cs="仿宋"/>
                <w:sz w:val="24"/>
                <w:szCs w:val="24"/>
              </w:rPr>
            </w:pPr>
            <w:r>
              <w:rPr>
                <w:rFonts w:hint="eastAsia" w:ascii="仿宋" w:hAnsi="仿宋" w:eastAsia="仿宋" w:cs="仿宋"/>
                <w:sz w:val="24"/>
                <w:szCs w:val="24"/>
              </w:rPr>
              <w:t>（元/年）</w:t>
            </w:r>
          </w:p>
        </w:tc>
        <w:tc>
          <w:tcPr>
            <w:tcW w:w="817"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7"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1</w:t>
            </w:r>
          </w:p>
        </w:tc>
        <w:tc>
          <w:tcPr>
            <w:tcW w:w="2900"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藤海社区、江林村、青田村、铁炉村农村生活</w:t>
            </w:r>
          </w:p>
          <w:p>
            <w:pPr>
              <w:spacing w:line="480" w:lineRule="exact"/>
              <w:jc w:val="center"/>
              <w:rPr>
                <w:rFonts w:ascii="仿宋" w:hAnsi="仿宋" w:eastAsia="仿宋" w:cs="仿宋"/>
                <w:sz w:val="24"/>
                <w:szCs w:val="24"/>
              </w:rPr>
            </w:pPr>
            <w:r>
              <w:rPr>
                <w:rFonts w:hint="eastAsia" w:ascii="仿宋" w:hAnsi="仿宋" w:eastAsia="仿宋" w:cs="仿宋"/>
                <w:sz w:val="24"/>
                <w:szCs w:val="24"/>
              </w:rPr>
              <w:t>垃圾收运</w:t>
            </w:r>
          </w:p>
        </w:tc>
        <w:tc>
          <w:tcPr>
            <w:tcW w:w="1532"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6354.65</w:t>
            </w:r>
          </w:p>
        </w:tc>
        <w:tc>
          <w:tcPr>
            <w:tcW w:w="1985" w:type="dxa"/>
            <w:vAlign w:val="center"/>
          </w:tcPr>
          <w:p>
            <w:pPr>
              <w:jc w:val="center"/>
              <w:rPr>
                <w:rFonts w:ascii="仿宋" w:hAnsi="仿宋" w:eastAsia="仿宋" w:cs="仿宋"/>
                <w:sz w:val="24"/>
                <w:szCs w:val="24"/>
              </w:rPr>
            </w:pPr>
            <w:r>
              <w:rPr>
                <w:rFonts w:hint="eastAsia" w:ascii="仿宋" w:hAnsi="仿宋" w:eastAsia="仿宋" w:cs="仿宋"/>
                <w:sz w:val="24"/>
                <w:szCs w:val="24"/>
              </w:rPr>
              <w:t>96.22</w:t>
            </w:r>
          </w:p>
        </w:tc>
        <w:tc>
          <w:tcPr>
            <w:tcW w:w="1998" w:type="dxa"/>
            <w:vAlign w:val="center"/>
          </w:tcPr>
          <w:p>
            <w:pPr>
              <w:spacing w:line="480" w:lineRule="exact"/>
              <w:jc w:val="center"/>
              <w:rPr>
                <w:rFonts w:ascii="仿宋" w:hAnsi="仿宋" w:eastAsia="仿宋" w:cs="仿宋"/>
                <w:sz w:val="24"/>
                <w:szCs w:val="24"/>
              </w:rPr>
            </w:pPr>
            <w:r>
              <w:rPr>
                <w:rFonts w:hint="eastAsia" w:ascii="仿宋" w:hAnsi="仿宋" w:eastAsia="仿宋" w:cs="仿宋"/>
                <w:sz w:val="24"/>
                <w:szCs w:val="24"/>
              </w:rPr>
              <w:t>611444.42</w:t>
            </w:r>
          </w:p>
        </w:tc>
        <w:tc>
          <w:tcPr>
            <w:tcW w:w="817" w:type="dxa"/>
            <w:vMerge w:val="restart"/>
            <w:vAlign w:val="center"/>
          </w:tcPr>
          <w:p>
            <w:pPr>
              <w:spacing w:line="480" w:lineRule="exact"/>
              <w:rPr>
                <w:rFonts w:ascii="仿宋" w:hAnsi="仿宋" w:eastAsia="仿宋" w:cs="仿宋"/>
                <w:sz w:val="24"/>
                <w:szCs w:val="24"/>
              </w:rPr>
            </w:pPr>
            <w:r>
              <w:rPr>
                <w:rFonts w:hint="eastAsia" w:ascii="仿宋" w:hAnsi="仿宋" w:eastAsia="仿宋" w:cs="仿宋"/>
                <w:sz w:val="24"/>
                <w:szCs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4" w:type="dxa"/>
            <w:gridSpan w:val="4"/>
          </w:tcPr>
          <w:p>
            <w:pPr>
              <w:spacing w:line="480" w:lineRule="exact"/>
              <w:jc w:val="center"/>
              <w:rPr>
                <w:rFonts w:ascii="仿宋" w:hAnsi="仿宋" w:eastAsia="仿宋" w:cs="仿宋"/>
                <w:sz w:val="24"/>
                <w:szCs w:val="24"/>
              </w:rPr>
            </w:pPr>
            <w:r>
              <w:rPr>
                <w:rFonts w:hint="eastAsia" w:ascii="仿宋" w:hAnsi="仿宋" w:eastAsia="仿宋" w:cs="仿宋"/>
                <w:sz w:val="24"/>
                <w:szCs w:val="24"/>
              </w:rPr>
              <w:t>三年合计</w:t>
            </w:r>
          </w:p>
        </w:tc>
        <w:tc>
          <w:tcPr>
            <w:tcW w:w="1998" w:type="dxa"/>
          </w:tcPr>
          <w:p>
            <w:pPr>
              <w:spacing w:line="480" w:lineRule="exact"/>
              <w:jc w:val="center"/>
              <w:rPr>
                <w:rFonts w:ascii="仿宋" w:hAnsi="仿宋" w:eastAsia="仿宋" w:cs="仿宋"/>
                <w:sz w:val="24"/>
                <w:szCs w:val="24"/>
              </w:rPr>
            </w:pPr>
            <w:r>
              <w:rPr>
                <w:rFonts w:hint="eastAsia" w:ascii="仿宋" w:hAnsi="仿宋" w:eastAsia="仿宋" w:cs="仿宋"/>
                <w:sz w:val="24"/>
                <w:szCs w:val="24"/>
              </w:rPr>
              <w:t>1834333.26</w:t>
            </w:r>
          </w:p>
        </w:tc>
        <w:tc>
          <w:tcPr>
            <w:tcW w:w="817" w:type="dxa"/>
            <w:vMerge w:val="continue"/>
          </w:tcPr>
          <w:p>
            <w:pPr>
              <w:spacing w:line="480" w:lineRule="exact"/>
              <w:rPr>
                <w:rFonts w:ascii="仿宋" w:hAnsi="仿宋" w:eastAsia="仿宋" w:cs="仿宋"/>
                <w:sz w:val="24"/>
                <w:szCs w:val="24"/>
              </w:rPr>
            </w:pPr>
          </w:p>
        </w:tc>
      </w:tr>
    </w:tbl>
    <w:p>
      <w:pPr>
        <w:spacing w:line="480" w:lineRule="exact"/>
        <w:rPr>
          <w:rFonts w:ascii="仿宋" w:hAnsi="仿宋" w:eastAsia="仿宋" w:cs="仿宋"/>
          <w:b/>
          <w:bCs/>
          <w:sz w:val="24"/>
          <w:szCs w:val="24"/>
        </w:rPr>
      </w:pPr>
      <w:r>
        <w:rPr>
          <w:rFonts w:hint="eastAsia" w:ascii="仿宋" w:hAnsi="仿宋" w:eastAsia="仿宋" w:cs="仿宋"/>
          <w:b/>
          <w:bCs/>
          <w:sz w:val="24"/>
          <w:szCs w:val="24"/>
        </w:rPr>
        <w:t>三、保洁作业要求</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（一）道路清扫保洁作业标准</w:t>
      </w:r>
    </w:p>
    <w:p>
      <w:pPr>
        <w:spacing w:line="480" w:lineRule="exact"/>
        <w:ind w:firstLine="480" w:firstLineChars="200"/>
        <w:rPr>
          <w:rFonts w:ascii="仿宋" w:hAnsi="仿宋" w:eastAsia="仿宋" w:cs="仿宋"/>
          <w:bCs/>
          <w:sz w:val="24"/>
          <w:szCs w:val="24"/>
        </w:rPr>
      </w:pPr>
      <w:r>
        <w:rPr>
          <w:rFonts w:hint="eastAsia" w:ascii="仿宋" w:hAnsi="仿宋" w:eastAsia="仿宋" w:cs="仿宋"/>
          <w:bCs/>
          <w:sz w:val="24"/>
          <w:szCs w:val="24"/>
        </w:rPr>
        <w:t>1、划分为3级道路的农村道路及村庄连接线需实现每日清扫保洁一次，划分为4级道路的农村道路及村庄连接线需实现每两日清扫保洁一次。</w:t>
      </w:r>
    </w:p>
    <w:p>
      <w:pPr>
        <w:spacing w:line="480" w:lineRule="exact"/>
        <w:ind w:firstLine="480" w:firstLineChars="200"/>
        <w:rPr>
          <w:rFonts w:ascii="仿宋" w:hAnsi="仿宋" w:eastAsia="仿宋" w:cs="仿宋"/>
          <w:bCs/>
          <w:sz w:val="24"/>
          <w:szCs w:val="24"/>
        </w:rPr>
      </w:pPr>
      <w:r>
        <w:rPr>
          <w:rFonts w:hint="eastAsia" w:ascii="仿宋" w:hAnsi="仿宋" w:eastAsia="仿宋" w:cs="仿宋"/>
          <w:bCs/>
          <w:sz w:val="24"/>
          <w:szCs w:val="24"/>
        </w:rPr>
        <w:t>2、每次清扫保洁时间</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秋、夏季：清扫时间为早6:30至9:30、下午3:00至6:00</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保洁时间：上午9：30-下午3：00、下午6:00至7:00</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垃圾收运时间：早上5:30至6：30、下午4:30至5:30</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春、冬季：清扫时间为早7:00至10:00、下午2:30至5:30</w:t>
      </w:r>
    </w:p>
    <w:p>
      <w:pPr>
        <w:tabs>
          <w:tab w:val="left" w:pos="7942"/>
        </w:tabs>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保洁时间：上午10：00-下午2：30、下午5:30至6:30</w:t>
      </w:r>
      <w:r>
        <w:rPr>
          <w:rFonts w:hint="eastAsia" w:ascii="仿宋" w:hAnsi="仿宋" w:eastAsia="仿宋" w:cs="仿宋"/>
          <w:sz w:val="24"/>
          <w:szCs w:val="24"/>
        </w:rPr>
        <w:tab/>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垃圾收运时间：早上6:00至7：00、下午4:00至5:00</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3、农户房前屋后区域由农户自行清扫保洁，村庄内及村庄连接线的道路清扫保洁工作则由中标人负责。经过清扫保洁后的村庄及村庄连接线的道路，具体要求包括：</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1）路面、人行道、沙井口、绿化带、树穴等区域进行全面清扫保洁，做到“六无六净”（即：“六无”为无废弃堆积物、无果皮纸屑和树叶、无砖瓦沙石、无泼洒物、无污泥积水、无人畜粪便；“六净”为人行道净、沟眼净、树穴净、落沙井净、花坛周围净、墙根净），保洁率要达100%。 清扫保洁的垃圾要随扫随清，统一收运至指定的垃圾中转站，不得往雨污井口和绿化带内倾倒垃圾，不得随意焚烧垃圾。</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（2）道路两旁至墙边或滴水处内（含道路两旁各一米内卫生范围）做到无生活垃圾、建筑垃圾、废弃物等，确保道路大环境整洁。</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（3）及时清理、清洗路上出现的油污、渣土等的污染物。</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（4）保洁人员必须穿着统一环卫标志服上岗。</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（5）村与村之间的道路杂草，要求每两个月人工清除一次（不得喷洒药物），村与村之间的道路须保持路面干净，无泥沙等。</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（6）保洁对象范围周边10米内的生活垃圾（黄、红、青、白、绿）的袋子、瓶子、杯子及盒子要拾干净。</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（7）做好所清扫保洁道路及周边可视范围区域内的除“四害”（蚊、蝇、老鼠、蟑螂）配合工作，对管理范围内的鼠洞要及时回填堵塞。</w:t>
      </w:r>
    </w:p>
    <w:p>
      <w:pPr>
        <w:spacing w:line="480" w:lineRule="exact"/>
        <w:ind w:firstLine="712" w:firstLineChars="297"/>
        <w:rPr>
          <w:sz w:val="24"/>
          <w:szCs w:val="24"/>
        </w:rPr>
      </w:pPr>
      <w:r>
        <w:rPr>
          <w:rFonts w:hint="eastAsia" w:ascii="仿宋" w:hAnsi="仿宋" w:eastAsia="仿宋" w:cs="仿宋"/>
          <w:sz w:val="24"/>
          <w:szCs w:val="24"/>
        </w:rPr>
        <w:t>4、环卫应急处理：如承包区域内灾后整治、节假日、重大活动加班、增员保障环境卫生等，中标人必须符合采购人的统一调度，并承包区域内台风等灾后垃圾处置工作（包含园林垃圾）等，十二级以上台风产生的园林垃圾由采购人另行处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（二）道路清扫保洁质量标准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三至四级保洁道路路面废弃物</w:t>
      </w:r>
      <w:r>
        <w:rPr>
          <w:rFonts w:hint="eastAsia" w:ascii="仿宋" w:hAnsi="仿宋" w:eastAsia="仿宋" w:cs="仿宋"/>
          <w:kern w:val="0"/>
          <w:sz w:val="24"/>
          <w:szCs w:val="24"/>
        </w:rPr>
        <w:t>（果皮、纸屑、塑膜、烟蒂、污渍、污水等）</w:t>
      </w:r>
      <w:r>
        <w:rPr>
          <w:rFonts w:hint="eastAsia" w:ascii="仿宋" w:hAnsi="仿宋" w:eastAsia="仿宋" w:cs="仿宋"/>
          <w:sz w:val="24"/>
          <w:szCs w:val="24"/>
        </w:rPr>
        <w:t>控制指标应符合下表规定。但在同一单位长度内，不得超过各单项废弃物总数的50%。</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路面废弃物控制指标表</w:t>
      </w:r>
    </w:p>
    <w:tbl>
      <w:tblPr>
        <w:tblStyle w:val="44"/>
        <w:tblW w:w="9026" w:type="dxa"/>
        <w:jc w:val="center"/>
        <w:tblInd w:w="0" w:type="dxa"/>
        <w:tblLayout w:type="fixed"/>
        <w:tblCellMar>
          <w:top w:w="0" w:type="dxa"/>
          <w:left w:w="0" w:type="dxa"/>
          <w:bottom w:w="0" w:type="dxa"/>
          <w:right w:w="0" w:type="dxa"/>
        </w:tblCellMar>
      </w:tblPr>
      <w:tblGrid>
        <w:gridCol w:w="821"/>
        <w:gridCol w:w="1344"/>
        <w:gridCol w:w="1485"/>
        <w:gridCol w:w="1344"/>
        <w:gridCol w:w="1344"/>
        <w:gridCol w:w="1344"/>
        <w:gridCol w:w="1344"/>
      </w:tblGrid>
      <w:tr>
        <w:tblPrEx>
          <w:tblLayout w:type="fixed"/>
          <w:tblCellMar>
            <w:top w:w="0" w:type="dxa"/>
            <w:left w:w="0" w:type="dxa"/>
            <w:bottom w:w="0" w:type="dxa"/>
            <w:right w:w="0" w:type="dxa"/>
          </w:tblCellMar>
        </w:tblPrEx>
        <w:trPr>
          <w:trHeight w:val="1136" w:hRule="atLeast"/>
          <w:jc w:val="center"/>
        </w:trPr>
        <w:tc>
          <w:tcPr>
            <w:tcW w:w="8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保洁等级</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果皮(片/1000m2)</w:t>
            </w:r>
          </w:p>
        </w:tc>
        <w:tc>
          <w:tcPr>
            <w:tcW w:w="1485"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纸屑、塑膜(/1000m2)</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烟蒂(个/1000m2)</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污渍(处/1000m2)</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污水(m2 /1000m2)</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其它(处/1000m2)</w:t>
            </w:r>
          </w:p>
        </w:tc>
      </w:tr>
      <w:tr>
        <w:tblPrEx>
          <w:tblLayout w:type="fixed"/>
          <w:tblCellMar>
            <w:top w:w="0" w:type="dxa"/>
            <w:left w:w="0" w:type="dxa"/>
            <w:bottom w:w="0" w:type="dxa"/>
            <w:right w:w="0" w:type="dxa"/>
          </w:tblCellMar>
        </w:tblPrEx>
        <w:trPr>
          <w:jc w:val="center"/>
        </w:trPr>
        <w:tc>
          <w:tcPr>
            <w:tcW w:w="8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三级</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≤6</w:t>
            </w:r>
          </w:p>
        </w:tc>
        <w:tc>
          <w:tcPr>
            <w:tcW w:w="1485"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≤6</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≤7</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≤7</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≤1.5</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≤6</w:t>
            </w:r>
          </w:p>
        </w:tc>
      </w:tr>
      <w:tr>
        <w:tblPrEx>
          <w:tblLayout w:type="fixed"/>
          <w:tblCellMar>
            <w:top w:w="0" w:type="dxa"/>
            <w:left w:w="0" w:type="dxa"/>
            <w:bottom w:w="0" w:type="dxa"/>
            <w:right w:w="0" w:type="dxa"/>
          </w:tblCellMar>
        </w:tblPrEx>
        <w:trPr>
          <w:jc w:val="center"/>
        </w:trPr>
        <w:tc>
          <w:tcPr>
            <w:tcW w:w="8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四级</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≤8</w:t>
            </w:r>
          </w:p>
        </w:tc>
        <w:tc>
          <w:tcPr>
            <w:tcW w:w="1485"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≤8</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≤10</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≤10</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≤2.0</w:t>
            </w:r>
          </w:p>
        </w:tc>
        <w:tc>
          <w:tcPr>
            <w:tcW w:w="134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before="240" w:after="240" w:line="480" w:lineRule="exact"/>
              <w:jc w:val="left"/>
              <w:rPr>
                <w:rFonts w:ascii="仿宋" w:hAnsi="仿宋" w:eastAsia="仿宋" w:cs="仿宋"/>
                <w:kern w:val="0"/>
                <w:sz w:val="24"/>
                <w:szCs w:val="24"/>
              </w:rPr>
            </w:pPr>
            <w:r>
              <w:rPr>
                <w:rFonts w:hint="eastAsia" w:ascii="仿宋" w:hAnsi="仿宋" w:eastAsia="仿宋" w:cs="仿宋"/>
                <w:kern w:val="0"/>
                <w:sz w:val="24"/>
                <w:szCs w:val="24"/>
              </w:rPr>
              <w:t>≤8</w:t>
            </w:r>
          </w:p>
        </w:tc>
      </w:tr>
    </w:tbl>
    <w:p>
      <w:pPr>
        <w:numPr>
          <w:ilvl w:val="0"/>
          <w:numId w:val="6"/>
        </w:num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道路其他设施的清扫保洁质量要求</w:t>
      </w:r>
    </w:p>
    <w:p>
      <w:pPr>
        <w:spacing w:line="480" w:lineRule="exact"/>
        <w:ind w:firstLine="480" w:firstLineChars="200"/>
        <w:rPr>
          <w:rFonts w:ascii="仿宋" w:hAnsi="仿宋" w:eastAsia="仿宋" w:cs="仿宋"/>
          <w:kern w:val="0"/>
          <w:sz w:val="24"/>
          <w:szCs w:val="24"/>
        </w:rPr>
      </w:pPr>
      <w:r>
        <w:rPr>
          <w:rFonts w:hint="eastAsia" w:ascii="仿宋" w:hAnsi="仿宋" w:eastAsia="仿宋" w:cs="仿宋"/>
          <w:sz w:val="24"/>
          <w:szCs w:val="24"/>
        </w:rPr>
        <w:t>1、垃圾广告清理：</w:t>
      </w:r>
      <w:r>
        <w:rPr>
          <w:rFonts w:hint="eastAsia" w:ascii="仿宋" w:hAnsi="仿宋" w:eastAsia="仿宋" w:cs="仿宋"/>
          <w:kern w:val="0"/>
          <w:sz w:val="24"/>
          <w:szCs w:val="24"/>
        </w:rPr>
        <w:t>清理道路两旁、建筑物外墙以及道路地面、侧石、护栏、标牌、灯杆等市政设施的乱张贴、乱涂画等。</w:t>
      </w:r>
    </w:p>
    <w:p>
      <w:pPr>
        <w:spacing w:line="4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2、清洗槟榔汁：对清扫保洁区域内的槟榔汁进行清洗。</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3、道路隔离设施、护栏应整洁，每周擦洗1次以上，无明显灰尘污物；道路隔离设施底部应无散落垃圾和明显尘土。</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4、道路两侧的建筑物外墙应无明显污迹，无乱贴、乱挂和过时破损标语。</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5、道路两侧的各类岗(亭)、公交候车站(亭、牌)、治安站(亭)、交通检查站(亭)、邮政箱(筒)、电话亭、宣传栏、画廊、垃圾桶(箱)、果皮箱、路灯杆、路标、标志牌、门牌、广告设施等设施保洁质量应与所在道路保洁质量标准相同，应保持完好，无污迹、积尘和乱涂乱画、乱张贴。 </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6、公共雕塑应无明显污迹、积尘和乱涂乱画、乱张贴。</w:t>
      </w:r>
    </w:p>
    <w:p>
      <w:pPr>
        <w:spacing w:line="480" w:lineRule="exact"/>
        <w:rPr>
          <w:rFonts w:ascii="仿宋" w:hAnsi="仿宋" w:eastAsia="仿宋" w:cs="仿宋"/>
          <w:b/>
          <w:bCs/>
          <w:sz w:val="24"/>
          <w:szCs w:val="24"/>
        </w:rPr>
      </w:pPr>
      <w:r>
        <w:rPr>
          <w:rFonts w:hint="eastAsia" w:ascii="仿宋" w:hAnsi="仿宋" w:eastAsia="仿宋" w:cs="仿宋"/>
          <w:b/>
          <w:bCs/>
          <w:sz w:val="24"/>
          <w:szCs w:val="24"/>
        </w:rPr>
        <w:t>四、垃圾收集清运作业要求</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（一）垃圾收运频次</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所有农村垃圾清运每天2次，按时清运，做到垃圾日产日清。垃圾收集清运至海棠区垃圾转运站。</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（二）垃圾收运路线</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根据各村（居）委会与区垃圾转运站的距离的差异，合理规划每辆垃圾压缩车服务的垃圾收集点。</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（三）海棠区生活垃圾的收集和运输，应符合《海南省城乡环境卫生质量标准》（DBJ14-2009）、《城市环境卫生质量标准》（建城字〔1997〕21号）等有关行业标准和上级有关规定。</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（四）垃圾收集质量标准为：</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1、垃圾收集容器应定位设置，摆放整齐。设置点及周围2～3m内应整洁，无散落、存留垃圾和污水，0.5m外无明显臭味。</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2、垃圾收集容器应无残缺、破损，封闭性好，外体干净，每周清洗3次以上，不得有明显积灰、污物、污水、槟榔汁和野广告。</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3、特种垃圾的收集，必须用设有明显标志、能防止污染扩散的密封容器。</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4、蝇、蚊孳生季节，垃圾收集站(点)，应定时喷洒消毒、灭蚊蝇药物。在可视范围内，苍蝇应少于3只/次。</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5、生活垃圾应全部实行容器收集，逐步推行分类收集。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6、特种垃圾、工业垃圾和建筑垃圾，必须与生活垃圾分开存放，分别收集。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7、居民的生活垃圾应日产日清，无堆积；单位的生活垃圾应按时清除，无积压，无腐烂发臭；废旧家具、家用电器等粗大垃圾应按指定地点存放，定期清除。</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8、收集作业完成后，应及时清理场地，将可移动式垃圾收集容器复位，车走地净。</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9、垃圾箱内的垃圾应及时清除、无满溢和散落，每周定期清洗箱体3次以上。</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10、地面(含天桥、地道)清扫的垃圾应及时收集和运输，不遗漏，作业完成后堆放在路边不得超过1小时。</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（五）车辆(包括机动车辆和非机动车辆)运输垃圾质量标准为：</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1、车容应整洁，标志应清晰，车体外部无污物、灰垢。</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2、运输垃圾应密闭，在运输过程中无垃圾扬、撒、拖挂和污水滴漏。</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3、垃圾装运量应以车辆的额定荷载和有效容积为限，严禁超重、超高运输。</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4、装卸垃圾应符合作业要求，不得乱倒、乱卸、乱抛垃圾。</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5、运输作业结束，应将车辆清洗干净，清洗污水符合现行行业标准《污水排入城市下水道水质标准》(CJI8-86)或现行国家标准《污水综合排放标准》(GB8978)后，方可排入城市污水管网或附近水体。</w:t>
      </w:r>
    </w:p>
    <w:p>
      <w:pPr>
        <w:spacing w:line="480" w:lineRule="exact"/>
        <w:rPr>
          <w:rFonts w:ascii="仿宋" w:hAnsi="仿宋" w:eastAsia="仿宋" w:cs="仿宋"/>
          <w:sz w:val="24"/>
          <w:szCs w:val="24"/>
        </w:rPr>
      </w:pPr>
      <w:r>
        <w:rPr>
          <w:rFonts w:hint="eastAsia" w:ascii="仿宋" w:hAnsi="仿宋" w:eastAsia="仿宋" w:cs="仿宋"/>
          <w:b/>
          <w:sz w:val="24"/>
          <w:szCs w:val="24"/>
        </w:rPr>
        <w:t>五、设备标准和要求</w:t>
      </w:r>
    </w:p>
    <w:tbl>
      <w:tblPr>
        <w:tblStyle w:val="44"/>
        <w:tblW w:w="9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080"/>
        <w:gridCol w:w="960"/>
        <w:gridCol w:w="855"/>
        <w:gridCol w:w="1095"/>
        <w:gridCol w:w="900"/>
        <w:gridCol w:w="870"/>
        <w:gridCol w:w="1137"/>
        <w:gridCol w:w="84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清扫保洁收运人员</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3.5立方清扫车</w:t>
            </w:r>
          </w:p>
        </w:tc>
        <w:tc>
          <w:tcPr>
            <w:tcW w:w="85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3吨垃圾压缩车</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电动三轮保洁车</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高压清洗车</w:t>
            </w:r>
          </w:p>
        </w:tc>
        <w:tc>
          <w:tcPr>
            <w:tcW w:w="87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应急皮卡车</w:t>
            </w:r>
          </w:p>
        </w:tc>
        <w:tc>
          <w:tcPr>
            <w:tcW w:w="1137"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660L垃圾桶</w:t>
            </w: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240L垃圾桶</w:t>
            </w: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cs="仿宋"/>
                <w:sz w:val="24"/>
                <w:szCs w:val="24"/>
              </w:rPr>
            </w:pPr>
            <w:r>
              <w:rPr>
                <w:rFonts w:hint="eastAsia" w:ascii="仿宋" w:hAnsi="仿宋" w:eastAsia="仿宋" w:cs="仿宋"/>
                <w:bCs/>
                <w:sz w:val="24"/>
                <w:szCs w:val="24"/>
              </w:rPr>
              <w:t>劳动工具及其他设备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≥64</w:t>
            </w:r>
            <w:r>
              <w:rPr>
                <w:rFonts w:hint="eastAsia" w:ascii="仿宋" w:hAnsi="仿宋" w:eastAsia="仿宋" w:cs="仿宋"/>
                <w:sz w:val="24"/>
                <w:szCs w:val="24"/>
                <w:u w:val="single"/>
              </w:rPr>
              <w:t>人</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1 </w:t>
            </w:r>
            <w:r>
              <w:rPr>
                <w:rFonts w:hint="eastAsia" w:ascii="仿宋" w:hAnsi="仿宋" w:eastAsia="仿宋" w:cs="仿宋"/>
                <w:sz w:val="24"/>
                <w:szCs w:val="24"/>
              </w:rPr>
              <w:t>辆</w:t>
            </w:r>
          </w:p>
        </w:tc>
        <w:tc>
          <w:tcPr>
            <w:tcW w:w="85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3 </w:t>
            </w:r>
            <w:r>
              <w:rPr>
                <w:rFonts w:hint="eastAsia" w:ascii="仿宋" w:hAnsi="仿宋" w:eastAsia="仿宋" w:cs="仿宋"/>
                <w:sz w:val="24"/>
                <w:szCs w:val="24"/>
              </w:rPr>
              <w:t>辆</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64 </w:t>
            </w:r>
            <w:r>
              <w:rPr>
                <w:rFonts w:hint="eastAsia" w:ascii="仿宋" w:hAnsi="仿宋" w:eastAsia="仿宋" w:cs="仿宋"/>
                <w:sz w:val="24"/>
                <w:szCs w:val="24"/>
              </w:rPr>
              <w:t>辆</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1 </w:t>
            </w:r>
            <w:r>
              <w:rPr>
                <w:rFonts w:hint="eastAsia" w:ascii="仿宋" w:hAnsi="仿宋" w:eastAsia="仿宋" w:cs="仿宋"/>
                <w:sz w:val="24"/>
                <w:szCs w:val="24"/>
              </w:rPr>
              <w:t>辆</w:t>
            </w:r>
          </w:p>
        </w:tc>
        <w:tc>
          <w:tcPr>
            <w:tcW w:w="87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1 </w:t>
            </w:r>
            <w:r>
              <w:rPr>
                <w:rFonts w:hint="eastAsia" w:ascii="仿宋" w:hAnsi="仿宋" w:eastAsia="仿宋" w:cs="仿宋"/>
                <w:sz w:val="24"/>
                <w:szCs w:val="24"/>
              </w:rPr>
              <w:t>辆</w:t>
            </w:r>
          </w:p>
        </w:tc>
        <w:tc>
          <w:tcPr>
            <w:tcW w:w="1137"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130</w:t>
            </w:r>
            <w:r>
              <w:rPr>
                <w:rFonts w:hint="eastAsia" w:ascii="仿宋" w:hAnsi="仿宋" w:eastAsia="仿宋" w:cs="仿宋"/>
                <w:sz w:val="24"/>
                <w:szCs w:val="24"/>
              </w:rPr>
              <w:t>个</w:t>
            </w: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u w:val="single"/>
              </w:rPr>
              <w:t xml:space="preserve">0 </w:t>
            </w:r>
            <w:r>
              <w:rPr>
                <w:rFonts w:hint="eastAsia" w:ascii="仿宋" w:hAnsi="仿宋" w:eastAsia="仿宋" w:cs="仿宋"/>
                <w:sz w:val="24"/>
                <w:szCs w:val="24"/>
              </w:rPr>
              <w:t>个</w:t>
            </w: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Cs/>
                <w:sz w:val="24"/>
                <w:szCs w:val="24"/>
              </w:rPr>
            </w:pPr>
            <w:r>
              <w:rPr>
                <w:rFonts w:hint="eastAsia" w:ascii="仿宋" w:hAnsi="仿宋" w:eastAsia="仿宋" w:cs="仿宋"/>
                <w:bCs/>
                <w:sz w:val="24"/>
                <w:szCs w:val="24"/>
              </w:rPr>
              <w:t>根据工作实际配备</w:t>
            </w:r>
          </w:p>
        </w:tc>
      </w:tr>
    </w:tbl>
    <w:p>
      <w:pPr>
        <w:spacing w:line="480" w:lineRule="exact"/>
        <w:rPr>
          <w:rFonts w:ascii="仿宋" w:hAnsi="仿宋" w:eastAsia="仿宋" w:cs="仿宋"/>
          <w:b/>
          <w:sz w:val="24"/>
          <w:szCs w:val="24"/>
        </w:rPr>
      </w:pPr>
      <w:r>
        <w:rPr>
          <w:rFonts w:hint="eastAsia" w:ascii="仿宋" w:hAnsi="仿宋" w:eastAsia="仿宋" w:cs="仿宋"/>
          <w:b/>
          <w:sz w:val="24"/>
          <w:szCs w:val="24"/>
        </w:rPr>
        <w:t>六、管理标准和要求</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（一）中标人须列明管理机构的模式，具备适合的设备、人员等，并提供有关人员职责名单及上岗证等复印件，于进场一星期内将上述人员证书原件送采购人核验。</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（二）中标人所采用的作业设备必须满足国家有关技术操作规程的要求，同时必须要满足正常作业需要。中标人投入的作业机械设备在15天内要经采购人验收认定。</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（三）中标人必须按法律、法规及有关政策规定为其服务人员购买社会养老、工伤、医疗、失业、计划生育、人身意外等相关社会保险。必须执行国家劳动法的相关规定。</w:t>
      </w:r>
    </w:p>
    <w:p>
      <w:pPr>
        <w:spacing w:line="480" w:lineRule="exact"/>
        <w:ind w:firstLine="480" w:firstLineChars="200"/>
        <w:rPr>
          <w:rFonts w:ascii="仿宋" w:hAnsi="仿宋" w:eastAsia="仿宋" w:cs="仿宋"/>
          <w:b/>
          <w:bCs/>
          <w:sz w:val="24"/>
          <w:szCs w:val="24"/>
        </w:rPr>
      </w:pPr>
      <w:r>
        <w:rPr>
          <w:rFonts w:hint="eastAsia" w:ascii="仿宋" w:hAnsi="仿宋" w:eastAsia="仿宋" w:cs="仿宋"/>
          <w:sz w:val="24"/>
          <w:szCs w:val="24"/>
        </w:rPr>
        <w:t>（四）中标人必须落实好安全生产的措施和配置安全作业的劳保用品。且穿着统一标识的工作服,中标人的作业车辆必须按采购人的要求统一标识。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（五）中标人须编制《道路清扫保洁实施方案》、《垃圾收集清运实施方案》，列明保证质量、安全、文明作业的措施；中标人应根据采购人确认的实施方案编制作业计划，并按此计划要求按时保质完成。</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（六）遇有台风等自然灾害或重大活动，中标人必须服从政府统一调度。</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（七）签订合同第一年，采购人将中标人缴纳的履约保证金转为质量保证金使用，第二年、第三年续签合同时，中标人必须向采购人上缴合同金额的10%作为服务质量保证金。</w:t>
      </w:r>
    </w:p>
    <w:p>
      <w:pPr>
        <w:spacing w:line="480" w:lineRule="exact"/>
        <w:rPr>
          <w:rFonts w:ascii="仿宋" w:hAnsi="仿宋" w:eastAsia="仿宋" w:cs="仿宋"/>
          <w:sz w:val="24"/>
          <w:szCs w:val="24"/>
        </w:rPr>
      </w:pPr>
      <w:r>
        <w:rPr>
          <w:rFonts w:hint="eastAsia" w:ascii="仿宋" w:hAnsi="仿宋" w:eastAsia="仿宋" w:cs="仿宋"/>
          <w:b/>
          <w:bCs/>
          <w:sz w:val="24"/>
          <w:szCs w:val="24"/>
        </w:rPr>
        <w:t>七、服务期限及承包方式</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（一）本项目服务期限为三年，合同每年一签，第二、三年的合同在当年预算经费落实到位且年终考核为“优”才能续签。</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（二）中标人履约期间，如果政府出台政策性调整文件需要提前终止合同的，本服务合同将无条件解除，中标人不得提出任何赔偿或补偿要求。</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（三）本项目采取全包干的方式实行全承包。中标人按照采购人的服务要求和标准组织服务工作，并接受采购人的监督、检查、指导。</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（四）中标人需配合第三方考核机构，采购配备考核所需的相关设施设备。</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（五）在中标人履约期间，如遇政府相关部门出台新的道路保洁单价、垃圾收运单价标准及垃圾收运量，可按新标准执行。</w:t>
      </w:r>
    </w:p>
    <w:p>
      <w:pPr>
        <w:spacing w:line="480" w:lineRule="exact"/>
        <w:rPr>
          <w:rFonts w:ascii="仿宋" w:hAnsi="仿宋" w:eastAsia="仿宋" w:cs="仿宋"/>
          <w:b/>
          <w:bCs/>
          <w:sz w:val="24"/>
          <w:szCs w:val="24"/>
        </w:rPr>
      </w:pPr>
      <w:r>
        <w:rPr>
          <w:rFonts w:hint="eastAsia" w:ascii="仿宋" w:hAnsi="仿宋" w:eastAsia="仿宋" w:cs="仿宋"/>
          <w:b/>
          <w:bCs/>
          <w:sz w:val="24"/>
          <w:szCs w:val="24"/>
        </w:rPr>
        <w:t>八、经费来源</w:t>
      </w:r>
    </w:p>
    <w:p>
      <w:pPr>
        <w:spacing w:line="480" w:lineRule="exact"/>
        <w:ind w:firstLine="640"/>
        <w:rPr>
          <w:rFonts w:ascii="仿宋" w:hAnsi="仿宋" w:eastAsia="仿宋" w:cs="仿宋"/>
          <w:b/>
          <w:sz w:val="24"/>
          <w:szCs w:val="24"/>
        </w:rPr>
      </w:pPr>
      <w:r>
        <w:rPr>
          <w:rFonts w:hint="eastAsia" w:ascii="仿宋" w:hAnsi="仿宋" w:eastAsia="仿宋" w:cs="仿宋"/>
          <w:sz w:val="24"/>
          <w:szCs w:val="24"/>
        </w:rPr>
        <w:t>海棠区林旺片区（藤海社区、江林村、青田村、铁炉村）农村环境卫生清扫保洁收运服务项目经费为</w:t>
      </w:r>
      <w:r>
        <w:rPr>
          <w:rFonts w:ascii="仿宋" w:hAnsi="仿宋" w:eastAsia="仿宋" w:cs="仿宋"/>
          <w:sz w:val="24"/>
          <w:szCs w:val="24"/>
        </w:rPr>
        <w:t>3329126.3</w:t>
      </w:r>
      <w:r>
        <w:rPr>
          <w:rFonts w:hint="eastAsia" w:ascii="仿宋" w:hAnsi="仿宋" w:eastAsia="仿宋" w:cs="仿宋"/>
          <w:sz w:val="24"/>
          <w:szCs w:val="24"/>
        </w:rPr>
        <w:t>9元/年，此次招标服务期限为三年。该项费用从2019年部门预算各村（居）卫生保洁经费中支出。</w:t>
      </w:r>
    </w:p>
    <w:p>
      <w:pPr>
        <w:numPr>
          <w:ilvl w:val="0"/>
          <w:numId w:val="7"/>
        </w:numPr>
        <w:spacing w:line="480" w:lineRule="exact"/>
        <w:rPr>
          <w:rFonts w:ascii="仿宋" w:hAnsi="仿宋" w:eastAsia="仿宋" w:cs="仿宋"/>
          <w:b/>
          <w:bCs/>
          <w:sz w:val="24"/>
          <w:szCs w:val="24"/>
        </w:rPr>
      </w:pPr>
      <w:r>
        <w:rPr>
          <w:rFonts w:hint="eastAsia" w:ascii="仿宋" w:hAnsi="仿宋" w:eastAsia="仿宋" w:cs="仿宋"/>
          <w:b/>
          <w:bCs/>
          <w:sz w:val="24"/>
          <w:szCs w:val="24"/>
        </w:rPr>
        <w:t>检查方法及检查结果运用</w:t>
      </w:r>
    </w:p>
    <w:p>
      <w:pPr>
        <w:spacing w:line="58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（一）考核方式</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第三方针对海棠区全区域的园林环卫作业质量进行考核评估，开发测评软件，将全部区域、全部考核类型及考核评估评分标准全部输入测评系统；每次检查发现问题及时上传到测评系统，系统自动生成分数，自动对各养护公司各项目进行排序；实时数据共享，测评系统满足对上传数据及历史轨迹综合查询，对第三方日常考核评估情况实行在线监控；</w:t>
      </w:r>
    </w:p>
    <w:p>
      <w:pPr>
        <w:spacing w:line="58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（二）考核方案</w:t>
      </w:r>
    </w:p>
    <w:p>
      <w:pPr>
        <w:spacing w:line="5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由第三方根据海棠区园林环卫养护作业特点及实际项目需求，制定具体考核评估实施方案，包括《日考核评估方案》、《月考核评估方案》、《年度考核评估方案》。</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每月25日前应提交下月《日考核评估方案》、《月考核评估方案》。每年11月25日前应提交《年度考核评估方案》。考核评估方案由采购人审核通过后，第三方考核机构需严格按照方案实施考核评估工作。</w:t>
      </w:r>
    </w:p>
    <w:p>
      <w:pPr>
        <w:spacing w:line="58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（三）考核频次和内容</w:t>
      </w:r>
    </w:p>
    <w:p>
      <w:pPr>
        <w:spacing w:line="580" w:lineRule="exact"/>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1.日考核</w:t>
      </w:r>
    </w:p>
    <w:p>
      <w:pPr>
        <w:spacing w:line="5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由一线检查人员根据《日考核评估方案》，划分考核网格区域和网格考核人员，2人以上一组，每天对各养护区域和事项进行检查，每周所有区域必须检查考核一遍，对检查中发现的问题，进行定位、拍照并实时上传至测评系统。</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测评同时依照养护质量标准进行打分，将日考核的平均分数按50%的比例记入当月考核的成绩。</w:t>
      </w:r>
    </w:p>
    <w:p>
      <w:pPr>
        <w:spacing w:line="580" w:lineRule="exact"/>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2.月考核</w:t>
      </w:r>
    </w:p>
    <w:p>
      <w:pPr>
        <w:spacing w:line="5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由采购人指导，第三方考核机构具体实施，根据《月考核评估方案》，组织园林环卫作业单位等相关单位代表参加，每月不定时组织1～2次检查考核，组成数个考核小组，各考核组和考核区域路段由测评系统抽签随机决定。对检查中发现的问题，进行定位、拍照并实时上传至测评系统。</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月考核的平均分数按50%的比例记入当月考核成绩。</w:t>
      </w:r>
    </w:p>
    <w:p>
      <w:pPr>
        <w:spacing w:line="580" w:lineRule="exact"/>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3.年度考核</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根据《年度考核评估方案》，对本年系统测评数据进行整理，对日常考核问题严重区域、排名落后养护公司负责区域及项目和日常考核未涉及的项目进行考核，并结合月考核的平均成绩计算年度成绩。</w:t>
      </w:r>
    </w:p>
    <w:p>
      <w:pPr>
        <w:spacing w:line="580" w:lineRule="exact"/>
        <w:ind w:firstLine="482" w:firstLineChars="200"/>
        <w:rPr>
          <w:rFonts w:ascii="仿宋" w:hAnsi="仿宋" w:eastAsia="仿宋" w:cs="仿宋"/>
          <w:b/>
          <w:bCs/>
          <w:kern w:val="0"/>
          <w:sz w:val="24"/>
          <w:szCs w:val="24"/>
        </w:rPr>
      </w:pPr>
      <w:r>
        <w:rPr>
          <w:rFonts w:hint="eastAsia" w:ascii="仿宋" w:hAnsi="仿宋" w:eastAsia="仿宋" w:cs="仿宋"/>
          <w:b/>
          <w:bCs/>
          <w:kern w:val="0"/>
          <w:sz w:val="24"/>
          <w:szCs w:val="24"/>
        </w:rPr>
        <w:t>4.专项考核</w:t>
      </w:r>
    </w:p>
    <w:p>
      <w:pPr>
        <w:spacing w:line="580" w:lineRule="exact"/>
        <w:ind w:firstLine="480" w:firstLineChars="200"/>
        <w:rPr>
          <w:rFonts w:ascii="仿宋" w:hAnsi="仿宋" w:eastAsia="仿宋" w:cs="仿宋"/>
          <w:sz w:val="24"/>
          <w:szCs w:val="24"/>
        </w:rPr>
      </w:pPr>
      <w:r>
        <w:rPr>
          <w:rFonts w:hint="eastAsia" w:ascii="仿宋" w:hAnsi="仿宋" w:eastAsia="仿宋" w:cs="仿宋"/>
          <w:kern w:val="0"/>
          <w:sz w:val="24"/>
          <w:szCs w:val="24"/>
        </w:rPr>
        <w:t>根据工作需要和采购人的要求组织，考核范围包括迎检考核、创文明城、巩固国家卫生城、防台风暴雨等工作，组织程序与月考核一致，分数纳入月考核平均成绩。</w:t>
      </w:r>
    </w:p>
    <w:p>
      <w:pPr>
        <w:spacing w:line="58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（四）考核成果</w:t>
      </w:r>
    </w:p>
    <w:p>
      <w:pPr>
        <w:spacing w:line="5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由第三方考核机构按时制定并提交给采购人，分为《月度考核评估报告》、《季度考核评估报告》、《年度考核评估报告》、《专项考核评估报告》，各项数据汇总应当由监管系统平台自动生成，对不同考核时间内各养护公司及各项目进行打分排名，由专业人员依据数据和实地考核评估情况进行评估报告的撰写。</w:t>
      </w:r>
    </w:p>
    <w:p>
      <w:pPr>
        <w:pStyle w:val="2"/>
        <w:numPr>
          <w:ilvl w:val="1"/>
          <w:numId w:val="0"/>
        </w:numPr>
        <w:rPr>
          <w:rFonts w:ascii="仿宋" w:hAnsi="仿宋" w:eastAsia="仿宋" w:cs="仿宋"/>
          <w:b w:val="0"/>
          <w:bCs w:val="0"/>
          <w:kern w:val="0"/>
          <w:sz w:val="24"/>
          <w:szCs w:val="24"/>
        </w:rPr>
      </w:pPr>
      <w:r>
        <w:rPr>
          <w:rFonts w:hint="eastAsia" w:ascii="仿宋" w:hAnsi="仿宋" w:eastAsia="仿宋" w:cs="仿宋"/>
          <w:kern w:val="0"/>
          <w:sz w:val="24"/>
          <w:szCs w:val="24"/>
        </w:rPr>
        <w:t xml:space="preserve">    备注：</w:t>
      </w:r>
      <w:r>
        <w:rPr>
          <w:rFonts w:hint="eastAsia" w:ascii="仿宋" w:hAnsi="仿宋" w:eastAsia="仿宋" w:cs="仿宋"/>
          <w:b w:val="0"/>
          <w:bCs w:val="0"/>
          <w:kern w:val="0"/>
          <w:sz w:val="24"/>
          <w:szCs w:val="24"/>
        </w:rPr>
        <w:t>中标人履约期间，如采购人出台新的考核方式及标准等，按新考核方式及标准执行。</w:t>
      </w:r>
    </w:p>
    <w:p>
      <w:pPr>
        <w:pStyle w:val="2"/>
        <w:numPr>
          <w:ilvl w:val="1"/>
          <w:numId w:val="0"/>
        </w:numPr>
        <w:rPr>
          <w:rFonts w:eastAsia="仿宋"/>
        </w:rPr>
      </w:pPr>
    </w:p>
    <w:p>
      <w:pPr>
        <w:tabs>
          <w:tab w:val="left" w:pos="2156"/>
        </w:tabs>
        <w:spacing w:line="480" w:lineRule="exact"/>
        <w:jc w:val="center"/>
        <w:rPr>
          <w:rFonts w:ascii="仿宋" w:hAnsi="仿宋" w:eastAsia="仿宋" w:cs="仿宋"/>
          <w:sz w:val="28"/>
          <w:szCs w:val="28"/>
        </w:rPr>
      </w:pPr>
    </w:p>
    <w:p>
      <w:pPr>
        <w:pStyle w:val="17"/>
        <w:spacing w:line="480" w:lineRule="exact"/>
        <w:rPr>
          <w:rFonts w:ascii="仿宋" w:hAnsi="仿宋" w:eastAsia="仿宋" w:cs="仿宋"/>
          <w:sz w:val="28"/>
          <w:szCs w:val="28"/>
        </w:rPr>
      </w:pPr>
    </w:p>
    <w:p>
      <w:pPr>
        <w:pStyle w:val="17"/>
        <w:spacing w:line="480" w:lineRule="exact"/>
        <w:rPr>
          <w:rFonts w:ascii="仿宋" w:hAnsi="仿宋" w:eastAsia="仿宋" w:cs="仿宋"/>
          <w:sz w:val="28"/>
          <w:szCs w:val="28"/>
        </w:rPr>
      </w:pPr>
    </w:p>
    <w:p>
      <w:pPr>
        <w:tabs>
          <w:tab w:val="left" w:pos="2156"/>
        </w:tabs>
        <w:spacing w:line="480" w:lineRule="exact"/>
        <w:rPr>
          <w:rFonts w:ascii="仿宋" w:hAnsi="仿宋" w:eastAsia="仿宋" w:cs="仿宋"/>
          <w:sz w:val="28"/>
          <w:szCs w:val="28"/>
        </w:rPr>
      </w:pPr>
      <w:r>
        <w:rPr>
          <w:rFonts w:hint="eastAsia" w:ascii="仿宋" w:hAnsi="仿宋" w:eastAsia="仿宋" w:cs="仿宋"/>
          <w:sz w:val="28"/>
          <w:szCs w:val="28"/>
        </w:rPr>
        <w:t xml:space="preserve">                              </w:t>
      </w:r>
    </w:p>
    <w:p>
      <w:pPr>
        <w:spacing w:line="360" w:lineRule="auto"/>
        <w:ind w:firstLine="480" w:firstLineChars="200"/>
        <w:rPr>
          <w:rFonts w:ascii="宋体" w:hAnsi="宋体"/>
          <w:sz w:val="24"/>
        </w:rPr>
        <w:sectPr>
          <w:pgSz w:w="11905" w:h="16837"/>
          <w:pgMar w:top="1361" w:right="1361" w:bottom="1361" w:left="1474" w:header="851" w:footer="992" w:gutter="0"/>
          <w:pgNumType w:fmt="decimal" w:chapStyle="1"/>
          <w:cols w:space="720" w:num="1"/>
          <w:titlePg/>
          <w:docGrid w:linePitch="312" w:charSpace="0"/>
        </w:sectPr>
      </w:pPr>
    </w:p>
    <w:p>
      <w:pPr>
        <w:pStyle w:val="41"/>
        <w:spacing w:line="360" w:lineRule="auto"/>
        <w:jc w:val="center"/>
      </w:pPr>
      <w:bookmarkStart w:id="314" w:name="_Toc10188489"/>
      <w:r>
        <w:rPr>
          <w:rFonts w:hint="eastAsia"/>
        </w:rPr>
        <w:t>第四章 合同条款</w:t>
      </w:r>
      <w:bookmarkEnd w:id="312"/>
      <w:bookmarkEnd w:id="313"/>
      <w:bookmarkEnd w:id="314"/>
    </w:p>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r>
        <w:rPr>
          <w:rFonts w:hint="eastAsia" w:ascii="宋体" w:hAnsi="宋体" w:cs="宋体"/>
          <w:b/>
          <w:sz w:val="44"/>
          <w:szCs w:val="44"/>
        </w:rPr>
        <w:t>采 购 合 同 书</w:t>
      </w: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jc w:val="center"/>
        <w:rPr>
          <w:rFonts w:ascii="宋体" w:hAnsi="宋体" w:cs="宋体"/>
          <w:b/>
          <w:sz w:val="44"/>
          <w:szCs w:val="44"/>
        </w:rPr>
      </w:pPr>
    </w:p>
    <w:p>
      <w:pPr>
        <w:tabs>
          <w:tab w:val="left" w:pos="720"/>
        </w:tabs>
        <w:spacing w:line="360" w:lineRule="auto"/>
        <w:ind w:firstLine="984" w:firstLineChars="350"/>
        <w:rPr>
          <w:rFonts w:ascii="宋体" w:hAnsi="宋体" w:cs="宋体"/>
          <w:b/>
          <w:sz w:val="28"/>
          <w:szCs w:val="28"/>
        </w:rPr>
      </w:pPr>
      <w:r>
        <w:rPr>
          <w:rFonts w:hint="eastAsia" w:ascii="宋体" w:hAnsi="宋体" w:cs="宋体"/>
          <w:b/>
          <w:sz w:val="28"/>
          <w:szCs w:val="28"/>
        </w:rPr>
        <w:t>采购项目：</w:t>
      </w:r>
    </w:p>
    <w:p>
      <w:pPr>
        <w:tabs>
          <w:tab w:val="left" w:pos="720"/>
        </w:tabs>
        <w:spacing w:line="360" w:lineRule="auto"/>
        <w:ind w:firstLine="984" w:firstLineChars="350"/>
        <w:rPr>
          <w:rFonts w:ascii="宋体" w:hAnsi="宋体" w:cs="宋体"/>
          <w:b/>
          <w:sz w:val="28"/>
          <w:szCs w:val="28"/>
        </w:rPr>
      </w:pPr>
      <w:r>
        <w:rPr>
          <w:rFonts w:hint="eastAsia" w:ascii="宋体" w:hAnsi="宋体" w:cs="宋体"/>
          <w:b/>
          <w:sz w:val="28"/>
          <w:szCs w:val="28"/>
        </w:rPr>
        <w:t>采购编号：</w:t>
      </w:r>
    </w:p>
    <w:p>
      <w:pPr>
        <w:spacing w:line="360" w:lineRule="auto"/>
        <w:rPr>
          <w:rFonts w:ascii="宋体" w:hAnsi="宋体" w:cs="宋体"/>
          <w:sz w:val="28"/>
          <w:szCs w:val="28"/>
        </w:rPr>
      </w:pPr>
    </w:p>
    <w:p>
      <w:pPr>
        <w:spacing w:line="360" w:lineRule="auto"/>
        <w:rPr>
          <w:rFonts w:ascii="宋体" w:hAnsi="宋体" w:cs="宋体"/>
          <w:b/>
          <w:i/>
          <w:sz w:val="24"/>
          <w:szCs w:val="24"/>
        </w:rPr>
      </w:pPr>
      <w:r>
        <w:rPr>
          <w:rFonts w:hint="eastAsia" w:ascii="宋体" w:hAnsi="宋体" w:cs="宋体"/>
          <w:b/>
          <w:i/>
          <w:sz w:val="24"/>
          <w:szCs w:val="24"/>
        </w:rPr>
        <w:t>注：本合同仅为合同的参考文本，合同签订双方可根据项目的具体要求进行修订。</w:t>
      </w:r>
    </w:p>
    <w:p>
      <w:pPr>
        <w:pStyle w:val="8"/>
        <w:tabs>
          <w:tab w:val="left" w:pos="962"/>
          <w:tab w:val="left" w:pos="1444"/>
        </w:tabs>
        <w:spacing w:before="66"/>
        <w:ind w:left="0" w:right="117"/>
        <w:jc w:val="center"/>
        <w:rPr>
          <w:rFonts w:ascii="黑体" w:eastAsia="黑体"/>
          <w:b/>
        </w:rPr>
      </w:pPr>
      <w:r>
        <w:rPr>
          <w:rFonts w:hint="eastAsia" w:ascii="宋体" w:hAnsi="宋体" w:cs="宋体"/>
          <w:b/>
          <w:sz w:val="28"/>
          <w:szCs w:val="28"/>
        </w:rPr>
        <w:br w:type="page"/>
      </w:r>
      <w:r>
        <w:rPr>
          <w:rFonts w:hint="eastAsia" w:ascii="黑体" w:eastAsia="黑体"/>
          <w:b/>
        </w:rPr>
        <w:t>第一章 总则</w:t>
      </w:r>
    </w:p>
    <w:p>
      <w:pPr>
        <w:pStyle w:val="8"/>
        <w:spacing w:before="154"/>
        <w:ind w:left="567" w:leftChars="270" w:right="117" w:firstLine="388" w:firstLineChars="150"/>
        <w:rPr>
          <w:rFonts w:ascii="黑体" w:eastAsia="黑体"/>
        </w:rPr>
      </w:pPr>
      <w:r>
        <w:rPr>
          <w:rFonts w:ascii="Calibri" w:hAnsi="Calibri" w:cs="Calibri"/>
          <w:b/>
          <w:spacing w:val="24"/>
        </w:rPr>
        <w:t>第一条</w:t>
      </w:r>
      <w:r>
        <w:rPr>
          <w:rFonts w:hint="eastAsia" w:ascii="黑体" w:eastAsia="黑体"/>
        </w:rPr>
        <w:t xml:space="preserve"> </w:t>
      </w:r>
      <w:r>
        <w:t>本合同当事人</w:t>
      </w:r>
    </w:p>
    <w:p>
      <w:pPr>
        <w:pStyle w:val="16"/>
        <w:spacing w:before="153" w:line="360" w:lineRule="auto"/>
        <w:ind w:left="953" w:right="6250"/>
      </w:pPr>
      <w:r>
        <w:t>甲方：</w:t>
      </w:r>
    </w:p>
    <w:p>
      <w:pPr>
        <w:pStyle w:val="16"/>
        <w:spacing w:before="153" w:line="360" w:lineRule="auto"/>
        <w:ind w:left="953" w:right="6250"/>
      </w:pPr>
      <w:r>
        <w:t>乙方：</w:t>
      </w:r>
    </w:p>
    <w:p>
      <w:pPr>
        <w:pStyle w:val="16"/>
        <w:tabs>
          <w:tab w:val="left" w:pos="1795"/>
          <w:tab w:val="left" w:pos="7959"/>
        </w:tabs>
        <w:spacing w:line="360" w:lineRule="auto"/>
        <w:ind w:left="473" w:right="591" w:firstLine="480"/>
        <w:jc w:val="both"/>
      </w:pPr>
      <w:r>
        <w:rPr>
          <w:spacing w:val="16"/>
        </w:rPr>
        <w:t>甲</w:t>
      </w:r>
      <w:r>
        <w:rPr>
          <w:spacing w:val="19"/>
        </w:rPr>
        <w:t>乙</w:t>
      </w:r>
      <w:r>
        <w:rPr>
          <w:spacing w:val="16"/>
        </w:rPr>
        <w:t>双方</w:t>
      </w:r>
      <w:r>
        <w:rPr>
          <w:spacing w:val="19"/>
        </w:rPr>
        <w:t>根</w:t>
      </w:r>
      <w:r>
        <w:rPr>
          <w:spacing w:val="16"/>
        </w:rPr>
        <w:t>据海南恒晨工程项目管理有限公司代理</w:t>
      </w:r>
      <w:r>
        <w:rPr>
          <w:spacing w:val="19"/>
        </w:rPr>
        <w:t>组</w:t>
      </w:r>
      <w:r>
        <w:rPr>
          <w:spacing w:val="16"/>
        </w:rPr>
        <w:t>织</w:t>
      </w:r>
      <w:r>
        <w:rPr>
          <w:spacing w:val="19"/>
        </w:rPr>
        <w:t>的</w:t>
      </w:r>
      <w:r>
        <w:rPr>
          <w:spacing w:val="19"/>
          <w:u w:val="single"/>
        </w:rPr>
        <w:t xml:space="preserve"> </w:t>
      </w:r>
      <w:r>
        <w:rPr>
          <w:spacing w:val="19"/>
          <w:u w:val="single"/>
        </w:rPr>
        <w:tab/>
      </w:r>
      <w:r>
        <w:rPr>
          <w:spacing w:val="16"/>
        </w:rPr>
        <w:t>项</w:t>
      </w:r>
      <w:r>
        <w:rPr>
          <w:spacing w:val="19"/>
        </w:rPr>
        <w:t>目</w:t>
      </w:r>
      <w:r>
        <w:rPr>
          <w:spacing w:val="16"/>
        </w:rPr>
        <w:t>（</w:t>
      </w:r>
      <w:r>
        <w:rPr>
          <w:spacing w:val="19"/>
        </w:rPr>
        <w:t>招</w:t>
      </w:r>
      <w:r>
        <w:rPr>
          <w:spacing w:val="16"/>
        </w:rPr>
        <w:t>标</w:t>
      </w:r>
      <w:r>
        <w:rPr>
          <w:spacing w:val="-10"/>
        </w:rPr>
        <w:t>编</w:t>
      </w:r>
      <w:r>
        <w:t>号：</w:t>
      </w:r>
      <w:r>
        <w:rPr>
          <w:u w:val="single"/>
        </w:rPr>
        <w:t xml:space="preserve"> </w:t>
      </w:r>
      <w:r>
        <w:rPr>
          <w:u w:val="single"/>
        </w:rPr>
        <w:tab/>
      </w:r>
      <w:r>
        <w:t>）招标结果和招标文件的要求，依据《中华人民共和国合同法》、《中</w:t>
      </w:r>
      <w:r>
        <w:rPr>
          <w:spacing w:val="-10"/>
        </w:rPr>
        <w:t>华</w:t>
      </w:r>
      <w:r>
        <w:t>人民共和国招标投标法</w:t>
      </w:r>
      <w:r>
        <w:rPr>
          <w:spacing w:val="-24"/>
        </w:rPr>
        <w:t>》</w:t>
      </w:r>
      <w:r>
        <w:rPr>
          <w:spacing w:val="-41"/>
        </w:rPr>
        <w:t>、</w:t>
      </w:r>
      <w:r>
        <w:t>《城市市容和环境卫生管理条例</w:t>
      </w:r>
      <w:r>
        <w:rPr>
          <w:spacing w:val="-22"/>
        </w:rPr>
        <w:t>》</w:t>
      </w:r>
      <w:r>
        <w:t>等有关法律</w:t>
      </w:r>
      <w:r>
        <w:rPr>
          <w:spacing w:val="-22"/>
        </w:rPr>
        <w:t>，</w:t>
      </w:r>
      <w:r>
        <w:t>甲乙双方</w:t>
      </w:r>
      <w:r>
        <w:rPr>
          <w:spacing w:val="-15"/>
        </w:rPr>
        <w:t>恪</w:t>
      </w:r>
      <w:r>
        <w:t>守公平、公正、诚信的原则，友好协商，签订本合同。</w:t>
      </w:r>
    </w:p>
    <w:p>
      <w:pPr>
        <w:pStyle w:val="8"/>
        <w:spacing w:line="303" w:lineRule="exact"/>
        <w:ind w:left="105" w:leftChars="50" w:firstLine="906" w:firstLineChars="350"/>
      </w:pPr>
      <w:r>
        <w:rPr>
          <w:rFonts w:ascii="Calibri" w:hAnsi="Calibri" w:cs="Calibri"/>
          <w:b/>
          <w:spacing w:val="24"/>
        </w:rPr>
        <w:t xml:space="preserve">第二条 </w:t>
      </w:r>
      <w:r>
        <w:t>合同文件的组成</w:t>
      </w:r>
    </w:p>
    <w:p>
      <w:pPr>
        <w:pStyle w:val="16"/>
        <w:spacing w:before="150" w:line="357" w:lineRule="auto"/>
        <w:ind w:left="953" w:right="4278"/>
      </w:pPr>
      <w:r>
        <w:t>下列文件是构成本合同不可分割的部</w:t>
      </w:r>
      <w:r>
        <w:rPr>
          <w:rFonts w:hint="eastAsia"/>
        </w:rPr>
        <w:t>分</w:t>
      </w:r>
      <w:r>
        <w:t xml:space="preserve">： </w:t>
      </w:r>
    </w:p>
    <w:p>
      <w:pPr>
        <w:pStyle w:val="16"/>
        <w:spacing w:before="150" w:line="357" w:lineRule="auto"/>
        <w:ind w:left="953" w:right="4810"/>
      </w:pPr>
      <w:r>
        <w:t>1.中标通知书。</w:t>
      </w:r>
    </w:p>
    <w:p>
      <w:pPr>
        <w:pStyle w:val="16"/>
        <w:spacing w:before="3"/>
        <w:ind w:left="953"/>
      </w:pPr>
      <w:r>
        <w:t>2.合同附件。</w:t>
      </w:r>
    </w:p>
    <w:p>
      <w:pPr>
        <w:pStyle w:val="8"/>
        <w:spacing w:before="154"/>
        <w:ind w:left="0" w:right="117"/>
        <w:jc w:val="center"/>
        <w:rPr>
          <w:rFonts w:ascii="黑体" w:eastAsia="黑体"/>
          <w:b/>
        </w:rPr>
      </w:pPr>
      <w:r>
        <w:rPr>
          <w:rFonts w:hint="eastAsia" w:ascii="黑体" w:eastAsia="黑体"/>
          <w:b/>
        </w:rPr>
        <w:t>第二章 管理范围</w:t>
      </w:r>
    </w:p>
    <w:p>
      <w:pPr>
        <w:pStyle w:val="16"/>
        <w:tabs>
          <w:tab w:val="left" w:pos="1795"/>
          <w:tab w:val="left" w:pos="7959"/>
        </w:tabs>
        <w:spacing w:line="360" w:lineRule="auto"/>
        <w:ind w:left="473" w:right="591" w:firstLine="480"/>
        <w:jc w:val="both"/>
        <w:rPr>
          <w:spacing w:val="16"/>
        </w:rPr>
      </w:pPr>
      <w:r>
        <w:rPr>
          <w:b/>
          <w:spacing w:val="16"/>
        </w:rPr>
        <w:pict>
          <v:shape id="_x0000_s2050" o:spid="_x0000_s2050" o:spt="202" type="#_x0000_t202" style="position:absolute;left:0pt;margin-left:72.7pt;margin-top:78.65pt;height:253.5pt;width:459.05pt;mso-position-horizontal-relative:page;z-index:251660288;mso-width-relative:page;mso-height-relative:page;" filled="f" stroked="f" coordsize="21600,21600" o:gfxdata="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Rv7SLaAAAADAEA&#10;AA8AAAAAAAAAAQAgAAAAIgAAAGRycy9kb3ducmV2LnhtbFBLAQIUABQAAAAIAIdO4kA8b5qbpgEA&#10;ADMDAAAOAAAAAAAAAAEAIAAAACkBAABkcnMvZTJvRG9jLnhtbFBLBQYAAAAABgAGAFkBAABBBQAA&#10;AAA=&#10;">
            <v:path/>
            <v:fill on="f" focussize="0,0"/>
            <v:stroke on="f" joinstyle="miter"/>
            <v:imagedata o:title=""/>
            <o:lock v:ext="edit"/>
            <v:textbox inset="0mm,0mm,0mm,0mm">
              <w:txbxContent>
                <w:tbl>
                  <w:tblPr>
                    <w:tblStyle w:val="44"/>
                    <w:tblW w:w="8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1575"/>
                    <w:gridCol w:w="1165"/>
                    <w:gridCol w:w="709"/>
                    <w:gridCol w:w="1276"/>
                    <w:gridCol w:w="992"/>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804" w:type="dxa"/>
                        <w:vAlign w:val="center"/>
                      </w:tcPr>
                      <w:p>
                        <w:pPr>
                          <w:pStyle w:val="217"/>
                          <w:spacing w:before="88"/>
                          <w:ind w:left="140" w:right="133"/>
                          <w:jc w:val="center"/>
                          <w:rPr>
                            <w:b/>
                            <w:position w:val="1"/>
                          </w:rPr>
                        </w:pPr>
                        <w:r>
                          <w:rPr>
                            <w:b/>
                            <w:position w:val="1"/>
                          </w:rPr>
                          <w:t>序号</w:t>
                        </w:r>
                      </w:p>
                    </w:tc>
                    <w:tc>
                      <w:tcPr>
                        <w:tcW w:w="1575" w:type="dxa"/>
                        <w:vAlign w:val="center"/>
                      </w:tcPr>
                      <w:p>
                        <w:pPr>
                          <w:pStyle w:val="217"/>
                          <w:spacing w:before="88"/>
                          <w:ind w:left="287" w:right="278"/>
                          <w:jc w:val="center"/>
                          <w:rPr>
                            <w:b/>
                            <w:position w:val="1"/>
                          </w:rPr>
                        </w:pPr>
                        <w:r>
                          <w:rPr>
                            <w:b/>
                            <w:position w:val="1"/>
                          </w:rPr>
                          <w:t>名称</w:t>
                        </w:r>
                      </w:p>
                    </w:tc>
                    <w:tc>
                      <w:tcPr>
                        <w:tcW w:w="1165" w:type="dxa"/>
                      </w:tcPr>
                      <w:p>
                        <w:pPr>
                          <w:pStyle w:val="217"/>
                          <w:spacing w:before="88"/>
                          <w:ind w:left="257" w:right="248"/>
                          <w:jc w:val="center"/>
                          <w:rPr>
                            <w:b/>
                            <w:position w:val="1"/>
                          </w:rPr>
                        </w:pPr>
                        <w:r>
                          <w:rPr>
                            <w:b/>
                            <w:position w:val="1"/>
                          </w:rPr>
                          <w:t>面积（㎡）</w:t>
                        </w:r>
                      </w:p>
                    </w:tc>
                    <w:tc>
                      <w:tcPr>
                        <w:tcW w:w="709" w:type="dxa"/>
                      </w:tcPr>
                      <w:p>
                        <w:pPr>
                          <w:pStyle w:val="217"/>
                          <w:spacing w:before="88"/>
                          <w:jc w:val="center"/>
                          <w:rPr>
                            <w:b/>
                            <w:position w:val="1"/>
                          </w:rPr>
                        </w:pPr>
                        <w:r>
                          <w:rPr>
                            <w:b/>
                            <w:position w:val="1"/>
                          </w:rPr>
                          <w:t>单价(元/年)</w:t>
                        </w:r>
                      </w:p>
                    </w:tc>
                    <w:tc>
                      <w:tcPr>
                        <w:tcW w:w="1276" w:type="dxa"/>
                        <w:vAlign w:val="center"/>
                      </w:tcPr>
                      <w:p>
                        <w:pPr>
                          <w:pStyle w:val="217"/>
                          <w:spacing w:before="88"/>
                          <w:ind w:left="166"/>
                          <w:rPr>
                            <w:b/>
                            <w:position w:val="1"/>
                          </w:rPr>
                        </w:pPr>
                        <w:r>
                          <w:rPr>
                            <w:b/>
                            <w:position w:val="1"/>
                          </w:rPr>
                          <w:t>金额(元/年)</w:t>
                        </w:r>
                      </w:p>
                    </w:tc>
                    <w:tc>
                      <w:tcPr>
                        <w:tcW w:w="992" w:type="dxa"/>
                      </w:tcPr>
                      <w:p>
                        <w:pPr>
                          <w:pStyle w:val="217"/>
                          <w:spacing w:before="88"/>
                          <w:ind w:right="-17"/>
                          <w:jc w:val="center"/>
                          <w:rPr>
                            <w:b/>
                            <w:position w:val="1"/>
                          </w:rPr>
                        </w:pPr>
                        <w:r>
                          <w:rPr>
                            <w:rFonts w:hint="eastAsia"/>
                            <w:b/>
                            <w:position w:val="1"/>
                          </w:rPr>
                          <w:t>垃圾清运（吨/年）</w:t>
                        </w:r>
                      </w:p>
                    </w:tc>
                    <w:tc>
                      <w:tcPr>
                        <w:tcW w:w="1134" w:type="dxa"/>
                      </w:tcPr>
                      <w:p>
                        <w:pPr>
                          <w:pStyle w:val="217"/>
                          <w:spacing w:before="88"/>
                          <w:ind w:right="-17"/>
                          <w:jc w:val="center"/>
                          <w:rPr>
                            <w:b/>
                            <w:position w:val="1"/>
                          </w:rPr>
                        </w:pPr>
                        <w:r>
                          <w:rPr>
                            <w:rFonts w:hint="eastAsia"/>
                            <w:b/>
                            <w:position w:val="1"/>
                          </w:rPr>
                          <w:t>清运单价（元/吨/年）</w:t>
                        </w:r>
                      </w:p>
                    </w:tc>
                    <w:tc>
                      <w:tcPr>
                        <w:tcW w:w="1134" w:type="dxa"/>
                      </w:tcPr>
                      <w:p>
                        <w:pPr>
                          <w:pStyle w:val="217"/>
                          <w:spacing w:before="88"/>
                          <w:ind w:right="-17"/>
                          <w:jc w:val="center"/>
                          <w:rPr>
                            <w:b/>
                            <w:position w:val="1"/>
                          </w:rPr>
                        </w:pPr>
                        <w:r>
                          <w:rPr>
                            <w:rFonts w:hint="eastAsia"/>
                            <w:b/>
                            <w:position w:val="1"/>
                          </w:rPr>
                          <w:t>垃圾清运年费用（元）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804" w:type="dxa"/>
                      </w:tcPr>
                      <w:p>
                        <w:pPr>
                          <w:pStyle w:val="217"/>
                          <w:spacing w:before="31"/>
                          <w:ind w:left="7"/>
                          <w:jc w:val="center"/>
                          <w:rPr>
                            <w:sz w:val="24"/>
                          </w:rPr>
                        </w:pPr>
                      </w:p>
                    </w:tc>
                    <w:tc>
                      <w:tcPr>
                        <w:tcW w:w="1575" w:type="dxa"/>
                      </w:tcPr>
                      <w:p>
                        <w:pPr>
                          <w:pStyle w:val="217"/>
                          <w:spacing w:before="49"/>
                          <w:ind w:left="282" w:right="278"/>
                          <w:jc w:val="center"/>
                        </w:pPr>
                      </w:p>
                    </w:tc>
                    <w:tc>
                      <w:tcPr>
                        <w:tcW w:w="1165" w:type="dxa"/>
                      </w:tcPr>
                      <w:p>
                        <w:pPr>
                          <w:pStyle w:val="217"/>
                          <w:spacing w:before="31"/>
                          <w:ind w:left="257" w:right="248"/>
                          <w:jc w:val="center"/>
                          <w:rPr>
                            <w:sz w:val="24"/>
                          </w:rPr>
                        </w:pPr>
                      </w:p>
                    </w:tc>
                    <w:tc>
                      <w:tcPr>
                        <w:tcW w:w="709" w:type="dxa"/>
                      </w:tcPr>
                      <w:p>
                        <w:pPr>
                          <w:pStyle w:val="217"/>
                          <w:rPr>
                            <w:rFonts w:ascii="Times New Roman"/>
                            <w:sz w:val="24"/>
                          </w:rPr>
                        </w:pPr>
                      </w:p>
                    </w:tc>
                    <w:tc>
                      <w:tcPr>
                        <w:tcW w:w="1276" w:type="dxa"/>
                      </w:tcPr>
                      <w:p>
                        <w:pPr>
                          <w:pStyle w:val="217"/>
                          <w:rPr>
                            <w:rFonts w:ascii="Times New Roman"/>
                            <w:sz w:val="24"/>
                          </w:rPr>
                        </w:pPr>
                      </w:p>
                    </w:tc>
                    <w:tc>
                      <w:tcPr>
                        <w:tcW w:w="992" w:type="dxa"/>
                      </w:tcPr>
                      <w:p>
                        <w:pPr>
                          <w:pStyle w:val="217"/>
                          <w:rPr>
                            <w:rFonts w:ascii="Times New Roman"/>
                            <w:sz w:val="24"/>
                          </w:rPr>
                        </w:pPr>
                      </w:p>
                    </w:tc>
                    <w:tc>
                      <w:tcPr>
                        <w:tcW w:w="1134" w:type="dxa"/>
                      </w:tcPr>
                      <w:p>
                        <w:pPr>
                          <w:pStyle w:val="217"/>
                          <w:rPr>
                            <w:rFonts w:ascii="Times New Roman"/>
                            <w:sz w:val="24"/>
                          </w:rPr>
                        </w:pPr>
                      </w:p>
                    </w:tc>
                    <w:tc>
                      <w:tcPr>
                        <w:tcW w:w="1134" w:type="dxa"/>
                      </w:tcPr>
                      <w:p>
                        <w:pPr>
                          <w:pStyle w:val="2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804" w:type="dxa"/>
                      </w:tcPr>
                      <w:p>
                        <w:pPr>
                          <w:pStyle w:val="217"/>
                          <w:spacing w:before="32"/>
                          <w:ind w:left="7"/>
                          <w:jc w:val="center"/>
                          <w:rPr>
                            <w:sz w:val="24"/>
                          </w:rPr>
                        </w:pPr>
                      </w:p>
                    </w:tc>
                    <w:tc>
                      <w:tcPr>
                        <w:tcW w:w="1575" w:type="dxa"/>
                      </w:tcPr>
                      <w:p>
                        <w:pPr>
                          <w:pStyle w:val="217"/>
                          <w:spacing w:before="50"/>
                          <w:ind w:left="287" w:right="278"/>
                          <w:jc w:val="center"/>
                        </w:pPr>
                      </w:p>
                    </w:tc>
                    <w:tc>
                      <w:tcPr>
                        <w:tcW w:w="1165" w:type="dxa"/>
                      </w:tcPr>
                      <w:p>
                        <w:pPr>
                          <w:pStyle w:val="217"/>
                          <w:spacing w:before="32"/>
                          <w:ind w:left="257" w:right="248"/>
                          <w:jc w:val="center"/>
                          <w:rPr>
                            <w:sz w:val="24"/>
                          </w:rPr>
                        </w:pPr>
                      </w:p>
                    </w:tc>
                    <w:tc>
                      <w:tcPr>
                        <w:tcW w:w="709" w:type="dxa"/>
                      </w:tcPr>
                      <w:p>
                        <w:pPr>
                          <w:pStyle w:val="217"/>
                          <w:rPr>
                            <w:rFonts w:ascii="Times New Roman"/>
                            <w:sz w:val="24"/>
                          </w:rPr>
                        </w:pPr>
                      </w:p>
                    </w:tc>
                    <w:tc>
                      <w:tcPr>
                        <w:tcW w:w="1276" w:type="dxa"/>
                      </w:tcPr>
                      <w:p>
                        <w:pPr>
                          <w:pStyle w:val="217"/>
                          <w:rPr>
                            <w:rFonts w:ascii="Times New Roman"/>
                            <w:sz w:val="24"/>
                          </w:rPr>
                        </w:pPr>
                      </w:p>
                    </w:tc>
                    <w:tc>
                      <w:tcPr>
                        <w:tcW w:w="992" w:type="dxa"/>
                      </w:tcPr>
                      <w:p>
                        <w:pPr>
                          <w:pStyle w:val="217"/>
                          <w:rPr>
                            <w:rFonts w:ascii="Times New Roman"/>
                            <w:sz w:val="24"/>
                          </w:rPr>
                        </w:pPr>
                      </w:p>
                    </w:tc>
                    <w:tc>
                      <w:tcPr>
                        <w:tcW w:w="1134" w:type="dxa"/>
                      </w:tcPr>
                      <w:p>
                        <w:pPr>
                          <w:pStyle w:val="217"/>
                          <w:rPr>
                            <w:rFonts w:ascii="Times New Roman"/>
                            <w:sz w:val="24"/>
                          </w:rPr>
                        </w:pPr>
                      </w:p>
                    </w:tc>
                    <w:tc>
                      <w:tcPr>
                        <w:tcW w:w="1134" w:type="dxa"/>
                      </w:tcPr>
                      <w:p>
                        <w:pPr>
                          <w:pStyle w:val="2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804" w:type="dxa"/>
                      </w:tcPr>
                      <w:p>
                        <w:pPr>
                          <w:pStyle w:val="217"/>
                          <w:spacing w:before="32"/>
                          <w:ind w:left="7"/>
                          <w:jc w:val="center"/>
                          <w:rPr>
                            <w:sz w:val="24"/>
                          </w:rPr>
                        </w:pPr>
                      </w:p>
                    </w:tc>
                    <w:tc>
                      <w:tcPr>
                        <w:tcW w:w="1575" w:type="dxa"/>
                      </w:tcPr>
                      <w:p>
                        <w:pPr>
                          <w:pStyle w:val="217"/>
                          <w:spacing w:before="50"/>
                          <w:ind w:left="287" w:right="278"/>
                          <w:jc w:val="center"/>
                        </w:pPr>
                      </w:p>
                    </w:tc>
                    <w:tc>
                      <w:tcPr>
                        <w:tcW w:w="1165" w:type="dxa"/>
                      </w:tcPr>
                      <w:p>
                        <w:pPr>
                          <w:pStyle w:val="217"/>
                          <w:spacing w:before="32"/>
                          <w:ind w:left="257" w:right="248"/>
                          <w:jc w:val="center"/>
                          <w:rPr>
                            <w:sz w:val="24"/>
                          </w:rPr>
                        </w:pPr>
                      </w:p>
                    </w:tc>
                    <w:tc>
                      <w:tcPr>
                        <w:tcW w:w="709" w:type="dxa"/>
                      </w:tcPr>
                      <w:p>
                        <w:pPr>
                          <w:pStyle w:val="217"/>
                          <w:rPr>
                            <w:rFonts w:ascii="Times New Roman"/>
                            <w:sz w:val="24"/>
                          </w:rPr>
                        </w:pPr>
                      </w:p>
                    </w:tc>
                    <w:tc>
                      <w:tcPr>
                        <w:tcW w:w="1276" w:type="dxa"/>
                      </w:tcPr>
                      <w:p>
                        <w:pPr>
                          <w:pStyle w:val="217"/>
                          <w:rPr>
                            <w:rFonts w:ascii="Times New Roman"/>
                            <w:sz w:val="24"/>
                          </w:rPr>
                        </w:pPr>
                      </w:p>
                    </w:tc>
                    <w:tc>
                      <w:tcPr>
                        <w:tcW w:w="992" w:type="dxa"/>
                      </w:tcPr>
                      <w:p>
                        <w:pPr>
                          <w:pStyle w:val="217"/>
                          <w:rPr>
                            <w:rFonts w:ascii="Times New Roman"/>
                            <w:sz w:val="24"/>
                          </w:rPr>
                        </w:pPr>
                      </w:p>
                    </w:tc>
                    <w:tc>
                      <w:tcPr>
                        <w:tcW w:w="1134" w:type="dxa"/>
                      </w:tcPr>
                      <w:p>
                        <w:pPr>
                          <w:pStyle w:val="217"/>
                          <w:rPr>
                            <w:rFonts w:ascii="Times New Roman"/>
                            <w:sz w:val="24"/>
                          </w:rPr>
                        </w:pPr>
                      </w:p>
                    </w:tc>
                    <w:tc>
                      <w:tcPr>
                        <w:tcW w:w="1134" w:type="dxa"/>
                      </w:tcPr>
                      <w:p>
                        <w:pPr>
                          <w:pStyle w:val="2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9" w:hRule="atLeast"/>
                    </w:trPr>
                    <w:tc>
                      <w:tcPr>
                        <w:tcW w:w="804" w:type="dxa"/>
                      </w:tcPr>
                      <w:p>
                        <w:pPr>
                          <w:pStyle w:val="217"/>
                          <w:spacing w:before="32"/>
                          <w:ind w:left="7"/>
                          <w:jc w:val="center"/>
                          <w:rPr>
                            <w:sz w:val="24"/>
                          </w:rPr>
                        </w:pPr>
                      </w:p>
                    </w:tc>
                    <w:tc>
                      <w:tcPr>
                        <w:tcW w:w="1575" w:type="dxa"/>
                      </w:tcPr>
                      <w:p>
                        <w:pPr>
                          <w:pStyle w:val="217"/>
                          <w:spacing w:before="50"/>
                          <w:ind w:left="287" w:right="278"/>
                          <w:jc w:val="center"/>
                        </w:pPr>
                        <w:r>
                          <w:rPr>
                            <w:rFonts w:hint="eastAsia"/>
                          </w:rPr>
                          <w:t>合计</w:t>
                        </w:r>
                      </w:p>
                    </w:tc>
                    <w:tc>
                      <w:tcPr>
                        <w:tcW w:w="1165" w:type="dxa"/>
                      </w:tcPr>
                      <w:p>
                        <w:pPr>
                          <w:pStyle w:val="217"/>
                          <w:spacing w:before="32"/>
                          <w:ind w:left="257" w:right="248"/>
                          <w:jc w:val="center"/>
                          <w:rPr>
                            <w:sz w:val="24"/>
                          </w:rPr>
                        </w:pPr>
                      </w:p>
                    </w:tc>
                    <w:tc>
                      <w:tcPr>
                        <w:tcW w:w="709" w:type="dxa"/>
                      </w:tcPr>
                      <w:p>
                        <w:pPr>
                          <w:pStyle w:val="217"/>
                          <w:rPr>
                            <w:rFonts w:ascii="Times New Roman"/>
                            <w:sz w:val="24"/>
                          </w:rPr>
                        </w:pPr>
                      </w:p>
                    </w:tc>
                    <w:tc>
                      <w:tcPr>
                        <w:tcW w:w="1276" w:type="dxa"/>
                      </w:tcPr>
                      <w:p>
                        <w:pPr>
                          <w:pStyle w:val="217"/>
                          <w:rPr>
                            <w:rFonts w:ascii="Times New Roman"/>
                            <w:sz w:val="24"/>
                          </w:rPr>
                        </w:pPr>
                      </w:p>
                    </w:tc>
                    <w:tc>
                      <w:tcPr>
                        <w:tcW w:w="992" w:type="dxa"/>
                      </w:tcPr>
                      <w:p>
                        <w:pPr>
                          <w:pStyle w:val="217"/>
                          <w:rPr>
                            <w:rFonts w:ascii="Times New Roman"/>
                            <w:sz w:val="24"/>
                          </w:rPr>
                        </w:pPr>
                      </w:p>
                    </w:tc>
                    <w:tc>
                      <w:tcPr>
                        <w:tcW w:w="1134" w:type="dxa"/>
                      </w:tcPr>
                      <w:p>
                        <w:pPr>
                          <w:pStyle w:val="217"/>
                          <w:rPr>
                            <w:rFonts w:ascii="Times New Roman"/>
                            <w:sz w:val="24"/>
                          </w:rPr>
                        </w:pPr>
                      </w:p>
                    </w:tc>
                    <w:tc>
                      <w:tcPr>
                        <w:tcW w:w="1134" w:type="dxa"/>
                      </w:tcPr>
                      <w:p>
                        <w:pPr>
                          <w:pStyle w:val="217"/>
                          <w:rPr>
                            <w:rFonts w:ascii="Times New Roman"/>
                            <w:sz w:val="24"/>
                          </w:rPr>
                        </w:pPr>
                      </w:p>
                    </w:tc>
                  </w:tr>
                </w:tbl>
                <w:p>
                  <w:pPr>
                    <w:pStyle w:val="16"/>
                  </w:pPr>
                </w:p>
              </w:txbxContent>
            </v:textbox>
          </v:shape>
        </w:pict>
      </w:r>
      <w:r>
        <w:rPr>
          <w:b/>
          <w:spacing w:val="16"/>
        </w:rPr>
        <w:t>第三条</w:t>
      </w:r>
      <w:r>
        <w:rPr>
          <w:spacing w:val="16"/>
        </w:rPr>
        <w:tab/>
      </w:r>
      <w:r>
        <w:rPr>
          <w:spacing w:val="16"/>
        </w:rPr>
        <w:t>管理范围为</w:t>
      </w:r>
      <w:r>
        <w:rPr>
          <w:rFonts w:hint="eastAsia"/>
          <w:spacing w:val="16"/>
        </w:rPr>
        <w:t>海棠区林旺片区（藤海社区、江林村、青田村、铁炉村）环境卫生清扫保洁收运</w:t>
      </w:r>
      <w:r>
        <w:rPr>
          <w:spacing w:val="16"/>
        </w:rPr>
        <w:t>， 保洁面积共计</w:t>
      </w:r>
      <w:r>
        <w:rPr>
          <w:rFonts w:hint="eastAsia"/>
          <w:spacing w:val="16"/>
        </w:rPr>
        <w:t>602138.74</w:t>
      </w:r>
      <w:r>
        <w:rPr>
          <w:spacing w:val="16"/>
        </w:rPr>
        <w:t xml:space="preserve">㎡（详见下表），垃圾清运量为 </w:t>
      </w:r>
      <w:r>
        <w:rPr>
          <w:rFonts w:hint="eastAsia"/>
          <w:spacing w:val="16"/>
        </w:rPr>
        <w:t>6354.65</w:t>
      </w:r>
      <w:r>
        <w:rPr>
          <w:spacing w:val="16"/>
        </w:rPr>
        <w:t>吨/</w:t>
      </w:r>
      <w:r>
        <w:rPr>
          <w:rFonts w:hint="eastAsia"/>
          <w:spacing w:val="16"/>
        </w:rPr>
        <w:t>年</w:t>
      </w:r>
      <w:r>
        <w:rPr>
          <w:spacing w:val="16"/>
        </w:rPr>
        <w:t>。</w:t>
      </w:r>
    </w:p>
    <w:p>
      <w:pPr>
        <w:spacing w:line="360" w:lineRule="auto"/>
      </w:pPr>
    </w:p>
    <w:p/>
    <w:p/>
    <w:p/>
    <w:p/>
    <w:p/>
    <w:p/>
    <w:p/>
    <w:p/>
    <w:p/>
    <w:p/>
    <w:p/>
    <w:p/>
    <w:p/>
    <w:p/>
    <w:p>
      <w:pPr>
        <w:pStyle w:val="16"/>
        <w:spacing w:before="6"/>
        <w:rPr>
          <w:sz w:val="7"/>
        </w:rPr>
      </w:pPr>
    </w:p>
    <w:p>
      <w:pPr>
        <w:pStyle w:val="8"/>
        <w:spacing w:before="154"/>
        <w:ind w:left="0" w:right="117"/>
        <w:jc w:val="center"/>
        <w:rPr>
          <w:rFonts w:ascii="黑体" w:eastAsia="黑体"/>
          <w:b/>
        </w:rPr>
      </w:pPr>
      <w:r>
        <w:rPr>
          <w:rFonts w:hint="eastAsia" w:ascii="黑体" w:eastAsia="黑体"/>
          <w:b/>
        </w:rPr>
        <w:t>第三章 管理内容</w:t>
      </w:r>
    </w:p>
    <w:p>
      <w:pPr>
        <w:pStyle w:val="16"/>
        <w:spacing w:before="10"/>
        <w:rPr>
          <w:rFonts w:ascii="黑体"/>
          <w:b/>
          <w:sz w:val="9"/>
        </w:rPr>
      </w:pPr>
    </w:p>
    <w:p>
      <w:pPr>
        <w:pStyle w:val="8"/>
        <w:spacing w:before="67"/>
        <w:ind w:left="105" w:leftChars="50" w:firstLine="776" w:firstLineChars="300"/>
      </w:pPr>
      <w:r>
        <w:rPr>
          <w:rFonts w:ascii="Calibri" w:hAnsi="Calibri" w:cs="Calibri"/>
          <w:b/>
          <w:spacing w:val="24"/>
        </w:rPr>
        <w:t>第四条</w:t>
      </w:r>
      <w:r>
        <w:t xml:space="preserve"> 管理内容</w:t>
      </w:r>
    </w:p>
    <w:p>
      <w:pPr>
        <w:tabs>
          <w:tab w:val="left" w:pos="8753"/>
        </w:tabs>
        <w:spacing w:before="74" w:line="391" w:lineRule="auto"/>
        <w:ind w:right="1090"/>
        <w:rPr>
          <w:spacing w:val="-17"/>
        </w:rPr>
      </w:pPr>
      <w:r>
        <w:rPr>
          <w:rFonts w:ascii="Times New Roman" w:eastAsia="Times New Roman"/>
          <w:u w:val="single"/>
        </w:rPr>
        <w:tab/>
      </w:r>
      <w:r>
        <w:rPr>
          <w:spacing w:val="-17"/>
        </w:rPr>
        <w:t>。</w:t>
      </w:r>
    </w:p>
    <w:p>
      <w:pPr>
        <w:pStyle w:val="8"/>
        <w:spacing w:before="154"/>
        <w:ind w:left="0" w:right="117"/>
        <w:jc w:val="center"/>
        <w:rPr>
          <w:rFonts w:ascii="黑体" w:eastAsia="黑体"/>
          <w:b/>
        </w:rPr>
      </w:pPr>
      <w:r>
        <w:rPr>
          <w:rFonts w:hint="eastAsia" w:ascii="黑体" w:eastAsia="黑体"/>
          <w:b/>
        </w:rPr>
        <w:t>第四章 服务标准和要求</w:t>
      </w:r>
    </w:p>
    <w:p>
      <w:pPr>
        <w:pStyle w:val="8"/>
        <w:spacing w:before="67"/>
        <w:ind w:left="105" w:leftChars="50" w:firstLine="776" w:firstLineChars="300"/>
        <w:rPr>
          <w:rFonts w:ascii="Calibri" w:hAnsi="Calibri" w:cs="Calibri"/>
          <w:b/>
          <w:spacing w:val="24"/>
        </w:rPr>
      </w:pPr>
      <w:r>
        <w:rPr>
          <w:rFonts w:ascii="Calibri" w:hAnsi="Calibri" w:cs="Calibri"/>
          <w:b/>
          <w:spacing w:val="24"/>
        </w:rPr>
        <w:t xml:space="preserve">第五条 </w:t>
      </w:r>
      <w:r>
        <w:rPr>
          <w:rFonts w:ascii="Calibri" w:hAnsi="Calibri" w:cs="Calibri"/>
          <w:spacing w:val="24"/>
        </w:rPr>
        <w:t>道路保洁标准</w:t>
      </w:r>
    </w:p>
    <w:p>
      <w:pPr>
        <w:tabs>
          <w:tab w:val="left" w:pos="8753"/>
        </w:tabs>
        <w:spacing w:before="74" w:line="391" w:lineRule="auto"/>
        <w:ind w:right="1090"/>
        <w:rPr>
          <w:spacing w:val="-17"/>
        </w:rPr>
      </w:pPr>
      <w:r>
        <w:rPr>
          <w:rFonts w:ascii="Times New Roman" w:eastAsia="Times New Roman"/>
          <w:u w:val="single"/>
        </w:rPr>
        <w:t xml:space="preserve"> </w:t>
      </w:r>
      <w:r>
        <w:rPr>
          <w:rFonts w:ascii="Times New Roman" w:eastAsia="Times New Roman"/>
          <w:u w:val="single"/>
        </w:rPr>
        <w:tab/>
      </w:r>
      <w:r>
        <w:rPr>
          <w:spacing w:val="-17"/>
        </w:rPr>
        <w:t>。</w:t>
      </w:r>
    </w:p>
    <w:p>
      <w:pPr>
        <w:pStyle w:val="8"/>
        <w:spacing w:before="67"/>
        <w:ind w:left="105" w:leftChars="50" w:firstLine="776" w:firstLineChars="300"/>
        <w:rPr>
          <w:rFonts w:ascii="Calibri" w:hAnsi="Calibri" w:cs="Calibri"/>
          <w:b/>
          <w:spacing w:val="24"/>
        </w:rPr>
      </w:pPr>
      <w:r>
        <w:rPr>
          <w:rFonts w:ascii="Calibri" w:hAnsi="Calibri" w:cs="Calibri"/>
          <w:b/>
          <w:spacing w:val="24"/>
        </w:rPr>
        <w:t xml:space="preserve">第六条 </w:t>
      </w:r>
      <w:r>
        <w:rPr>
          <w:rFonts w:ascii="Calibri" w:hAnsi="Calibri" w:cs="Calibri"/>
          <w:spacing w:val="24"/>
        </w:rPr>
        <w:t>垃圾收运标准</w:t>
      </w:r>
    </w:p>
    <w:p>
      <w:pPr>
        <w:pStyle w:val="8"/>
        <w:tabs>
          <w:tab w:val="left" w:pos="8753"/>
        </w:tabs>
        <w:spacing w:line="388" w:lineRule="auto"/>
        <w:ind w:left="0" w:right="1090" w:firstLine="0"/>
        <w:rPr>
          <w:spacing w:val="-17"/>
        </w:rPr>
      </w:pPr>
      <w:r>
        <w:rPr>
          <w:rFonts w:eastAsia="Times New Roman"/>
          <w:u w:val="single"/>
        </w:rPr>
        <w:t xml:space="preserve"> </w:t>
      </w:r>
      <w:r>
        <w:rPr>
          <w:rFonts w:hint="eastAsia" w:eastAsiaTheme="minorEastAsia"/>
          <w:u w:val="single"/>
        </w:rPr>
        <w:t xml:space="preserve">                                </w:t>
      </w:r>
      <w:r>
        <w:rPr>
          <w:rFonts w:eastAsia="Times New Roman"/>
          <w:u w:val="single"/>
        </w:rPr>
        <w:tab/>
      </w:r>
      <w:r>
        <w:rPr>
          <w:spacing w:val="-17"/>
        </w:rPr>
        <w:t>。</w:t>
      </w:r>
    </w:p>
    <w:p>
      <w:pPr>
        <w:pStyle w:val="8"/>
        <w:spacing w:before="67"/>
        <w:ind w:left="105" w:leftChars="50" w:firstLine="776" w:firstLineChars="300"/>
        <w:rPr>
          <w:rFonts w:ascii="Calibri" w:hAnsi="Calibri" w:cs="Calibri"/>
          <w:b/>
          <w:spacing w:val="24"/>
        </w:rPr>
      </w:pPr>
      <w:r>
        <w:rPr>
          <w:rFonts w:ascii="Calibri" w:hAnsi="Calibri" w:cs="Calibri"/>
          <w:b/>
          <w:spacing w:val="24"/>
        </w:rPr>
        <w:t>第七条</w:t>
      </w:r>
      <w:r>
        <w:rPr>
          <w:rFonts w:hint="eastAsia" w:ascii="Calibri" w:hAnsi="Calibri" w:cs="Calibri"/>
          <w:b/>
          <w:spacing w:val="24"/>
        </w:rPr>
        <w:t xml:space="preserve"> </w:t>
      </w:r>
      <w:r>
        <w:rPr>
          <w:rFonts w:ascii="Calibri" w:hAnsi="Calibri" w:cs="Calibri"/>
          <w:spacing w:val="24"/>
        </w:rPr>
        <w:t>人员和设备配置要求</w:t>
      </w:r>
    </w:p>
    <w:p>
      <w:pPr>
        <w:spacing w:line="480" w:lineRule="exact"/>
        <w:rPr>
          <w:rFonts w:ascii="仿宋" w:hAnsi="仿宋" w:eastAsia="仿宋" w:cs="仿宋"/>
          <w:sz w:val="24"/>
          <w:szCs w:val="24"/>
        </w:rPr>
      </w:pPr>
    </w:p>
    <w:tbl>
      <w:tblPr>
        <w:tblStyle w:val="44"/>
        <w:tblW w:w="9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080"/>
        <w:gridCol w:w="960"/>
        <w:gridCol w:w="855"/>
        <w:gridCol w:w="1095"/>
        <w:gridCol w:w="900"/>
        <w:gridCol w:w="870"/>
        <w:gridCol w:w="1137"/>
        <w:gridCol w:w="84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
                <w:szCs w:val="24"/>
              </w:rPr>
            </w:pPr>
            <w:r>
              <w:rPr>
                <w:rFonts w:hint="eastAsia" w:ascii="仿宋" w:hAnsi="仿宋" w:eastAsia="仿宋" w:cs="仿宋"/>
                <w:b/>
                <w:szCs w:val="24"/>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
                <w:szCs w:val="24"/>
              </w:rPr>
            </w:pPr>
            <w:r>
              <w:rPr>
                <w:rFonts w:hint="eastAsia" w:ascii="仿宋" w:hAnsi="仿宋" w:eastAsia="仿宋" w:cs="仿宋"/>
                <w:b/>
                <w:szCs w:val="24"/>
              </w:rPr>
              <w:t>清扫保洁收运人员</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
                <w:szCs w:val="24"/>
              </w:rPr>
            </w:pPr>
            <w:r>
              <w:rPr>
                <w:rFonts w:hint="eastAsia" w:ascii="仿宋" w:hAnsi="仿宋" w:eastAsia="仿宋" w:cs="仿宋"/>
                <w:b/>
                <w:szCs w:val="24"/>
              </w:rPr>
              <w:t>3.5立方清扫车</w:t>
            </w:r>
          </w:p>
        </w:tc>
        <w:tc>
          <w:tcPr>
            <w:tcW w:w="85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
                <w:szCs w:val="24"/>
              </w:rPr>
            </w:pPr>
            <w:r>
              <w:rPr>
                <w:rFonts w:hint="eastAsia" w:ascii="仿宋" w:hAnsi="仿宋" w:eastAsia="仿宋" w:cs="仿宋"/>
                <w:b/>
                <w:szCs w:val="24"/>
              </w:rPr>
              <w:t>3吨垃圾压缩车</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
                <w:szCs w:val="24"/>
              </w:rPr>
            </w:pPr>
            <w:r>
              <w:rPr>
                <w:rFonts w:hint="eastAsia" w:ascii="仿宋" w:hAnsi="仿宋" w:eastAsia="仿宋" w:cs="仿宋"/>
                <w:b/>
                <w:szCs w:val="24"/>
              </w:rPr>
              <w:t>电动三轮保洁车</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
                <w:szCs w:val="24"/>
              </w:rPr>
            </w:pPr>
            <w:r>
              <w:rPr>
                <w:rFonts w:hint="eastAsia" w:ascii="仿宋" w:hAnsi="仿宋" w:eastAsia="仿宋" w:cs="仿宋"/>
                <w:b/>
                <w:szCs w:val="24"/>
              </w:rPr>
              <w:t>高压清洗车</w:t>
            </w:r>
          </w:p>
        </w:tc>
        <w:tc>
          <w:tcPr>
            <w:tcW w:w="87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
                <w:szCs w:val="24"/>
              </w:rPr>
            </w:pPr>
            <w:r>
              <w:rPr>
                <w:rFonts w:hint="eastAsia" w:ascii="仿宋" w:hAnsi="仿宋" w:eastAsia="仿宋" w:cs="仿宋"/>
                <w:b/>
                <w:szCs w:val="24"/>
              </w:rPr>
              <w:t>应急皮卡车</w:t>
            </w:r>
          </w:p>
        </w:tc>
        <w:tc>
          <w:tcPr>
            <w:tcW w:w="1137"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
                <w:szCs w:val="24"/>
              </w:rPr>
            </w:pPr>
            <w:r>
              <w:rPr>
                <w:rFonts w:hint="eastAsia" w:ascii="仿宋" w:hAnsi="仿宋" w:eastAsia="仿宋" w:cs="仿宋"/>
                <w:b/>
                <w:szCs w:val="24"/>
              </w:rPr>
              <w:t>660L垃圾桶</w:t>
            </w: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
                <w:szCs w:val="24"/>
              </w:rPr>
            </w:pPr>
            <w:r>
              <w:rPr>
                <w:rFonts w:hint="eastAsia" w:ascii="仿宋" w:hAnsi="仿宋" w:eastAsia="仿宋" w:cs="仿宋"/>
                <w:b/>
                <w:szCs w:val="24"/>
              </w:rPr>
              <w:t>240L垃圾桶</w:t>
            </w: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cs="仿宋"/>
                <w:b/>
                <w:szCs w:val="24"/>
              </w:rPr>
            </w:pPr>
            <w:r>
              <w:rPr>
                <w:rFonts w:hint="eastAsia" w:ascii="仿宋" w:hAnsi="仿宋" w:eastAsia="仿宋" w:cs="仿宋"/>
                <w:b/>
                <w:bCs/>
                <w:szCs w:val="24"/>
              </w:rPr>
              <w:t>劳动工具及其他设备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Cs w:val="24"/>
              </w:rPr>
            </w:pPr>
            <w:r>
              <w:rPr>
                <w:rFonts w:hint="eastAsia" w:ascii="仿宋" w:hAnsi="仿宋" w:eastAsia="仿宋" w:cs="仿宋"/>
                <w:szCs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Cs w:val="24"/>
              </w:rPr>
            </w:pPr>
            <w:r>
              <w:rPr>
                <w:rFonts w:hint="eastAsia" w:ascii="仿宋" w:hAnsi="仿宋" w:eastAsia="仿宋" w:cs="仿宋"/>
                <w:szCs w:val="24"/>
              </w:rPr>
              <w:t>≥64</w:t>
            </w:r>
            <w:r>
              <w:rPr>
                <w:rFonts w:hint="eastAsia" w:ascii="仿宋" w:hAnsi="仿宋" w:eastAsia="仿宋" w:cs="仿宋"/>
                <w:szCs w:val="24"/>
                <w:u w:val="single"/>
              </w:rPr>
              <w:t>人</w:t>
            </w:r>
          </w:p>
        </w:tc>
        <w:tc>
          <w:tcPr>
            <w:tcW w:w="96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Cs w:val="24"/>
              </w:rPr>
            </w:pPr>
            <w:r>
              <w:rPr>
                <w:rFonts w:hint="eastAsia" w:ascii="仿宋" w:hAnsi="仿宋" w:eastAsia="仿宋" w:cs="仿宋"/>
                <w:szCs w:val="24"/>
              </w:rPr>
              <w:t>≥</w:t>
            </w:r>
            <w:r>
              <w:rPr>
                <w:rFonts w:hint="eastAsia" w:ascii="仿宋" w:hAnsi="仿宋" w:eastAsia="仿宋" w:cs="仿宋"/>
                <w:szCs w:val="24"/>
                <w:u w:val="single"/>
              </w:rPr>
              <w:t xml:space="preserve"> 1 </w:t>
            </w:r>
            <w:r>
              <w:rPr>
                <w:rFonts w:hint="eastAsia" w:ascii="仿宋" w:hAnsi="仿宋" w:eastAsia="仿宋" w:cs="仿宋"/>
                <w:szCs w:val="24"/>
              </w:rPr>
              <w:t>辆</w:t>
            </w:r>
          </w:p>
        </w:tc>
        <w:tc>
          <w:tcPr>
            <w:tcW w:w="85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Cs w:val="24"/>
              </w:rPr>
            </w:pPr>
            <w:r>
              <w:rPr>
                <w:rFonts w:hint="eastAsia" w:ascii="仿宋" w:hAnsi="仿宋" w:eastAsia="仿宋" w:cs="仿宋"/>
                <w:szCs w:val="24"/>
              </w:rPr>
              <w:t>≥</w:t>
            </w:r>
            <w:r>
              <w:rPr>
                <w:rFonts w:hint="eastAsia" w:ascii="仿宋" w:hAnsi="仿宋" w:eastAsia="仿宋" w:cs="仿宋"/>
                <w:szCs w:val="24"/>
                <w:u w:val="single"/>
              </w:rPr>
              <w:t xml:space="preserve"> 3 </w:t>
            </w:r>
            <w:r>
              <w:rPr>
                <w:rFonts w:hint="eastAsia" w:ascii="仿宋" w:hAnsi="仿宋" w:eastAsia="仿宋" w:cs="仿宋"/>
                <w:szCs w:val="24"/>
              </w:rPr>
              <w:t>辆</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Cs w:val="24"/>
              </w:rPr>
            </w:pPr>
            <w:r>
              <w:rPr>
                <w:rFonts w:hint="eastAsia" w:ascii="仿宋" w:hAnsi="仿宋" w:eastAsia="仿宋" w:cs="仿宋"/>
                <w:szCs w:val="24"/>
              </w:rPr>
              <w:t>≥</w:t>
            </w:r>
            <w:r>
              <w:rPr>
                <w:rFonts w:hint="eastAsia" w:ascii="仿宋" w:hAnsi="仿宋" w:eastAsia="仿宋" w:cs="仿宋"/>
                <w:szCs w:val="24"/>
                <w:u w:val="single"/>
              </w:rPr>
              <w:t xml:space="preserve"> 64 </w:t>
            </w:r>
            <w:r>
              <w:rPr>
                <w:rFonts w:hint="eastAsia" w:ascii="仿宋" w:hAnsi="仿宋" w:eastAsia="仿宋" w:cs="仿宋"/>
                <w:szCs w:val="24"/>
              </w:rPr>
              <w:t>辆</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Cs w:val="24"/>
              </w:rPr>
            </w:pPr>
            <w:r>
              <w:rPr>
                <w:rFonts w:hint="eastAsia" w:ascii="仿宋" w:hAnsi="仿宋" w:eastAsia="仿宋" w:cs="仿宋"/>
                <w:szCs w:val="24"/>
              </w:rPr>
              <w:t>≥</w:t>
            </w:r>
            <w:r>
              <w:rPr>
                <w:rFonts w:hint="eastAsia" w:ascii="仿宋" w:hAnsi="仿宋" w:eastAsia="仿宋" w:cs="仿宋"/>
                <w:szCs w:val="24"/>
                <w:u w:val="single"/>
              </w:rPr>
              <w:t xml:space="preserve"> 1 </w:t>
            </w:r>
            <w:r>
              <w:rPr>
                <w:rFonts w:hint="eastAsia" w:ascii="仿宋" w:hAnsi="仿宋" w:eastAsia="仿宋" w:cs="仿宋"/>
                <w:szCs w:val="24"/>
              </w:rPr>
              <w:t>辆</w:t>
            </w:r>
          </w:p>
        </w:tc>
        <w:tc>
          <w:tcPr>
            <w:tcW w:w="87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Cs w:val="24"/>
              </w:rPr>
            </w:pPr>
            <w:r>
              <w:rPr>
                <w:rFonts w:hint="eastAsia" w:ascii="仿宋" w:hAnsi="仿宋" w:eastAsia="仿宋" w:cs="仿宋"/>
                <w:szCs w:val="24"/>
              </w:rPr>
              <w:t>≥</w:t>
            </w:r>
            <w:r>
              <w:rPr>
                <w:rFonts w:hint="eastAsia" w:ascii="仿宋" w:hAnsi="仿宋" w:eastAsia="仿宋" w:cs="仿宋"/>
                <w:szCs w:val="24"/>
                <w:u w:val="single"/>
              </w:rPr>
              <w:t xml:space="preserve">1 </w:t>
            </w:r>
            <w:r>
              <w:rPr>
                <w:rFonts w:hint="eastAsia" w:ascii="仿宋" w:hAnsi="仿宋" w:eastAsia="仿宋" w:cs="仿宋"/>
                <w:szCs w:val="24"/>
              </w:rPr>
              <w:t>辆</w:t>
            </w:r>
          </w:p>
        </w:tc>
        <w:tc>
          <w:tcPr>
            <w:tcW w:w="1137"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Cs w:val="24"/>
              </w:rPr>
            </w:pPr>
            <w:r>
              <w:rPr>
                <w:rFonts w:hint="eastAsia" w:ascii="仿宋" w:hAnsi="仿宋" w:eastAsia="仿宋" w:cs="仿宋"/>
                <w:szCs w:val="24"/>
              </w:rPr>
              <w:t>≥</w:t>
            </w:r>
            <w:r>
              <w:rPr>
                <w:rFonts w:hint="eastAsia" w:ascii="仿宋" w:hAnsi="仿宋" w:eastAsia="仿宋" w:cs="仿宋"/>
                <w:szCs w:val="24"/>
                <w:u w:val="single"/>
              </w:rPr>
              <w:t>130</w:t>
            </w:r>
            <w:r>
              <w:rPr>
                <w:rFonts w:hint="eastAsia" w:ascii="仿宋" w:hAnsi="仿宋" w:eastAsia="仿宋" w:cs="仿宋"/>
                <w:szCs w:val="24"/>
              </w:rPr>
              <w:t>个</w:t>
            </w: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szCs w:val="24"/>
              </w:rPr>
            </w:pPr>
            <w:r>
              <w:rPr>
                <w:rFonts w:hint="eastAsia" w:ascii="仿宋" w:hAnsi="仿宋" w:eastAsia="仿宋" w:cs="仿宋"/>
                <w:szCs w:val="24"/>
              </w:rPr>
              <w:t>≥8</w:t>
            </w:r>
            <w:r>
              <w:rPr>
                <w:rFonts w:hint="eastAsia" w:ascii="仿宋" w:hAnsi="仿宋" w:eastAsia="仿宋" w:cs="仿宋"/>
                <w:szCs w:val="24"/>
                <w:u w:val="single"/>
              </w:rPr>
              <w:t xml:space="preserve">0 </w:t>
            </w:r>
            <w:r>
              <w:rPr>
                <w:rFonts w:hint="eastAsia" w:ascii="仿宋" w:hAnsi="仿宋" w:eastAsia="仿宋" w:cs="仿宋"/>
                <w:szCs w:val="24"/>
              </w:rPr>
              <w:t>个</w:t>
            </w:r>
          </w:p>
        </w:tc>
        <w:tc>
          <w:tcPr>
            <w:tcW w:w="1350" w:type="dxa"/>
            <w:tcBorders>
              <w:top w:val="single" w:color="auto" w:sz="4" w:space="0"/>
              <w:left w:val="single" w:color="auto" w:sz="4" w:space="0"/>
              <w:bottom w:val="single" w:color="auto" w:sz="4" w:space="0"/>
              <w:right w:val="single" w:color="auto" w:sz="4" w:space="0"/>
            </w:tcBorders>
            <w:vAlign w:val="center"/>
          </w:tcPr>
          <w:p>
            <w:pPr>
              <w:tabs>
                <w:tab w:val="left" w:pos="2156"/>
              </w:tabs>
              <w:spacing w:line="480" w:lineRule="exact"/>
              <w:jc w:val="center"/>
              <w:rPr>
                <w:rFonts w:ascii="仿宋" w:hAnsi="仿宋" w:eastAsia="仿宋" w:cs="仿宋"/>
                <w:bCs/>
                <w:szCs w:val="24"/>
              </w:rPr>
            </w:pPr>
            <w:r>
              <w:rPr>
                <w:rFonts w:hint="eastAsia" w:ascii="仿宋" w:hAnsi="仿宋" w:eastAsia="仿宋" w:cs="仿宋"/>
                <w:bCs/>
                <w:szCs w:val="24"/>
              </w:rPr>
              <w:t>根据工作实际配备</w:t>
            </w:r>
          </w:p>
        </w:tc>
      </w:tr>
    </w:tbl>
    <w:p>
      <w:pPr>
        <w:pStyle w:val="8"/>
        <w:tabs>
          <w:tab w:val="left" w:pos="962"/>
        </w:tabs>
        <w:spacing w:before="1"/>
        <w:ind w:left="0" w:right="117"/>
        <w:jc w:val="center"/>
        <w:rPr>
          <w:rFonts w:ascii="黑体" w:eastAsia="黑体"/>
        </w:rPr>
      </w:pPr>
    </w:p>
    <w:p>
      <w:pPr>
        <w:pStyle w:val="8"/>
        <w:tabs>
          <w:tab w:val="left" w:pos="962"/>
          <w:tab w:val="left" w:pos="1444"/>
        </w:tabs>
        <w:spacing w:before="66"/>
        <w:ind w:left="0" w:right="117"/>
        <w:jc w:val="center"/>
        <w:rPr>
          <w:rFonts w:ascii="黑体" w:eastAsia="黑体"/>
          <w:b/>
        </w:rPr>
      </w:pPr>
      <w:r>
        <w:rPr>
          <w:rFonts w:hint="eastAsia" w:ascii="黑体" w:eastAsia="黑体"/>
          <w:b/>
        </w:rPr>
        <w:t>第五章 承包期限</w:t>
      </w:r>
    </w:p>
    <w:p>
      <w:pPr>
        <w:pStyle w:val="16"/>
        <w:tabs>
          <w:tab w:val="left" w:pos="1795"/>
          <w:tab w:val="left" w:pos="7959"/>
        </w:tabs>
        <w:spacing w:line="360" w:lineRule="auto"/>
        <w:ind w:left="473" w:right="591" w:firstLine="480"/>
        <w:jc w:val="both"/>
        <w:rPr>
          <w:spacing w:val="16"/>
        </w:rPr>
      </w:pPr>
      <w:r>
        <w:rPr>
          <w:b/>
        </w:rPr>
        <w:t>第八条</w:t>
      </w:r>
      <w:r>
        <w:rPr>
          <w:rFonts w:hint="eastAsia"/>
          <w:spacing w:val="16"/>
        </w:rPr>
        <w:t xml:space="preserve"> </w:t>
      </w:r>
      <w:r>
        <w:rPr>
          <w:spacing w:val="16"/>
        </w:rPr>
        <w:t>本项目承包期限为3年。合同一年一签。第一年服务期限自</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日起至</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日止，第二年服务期限</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日起至</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日止，第三年服务期限自</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日起至</w:t>
      </w:r>
      <w:r>
        <w:rPr>
          <w:rFonts w:hint="eastAsia"/>
          <w:spacing w:val="16"/>
          <w:u w:val="single"/>
        </w:rPr>
        <w:t xml:space="preserve">  </w:t>
      </w:r>
      <w:r>
        <w:rPr>
          <w:spacing w:val="16"/>
        </w:rPr>
        <w:t>年</w:t>
      </w:r>
      <w:r>
        <w:rPr>
          <w:rFonts w:hint="eastAsia"/>
          <w:spacing w:val="16"/>
          <w:u w:val="single"/>
        </w:rPr>
        <w:t xml:space="preserve">  </w:t>
      </w:r>
      <w:r>
        <w:rPr>
          <w:spacing w:val="16"/>
        </w:rPr>
        <w:t>月</w:t>
      </w:r>
      <w:r>
        <w:rPr>
          <w:rFonts w:hint="eastAsia"/>
          <w:spacing w:val="16"/>
          <w:u w:val="single"/>
        </w:rPr>
        <w:t xml:space="preserve">  </w:t>
      </w:r>
      <w:r>
        <w:rPr>
          <w:spacing w:val="16"/>
        </w:rPr>
        <w:t>日止。第二年，第三年的承包服务合同,甲方根据乙方提供的服务质量以及区财政在当年预算经费落实到位的情况下续签， 每年合同金额为乙方的年中标价。</w:t>
      </w:r>
    </w:p>
    <w:p>
      <w:pPr>
        <w:pStyle w:val="16"/>
      </w:pPr>
    </w:p>
    <w:p>
      <w:pPr>
        <w:pStyle w:val="8"/>
        <w:tabs>
          <w:tab w:val="left" w:pos="962"/>
          <w:tab w:val="left" w:pos="1444"/>
        </w:tabs>
        <w:spacing w:before="66"/>
        <w:ind w:left="0" w:right="117"/>
        <w:jc w:val="center"/>
        <w:rPr>
          <w:rFonts w:ascii="黑体" w:eastAsia="黑体"/>
          <w:b/>
        </w:rPr>
      </w:pPr>
      <w:r>
        <w:rPr>
          <w:rFonts w:hint="eastAsia" w:ascii="黑体" w:eastAsia="黑体"/>
          <w:b/>
        </w:rPr>
        <w:t>第六章 合同经费</w:t>
      </w:r>
    </w:p>
    <w:p>
      <w:pPr>
        <w:pStyle w:val="16"/>
        <w:tabs>
          <w:tab w:val="left" w:pos="1673"/>
        </w:tabs>
        <w:spacing w:before="194" w:line="388" w:lineRule="auto"/>
        <w:ind w:left="473" w:right="591" w:firstLine="480"/>
        <w:jc w:val="both"/>
      </w:pPr>
      <w:r>
        <w:rPr>
          <w:b/>
        </w:rPr>
        <w:t>第九条</w:t>
      </w:r>
      <w:r>
        <w:rPr>
          <w:rFonts w:hint="eastAsia"/>
          <w:b/>
        </w:rPr>
        <w:t xml:space="preserve"> </w:t>
      </w:r>
      <w:r>
        <w:t>本合同年承包金额为人民币</w:t>
      </w:r>
      <w:r>
        <w:rPr>
          <w:u w:val="single"/>
        </w:rPr>
        <w:t xml:space="preserve"> </w:t>
      </w:r>
      <w:r>
        <w:rPr>
          <w:spacing w:val="94"/>
          <w:u w:val="single"/>
        </w:rPr>
        <w:t xml:space="preserve"> </w:t>
      </w:r>
      <w:r>
        <w:rPr>
          <w:u w:val="single"/>
        </w:rPr>
        <w:t>（小写</w:t>
      </w:r>
      <w:r>
        <w:rPr>
          <w:spacing w:val="-15"/>
          <w:u w:val="single"/>
        </w:rPr>
        <w:t>：￥</w:t>
      </w:r>
      <w:r>
        <w:rPr>
          <w:spacing w:val="3"/>
          <w:u w:val="single"/>
        </w:rPr>
        <w:t xml:space="preserve"> </w:t>
      </w:r>
      <w:r>
        <w:rPr>
          <w:u w:val="single"/>
        </w:rPr>
        <w:t>元/年</w:t>
      </w:r>
      <w:r>
        <w:rPr>
          <w:spacing w:val="-28"/>
          <w:u w:val="single"/>
        </w:rPr>
        <w:t>）</w:t>
      </w:r>
      <w:r>
        <w:t>。</w:t>
      </w:r>
    </w:p>
    <w:p>
      <w:pPr>
        <w:spacing w:line="500" w:lineRule="exact"/>
        <w:ind w:firstLine="840" w:firstLineChars="400"/>
        <w:rPr>
          <w:rFonts w:ascii="宋体" w:hAnsi="宋体" w:cs="宋体"/>
          <w:b/>
          <w:sz w:val="24"/>
        </w:rPr>
      </w:pPr>
      <w:r>
        <w:rPr>
          <w:rFonts w:hint="eastAsia"/>
        </w:rPr>
        <w:t xml:space="preserve">  </w:t>
      </w:r>
      <w:r>
        <w:rPr>
          <w:rFonts w:hint="eastAsia"/>
          <w:b/>
        </w:rPr>
        <w:t xml:space="preserve">备注： </w:t>
      </w:r>
      <w:r>
        <w:rPr>
          <w:rFonts w:hint="eastAsia" w:ascii="宋体" w:hAnsi="宋体" w:cs="宋体"/>
          <w:sz w:val="24"/>
        </w:rPr>
        <w:t>服务期内，由于创文巩卫等原因，清扫保洁面积及垃圾收运量若有增加或减少，经采购人委托第三方测量并经相关程序审核确认后按新测量的面积及垃圾量执行。如道路清扫保洁面积和垃圾量增加，按各道路对应的中标单价和中标的垃圾清运单价计算清扫保洁和垃圾清运费，并就增加费用的相关内容签订补充协议；在服务期内，如遇采购人或政府相关部门出台新的道路清扫保洁单价、垃圾收运单价标准，按新标准执行。</w:t>
      </w:r>
    </w:p>
    <w:p>
      <w:pPr>
        <w:pStyle w:val="16"/>
        <w:tabs>
          <w:tab w:val="left" w:pos="1795"/>
          <w:tab w:val="left" w:pos="7959"/>
        </w:tabs>
        <w:spacing w:line="360" w:lineRule="auto"/>
        <w:ind w:left="473" w:right="591" w:firstLine="480"/>
        <w:jc w:val="both"/>
        <w:rPr>
          <w:b/>
        </w:rPr>
      </w:pPr>
    </w:p>
    <w:p>
      <w:pPr>
        <w:pStyle w:val="16"/>
        <w:spacing w:before="3"/>
      </w:pPr>
    </w:p>
    <w:p>
      <w:pPr>
        <w:pStyle w:val="8"/>
        <w:tabs>
          <w:tab w:val="left" w:pos="962"/>
          <w:tab w:val="left" w:pos="1444"/>
        </w:tabs>
        <w:spacing w:before="66"/>
        <w:ind w:left="0" w:right="117"/>
        <w:jc w:val="center"/>
        <w:rPr>
          <w:rFonts w:ascii="黑体" w:eastAsia="黑体"/>
          <w:b/>
        </w:rPr>
      </w:pPr>
      <w:r>
        <w:rPr>
          <w:rFonts w:hint="eastAsia" w:ascii="黑体" w:eastAsia="黑体"/>
          <w:b/>
        </w:rPr>
        <w:t>第七章 付款方式</w:t>
      </w:r>
    </w:p>
    <w:p>
      <w:pPr>
        <w:pStyle w:val="16"/>
        <w:spacing w:before="192" w:line="391" w:lineRule="auto"/>
        <w:ind w:left="473" w:right="593" w:firstLine="480"/>
        <w:jc w:val="both"/>
        <w:rPr>
          <w:spacing w:val="-8"/>
        </w:rPr>
      </w:pPr>
      <w:r>
        <w:rPr>
          <w:b/>
        </w:rPr>
        <w:t xml:space="preserve">第十一条 </w:t>
      </w:r>
      <w:r>
        <w:t>甲方根据每月的检查考核结果，按评定的考核等级比例进行支付，当月的服务费在次月 15 日前一次性付清。</w:t>
      </w:r>
    </w:p>
    <w:p>
      <w:pPr>
        <w:pStyle w:val="16"/>
        <w:spacing w:before="192" w:line="391" w:lineRule="auto"/>
        <w:ind w:right="593"/>
        <w:jc w:val="center"/>
        <w:rPr>
          <w:rFonts w:ascii="黑体" w:eastAsia="黑体"/>
          <w:b/>
        </w:rPr>
      </w:pPr>
      <w:r>
        <w:rPr>
          <w:rFonts w:hint="eastAsia" w:ascii="黑体" w:eastAsia="黑体"/>
          <w:b/>
        </w:rPr>
        <w:t>第八章 质量考评</w:t>
      </w:r>
    </w:p>
    <w:p>
      <w:pPr>
        <w:pStyle w:val="8"/>
        <w:tabs>
          <w:tab w:val="left" w:pos="8753"/>
        </w:tabs>
        <w:spacing w:line="388" w:lineRule="auto"/>
        <w:ind w:left="0" w:right="1090" w:firstLine="630" w:firstLineChars="300"/>
        <w:rPr>
          <w:rFonts w:ascii="黑体" w:eastAsia="黑体"/>
          <w:b/>
        </w:rPr>
      </w:pPr>
      <w:r>
        <w:rPr>
          <w:rFonts w:eastAsia="Times New Roman"/>
          <w:u w:val="single"/>
        </w:rPr>
        <w:t xml:space="preserve"> </w:t>
      </w:r>
      <w:r>
        <w:rPr>
          <w:rFonts w:hint="eastAsia" w:eastAsiaTheme="minorEastAsia"/>
          <w:u w:val="single"/>
        </w:rPr>
        <w:t xml:space="preserve">                                </w:t>
      </w:r>
      <w:r>
        <w:rPr>
          <w:rFonts w:eastAsia="Times New Roman"/>
          <w:u w:val="single"/>
        </w:rPr>
        <w:tab/>
      </w:r>
      <w:r>
        <w:rPr>
          <w:spacing w:val="-17"/>
        </w:rPr>
        <w:t>。</w:t>
      </w:r>
    </w:p>
    <w:p>
      <w:pPr>
        <w:pStyle w:val="16"/>
        <w:spacing w:before="192" w:line="391" w:lineRule="auto"/>
        <w:ind w:right="593"/>
        <w:jc w:val="center"/>
        <w:rPr>
          <w:rFonts w:ascii="黑体" w:eastAsia="黑体"/>
          <w:b/>
        </w:rPr>
      </w:pPr>
    </w:p>
    <w:p>
      <w:pPr>
        <w:pStyle w:val="16"/>
        <w:spacing w:before="192" w:line="391" w:lineRule="auto"/>
        <w:ind w:right="593"/>
        <w:jc w:val="center"/>
        <w:rPr>
          <w:rFonts w:ascii="黑体" w:eastAsia="黑体"/>
          <w:b/>
        </w:rPr>
      </w:pPr>
      <w:r>
        <w:rPr>
          <w:rFonts w:hint="eastAsia" w:ascii="黑体" w:eastAsia="黑体"/>
          <w:b/>
        </w:rPr>
        <w:t>第九章 双方权利义务</w:t>
      </w:r>
    </w:p>
    <w:p>
      <w:pPr>
        <w:pStyle w:val="8"/>
        <w:tabs>
          <w:tab w:val="left" w:pos="2278"/>
        </w:tabs>
        <w:spacing w:before="66"/>
        <w:ind w:left="105" w:leftChars="50" w:firstLine="843" w:firstLineChars="400"/>
      </w:pPr>
      <w:r>
        <w:rPr>
          <w:rFonts w:ascii="Calibri" w:hAnsi="Calibri" w:cs="Calibri"/>
          <w:b/>
        </w:rPr>
        <w:t>第十</w:t>
      </w:r>
      <w:r>
        <w:rPr>
          <w:rFonts w:hint="eastAsia" w:ascii="Calibri" w:hAnsi="Calibri" w:cs="Calibri"/>
          <w:b/>
        </w:rPr>
        <w:t>三</w:t>
      </w:r>
      <w:r>
        <w:rPr>
          <w:rFonts w:ascii="Calibri" w:hAnsi="Calibri" w:cs="Calibri"/>
          <w:b/>
        </w:rPr>
        <w:t>条</w:t>
      </w:r>
      <w:r>
        <w:rPr>
          <w:rFonts w:hint="eastAsia"/>
        </w:rPr>
        <w:t xml:space="preserve"> </w:t>
      </w:r>
      <w:r>
        <w:t>甲方权利义务</w:t>
      </w:r>
    </w:p>
    <w:p>
      <w:pPr>
        <w:pStyle w:val="16"/>
        <w:spacing w:before="194" w:line="391" w:lineRule="auto"/>
        <w:ind w:left="473" w:right="597" w:firstLine="480"/>
      </w:pPr>
      <w:r>
        <w:rPr>
          <w:rFonts w:hint="eastAsia"/>
        </w:rPr>
        <w:t>1.</w:t>
      </w:r>
      <w:r>
        <w:t>在承包期内，甲方必须在每月的 15 日前，将上月应交乙方的实额应发承包款汇到乙方指定的银行帐号（遇法定公休节假日顺延）。</w:t>
      </w:r>
    </w:p>
    <w:p>
      <w:pPr>
        <w:pStyle w:val="16"/>
        <w:spacing w:before="194" w:line="391" w:lineRule="auto"/>
        <w:ind w:left="473" w:right="597" w:firstLine="480"/>
      </w:pPr>
      <w:r>
        <w:rPr>
          <w:rFonts w:hint="eastAsia"/>
        </w:rPr>
        <w:t>2.</w:t>
      </w:r>
      <w:r>
        <w:t>甲方及其上级环卫行政主管部门和环卫专业管理部门有权组织对乙方作业质量、文明、安全作业情况进行的检查考评，有权查阅、复制承包项目的有关文件和资料以及进入现场开展检查，但甲方不得干扰乙方的正常作业。甲方应将每月检查考评情况以书面形式通知乙方。检查考评结果作为每月发放给乙方承包费用的依据。</w:t>
      </w:r>
    </w:p>
    <w:p>
      <w:pPr>
        <w:pStyle w:val="16"/>
        <w:spacing w:before="194" w:line="391" w:lineRule="auto"/>
        <w:ind w:left="473" w:right="597" w:firstLine="480"/>
      </w:pPr>
      <w:r>
        <w:rPr>
          <w:rFonts w:hint="eastAsia"/>
        </w:rPr>
        <w:t>3.</w:t>
      </w:r>
      <w:r>
        <w:t>因乙方管理不善，发生重大质量或生产安全事故，或乙方擅自停业歇业，严重影响社会公共利益，或乙方作业过程造成重大环境污染，或乙方有其他重大、紧急、可能危及公共安全的行为的，环境卫生行政主管部门可以决定由甲方或指派他人临时接管乙方的承包项目。乙方必须赔偿因自己的责任所造成的经济损失。事故处理后是否恢复履行合同另议。</w:t>
      </w:r>
    </w:p>
    <w:p>
      <w:pPr>
        <w:pStyle w:val="16"/>
        <w:spacing w:before="194" w:line="391" w:lineRule="auto"/>
        <w:ind w:left="473" w:right="597" w:firstLine="480"/>
      </w:pPr>
      <w:r>
        <w:rPr>
          <w:rFonts w:hint="eastAsia"/>
        </w:rPr>
        <w:t>4.</w:t>
      </w:r>
      <w:r>
        <w:t>甲方有权协同劳动监察部门对乙方用工情况进行检查，有权要求乙方按招标要求保障作业人员的福利待遇。甲方不承担任何由于乙方未办理员工劳动关系而产生的纠纷等责任。</w:t>
      </w:r>
    </w:p>
    <w:p>
      <w:pPr>
        <w:pStyle w:val="16"/>
        <w:spacing w:before="194" w:line="391" w:lineRule="auto"/>
        <w:ind w:left="473" w:right="597" w:firstLine="480"/>
      </w:pPr>
      <w:r>
        <w:rPr>
          <w:rFonts w:hint="eastAsia"/>
        </w:rPr>
        <w:t>5.</w:t>
      </w:r>
      <w:r>
        <w:t>遇重大活动或检查突击任务需要时，甲方应及时通知乙方做好重点保洁保障工作。</w:t>
      </w:r>
    </w:p>
    <w:p>
      <w:pPr>
        <w:pStyle w:val="16"/>
        <w:spacing w:before="194" w:line="391" w:lineRule="auto"/>
        <w:ind w:left="473" w:right="597" w:firstLine="480"/>
      </w:pPr>
      <w:r>
        <w:rPr>
          <w:rFonts w:hint="eastAsia"/>
        </w:rPr>
        <w:t>6.</w:t>
      </w:r>
      <w:r>
        <w:t>甲方应积极协助乙方解决在承包期内出现的相关问题。</w:t>
      </w:r>
    </w:p>
    <w:p>
      <w:pPr>
        <w:pStyle w:val="8"/>
        <w:tabs>
          <w:tab w:val="left" w:pos="2278"/>
        </w:tabs>
        <w:spacing w:before="66"/>
        <w:ind w:left="105" w:leftChars="50" w:firstLine="843" w:firstLineChars="400"/>
      </w:pPr>
      <w:r>
        <w:rPr>
          <w:rFonts w:ascii="Calibri" w:hAnsi="Calibri" w:cs="Calibri"/>
          <w:b/>
        </w:rPr>
        <w:t>第十</w:t>
      </w:r>
      <w:r>
        <w:rPr>
          <w:rFonts w:hint="eastAsia" w:ascii="Calibri" w:hAnsi="Calibri" w:cs="Calibri"/>
          <w:b/>
        </w:rPr>
        <w:t>四条</w:t>
      </w:r>
      <w:r>
        <w:rPr>
          <w:rFonts w:hint="eastAsia"/>
        </w:rPr>
        <w:t xml:space="preserve"> </w:t>
      </w:r>
      <w:r>
        <w:t>乙方权利义务</w:t>
      </w:r>
    </w:p>
    <w:p>
      <w:pPr>
        <w:pStyle w:val="16"/>
        <w:spacing w:before="194" w:line="391" w:lineRule="auto"/>
        <w:ind w:left="473" w:right="597" w:firstLine="480"/>
      </w:pPr>
      <w:r>
        <w:rPr>
          <w:rFonts w:hint="eastAsia"/>
        </w:rPr>
        <w:t>1.</w:t>
      </w:r>
      <w:r>
        <w:t xml:space="preserve">乙方在签订合同时缴纳履约保证金或提供履约保函（合同金额 </w:t>
      </w:r>
      <w:r>
        <w:rPr>
          <w:rFonts w:hint="eastAsia"/>
        </w:rPr>
        <w:t>10</w:t>
      </w:r>
      <w:r>
        <w:t xml:space="preserve"> %）。合同签订后，履约保证金自动转为服务质量保证金。在承包期内，乙方有权在每月 15 日向甲方领取上月的实额应发承包款。</w:t>
      </w:r>
    </w:p>
    <w:p>
      <w:pPr>
        <w:pStyle w:val="16"/>
        <w:spacing w:before="194" w:line="391" w:lineRule="auto"/>
        <w:ind w:left="473" w:right="597" w:firstLine="480"/>
      </w:pPr>
      <w:r>
        <w:rPr>
          <w:rFonts w:hint="eastAsia"/>
        </w:rPr>
        <w:t>2.</w:t>
      </w:r>
      <w:r>
        <w:t>乙方必须依照本合同规定的作业形式、作业质量标准及行业有关作业规范、作业质量标准，按时、保质、保量完成所承包作业项目范围、承包事项的工作。</w:t>
      </w:r>
    </w:p>
    <w:p>
      <w:pPr>
        <w:pStyle w:val="16"/>
        <w:spacing w:before="194" w:line="391" w:lineRule="auto"/>
        <w:ind w:left="473" w:right="597" w:firstLine="480"/>
      </w:pPr>
      <w:r>
        <w:rPr>
          <w:rFonts w:hint="eastAsia"/>
        </w:rPr>
        <w:t>3.</w:t>
      </w:r>
      <w:r>
        <w:t>乙方及其雇用的员工应严格遵守国家的法律、法规、村规民约，如果乙方及其所雇用的工人违反法律、法规和相关规定，所造成的后果由其自行负责，与甲方无关。</w:t>
      </w:r>
    </w:p>
    <w:p>
      <w:pPr>
        <w:pStyle w:val="16"/>
        <w:spacing w:before="194" w:line="391" w:lineRule="auto"/>
        <w:ind w:left="473" w:right="597" w:firstLine="480"/>
      </w:pPr>
      <w:r>
        <w:rPr>
          <w:rFonts w:hint="eastAsia"/>
        </w:rPr>
        <w:t>4.</w:t>
      </w:r>
      <w:r>
        <w:t>乙方必须根据国家、省、地方和本市环卫行政主管部门、环卫专业管理部门颁布的各项环卫作业规范、安全规范、质量标准建立自身的运营管理机制和质量检查机制、实行自查自纠，并定期向环卫专业管理部门通报执行合同情况；若出现严重的质量问题或安全事故，在采取措施补救的同时，当日应向甲方及其市环卫专业管理部门报告；若出现紧急事故，应在 1 小时内报告环卫行政主管部门。</w:t>
      </w:r>
    </w:p>
    <w:p>
      <w:pPr>
        <w:pStyle w:val="16"/>
        <w:spacing w:before="194" w:line="391" w:lineRule="auto"/>
        <w:ind w:left="473" w:right="597" w:firstLine="480"/>
      </w:pPr>
      <w:r>
        <w:rPr>
          <w:rFonts w:hint="eastAsia"/>
        </w:rPr>
        <w:t>5.</w:t>
      </w:r>
      <w:r>
        <w:t>乙方必须按国家的劳动法律法规规定与企业员工确立合法的劳资关系，签订用工劳务合同，根据相关规定为企业员工办理五险一金。若员工发生事故，必须按有关规定处理，一切经济损失和各项费用由乙方自理。</w:t>
      </w:r>
    </w:p>
    <w:p>
      <w:pPr>
        <w:pStyle w:val="16"/>
        <w:spacing w:before="194" w:line="391" w:lineRule="auto"/>
        <w:ind w:left="473" w:right="597" w:firstLine="480"/>
      </w:pPr>
      <w:r>
        <w:rPr>
          <w:rFonts w:hint="eastAsia"/>
        </w:rPr>
        <w:t>6.</w:t>
      </w:r>
      <w:r>
        <w:t>乙方须按时支付作业人员工资，不得低于三亚市最低工资标准，不得压低用工人员工资或加大用工人员工作量以提高企业利润。</w:t>
      </w:r>
    </w:p>
    <w:p>
      <w:pPr>
        <w:pStyle w:val="16"/>
        <w:spacing w:before="194" w:line="391" w:lineRule="auto"/>
        <w:ind w:left="473" w:right="597" w:firstLine="480"/>
      </w:pPr>
      <w:r>
        <w:rPr>
          <w:rFonts w:hint="eastAsia"/>
        </w:rPr>
        <w:t>7.</w:t>
      </w:r>
      <w:r>
        <w:t>乙方有义务参加甲方通知的相关作业会议，通报作业情况，完善作业措施，提高作业水平。</w:t>
      </w:r>
    </w:p>
    <w:p>
      <w:pPr>
        <w:pStyle w:val="16"/>
        <w:spacing w:before="194" w:line="391" w:lineRule="auto"/>
        <w:ind w:left="473" w:right="597" w:firstLine="480"/>
      </w:pPr>
      <w:r>
        <w:rPr>
          <w:rFonts w:hint="eastAsia"/>
        </w:rPr>
        <w:t>8.</w:t>
      </w:r>
      <w:r>
        <w:t>遇台风、洪灾、地震等自然灾害，乙方必须按甲方要求无条件义务全力开展应急抢险及灾后恢复工作。</w:t>
      </w:r>
    </w:p>
    <w:p>
      <w:pPr>
        <w:pStyle w:val="16"/>
        <w:spacing w:before="194" w:line="391" w:lineRule="auto"/>
        <w:ind w:left="473" w:right="597" w:firstLine="480"/>
      </w:pPr>
      <w:r>
        <w:rPr>
          <w:rFonts w:hint="eastAsia"/>
        </w:rPr>
        <w:t>9.</w:t>
      </w:r>
      <w:r>
        <w:t>遇重大活动、重要检查时，乙方需按甲方要求义务开展专项环境卫生整治及迎检工作。</w:t>
      </w:r>
    </w:p>
    <w:p>
      <w:pPr>
        <w:pStyle w:val="16"/>
        <w:spacing w:before="194" w:line="391" w:lineRule="auto"/>
        <w:ind w:left="473" w:right="597" w:firstLine="480"/>
      </w:pPr>
      <w:r>
        <w:rPr>
          <w:rFonts w:hint="eastAsia"/>
        </w:rPr>
        <w:t>10.</w:t>
      </w:r>
      <w:r>
        <w:t>乙方必须自觉接受甲方及其各级环卫行政主管部门和环卫专业管理部门及劳动监察部门的管理、监督和检查，根据需要提供相关的检查文件和资料，以及作必要的解释和说明，乙方不得阻扰检查人员的检查工作。如遇突发事件或重大活动的突击任务， 乙方须无条件服从甲方的安排。若不服从安排，甲方可将其作为不良记录，达三次以上的，甲方有权解除合同并没收履约担保金。</w:t>
      </w:r>
    </w:p>
    <w:p>
      <w:pPr>
        <w:pStyle w:val="16"/>
        <w:spacing w:before="194" w:line="391" w:lineRule="auto"/>
        <w:ind w:left="473" w:right="597" w:firstLine="480"/>
      </w:pPr>
      <w:r>
        <w:rPr>
          <w:rFonts w:hint="eastAsia"/>
        </w:rPr>
        <w:t>11.</w:t>
      </w:r>
      <w:r>
        <w:t>乙方必须对企业员工进行道德教育和工作培训。教育职工严格遵守国家法律法规及环卫作业操作规程。作业人员必须经过岗前培训后方可上岗作业。</w:t>
      </w:r>
    </w:p>
    <w:p>
      <w:pPr>
        <w:pStyle w:val="16"/>
        <w:spacing w:before="194" w:line="391" w:lineRule="auto"/>
        <w:ind w:left="473" w:right="597" w:firstLine="480"/>
      </w:pPr>
      <w:r>
        <w:rPr>
          <w:rFonts w:hint="eastAsia"/>
        </w:rPr>
        <w:t>12.</w:t>
      </w:r>
      <w:r>
        <w:t>乙方应不断提高企业管理水平和作业能力，提高企业运营管理实力，保持、提高环卫作业资信等级，并按时向环卫作业资信等级审查机构办理年检。</w:t>
      </w:r>
    </w:p>
    <w:p>
      <w:pPr>
        <w:pStyle w:val="16"/>
        <w:spacing w:before="194" w:line="391" w:lineRule="auto"/>
        <w:ind w:left="473" w:right="597" w:firstLine="480"/>
      </w:pPr>
      <w:r>
        <w:rPr>
          <w:rFonts w:hint="eastAsia"/>
        </w:rPr>
        <w:t>13.</w:t>
      </w:r>
      <w:r>
        <w:t>乙方有权对甲方人员在检查考评乙方作业质量过程中的违规行为向甲方或上级主管部门举报。</w:t>
      </w:r>
    </w:p>
    <w:p>
      <w:pPr>
        <w:pStyle w:val="16"/>
        <w:spacing w:before="194" w:line="391" w:lineRule="auto"/>
        <w:ind w:left="473" w:right="597" w:firstLine="480"/>
      </w:pPr>
      <w:r>
        <w:rPr>
          <w:rFonts w:hint="eastAsia"/>
        </w:rPr>
        <w:t>14.</w:t>
      </w:r>
      <w:r>
        <w:t>未经甲方同意，乙方不得擅自将承包合同转让给他人，或肢解分包给他人。</w:t>
      </w:r>
    </w:p>
    <w:p>
      <w:pPr>
        <w:pStyle w:val="16"/>
        <w:spacing w:before="192" w:line="391" w:lineRule="auto"/>
        <w:ind w:right="593"/>
        <w:jc w:val="center"/>
        <w:rPr>
          <w:rFonts w:ascii="黑体" w:eastAsia="黑体"/>
          <w:b/>
        </w:rPr>
      </w:pPr>
      <w:r>
        <w:rPr>
          <w:rFonts w:hint="eastAsia" w:ascii="黑体" w:eastAsia="黑体"/>
          <w:b/>
        </w:rPr>
        <w:t>第十章 违约责任</w:t>
      </w:r>
    </w:p>
    <w:p>
      <w:pPr>
        <w:pStyle w:val="16"/>
        <w:tabs>
          <w:tab w:val="left" w:pos="2160"/>
        </w:tabs>
        <w:spacing w:before="195" w:line="388" w:lineRule="auto"/>
        <w:ind w:left="473" w:right="477" w:firstLine="482"/>
      </w:pPr>
      <w:r>
        <w:rPr>
          <w:b/>
        </w:rPr>
        <w:t>第十</w:t>
      </w:r>
      <w:r>
        <w:rPr>
          <w:rFonts w:hint="eastAsia"/>
          <w:b/>
        </w:rPr>
        <w:t>五</w:t>
      </w:r>
      <w:r>
        <w:rPr>
          <w:b/>
        </w:rPr>
        <w:t>条</w:t>
      </w:r>
      <w:r>
        <w:rPr>
          <w:rFonts w:hint="eastAsia"/>
          <w:b/>
        </w:rPr>
        <w:t xml:space="preserve"> </w:t>
      </w:r>
      <w:r>
        <w:t>乙方如不能按照本合同要求配备相关的人员及设备，则视为乙方违约</w:t>
      </w:r>
      <w:r>
        <w:rPr>
          <w:spacing w:val="-17"/>
        </w:rPr>
        <w:t xml:space="preserve">， </w:t>
      </w:r>
      <w:r>
        <w:t>经二次书面警告乙方整改未果的</w:t>
      </w:r>
      <w:r>
        <w:rPr>
          <w:spacing w:val="-34"/>
        </w:rPr>
        <w:t>，</w:t>
      </w:r>
      <w:r>
        <w:t>甲方有权单方面终止本合同</w:t>
      </w:r>
      <w:r>
        <w:rPr>
          <w:spacing w:val="-36"/>
        </w:rPr>
        <w:t>，</w:t>
      </w:r>
      <w:r>
        <w:t>产生的损失</w:t>
      </w:r>
      <w:r>
        <w:rPr>
          <w:spacing w:val="-36"/>
        </w:rPr>
        <w:t>，</w:t>
      </w:r>
      <w:r>
        <w:t>由乙方负责赔偿。</w:t>
      </w:r>
    </w:p>
    <w:p>
      <w:pPr>
        <w:pStyle w:val="16"/>
        <w:spacing w:before="5" w:line="388" w:lineRule="auto"/>
        <w:ind w:left="473" w:right="591" w:firstLine="480"/>
        <w:jc w:val="both"/>
      </w:pPr>
      <w:r>
        <w:rPr>
          <w:b/>
        </w:rPr>
        <w:t>第十</w:t>
      </w:r>
      <w:r>
        <w:rPr>
          <w:rFonts w:hint="eastAsia"/>
          <w:b/>
        </w:rPr>
        <w:t>六</w:t>
      </w:r>
      <w:r>
        <w:rPr>
          <w:b/>
        </w:rPr>
        <w:t xml:space="preserve">条 </w:t>
      </w:r>
      <w:r>
        <w:rPr>
          <w:spacing w:val="-6"/>
        </w:rPr>
        <w:t>乙方隐瞒不报及导致发生重大质量或生产安全事故的，由乙方提供书面</w:t>
      </w:r>
      <w:r>
        <w:rPr>
          <w:spacing w:val="-9"/>
        </w:rPr>
        <w:t>检查及限期整改报告，并承担全部责任。经整改未果的，甲方在取得行政主管部门的同</w:t>
      </w:r>
      <w:r>
        <w:t>意后，有权临时接管乙方承包的项目，并解除合同，由此造成的损失由乙方承担。</w:t>
      </w:r>
    </w:p>
    <w:p>
      <w:pPr>
        <w:pStyle w:val="16"/>
        <w:spacing w:before="6" w:line="388" w:lineRule="auto"/>
        <w:ind w:left="473" w:right="593" w:firstLine="480"/>
        <w:jc w:val="both"/>
      </w:pPr>
      <w:r>
        <w:rPr>
          <w:b/>
        </w:rPr>
        <w:t>第十</w:t>
      </w:r>
      <w:r>
        <w:rPr>
          <w:rFonts w:hint="eastAsia"/>
          <w:b/>
        </w:rPr>
        <w:t>七</w:t>
      </w:r>
      <w:r>
        <w:rPr>
          <w:b/>
        </w:rPr>
        <w:t xml:space="preserve">条 </w:t>
      </w:r>
      <w:r>
        <w:rPr>
          <w:spacing w:val="-7"/>
        </w:rPr>
        <w:t>如由于乙方的原因不办理或无法取得服务许可，导致乙方不能从事环卫</w:t>
      </w:r>
      <w:r>
        <w:rPr>
          <w:spacing w:val="-10"/>
        </w:rPr>
        <w:t>作业项目服务的，甲方将没收履约担保金，并有权解除合同，乙方应赔偿甲方由此产生</w:t>
      </w:r>
      <w:r>
        <w:t>的经济损失。</w:t>
      </w:r>
    </w:p>
    <w:p>
      <w:pPr>
        <w:pStyle w:val="16"/>
        <w:spacing w:before="5" w:line="388" w:lineRule="auto"/>
        <w:ind w:left="473" w:right="591" w:firstLine="480"/>
        <w:jc w:val="both"/>
      </w:pPr>
      <w:r>
        <w:rPr>
          <w:b/>
        </w:rPr>
        <w:t>第</w:t>
      </w:r>
      <w:r>
        <w:rPr>
          <w:rFonts w:hint="eastAsia"/>
          <w:b/>
        </w:rPr>
        <w:t>十八</w:t>
      </w:r>
      <w:r>
        <w:rPr>
          <w:b/>
        </w:rPr>
        <w:t xml:space="preserve">条 </w:t>
      </w:r>
      <w:r>
        <w:rPr>
          <w:spacing w:val="-8"/>
        </w:rPr>
        <w:t>乙方将承包的合同转包或分包给他人，甲方有权没收履约担保金并解除</w:t>
      </w:r>
      <w:r>
        <w:t>合同，乙方应赔偿甲方由此产生的经济损失。</w:t>
      </w:r>
    </w:p>
    <w:p>
      <w:pPr>
        <w:pStyle w:val="16"/>
        <w:spacing w:before="2" w:line="391" w:lineRule="auto"/>
        <w:ind w:left="473" w:right="591" w:firstLine="480"/>
        <w:jc w:val="both"/>
      </w:pPr>
      <w:r>
        <w:rPr>
          <w:b/>
        </w:rPr>
        <w:t>第</w:t>
      </w:r>
      <w:r>
        <w:rPr>
          <w:rFonts w:hint="eastAsia"/>
          <w:b/>
        </w:rPr>
        <w:t>十九</w:t>
      </w:r>
      <w:r>
        <w:rPr>
          <w:b/>
        </w:rPr>
        <w:t xml:space="preserve">条 </w:t>
      </w:r>
      <w:r>
        <w:t>甲乙双方任何一方无法律依据提前终止合同的，造成对方经济损失的，应给予经济赔偿。</w:t>
      </w:r>
    </w:p>
    <w:p>
      <w:pPr>
        <w:pStyle w:val="16"/>
        <w:spacing w:before="3"/>
      </w:pPr>
    </w:p>
    <w:p>
      <w:pPr>
        <w:pStyle w:val="16"/>
        <w:spacing w:before="192" w:line="391" w:lineRule="auto"/>
        <w:ind w:right="593"/>
        <w:jc w:val="center"/>
        <w:rPr>
          <w:rFonts w:ascii="黑体" w:eastAsia="黑体"/>
          <w:b/>
        </w:rPr>
      </w:pPr>
      <w:r>
        <w:rPr>
          <w:rFonts w:hint="eastAsia" w:ascii="黑体" w:eastAsia="黑体"/>
          <w:b/>
        </w:rPr>
        <w:t>第十一章 合同的终止</w:t>
      </w:r>
    </w:p>
    <w:p>
      <w:pPr>
        <w:pStyle w:val="16"/>
        <w:spacing w:before="192" w:line="391" w:lineRule="auto"/>
        <w:ind w:left="473" w:right="597" w:firstLine="480"/>
        <w:jc w:val="both"/>
      </w:pPr>
      <w:r>
        <w:rPr>
          <w:b/>
        </w:rPr>
        <w:t xml:space="preserve">第二十条 </w:t>
      </w:r>
      <w:r>
        <w:t>合同期间，如果政府出台政策性调整文件，需要终止合同，则本项目服务合同自动解除。</w:t>
      </w:r>
    </w:p>
    <w:p>
      <w:pPr>
        <w:spacing w:line="306" w:lineRule="exact"/>
        <w:ind w:left="953"/>
      </w:pPr>
      <w:r>
        <w:rPr>
          <w:b/>
        </w:rPr>
        <w:t>第二十</w:t>
      </w:r>
      <w:r>
        <w:rPr>
          <w:rFonts w:hint="eastAsia"/>
          <w:b/>
        </w:rPr>
        <w:t>一</w:t>
      </w:r>
      <w:r>
        <w:rPr>
          <w:b/>
        </w:rPr>
        <w:t xml:space="preserve">条 </w:t>
      </w:r>
      <w:r>
        <w:t>合同期满，本合同自然终止。</w:t>
      </w:r>
    </w:p>
    <w:p>
      <w:pPr>
        <w:pStyle w:val="16"/>
        <w:spacing w:before="192" w:line="391" w:lineRule="auto"/>
        <w:ind w:right="593"/>
        <w:jc w:val="center"/>
        <w:rPr>
          <w:rFonts w:ascii="黑体" w:eastAsia="黑体"/>
          <w:b/>
        </w:rPr>
      </w:pPr>
      <w:r>
        <w:rPr>
          <w:rFonts w:hint="eastAsia" w:ascii="黑体" w:eastAsia="黑体"/>
          <w:b/>
        </w:rPr>
        <w:t>第十二章 附则</w:t>
      </w:r>
    </w:p>
    <w:p>
      <w:pPr>
        <w:pStyle w:val="16"/>
        <w:tabs>
          <w:tab w:val="left" w:pos="2400"/>
        </w:tabs>
        <w:spacing w:before="194" w:line="388" w:lineRule="auto"/>
        <w:ind w:left="473" w:right="588" w:firstLine="480"/>
      </w:pPr>
      <w:r>
        <w:rPr>
          <w:b/>
        </w:rPr>
        <w:t>第二十</w:t>
      </w:r>
      <w:r>
        <w:rPr>
          <w:rFonts w:hint="eastAsia"/>
          <w:b/>
        </w:rPr>
        <w:t>二</w:t>
      </w:r>
      <w:r>
        <w:rPr>
          <w:b/>
        </w:rPr>
        <w:t>条</w:t>
      </w:r>
      <w:r>
        <w:rPr>
          <w:rFonts w:hint="eastAsia"/>
          <w:b/>
        </w:rPr>
        <w:t xml:space="preserve">  </w:t>
      </w:r>
      <w:r>
        <w:t>如需修改或补</w:t>
      </w:r>
      <w:r>
        <w:rPr>
          <w:spacing w:val="-3"/>
        </w:rPr>
        <w:t>充</w:t>
      </w:r>
      <w:r>
        <w:t>合同内容</w:t>
      </w:r>
      <w:r>
        <w:rPr>
          <w:spacing w:val="-39"/>
        </w:rPr>
        <w:t>，</w:t>
      </w:r>
      <w:r>
        <w:t>经协商</w:t>
      </w:r>
      <w:r>
        <w:rPr>
          <w:spacing w:val="-36"/>
        </w:rPr>
        <w:t>，</w:t>
      </w:r>
      <w:r>
        <w:t>双方应签署书面补充协议</w:t>
      </w:r>
      <w:r>
        <w:rPr>
          <w:spacing w:val="-36"/>
        </w:rPr>
        <w:t>，</w:t>
      </w:r>
      <w:r>
        <w:t>原</w:t>
      </w:r>
      <w:r>
        <w:rPr>
          <w:spacing w:val="-13"/>
        </w:rPr>
        <w:t>合</w:t>
      </w:r>
      <w:r>
        <w:t>同条款与补充协议不一致时，以补充协议为准。</w:t>
      </w:r>
    </w:p>
    <w:p>
      <w:pPr>
        <w:pStyle w:val="16"/>
        <w:tabs>
          <w:tab w:val="left" w:pos="2190"/>
        </w:tabs>
        <w:spacing w:before="2" w:line="391" w:lineRule="auto"/>
        <w:ind w:left="473" w:right="591" w:firstLine="480"/>
      </w:pPr>
      <w:r>
        <w:rPr>
          <w:b/>
        </w:rPr>
        <w:t>第二十</w:t>
      </w:r>
      <w:r>
        <w:rPr>
          <w:rFonts w:hint="eastAsia"/>
          <w:b/>
        </w:rPr>
        <w:t>三</w:t>
      </w:r>
      <w:r>
        <w:rPr>
          <w:b/>
        </w:rPr>
        <w:t>条</w:t>
      </w:r>
      <w:r>
        <w:rPr>
          <w:b/>
        </w:rPr>
        <w:tab/>
      </w:r>
      <w:r>
        <w:t>本合同之附件均为合同有效组成部分</w:t>
      </w:r>
      <w:r>
        <w:rPr>
          <w:spacing w:val="-111"/>
        </w:rPr>
        <w:t>。</w:t>
      </w:r>
      <w:r>
        <w:t>本合同及其附件和补充协议</w:t>
      </w:r>
      <w:r>
        <w:rPr>
          <w:spacing w:val="-16"/>
        </w:rPr>
        <w:t>中</w:t>
      </w:r>
      <w:r>
        <w:t>未规定的事均遵照中华人民共和国有关法律、法规和规章执行。</w:t>
      </w:r>
    </w:p>
    <w:p>
      <w:pPr>
        <w:pStyle w:val="16"/>
        <w:spacing w:before="2" w:line="391" w:lineRule="auto"/>
        <w:ind w:left="473" w:right="591" w:firstLine="480"/>
        <w:rPr>
          <w:b/>
        </w:rPr>
      </w:pPr>
      <w:r>
        <w:rPr>
          <w:b/>
        </w:rPr>
        <w:t>第二十</w:t>
      </w:r>
      <w:r>
        <w:rPr>
          <w:rFonts w:hint="eastAsia"/>
          <w:b/>
        </w:rPr>
        <w:t>四</w:t>
      </w:r>
      <w:r>
        <w:rPr>
          <w:b/>
        </w:rPr>
        <w:t>条</w:t>
      </w:r>
      <w:r>
        <w:rPr>
          <w:b/>
        </w:rPr>
        <w:tab/>
      </w:r>
      <w:r>
        <w:rPr>
          <w:rFonts w:hint="eastAsia"/>
          <w:b/>
        </w:rPr>
        <w:t xml:space="preserve"> </w:t>
      </w:r>
      <w:r>
        <w:t>本合同正本连同附件共</w:t>
      </w:r>
      <w:r>
        <w:rPr>
          <w:rFonts w:hint="eastAsia"/>
        </w:rPr>
        <w:t xml:space="preserve">  </w:t>
      </w:r>
      <w:r>
        <w:t xml:space="preserve"> 页，一式 6 份，甲乙双方各执 2 份，财政局 1 份、招标公司 1 份，具有同等法律效力。</w:t>
      </w:r>
    </w:p>
    <w:p>
      <w:pPr>
        <w:pStyle w:val="16"/>
        <w:tabs>
          <w:tab w:val="left" w:pos="2417"/>
        </w:tabs>
        <w:spacing w:before="2" w:line="391" w:lineRule="auto"/>
        <w:ind w:left="473" w:right="591" w:firstLine="480"/>
        <w:rPr>
          <w:b/>
        </w:rPr>
      </w:pPr>
      <w:r>
        <w:rPr>
          <w:b/>
        </w:rPr>
        <w:t xml:space="preserve">第二十七条 </w:t>
      </w:r>
      <w:r>
        <w:rPr>
          <w:rFonts w:hint="eastAsia"/>
          <w:b/>
        </w:rPr>
        <w:t xml:space="preserve"> </w:t>
      </w:r>
      <w:r>
        <w:t>本合同在履行中如发生争议，双方应协商解决，协商不成时，可向有管辖权的人民法院起诉。</w:t>
      </w:r>
    </w:p>
    <w:p>
      <w:pPr>
        <w:tabs>
          <w:tab w:val="left" w:pos="2398"/>
        </w:tabs>
        <w:spacing w:before="39"/>
        <w:ind w:left="953"/>
        <w:rPr>
          <w:sz w:val="24"/>
        </w:rPr>
      </w:pPr>
      <w:r>
        <w:rPr>
          <w:b/>
        </w:rPr>
        <w:t>第二十八条</w:t>
      </w:r>
      <w:r>
        <w:rPr>
          <w:rFonts w:hint="eastAsia"/>
          <w:b/>
          <w:sz w:val="24"/>
        </w:rPr>
        <w:t xml:space="preserve"> </w:t>
      </w:r>
      <w:r>
        <w:rPr>
          <w:rFonts w:hint="eastAsia"/>
          <w:b/>
        </w:rPr>
        <w:t xml:space="preserve"> </w:t>
      </w:r>
      <w:r>
        <w:t>本合同自签订之日起生效。</w:t>
      </w:r>
    </w:p>
    <w:p>
      <w:pPr>
        <w:pStyle w:val="16"/>
      </w:pPr>
    </w:p>
    <w:p>
      <w:pPr>
        <w:pStyle w:val="16"/>
      </w:pPr>
    </w:p>
    <w:p>
      <w:pPr>
        <w:pStyle w:val="16"/>
        <w:tabs>
          <w:tab w:val="left" w:pos="4785"/>
        </w:tabs>
        <w:spacing w:line="405" w:lineRule="auto"/>
        <w:ind w:left="473" w:right="26"/>
        <w:jc w:val="both"/>
      </w:pPr>
      <w:r>
        <w:t>甲方签章：</w:t>
      </w:r>
      <w:r>
        <w:rPr>
          <w:rFonts w:hint="eastAsia"/>
        </w:rPr>
        <w:t xml:space="preserve">                         </w:t>
      </w:r>
      <w:r>
        <w:t xml:space="preserve">    </w:t>
      </w:r>
      <w:r>
        <w:rPr>
          <w:rFonts w:hint="eastAsia"/>
        </w:rPr>
        <w:t xml:space="preserve">  </w:t>
      </w:r>
      <w:r>
        <w:t xml:space="preserve">乙方签章： </w:t>
      </w:r>
    </w:p>
    <w:p>
      <w:pPr>
        <w:pStyle w:val="16"/>
        <w:tabs>
          <w:tab w:val="left" w:pos="4785"/>
        </w:tabs>
        <w:spacing w:line="405" w:lineRule="auto"/>
        <w:ind w:left="473" w:right="26"/>
        <w:jc w:val="both"/>
      </w:pPr>
      <w:r>
        <w:t>甲方地址：</w:t>
      </w:r>
      <w:r>
        <w:tab/>
      </w:r>
      <w:r>
        <w:t>乙方地址：</w:t>
      </w:r>
    </w:p>
    <w:p>
      <w:pPr>
        <w:pStyle w:val="16"/>
        <w:tabs>
          <w:tab w:val="left" w:pos="4785"/>
        </w:tabs>
        <w:spacing w:line="405" w:lineRule="auto"/>
        <w:ind w:left="473" w:right="26"/>
        <w:jc w:val="both"/>
      </w:pPr>
      <w:r>
        <w:t>法定代表人：</w:t>
      </w:r>
      <w:r>
        <w:tab/>
      </w:r>
      <w:r>
        <w:t>法定代表人：</w:t>
      </w:r>
    </w:p>
    <w:p>
      <w:pPr>
        <w:pStyle w:val="16"/>
        <w:spacing w:before="5"/>
        <w:rPr>
          <w:sz w:val="35"/>
        </w:rPr>
      </w:pPr>
    </w:p>
    <w:p>
      <w:pPr>
        <w:pStyle w:val="16"/>
        <w:tabs>
          <w:tab w:val="left" w:pos="4785"/>
        </w:tabs>
        <w:spacing w:line="405" w:lineRule="auto"/>
        <w:ind w:left="473" w:right="26"/>
        <w:jc w:val="both"/>
      </w:pPr>
      <w:r>
        <w:t>委托代理人：</w:t>
      </w:r>
      <w:r>
        <w:tab/>
      </w:r>
      <w:r>
        <w:t xml:space="preserve">委托代理人： </w:t>
      </w:r>
    </w:p>
    <w:p>
      <w:pPr>
        <w:pStyle w:val="16"/>
        <w:tabs>
          <w:tab w:val="left" w:pos="4673"/>
        </w:tabs>
        <w:spacing w:line="405" w:lineRule="auto"/>
        <w:ind w:left="473" w:right="26" w:firstLine="4305" w:firstLineChars="2050"/>
        <w:jc w:val="both"/>
      </w:pPr>
      <w:r>
        <w:t>开户行：</w:t>
      </w:r>
    </w:p>
    <w:p>
      <w:pPr>
        <w:pStyle w:val="16"/>
        <w:tabs>
          <w:tab w:val="left" w:pos="4673"/>
        </w:tabs>
        <w:spacing w:line="405" w:lineRule="auto"/>
        <w:ind w:left="473" w:right="26" w:firstLine="4305" w:firstLineChars="2050"/>
        <w:jc w:val="both"/>
      </w:pPr>
      <w:r>
        <w:t>账 号 ：</w:t>
      </w:r>
    </w:p>
    <w:p>
      <w:pPr>
        <w:pStyle w:val="16"/>
        <w:spacing w:before="1"/>
        <w:ind w:firstLine="420" w:firstLineChars="200"/>
      </w:pPr>
      <w:r>
        <w:t>合同签订时间：</w:t>
      </w:r>
      <w:r>
        <w:rPr>
          <w:rFonts w:hint="eastAsia"/>
        </w:rPr>
        <w:t>2019</w:t>
      </w:r>
      <w:r>
        <w:t xml:space="preserve">年 </w:t>
      </w:r>
      <w:r>
        <w:rPr>
          <w:rFonts w:hint="eastAsia"/>
        </w:rPr>
        <w:t xml:space="preserve">  </w:t>
      </w:r>
      <w:r>
        <w:t xml:space="preserve">月 </w:t>
      </w:r>
      <w:r>
        <w:rPr>
          <w:rFonts w:hint="eastAsia"/>
        </w:rPr>
        <w:t xml:space="preserve">  </w:t>
      </w:r>
      <w:r>
        <w:t>日</w:t>
      </w:r>
    </w:p>
    <w:p>
      <w:pPr>
        <w:pStyle w:val="16"/>
      </w:pPr>
    </w:p>
    <w:p>
      <w:pPr>
        <w:pStyle w:val="16"/>
        <w:spacing w:before="12"/>
        <w:rPr>
          <w:sz w:val="34"/>
        </w:rPr>
      </w:pPr>
    </w:p>
    <w:p>
      <w:pPr>
        <w:pStyle w:val="16"/>
        <w:spacing w:line="280" w:lineRule="auto"/>
        <w:ind w:right="597" w:firstLine="470" w:firstLineChars="250"/>
      </w:pPr>
      <w:r>
        <w:rPr>
          <w:spacing w:val="-11"/>
        </w:rPr>
        <w:t>声明：本合同标的经海南恒晨工程项目管理有限公司依法定程序采购，合同内容与招</w:t>
      </w:r>
      <w:r>
        <w:t>投标文件内容一致</w:t>
      </w:r>
    </w:p>
    <w:p>
      <w:pPr>
        <w:pStyle w:val="16"/>
        <w:rPr>
          <w:sz w:val="20"/>
        </w:rPr>
      </w:pPr>
    </w:p>
    <w:p>
      <w:pPr>
        <w:pStyle w:val="16"/>
        <w:spacing w:before="200"/>
        <w:ind w:left="953"/>
      </w:pPr>
      <w:r>
        <w:t>鉴证方：</w:t>
      </w:r>
      <w:r>
        <w:rPr>
          <w:rFonts w:hint="eastAsia"/>
        </w:rPr>
        <w:t>海南恒晨工程项目管理有限公司</w:t>
      </w:r>
    </w:p>
    <w:p>
      <w:pPr>
        <w:pStyle w:val="16"/>
        <w:tabs>
          <w:tab w:val="left" w:pos="6953"/>
          <w:tab w:val="left" w:pos="7553"/>
        </w:tabs>
        <w:spacing w:before="173"/>
        <w:ind w:left="6233"/>
      </w:pPr>
      <w:r>
        <w:t>年</w:t>
      </w:r>
      <w:r>
        <w:tab/>
      </w:r>
      <w:r>
        <w:t>月</w:t>
      </w:r>
      <w:r>
        <w:tab/>
      </w:r>
      <w:r>
        <w:t>日</w:t>
      </w:r>
    </w:p>
    <w:p>
      <w:pPr>
        <w:tabs>
          <w:tab w:val="left" w:pos="720"/>
        </w:tabs>
        <w:spacing w:line="420" w:lineRule="exact"/>
        <w:rPr>
          <w:rFonts w:ascii="宋体" w:hAnsi="宋体"/>
        </w:rPr>
        <w:sectPr>
          <w:footerReference r:id="rId8" w:type="default"/>
          <w:pgSz w:w="11906" w:h="16838"/>
          <w:pgMar w:top="1247" w:right="1289" w:bottom="851" w:left="1377" w:header="851" w:footer="992" w:gutter="0"/>
          <w:pgNumType w:fmt="decimal"/>
          <w:cols w:space="720" w:num="1"/>
          <w:docGrid w:type="lines" w:linePitch="312" w:charSpace="0"/>
        </w:sectPr>
      </w:pPr>
    </w:p>
    <w:p>
      <w:pPr>
        <w:pStyle w:val="41"/>
        <w:pageBreakBefore/>
        <w:spacing w:line="360" w:lineRule="auto"/>
        <w:jc w:val="center"/>
      </w:pPr>
      <w:bookmarkStart w:id="315" w:name="_Toc10188490"/>
      <w:bookmarkStart w:id="316" w:name="_Toc468811129"/>
      <w:r>
        <w:rPr>
          <w:rFonts w:hint="eastAsia"/>
        </w:rPr>
        <w:t>第五章 投标文件格式</w:t>
      </w:r>
      <w:bookmarkEnd w:id="315"/>
      <w:bookmarkEnd w:id="316"/>
    </w:p>
    <w:p>
      <w:pPr>
        <w:spacing w:line="360" w:lineRule="auto"/>
        <w:ind w:firstLine="480" w:firstLineChars="200"/>
        <w:rPr>
          <w:rFonts w:ascii="宋体" w:hAnsi="宋体" w:cs="宋体"/>
          <w:sz w:val="24"/>
        </w:rPr>
      </w:pPr>
      <w:r>
        <w:rPr>
          <w:rFonts w:hint="eastAsia" w:ascii="宋体" w:hAnsi="宋体" w:cs="宋体"/>
          <w:sz w:val="24"/>
        </w:rPr>
        <w:t>（响应文件格式是磋商文件的通用格式。供应商应根据采购项目性质的不同，提交与本项目相关的格式文件或按符合本行业惯例的格式提交格式文件。与本项目无关的格式文件可以忽略。）</w:t>
      </w:r>
    </w:p>
    <w:p>
      <w:pPr>
        <w:spacing w:line="360" w:lineRule="auto"/>
        <w:ind w:firstLine="480" w:firstLineChars="200"/>
        <w:rPr>
          <w:rFonts w:ascii="宋体" w:hAnsi="宋体" w:cs="宋体"/>
          <w:sz w:val="24"/>
        </w:rPr>
      </w:pP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sectPr>
          <w:pgSz w:w="11907" w:h="16840"/>
          <w:pgMar w:top="1418" w:right="1134" w:bottom="1361" w:left="1134" w:header="794" w:footer="794" w:gutter="0"/>
          <w:pgNumType w:fmt="decimal"/>
          <w:cols w:space="720" w:num="1"/>
          <w:docGrid w:linePitch="285" w:charSpace="0"/>
        </w:sectPr>
      </w:pPr>
      <w:bookmarkStart w:id="317" w:name="_Toc760"/>
      <w:bookmarkStart w:id="318" w:name="_Toc8283300"/>
    </w:p>
    <w:p>
      <w:pPr>
        <w:pStyle w:val="2"/>
        <w:pageBreakBefore/>
        <w:numPr>
          <w:ilvl w:val="0"/>
          <w:numId w:val="0"/>
        </w:numPr>
        <w:spacing w:afterLines="100"/>
        <w:rPr>
          <w:rFonts w:ascii="宋体" w:hAnsi="宋体" w:cs="Calibri"/>
          <w:bCs w:val="0"/>
          <w:sz w:val="32"/>
          <w:szCs w:val="36"/>
        </w:rPr>
      </w:pPr>
      <w:bookmarkStart w:id="319" w:name="_Toc10188491"/>
      <w:r>
        <w:rPr>
          <w:rFonts w:ascii="宋体" w:hAnsi="宋体" w:cs="Calibri"/>
          <w:bCs w:val="0"/>
          <w:sz w:val="32"/>
          <w:szCs w:val="36"/>
        </w:rPr>
        <w:t>一、 报价文件格式</w:t>
      </w:r>
      <w:bookmarkEnd w:id="317"/>
      <w:bookmarkEnd w:id="318"/>
      <w:bookmarkEnd w:id="319"/>
    </w:p>
    <w:p>
      <w:pPr>
        <w:snapToGrid w:val="0"/>
        <w:spacing w:before="19" w:line="360" w:lineRule="auto"/>
        <w:jc w:val="center"/>
        <w:rPr>
          <w:rStyle w:val="82"/>
          <w:rFonts w:cs="Arial" w:asciiTheme="majorEastAsia" w:hAnsiTheme="majorEastAsia" w:eastAsiaTheme="majorEastAsia"/>
        </w:rPr>
      </w:pPr>
      <w:r>
        <w:rPr>
          <w:rStyle w:val="82"/>
          <w:rFonts w:hint="eastAsia" w:cs="Arial" w:asciiTheme="majorEastAsia" w:hAnsiTheme="majorEastAsia" w:eastAsiaTheme="majorEastAsia"/>
        </w:rPr>
        <w:t>（一）投标函</w:t>
      </w:r>
    </w:p>
    <w:p>
      <w:pPr>
        <w:snapToGrid w:val="0"/>
        <w:spacing w:before="19" w:line="360" w:lineRule="auto"/>
        <w:rPr>
          <w:rFonts w:ascii="宋体" w:hAnsi="宋体" w:cs="宋体"/>
          <w:sz w:val="24"/>
          <w:szCs w:val="24"/>
        </w:rPr>
      </w:pPr>
    </w:p>
    <w:p>
      <w:pPr>
        <w:snapToGrid w:val="0"/>
        <w:spacing w:before="19" w:line="360" w:lineRule="auto"/>
        <w:rPr>
          <w:rFonts w:ascii="宋体" w:cs="Times New Roman"/>
          <w:sz w:val="24"/>
          <w:szCs w:val="24"/>
        </w:rPr>
      </w:pPr>
      <w:r>
        <w:rPr>
          <w:rFonts w:hint="eastAsia" w:ascii="宋体" w:hAnsi="宋体" w:cs="宋体"/>
          <w:sz w:val="24"/>
          <w:szCs w:val="24"/>
        </w:rPr>
        <w:t>致：海南恒晨工程项目管理有限公司</w:t>
      </w:r>
    </w:p>
    <w:p>
      <w:pPr>
        <w:spacing w:line="360" w:lineRule="auto"/>
        <w:ind w:firstLine="480" w:firstLineChars="200"/>
        <w:rPr>
          <w:rFonts w:ascii="宋体" w:cs="Times New Roman"/>
          <w:sz w:val="24"/>
          <w:szCs w:val="24"/>
        </w:rPr>
      </w:pPr>
      <w:r>
        <w:rPr>
          <w:rFonts w:hint="eastAsia" w:ascii="宋体" w:hAnsi="宋体" w:cs="宋体"/>
          <w:sz w:val="24"/>
          <w:szCs w:val="24"/>
        </w:rPr>
        <w:t>根据贵单位项目的招标文件要求，正式授权下述签字人（姓名和职务）代表投标人（投标单位名称），提交投标文件。</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根据此函，我们宣布同意如下：</w:t>
      </w:r>
    </w:p>
    <w:p>
      <w:pPr>
        <w:snapToGrid w:val="0"/>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、我方接受招标文件的所有的条款和规定。</w:t>
      </w:r>
    </w:p>
    <w:p>
      <w:pPr>
        <w:snapToGrid w:val="0"/>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、我方同意按照招标文件第二章“投标人须知”的规定，本投标文件的有效期为从投标截止日期起计算的</w:t>
      </w:r>
      <w:r>
        <w:rPr>
          <w:rFonts w:ascii="宋体" w:hAnsi="宋体" w:cs="宋体"/>
          <w:sz w:val="24"/>
          <w:szCs w:val="24"/>
          <w:u w:val="single"/>
        </w:rPr>
        <w:t xml:space="preserve">  60 </w:t>
      </w:r>
      <w:r>
        <w:rPr>
          <w:rFonts w:hint="eastAsia" w:ascii="宋体" w:hAnsi="宋体" w:cs="宋体"/>
          <w:sz w:val="24"/>
          <w:szCs w:val="24"/>
          <w:u w:val="single"/>
        </w:rPr>
        <w:t>天</w:t>
      </w:r>
      <w:r>
        <w:rPr>
          <w:rFonts w:hint="eastAsia" w:ascii="宋体" w:hAnsi="宋体" w:cs="宋体"/>
          <w:sz w:val="24"/>
          <w:szCs w:val="24"/>
        </w:rPr>
        <w:t>，在此期间，本投标文件将始终对我方具有约束力，并可随时被接受。</w:t>
      </w:r>
    </w:p>
    <w:p>
      <w:pPr>
        <w:snapToGrid w:val="0"/>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、我们同意提供贵单位要求的有关本次投标的所有资料或证据，并保证资料、证据的真实有效性。</w:t>
      </w:r>
    </w:p>
    <w:p>
      <w:pPr>
        <w:snapToGrid w:val="0"/>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、我方完全理解贵方不一定要接受最低投标价的投标，即</w:t>
      </w:r>
      <w:r>
        <w:rPr>
          <w:rFonts w:hint="eastAsia" w:ascii="宋体" w:hAnsi="宋体" w:cs="宋体"/>
          <w:sz w:val="24"/>
          <w:szCs w:val="24"/>
          <w:u w:val="single"/>
        </w:rPr>
        <w:t>最低投标价不是中标的保证</w:t>
      </w:r>
      <w:r>
        <w:rPr>
          <w:rFonts w:hint="eastAsia" w:ascii="宋体" w:hAnsi="宋体" w:cs="宋体"/>
          <w:sz w:val="24"/>
          <w:szCs w:val="24"/>
        </w:rPr>
        <w:t>。</w:t>
      </w:r>
    </w:p>
    <w:p>
      <w:pPr>
        <w:snapToGrid w:val="0"/>
        <w:spacing w:line="360"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、如果我方中标，我们将根据招标文件的规定严格履行自己的责任和义务。</w:t>
      </w:r>
    </w:p>
    <w:p>
      <w:pPr>
        <w:snapToGrid w:val="0"/>
        <w:spacing w:line="360" w:lineRule="auto"/>
        <w:ind w:firstLine="480" w:firstLineChars="200"/>
        <w:rPr>
          <w:rFonts w:ascii="宋体" w:cs="Times New Roman"/>
          <w:sz w:val="24"/>
          <w:szCs w:val="24"/>
        </w:rPr>
      </w:pPr>
      <w:r>
        <w:rPr>
          <w:rFonts w:ascii="宋体" w:hAnsi="宋体" w:cs="宋体"/>
          <w:sz w:val="24"/>
          <w:szCs w:val="24"/>
        </w:rPr>
        <w:t>6</w:t>
      </w:r>
      <w:r>
        <w:rPr>
          <w:rFonts w:hint="eastAsia" w:ascii="宋体" w:hAnsi="宋体" w:cs="宋体"/>
          <w:sz w:val="24"/>
          <w:szCs w:val="24"/>
        </w:rPr>
        <w:t>、如果我方中标，我方将支付本次招标的服务费。</w:t>
      </w:r>
    </w:p>
    <w:p>
      <w:pPr>
        <w:snapToGrid w:val="0"/>
        <w:spacing w:line="360" w:lineRule="auto"/>
        <w:ind w:firstLine="570"/>
        <w:rPr>
          <w:rFonts w:ascii="宋体" w:cs="Times New Roman"/>
          <w:sz w:val="24"/>
          <w:szCs w:val="24"/>
        </w:rPr>
      </w:pPr>
    </w:p>
    <w:p>
      <w:pPr>
        <w:snapToGrid w:val="0"/>
        <w:spacing w:line="360" w:lineRule="auto"/>
        <w:ind w:firstLine="4680" w:firstLineChars="1950"/>
        <w:rPr>
          <w:rFonts w:ascii="宋体" w:cs="Times New Roman"/>
          <w:sz w:val="24"/>
          <w:szCs w:val="24"/>
        </w:rPr>
      </w:pPr>
      <w:r>
        <w:rPr>
          <w:rFonts w:ascii="宋体" w:hAnsi="宋体" w:cs="宋体"/>
          <w:kern w:val="0"/>
          <w:sz w:val="24"/>
          <w:szCs w:val="24"/>
        </w:rPr>
        <w:t>投标人（填写名称并盖章）</w:t>
      </w:r>
      <w:r>
        <w:rPr>
          <w:rFonts w:hint="eastAsia" w:ascii="宋体" w:hAnsi="宋体" w:cs="宋体"/>
          <w:kern w:val="0"/>
          <w:sz w:val="24"/>
          <w:szCs w:val="24"/>
        </w:rPr>
        <w:t>：</w:t>
      </w:r>
    </w:p>
    <w:p>
      <w:pPr>
        <w:snapToGrid w:val="0"/>
        <w:spacing w:line="360" w:lineRule="auto"/>
        <w:ind w:firstLine="4680" w:firstLineChars="1950"/>
        <w:rPr>
          <w:rFonts w:ascii="宋体" w:cs="Times New Roman"/>
          <w:sz w:val="24"/>
          <w:szCs w:val="24"/>
          <w:u w:val="single"/>
        </w:rPr>
      </w:pPr>
      <w:r>
        <w:rPr>
          <w:rFonts w:hint="eastAsia" w:ascii="宋体" w:hAnsi="宋体" w:cs="宋体"/>
          <w:sz w:val="24"/>
          <w:szCs w:val="24"/>
        </w:rPr>
        <w:t>地址：邮编：</w:t>
      </w:r>
    </w:p>
    <w:p>
      <w:pPr>
        <w:snapToGrid w:val="0"/>
        <w:spacing w:line="360" w:lineRule="auto"/>
        <w:ind w:firstLine="4680" w:firstLineChars="1950"/>
        <w:rPr>
          <w:rFonts w:ascii="宋体" w:hAnsi="宋体" w:cs="宋体"/>
          <w:sz w:val="24"/>
          <w:szCs w:val="24"/>
        </w:rPr>
      </w:pPr>
      <w:r>
        <w:rPr>
          <w:rFonts w:hint="eastAsia" w:ascii="宋体" w:hAnsi="宋体" w:cs="宋体"/>
          <w:sz w:val="24"/>
          <w:szCs w:val="24"/>
        </w:rPr>
        <w:t>电话：</w:t>
      </w:r>
    </w:p>
    <w:p>
      <w:pPr>
        <w:snapToGrid w:val="0"/>
        <w:spacing w:line="360" w:lineRule="auto"/>
        <w:ind w:firstLine="4680" w:firstLineChars="1950"/>
        <w:rPr>
          <w:rFonts w:ascii="宋体" w:cs="Times New Roman"/>
          <w:sz w:val="24"/>
          <w:szCs w:val="24"/>
          <w:u w:val="single"/>
        </w:rPr>
      </w:pPr>
      <w:r>
        <w:rPr>
          <w:rFonts w:hint="eastAsia" w:ascii="宋体" w:hAnsi="宋体" w:cs="宋体"/>
          <w:sz w:val="24"/>
          <w:szCs w:val="24"/>
        </w:rPr>
        <w:t>传真：</w:t>
      </w:r>
    </w:p>
    <w:p>
      <w:pPr>
        <w:snapToGrid w:val="0"/>
        <w:spacing w:line="360" w:lineRule="auto"/>
        <w:ind w:firstLine="4680" w:firstLineChars="1950"/>
        <w:rPr>
          <w:rFonts w:ascii="宋体" w:hAnsi="宋体" w:cs="宋体"/>
          <w:kern w:val="0"/>
          <w:sz w:val="24"/>
          <w:szCs w:val="24"/>
        </w:rPr>
      </w:pPr>
      <w:r>
        <w:rPr>
          <w:rFonts w:ascii="宋体" w:hAnsi="宋体" w:cs="宋体"/>
          <w:kern w:val="0"/>
          <w:sz w:val="24"/>
          <w:szCs w:val="24"/>
        </w:rPr>
        <w:t>法定代表人或授权代表（签字或盖章） ：</w:t>
      </w:r>
    </w:p>
    <w:p>
      <w:pPr>
        <w:snapToGrid w:val="0"/>
        <w:spacing w:line="360" w:lineRule="auto"/>
        <w:ind w:firstLine="4680" w:firstLineChars="1950"/>
        <w:rPr>
          <w:rFonts w:ascii="宋体" w:cs="Times New Roman"/>
          <w:sz w:val="24"/>
          <w:szCs w:val="24"/>
          <w:u w:val="single"/>
        </w:rPr>
      </w:pPr>
      <w:r>
        <w:rPr>
          <w:rFonts w:hint="eastAsia" w:ascii="宋体" w:hAnsi="宋体" w:cs="宋体"/>
          <w:sz w:val="24"/>
          <w:szCs w:val="24"/>
        </w:rPr>
        <w:t>职务：</w:t>
      </w:r>
    </w:p>
    <w:p>
      <w:pPr>
        <w:snapToGrid w:val="0"/>
        <w:spacing w:line="360" w:lineRule="auto"/>
        <w:ind w:firstLine="4680" w:firstLineChars="1950"/>
        <w:rPr>
          <w:rFonts w:ascii="宋体" w:cs="Times New Roman"/>
          <w:sz w:val="24"/>
          <w:szCs w:val="24"/>
          <w:u w:val="single"/>
        </w:rPr>
      </w:pPr>
      <w:r>
        <w:rPr>
          <w:rFonts w:hint="eastAsia" w:ascii="宋体" w:hAnsi="宋体" w:cs="宋体"/>
          <w:sz w:val="24"/>
          <w:szCs w:val="24"/>
        </w:rPr>
        <w:t>日期：</w:t>
      </w:r>
    </w:p>
    <w:p>
      <w:pPr>
        <w:rPr>
          <w:rFonts w:hAnsi="宋体" w:cs="宋体"/>
          <w:sz w:val="36"/>
          <w:szCs w:val="36"/>
        </w:rPr>
      </w:pPr>
      <w:r>
        <w:br w:type="page"/>
      </w:r>
    </w:p>
    <w:p>
      <w:pPr>
        <w:pStyle w:val="2"/>
        <w:pageBreakBefore/>
        <w:numPr>
          <w:ilvl w:val="0"/>
          <w:numId w:val="0"/>
        </w:numPr>
        <w:spacing w:afterLines="100"/>
        <w:jc w:val="center"/>
        <w:rPr>
          <w:rStyle w:val="82"/>
          <w:rFonts w:asciiTheme="majorEastAsia" w:hAnsiTheme="majorEastAsia" w:eastAsiaTheme="majorEastAsia"/>
          <w:b/>
          <w:bCs/>
        </w:rPr>
      </w:pPr>
      <w:bookmarkStart w:id="320" w:name="_Toc10188492"/>
      <w:bookmarkStart w:id="321" w:name="_Toc8283301"/>
      <w:bookmarkStart w:id="322" w:name="_Toc30549"/>
      <w:r>
        <w:rPr>
          <w:rStyle w:val="82"/>
          <w:rFonts w:hint="eastAsia" w:asciiTheme="majorEastAsia" w:hAnsiTheme="majorEastAsia" w:eastAsiaTheme="majorEastAsia"/>
          <w:b/>
          <w:bCs/>
        </w:rPr>
        <w:t>（二）开标一览表</w:t>
      </w:r>
      <w:bookmarkEnd w:id="320"/>
      <w:bookmarkEnd w:id="321"/>
      <w:bookmarkEnd w:id="322"/>
    </w:p>
    <w:p>
      <w:pPr>
        <w:pStyle w:val="12"/>
        <w:spacing w:line="440" w:lineRule="exact"/>
        <w:ind w:firstLine="240" w:firstLineChars="100"/>
        <w:rPr>
          <w:rFonts w:hAnsi="宋体"/>
          <w:kern w:val="0"/>
          <w:sz w:val="24"/>
          <w:szCs w:val="24"/>
          <w:u w:val="single"/>
        </w:rPr>
      </w:pPr>
      <w:r>
        <w:rPr>
          <w:rFonts w:hint="eastAsia" w:hAnsi="宋体"/>
          <w:sz w:val="24"/>
          <w:szCs w:val="24"/>
        </w:rPr>
        <w:t>项目名称：</w:t>
      </w:r>
      <w:r>
        <w:rPr>
          <w:rFonts w:hint="eastAsia" w:hAnsi="宋体"/>
          <w:sz w:val="24"/>
          <w:szCs w:val="24"/>
          <w:u w:val="single"/>
        </w:rPr>
        <w:t xml:space="preserve">                                </w:t>
      </w:r>
    </w:p>
    <w:p>
      <w:pPr>
        <w:pStyle w:val="12"/>
        <w:spacing w:line="440" w:lineRule="exact"/>
        <w:ind w:firstLine="240" w:firstLineChars="100"/>
        <w:rPr>
          <w:rFonts w:hAnsi="宋体"/>
          <w:sz w:val="24"/>
          <w:szCs w:val="24"/>
        </w:rPr>
      </w:pPr>
      <w:r>
        <w:rPr>
          <w:rFonts w:hint="eastAsia" w:hAnsi="宋体"/>
          <w:sz w:val="24"/>
          <w:szCs w:val="24"/>
        </w:rPr>
        <w:t>项目编号：</w:t>
      </w:r>
      <w:r>
        <w:rPr>
          <w:rFonts w:hint="eastAsia" w:hAnsi="宋体"/>
          <w:sz w:val="24"/>
          <w:szCs w:val="24"/>
          <w:u w:val="single"/>
        </w:rPr>
        <w:t xml:space="preserve">                                </w:t>
      </w:r>
    </w:p>
    <w:p>
      <w:pPr>
        <w:jc w:val="right"/>
        <w:rPr>
          <w:rFonts w:ascii="宋体" w:cs="Times New Roman"/>
          <w:sz w:val="24"/>
          <w:szCs w:val="24"/>
        </w:rPr>
      </w:pPr>
    </w:p>
    <w:tbl>
      <w:tblPr>
        <w:tblStyle w:val="44"/>
        <w:tblW w:w="7615" w:type="dxa"/>
        <w:jc w:val="center"/>
        <w:tblInd w:w="0" w:type="dxa"/>
        <w:tblLayout w:type="fixed"/>
        <w:tblCellMar>
          <w:top w:w="0" w:type="dxa"/>
          <w:left w:w="30" w:type="dxa"/>
          <w:bottom w:w="0" w:type="dxa"/>
          <w:right w:w="30" w:type="dxa"/>
        </w:tblCellMar>
      </w:tblPr>
      <w:tblGrid>
        <w:gridCol w:w="737"/>
        <w:gridCol w:w="2713"/>
        <w:gridCol w:w="2484"/>
        <w:gridCol w:w="1681"/>
      </w:tblGrid>
      <w:tr>
        <w:tblPrEx>
          <w:tblLayout w:type="fixed"/>
          <w:tblCellMar>
            <w:top w:w="0" w:type="dxa"/>
            <w:left w:w="30" w:type="dxa"/>
            <w:bottom w:w="0" w:type="dxa"/>
            <w:right w:w="30" w:type="dxa"/>
          </w:tblCellMar>
        </w:tblPrEx>
        <w:trPr>
          <w:trHeight w:val="413" w:hRule="exact"/>
          <w:jc w:val="center"/>
        </w:trPr>
        <w:tc>
          <w:tcPr>
            <w:tcW w:w="73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序号</w:t>
            </w:r>
          </w:p>
        </w:tc>
        <w:tc>
          <w:tcPr>
            <w:tcW w:w="2713"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Times New Roman"/>
                <w:b/>
                <w:bCs/>
                <w:sz w:val="22"/>
                <w:szCs w:val="22"/>
              </w:rPr>
            </w:pPr>
            <w:r>
              <w:rPr>
                <w:rFonts w:ascii="宋体" w:hAnsi="宋体" w:cs="宋体"/>
                <w:b/>
                <w:kern w:val="0"/>
                <w:sz w:val="24"/>
              </w:rPr>
              <w:t>项目名称</w:t>
            </w:r>
          </w:p>
        </w:tc>
        <w:tc>
          <w:tcPr>
            <w:tcW w:w="2484"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投标报价（</w:t>
            </w:r>
            <w:r>
              <w:rPr>
                <w:rFonts w:hint="eastAsia" w:ascii="宋体" w:hAnsi="宋体" w:cs="宋体"/>
                <w:b/>
                <w:kern w:val="0"/>
                <w:sz w:val="24"/>
                <w:szCs w:val="24"/>
              </w:rPr>
              <w:t>元/年</w:t>
            </w:r>
            <w:r>
              <w:rPr>
                <w:rFonts w:hint="eastAsia" w:ascii="宋体" w:cs="Times New Roman"/>
                <w:b/>
                <w:bCs/>
                <w:sz w:val="22"/>
                <w:szCs w:val="22"/>
              </w:rPr>
              <w:t>）</w:t>
            </w:r>
          </w:p>
        </w:tc>
        <w:tc>
          <w:tcPr>
            <w:tcW w:w="1681"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备注</w:t>
            </w:r>
          </w:p>
        </w:tc>
      </w:tr>
      <w:tr>
        <w:tblPrEx>
          <w:tblLayout w:type="fixed"/>
          <w:tblCellMar>
            <w:top w:w="0" w:type="dxa"/>
            <w:left w:w="30" w:type="dxa"/>
            <w:bottom w:w="0" w:type="dxa"/>
            <w:right w:w="30" w:type="dxa"/>
          </w:tblCellMar>
        </w:tblPrEx>
        <w:trPr>
          <w:trHeight w:val="667" w:hRule="exact"/>
          <w:jc w:val="center"/>
        </w:trPr>
        <w:tc>
          <w:tcPr>
            <w:tcW w:w="73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r>
              <w:rPr>
                <w:rFonts w:hint="eastAsia" w:ascii="宋体" w:cs="Times New Roman"/>
                <w:b/>
                <w:bCs/>
                <w:sz w:val="22"/>
                <w:szCs w:val="22"/>
              </w:rPr>
              <w:t>1</w:t>
            </w:r>
          </w:p>
        </w:tc>
        <w:tc>
          <w:tcPr>
            <w:tcW w:w="27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p>
        </w:tc>
        <w:tc>
          <w:tcPr>
            <w:tcW w:w="24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Times New Roman"/>
                <w:bCs/>
                <w:sz w:val="22"/>
                <w:szCs w:val="22"/>
              </w:rPr>
            </w:pPr>
            <w:r>
              <w:rPr>
                <w:rFonts w:hint="eastAsia" w:ascii="宋体" w:cs="Times New Roman"/>
                <w:bCs/>
                <w:sz w:val="22"/>
                <w:szCs w:val="22"/>
              </w:rPr>
              <w:t>小写：</w:t>
            </w:r>
          </w:p>
        </w:tc>
        <w:tc>
          <w:tcPr>
            <w:tcW w:w="168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r>
              <w:rPr>
                <w:rFonts w:ascii="宋体" w:hAnsi="宋体" w:cs="宋体"/>
                <w:kern w:val="0"/>
                <w:sz w:val="24"/>
              </w:rPr>
              <w:t>请注明是</w:t>
            </w:r>
            <w:r>
              <w:rPr>
                <w:rFonts w:hint="eastAsia" w:ascii="宋体" w:hAnsi="宋体" w:cs="宋体"/>
                <w:kern w:val="0"/>
                <w:sz w:val="24"/>
              </w:rPr>
              <w:t>否享受价格优惠，附件证明</w:t>
            </w:r>
          </w:p>
        </w:tc>
      </w:tr>
      <w:tr>
        <w:tblPrEx>
          <w:tblLayout w:type="fixed"/>
          <w:tblCellMar>
            <w:top w:w="0" w:type="dxa"/>
            <w:left w:w="30" w:type="dxa"/>
            <w:bottom w:w="0" w:type="dxa"/>
            <w:right w:w="30" w:type="dxa"/>
          </w:tblCellMar>
        </w:tblPrEx>
        <w:trPr>
          <w:trHeight w:val="720" w:hRule="exac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p>
        </w:tc>
        <w:tc>
          <w:tcPr>
            <w:tcW w:w="27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p>
        </w:tc>
        <w:tc>
          <w:tcPr>
            <w:tcW w:w="24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Times New Roman"/>
                <w:bCs/>
                <w:sz w:val="22"/>
                <w:szCs w:val="22"/>
              </w:rPr>
            </w:pPr>
            <w:r>
              <w:rPr>
                <w:rFonts w:hint="eastAsia" w:ascii="宋体" w:cs="Times New Roman"/>
                <w:bCs/>
                <w:sz w:val="22"/>
                <w:szCs w:val="22"/>
              </w:rPr>
              <w:t>大写：</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b/>
                <w:bCs/>
                <w:sz w:val="22"/>
                <w:szCs w:val="22"/>
              </w:rPr>
            </w:pPr>
          </w:p>
        </w:tc>
      </w:tr>
      <w:tr>
        <w:tblPrEx>
          <w:tblLayout w:type="fixed"/>
          <w:tblCellMar>
            <w:top w:w="0" w:type="dxa"/>
            <w:left w:w="30" w:type="dxa"/>
            <w:bottom w:w="0" w:type="dxa"/>
            <w:right w:w="30" w:type="dxa"/>
          </w:tblCellMar>
        </w:tblPrEx>
        <w:trPr>
          <w:trHeight w:val="1219" w:hRule="atLeast"/>
          <w:jc w:val="center"/>
        </w:trPr>
        <w:tc>
          <w:tcPr>
            <w:tcW w:w="761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cs="Times New Roman"/>
                <w:b/>
                <w:bCs/>
                <w:sz w:val="22"/>
                <w:szCs w:val="22"/>
              </w:rPr>
            </w:pPr>
            <w:r>
              <w:rPr>
                <w:rFonts w:ascii="宋体" w:hAnsi="宋体" w:cs="宋体"/>
                <w:kern w:val="0"/>
                <w:sz w:val="24"/>
              </w:rPr>
              <w:t>服务期限： 年</w:t>
            </w:r>
            <w:r>
              <w:rPr>
                <w:rFonts w:hint="eastAsia" w:ascii="宋体" w:hAnsi="宋体" w:cs="宋体"/>
                <w:kern w:val="0"/>
                <w:sz w:val="24"/>
                <w:szCs w:val="24"/>
              </w:rPr>
              <w:br w:type="textWrapping"/>
            </w:r>
            <w:r>
              <w:rPr>
                <w:rFonts w:ascii="宋体" w:hAnsi="宋体" w:cs="宋体"/>
                <w:kern w:val="0"/>
                <w:sz w:val="24"/>
              </w:rPr>
              <w:t>投标报价为完成本项目所有服务内容在内的一切费用的总报价。</w:t>
            </w:r>
          </w:p>
        </w:tc>
      </w:tr>
    </w:tbl>
    <w:p>
      <w:pPr>
        <w:spacing w:before="19" w:line="360" w:lineRule="auto"/>
        <w:rPr>
          <w:rFonts w:ascii="宋体" w:cs="Times New Roman"/>
          <w:sz w:val="28"/>
          <w:szCs w:val="28"/>
        </w:rPr>
      </w:pPr>
      <w:r>
        <w:rPr>
          <w:rFonts w:ascii="宋体" w:hAnsi="宋体"/>
          <w:sz w:val="24"/>
        </w:rPr>
        <w:t>备注： 该表须一式两份， 一份编制于投标文件报价部分， 一份单独密封提交用于开标</w:t>
      </w:r>
      <w:r>
        <w:rPr>
          <w:rFonts w:hint="eastAsia"/>
        </w:rPr>
        <w:br w:type="textWrapping"/>
      </w:r>
      <w:r>
        <w:rPr>
          <w:rFonts w:ascii="宋体" w:hAnsi="宋体"/>
          <w:sz w:val="24"/>
        </w:rPr>
        <w:t>时唱标。 此表内容不可更改， 必须如实完整填写。</w:t>
      </w:r>
    </w:p>
    <w:p>
      <w:pPr>
        <w:spacing w:before="19" w:line="360" w:lineRule="auto"/>
        <w:rPr>
          <w:rFonts w:ascii="宋体" w:hAnsi="宋体" w:cs="宋体"/>
          <w:sz w:val="24"/>
          <w:szCs w:val="24"/>
        </w:rPr>
      </w:pPr>
    </w:p>
    <w:p>
      <w:pPr>
        <w:spacing w:before="19" w:line="360" w:lineRule="auto"/>
        <w:ind w:right="480"/>
        <w:jc w:val="center"/>
        <w:rPr>
          <w:rFonts w:ascii="宋体" w:hAnsi="宋体" w:cs="宋体"/>
          <w:sz w:val="24"/>
          <w:szCs w:val="24"/>
        </w:rPr>
      </w:pPr>
      <w:r>
        <w:rPr>
          <w:rFonts w:hint="eastAsia" w:ascii="宋体" w:hAnsi="宋体" w:cs="宋体"/>
          <w:kern w:val="0"/>
          <w:sz w:val="24"/>
          <w:szCs w:val="24"/>
        </w:rPr>
        <w:t xml:space="preserve">                     </w:t>
      </w:r>
      <w:r>
        <w:rPr>
          <w:rFonts w:ascii="宋体" w:hAnsi="宋体" w:cs="宋体"/>
          <w:kern w:val="0"/>
          <w:sz w:val="24"/>
          <w:szCs w:val="24"/>
        </w:rPr>
        <w:t>投标人（填写名称并盖章） ：</w:t>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法定代表人或授权代表（签字或盖章） ：</w:t>
      </w:r>
      <w:r>
        <w:rPr>
          <w:rFonts w:ascii="宋体" w:hAnsi="宋体" w:cs="宋体"/>
          <w:sz w:val="24"/>
          <w:szCs w:val="24"/>
        </w:rPr>
        <w:t xml:space="preserve"> </w:t>
      </w:r>
    </w:p>
    <w:p>
      <w:pPr>
        <w:spacing w:before="19" w:line="360" w:lineRule="auto"/>
        <w:ind w:firstLine="4200" w:firstLineChars="1750"/>
        <w:rPr>
          <w:rFonts w:ascii="宋体" w:hAnsi="宋体" w:cs="宋体"/>
          <w:sz w:val="24"/>
          <w:szCs w:val="24"/>
        </w:rPr>
      </w:pPr>
      <w:r>
        <w:rPr>
          <w:rFonts w:hint="eastAsia" w:ascii="宋体" w:hAnsi="宋体" w:cs="宋体"/>
          <w:sz w:val="24"/>
          <w:szCs w:val="24"/>
        </w:rPr>
        <w:t>日期：</w:t>
      </w:r>
    </w:p>
    <w:p>
      <w:pPr>
        <w:pStyle w:val="2"/>
        <w:pageBreakBefore/>
        <w:numPr>
          <w:ilvl w:val="0"/>
          <w:numId w:val="0"/>
        </w:numPr>
        <w:spacing w:afterLines="100"/>
        <w:jc w:val="center"/>
        <w:rPr>
          <w:rStyle w:val="82"/>
          <w:rFonts w:asciiTheme="majorEastAsia" w:hAnsiTheme="majorEastAsia" w:eastAsiaTheme="majorEastAsia"/>
          <w:b/>
          <w:bCs/>
        </w:rPr>
        <w:sectPr>
          <w:pgSz w:w="11907" w:h="16840"/>
          <w:pgMar w:top="1418" w:right="1134" w:bottom="1361" w:left="1134" w:header="794" w:footer="794" w:gutter="0"/>
          <w:pgNumType w:fmt="decimal"/>
          <w:cols w:space="720" w:num="1"/>
          <w:docGrid w:linePitch="285" w:charSpace="0"/>
        </w:sectPr>
      </w:pPr>
      <w:bookmarkStart w:id="323" w:name="_Toc8283302"/>
      <w:bookmarkStart w:id="324" w:name="_Toc25633"/>
      <w:bookmarkStart w:id="325" w:name="_Toc171325100"/>
    </w:p>
    <w:p>
      <w:pPr>
        <w:pStyle w:val="2"/>
        <w:pageBreakBefore/>
        <w:numPr>
          <w:ilvl w:val="0"/>
          <w:numId w:val="0"/>
        </w:numPr>
        <w:spacing w:afterLines="100"/>
        <w:jc w:val="center"/>
        <w:rPr>
          <w:rStyle w:val="82"/>
          <w:rFonts w:asciiTheme="majorEastAsia" w:hAnsiTheme="majorEastAsia" w:eastAsiaTheme="majorEastAsia"/>
          <w:b/>
          <w:bCs/>
        </w:rPr>
      </w:pPr>
      <w:bookmarkStart w:id="326" w:name="_Toc10188493"/>
      <w:r>
        <w:rPr>
          <w:rStyle w:val="82"/>
          <w:rFonts w:hint="eastAsia" w:asciiTheme="majorEastAsia" w:hAnsiTheme="majorEastAsia" w:eastAsiaTheme="majorEastAsia"/>
          <w:b/>
          <w:bCs/>
        </w:rPr>
        <w:t>（三）</w:t>
      </w:r>
      <w:r>
        <w:rPr>
          <w:rStyle w:val="82"/>
          <w:rFonts w:asciiTheme="majorEastAsia" w:hAnsiTheme="majorEastAsia" w:eastAsiaTheme="majorEastAsia"/>
          <w:b/>
          <w:bCs/>
        </w:rPr>
        <w:t>投标报价明细表</w:t>
      </w:r>
      <w:bookmarkEnd w:id="326"/>
    </w:p>
    <w:p>
      <w:pPr>
        <w:widowControl/>
        <w:spacing w:line="360" w:lineRule="auto"/>
        <w:jc w:val="left"/>
        <w:rPr>
          <w:rFonts w:ascii="宋体" w:hAnsi="宋体" w:cs="宋体"/>
          <w:kern w:val="0"/>
          <w:sz w:val="24"/>
          <w:szCs w:val="24"/>
        </w:rPr>
      </w:pPr>
      <w:r>
        <w:rPr>
          <w:rFonts w:ascii="宋体" w:hAnsi="宋体" w:cs="宋体"/>
          <w:kern w:val="0"/>
          <w:sz w:val="24"/>
          <w:szCs w:val="24"/>
        </w:rPr>
        <w:t>项目名称：</w:t>
      </w:r>
      <w:r>
        <w:rPr>
          <w:rFonts w:hint="eastAsia" w:ascii="宋体" w:hAnsi="宋体" w:cs="宋体"/>
          <w:kern w:val="0"/>
          <w:sz w:val="24"/>
          <w:szCs w:val="24"/>
        </w:rPr>
        <w:br w:type="textWrapping"/>
      </w:r>
      <w:r>
        <w:rPr>
          <w:rFonts w:ascii="宋体" w:hAnsi="宋体" w:cs="宋体"/>
          <w:kern w:val="0"/>
          <w:sz w:val="24"/>
          <w:szCs w:val="24"/>
        </w:rPr>
        <w:t>项目编号：</w:t>
      </w:r>
    </w:p>
    <w:tbl>
      <w:tblPr>
        <w:tblStyle w:val="44"/>
        <w:tblW w:w="98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9"/>
        <w:gridCol w:w="5518"/>
        <w:gridCol w:w="33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序号</w:t>
            </w:r>
          </w:p>
        </w:tc>
        <w:tc>
          <w:tcPr>
            <w:tcW w:w="55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价格组成项目</w:t>
            </w:r>
          </w:p>
        </w:tc>
        <w:tc>
          <w:tcPr>
            <w:tcW w:w="3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单项价格（单位：</w:t>
            </w:r>
            <w:r>
              <w:rPr>
                <w:rFonts w:hint="eastAsia" w:ascii="宋体" w:hAnsi="宋体" w:cs="宋体"/>
                <w:b/>
                <w:kern w:val="0"/>
                <w:sz w:val="24"/>
                <w:szCs w:val="24"/>
              </w:rPr>
              <w:t>元/年</w:t>
            </w:r>
            <w:r>
              <w:rPr>
                <w:rFonts w:ascii="宋体" w:hAnsi="宋体" w:cs="宋体"/>
                <w:b/>
                <w:kern w:val="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5518"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2</w:t>
            </w:r>
          </w:p>
        </w:tc>
        <w:tc>
          <w:tcPr>
            <w:tcW w:w="5518"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3</w:t>
            </w:r>
          </w:p>
        </w:tc>
        <w:tc>
          <w:tcPr>
            <w:tcW w:w="5518"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4</w:t>
            </w:r>
          </w:p>
        </w:tc>
        <w:tc>
          <w:tcPr>
            <w:tcW w:w="5518"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5</w:t>
            </w:r>
          </w:p>
        </w:tc>
        <w:tc>
          <w:tcPr>
            <w:tcW w:w="5518"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6</w:t>
            </w:r>
          </w:p>
        </w:tc>
        <w:tc>
          <w:tcPr>
            <w:tcW w:w="5518"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7</w:t>
            </w:r>
          </w:p>
        </w:tc>
        <w:tc>
          <w:tcPr>
            <w:tcW w:w="5518"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w:t>
            </w:r>
          </w:p>
        </w:tc>
        <w:tc>
          <w:tcPr>
            <w:tcW w:w="5518"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w:t>
            </w:r>
          </w:p>
        </w:tc>
        <w:tc>
          <w:tcPr>
            <w:tcW w:w="5518"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w:t>
            </w:r>
          </w:p>
        </w:tc>
        <w:tc>
          <w:tcPr>
            <w:tcW w:w="5518"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总 价</w:t>
            </w:r>
          </w:p>
        </w:tc>
        <w:tc>
          <w:tcPr>
            <w:tcW w:w="5518" w:type="dxa"/>
            <w:vAlign w:val="center"/>
          </w:tcPr>
          <w:p>
            <w:pPr>
              <w:widowControl/>
              <w:spacing w:line="360" w:lineRule="auto"/>
              <w:jc w:val="left"/>
              <w:rPr>
                <w:rFonts w:ascii="Times New Roman" w:hAnsi="Times New Roman" w:eastAsia="Times New Roman" w:cs="Times New Roman"/>
                <w:kern w:val="0"/>
                <w:sz w:val="24"/>
                <w:szCs w:val="24"/>
              </w:rPr>
            </w:pPr>
          </w:p>
        </w:tc>
        <w:tc>
          <w:tcPr>
            <w:tcW w:w="3378" w:type="dxa"/>
            <w:vAlign w:val="center"/>
          </w:tcPr>
          <w:p>
            <w:pPr>
              <w:widowControl/>
              <w:spacing w:line="360" w:lineRule="auto"/>
              <w:jc w:val="left"/>
              <w:rPr>
                <w:rFonts w:ascii="Times New Roman" w:hAnsi="Times New Roman" w:eastAsia="Times New Roman" w:cs="Times New Roman"/>
                <w:kern w:val="0"/>
                <w:sz w:val="24"/>
                <w:szCs w:val="24"/>
              </w:rPr>
            </w:pPr>
          </w:p>
        </w:tc>
      </w:tr>
    </w:tbl>
    <w:p>
      <w:pPr>
        <w:spacing w:line="360" w:lineRule="auto"/>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备注：</w:t>
      </w:r>
      <w:r>
        <w:rPr>
          <w:rFonts w:hint="eastAsia" w:ascii="宋体" w:hAnsi="宋体" w:cs="宋体"/>
          <w:kern w:val="0"/>
          <w:sz w:val="24"/>
          <w:szCs w:val="24"/>
        </w:rPr>
        <w:br w:type="textWrapping"/>
      </w:r>
      <w:r>
        <w:rPr>
          <w:rFonts w:ascii="宋体" w:hAnsi="宋体" w:cs="宋体"/>
          <w:kern w:val="0"/>
          <w:sz w:val="24"/>
          <w:szCs w:val="24"/>
        </w:rPr>
        <w:t>1、 投标人必须按“投标报价明细表” 的格式详细报出投标总价的各个组成部分的报价， 否则作无效投标处理。</w:t>
      </w:r>
      <w:r>
        <w:rPr>
          <w:rFonts w:hint="eastAsia" w:ascii="宋体" w:hAnsi="宋体" w:cs="宋体"/>
          <w:kern w:val="0"/>
          <w:sz w:val="24"/>
          <w:szCs w:val="24"/>
        </w:rPr>
        <w:br w:type="textWrapping"/>
      </w:r>
      <w:r>
        <w:rPr>
          <w:rFonts w:ascii="宋体" w:hAnsi="宋体" w:cs="宋体"/>
          <w:kern w:val="0"/>
          <w:sz w:val="24"/>
          <w:szCs w:val="24"/>
        </w:rPr>
        <w:t>2、 “投标报价明细表” 各分项报价合计应当与“</w:t>
      </w:r>
      <w:r>
        <w:rPr>
          <w:rFonts w:hint="eastAsia" w:ascii="宋体" w:hAnsi="宋体" w:cs="宋体"/>
          <w:kern w:val="0"/>
          <w:sz w:val="24"/>
          <w:szCs w:val="24"/>
        </w:rPr>
        <w:t>开标一览</w:t>
      </w:r>
      <w:r>
        <w:rPr>
          <w:rFonts w:ascii="宋体" w:hAnsi="宋体" w:cs="宋体"/>
          <w:kern w:val="0"/>
          <w:sz w:val="24"/>
          <w:szCs w:val="24"/>
        </w:rPr>
        <w:t>表” 总价相等。</w:t>
      </w:r>
    </w:p>
    <w:p>
      <w:pPr>
        <w:spacing w:line="360" w:lineRule="auto"/>
        <w:jc w:val="center"/>
        <w:rPr>
          <w:rFonts w:ascii="宋体" w:hAnsi="宋体" w:cs="宋体"/>
          <w:kern w:val="0"/>
          <w:sz w:val="24"/>
          <w:szCs w:val="24"/>
        </w:rPr>
      </w:pP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投标人（填写名称并盖章）：</w:t>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法定代表人或授权代表（签字或盖章）：</w:t>
      </w:r>
    </w:p>
    <w:p>
      <w:pPr>
        <w:spacing w:line="360" w:lineRule="auto"/>
        <w:ind w:firstLine="4200" w:firstLineChars="1750"/>
        <w:rPr>
          <w:sz w:val="24"/>
          <w:szCs w:val="24"/>
        </w:rPr>
        <w:sectPr>
          <w:pgSz w:w="11907" w:h="16840"/>
          <w:pgMar w:top="1418" w:right="1134" w:bottom="1361" w:left="1134" w:header="794" w:footer="794" w:gutter="0"/>
          <w:pgNumType w:fmt="decimal"/>
          <w:cols w:space="720" w:num="1"/>
          <w:docGrid w:linePitch="285" w:charSpace="0"/>
        </w:sectPr>
      </w:pPr>
      <w:r>
        <w:rPr>
          <w:rFonts w:ascii="宋体" w:hAnsi="宋体" w:cs="宋体"/>
          <w:kern w:val="0"/>
          <w:sz w:val="24"/>
          <w:szCs w:val="24"/>
        </w:rPr>
        <w:t>日期：</w:t>
      </w:r>
    </w:p>
    <w:p>
      <w:pPr>
        <w:pStyle w:val="2"/>
        <w:pageBreakBefore/>
        <w:numPr>
          <w:ilvl w:val="0"/>
          <w:numId w:val="0"/>
        </w:numPr>
        <w:spacing w:afterLines="100"/>
        <w:rPr>
          <w:rFonts w:ascii="宋体" w:hAnsi="宋体" w:cs="Calibri"/>
          <w:szCs w:val="36"/>
        </w:rPr>
      </w:pPr>
      <w:bookmarkStart w:id="327" w:name="_Toc10188494"/>
      <w:r>
        <w:rPr>
          <w:rFonts w:hint="eastAsia" w:ascii="宋体" w:hAnsi="宋体" w:cs="Calibri"/>
          <w:bCs w:val="0"/>
          <w:sz w:val="32"/>
          <w:szCs w:val="36"/>
        </w:rPr>
        <w:t>二</w:t>
      </w:r>
      <w:r>
        <w:rPr>
          <w:rFonts w:ascii="宋体" w:hAnsi="宋体" w:cs="Calibri"/>
          <w:bCs w:val="0"/>
          <w:sz w:val="32"/>
          <w:szCs w:val="36"/>
        </w:rPr>
        <w:t>、 商务响应文件</w:t>
      </w:r>
      <w:bookmarkEnd w:id="327"/>
    </w:p>
    <w:p>
      <w:pPr>
        <w:spacing w:line="360" w:lineRule="auto"/>
        <w:jc w:val="center"/>
        <w:rPr>
          <w:rFonts w:ascii="宋体" w:cs="Times New Roman"/>
          <w:sz w:val="24"/>
          <w:szCs w:val="24"/>
        </w:rPr>
      </w:pPr>
      <w:r>
        <w:rPr>
          <w:rStyle w:val="82"/>
          <w:rFonts w:hint="eastAsia" w:asciiTheme="majorEastAsia" w:hAnsiTheme="majorEastAsia" w:eastAsiaTheme="majorEastAsia"/>
        </w:rPr>
        <w:t>（一）法定代表人证明书</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u w:val="single"/>
        </w:rPr>
      </w:pPr>
      <w:r>
        <w:rPr>
          <w:rFonts w:hint="eastAsia" w:ascii="宋体" w:hAnsi="宋体" w:cs="宋体"/>
          <w:sz w:val="24"/>
          <w:szCs w:val="24"/>
        </w:rPr>
        <w:t>投标人名称：</w:t>
      </w:r>
      <w:r>
        <w:rPr>
          <w:rFonts w:hint="eastAsia" w:ascii="宋体" w:hAnsi="宋体" w:cs="宋体"/>
          <w:sz w:val="24"/>
          <w:szCs w:val="24"/>
          <w:u w:val="single"/>
        </w:rPr>
        <w:t xml:space="preserve">                           </w:t>
      </w:r>
    </w:p>
    <w:p>
      <w:pPr>
        <w:spacing w:line="360" w:lineRule="auto"/>
        <w:ind w:firstLine="480" w:firstLineChars="200"/>
        <w:rPr>
          <w:rFonts w:ascii="宋体" w:cs="Times New Roman"/>
          <w:sz w:val="24"/>
          <w:szCs w:val="24"/>
        </w:rPr>
      </w:pPr>
      <w:r>
        <w:rPr>
          <w:rFonts w:hint="eastAsia" w:ascii="宋体" w:hAnsi="宋体" w:cs="宋体"/>
          <w:sz w:val="24"/>
          <w:szCs w:val="24"/>
        </w:rPr>
        <w:t>单位性质：</w:t>
      </w:r>
      <w:r>
        <w:rPr>
          <w:rFonts w:hint="eastAsia" w:ascii="宋体" w:hAnsi="宋体" w:cs="宋体"/>
          <w:sz w:val="24"/>
          <w:szCs w:val="24"/>
          <w:u w:val="single"/>
        </w:rPr>
        <w:t xml:space="preserve">                             </w:t>
      </w:r>
    </w:p>
    <w:p>
      <w:pPr>
        <w:spacing w:line="360" w:lineRule="auto"/>
        <w:ind w:firstLine="480" w:firstLineChars="200"/>
        <w:rPr>
          <w:rFonts w:ascii="宋体" w:cs="Times New Roman"/>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p>
    <w:p>
      <w:pPr>
        <w:spacing w:line="360" w:lineRule="auto"/>
        <w:ind w:firstLine="480" w:firstLineChars="200"/>
        <w:rPr>
          <w:rFonts w:ascii="宋体" w:hAnsi="宋体" w:cs="宋体"/>
          <w:sz w:val="24"/>
          <w:szCs w:val="24"/>
        </w:rPr>
      </w:pPr>
    </w:p>
    <w:p>
      <w:pPr>
        <w:spacing w:line="360" w:lineRule="auto"/>
        <w:ind w:firstLine="480" w:firstLineChars="200"/>
        <w:rPr>
          <w:rFonts w:ascii="宋体" w:cs="Times New Roman"/>
          <w:sz w:val="24"/>
          <w:szCs w:val="24"/>
        </w:rPr>
      </w:pPr>
      <w:r>
        <w:rPr>
          <w:rFonts w:hint="eastAsia" w:ascii="宋体" w:hAnsi="宋体" w:cs="宋体"/>
          <w:sz w:val="24"/>
          <w:szCs w:val="24"/>
        </w:rPr>
        <w:t>成立时间：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ind w:firstLine="480" w:firstLineChars="200"/>
        <w:rPr>
          <w:rFonts w:ascii="宋体" w:cs="Times New Roman"/>
          <w:sz w:val="24"/>
          <w:szCs w:val="24"/>
        </w:rPr>
      </w:pPr>
      <w:r>
        <w:rPr>
          <w:rFonts w:hint="eastAsia" w:ascii="宋体" w:hAnsi="宋体" w:cs="宋体"/>
          <w:sz w:val="24"/>
          <w:szCs w:val="24"/>
        </w:rPr>
        <w:t>经营期限：</w:t>
      </w:r>
      <w:r>
        <w:rPr>
          <w:rFonts w:hint="eastAsia" w:ascii="宋体" w:hAnsi="宋体" w:cs="宋体"/>
          <w:sz w:val="24"/>
          <w:szCs w:val="24"/>
          <w:u w:val="single"/>
        </w:rPr>
        <w:t xml:space="preserve">                            </w:t>
      </w:r>
    </w:p>
    <w:p>
      <w:pPr>
        <w:spacing w:line="360" w:lineRule="auto"/>
        <w:ind w:firstLine="480" w:firstLineChars="200"/>
        <w:rPr>
          <w:rFonts w:ascii="宋体" w:cs="Times New Roman"/>
          <w:sz w:val="24"/>
          <w:szCs w:val="24"/>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pacing w:line="360" w:lineRule="auto"/>
        <w:ind w:firstLine="480" w:firstLineChars="200"/>
        <w:rPr>
          <w:rFonts w:ascii="宋体" w:cs="Times New Roman"/>
          <w:sz w:val="24"/>
          <w:szCs w:val="24"/>
        </w:rPr>
      </w:pPr>
      <w:r>
        <w:rPr>
          <w:rFonts w:hint="eastAsia" w:ascii="宋体" w:hAnsi="宋体" w:cs="宋体"/>
          <w:sz w:val="24"/>
          <w:szCs w:val="24"/>
        </w:rPr>
        <w:t>系</w:t>
      </w:r>
      <w:r>
        <w:rPr>
          <w:rFonts w:hint="eastAsia" w:ascii="宋体" w:hAnsi="宋体" w:cs="宋体"/>
          <w:sz w:val="24"/>
          <w:szCs w:val="24"/>
          <w:u w:val="single"/>
        </w:rPr>
        <w:t xml:space="preserve">     （投标人名称）     </w:t>
      </w:r>
      <w:r>
        <w:rPr>
          <w:rFonts w:hint="eastAsia" w:ascii="宋体" w:hAnsi="宋体" w:cs="宋体"/>
          <w:sz w:val="24"/>
          <w:szCs w:val="24"/>
        </w:rPr>
        <w:t>的法定代表人。</w:t>
      </w:r>
    </w:p>
    <w:p>
      <w:pPr>
        <w:spacing w:line="360" w:lineRule="auto"/>
        <w:ind w:firstLine="960" w:firstLineChars="400"/>
        <w:rPr>
          <w:rFonts w:ascii="宋体" w:cs="Times New Roman"/>
          <w:sz w:val="24"/>
          <w:szCs w:val="24"/>
        </w:rPr>
      </w:pPr>
      <w:r>
        <w:rPr>
          <w:rFonts w:hint="eastAsia" w:ascii="宋体" w:hAnsi="宋体" w:cs="宋体"/>
          <w:sz w:val="24"/>
          <w:szCs w:val="24"/>
        </w:rPr>
        <w:t>特此证明。</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r>
        <w:rPr>
          <w:rFonts w:hint="eastAsia" w:ascii="宋体" w:hAnsi="宋体" w:cs="宋体"/>
          <w:sz w:val="24"/>
          <w:szCs w:val="24"/>
        </w:rPr>
        <w:t>附：法定代表人身份证复印件</w:t>
      </w:r>
    </w:p>
    <w:p>
      <w:pPr>
        <w:spacing w:line="360" w:lineRule="auto"/>
        <w:ind w:firstLine="480" w:firstLineChars="200"/>
        <w:rPr>
          <w:rFonts w:ascii="宋体" w:cs="Times New Roman"/>
          <w:sz w:val="24"/>
          <w:szCs w:val="24"/>
        </w:rPr>
      </w:pPr>
    </w:p>
    <w:p>
      <w:pPr>
        <w:spacing w:line="360" w:lineRule="auto"/>
        <w:ind w:firstLine="4800" w:firstLineChars="2000"/>
        <w:rPr>
          <w:rFonts w:ascii="宋体" w:cs="Times New Roman"/>
          <w:sz w:val="24"/>
          <w:szCs w:val="24"/>
        </w:rPr>
      </w:pPr>
      <w:r>
        <w:rPr>
          <w:rFonts w:hint="eastAsia" w:ascii="宋体" w:hAnsi="宋体" w:cs="宋体"/>
          <w:sz w:val="24"/>
          <w:szCs w:val="24"/>
        </w:rPr>
        <w:t>投标人</w:t>
      </w:r>
      <w:r>
        <w:rPr>
          <w:rFonts w:ascii="宋体" w:hAnsi="宋体" w:cs="宋体"/>
          <w:kern w:val="0"/>
          <w:sz w:val="24"/>
          <w:szCs w:val="24"/>
        </w:rPr>
        <w:t>（填写名称并盖章）</w:t>
      </w:r>
      <w:r>
        <w:rPr>
          <w:rFonts w:hint="eastAsia" w:ascii="宋体" w:hAnsi="宋体" w:cs="宋体"/>
          <w:sz w:val="24"/>
          <w:szCs w:val="24"/>
        </w:rPr>
        <w:t>：</w:t>
      </w:r>
      <w:r>
        <w:rPr>
          <w:rFonts w:ascii="宋体" w:cs="Times New Roman"/>
          <w:sz w:val="24"/>
          <w:szCs w:val="24"/>
        </w:rPr>
        <w:t xml:space="preserve"> </w:t>
      </w:r>
    </w:p>
    <w:p>
      <w:pPr>
        <w:spacing w:line="360" w:lineRule="auto"/>
        <w:ind w:firstLine="4800" w:firstLineChars="2000"/>
        <w:rPr>
          <w:rFonts w:ascii="宋体" w:hAnsi="宋体" w:cs="宋体"/>
          <w:kern w:val="0"/>
          <w:sz w:val="24"/>
          <w:szCs w:val="24"/>
        </w:rPr>
      </w:pPr>
      <w:bookmarkStart w:id="328" w:name="_Toc11685"/>
      <w:bookmarkStart w:id="329" w:name="_Toc8283304"/>
      <w:r>
        <w:rPr>
          <w:rFonts w:hint="eastAsia" w:ascii="宋体" w:hAnsi="宋体" w:cs="宋体"/>
          <w:sz w:val="24"/>
          <w:szCs w:val="24"/>
        </w:rPr>
        <w:t>法定代表人</w:t>
      </w:r>
      <w:r>
        <w:rPr>
          <w:rFonts w:ascii="宋体" w:hAnsi="宋体" w:cs="宋体"/>
          <w:kern w:val="0"/>
          <w:sz w:val="24"/>
          <w:szCs w:val="24"/>
        </w:rPr>
        <w:t>（签字或盖章）</w:t>
      </w:r>
      <w:r>
        <w:rPr>
          <w:rFonts w:hint="eastAsia" w:ascii="宋体" w:hAnsi="宋体" w:cs="宋体"/>
          <w:sz w:val="24"/>
          <w:szCs w:val="24"/>
        </w:rPr>
        <w:t>：</w:t>
      </w:r>
      <w:r>
        <w:rPr>
          <w:rFonts w:hint="eastAsia" w:ascii="宋体" w:hAnsi="宋体" w:cs="宋体"/>
          <w:kern w:val="0"/>
          <w:sz w:val="24"/>
          <w:szCs w:val="24"/>
        </w:rPr>
        <w:t xml:space="preserve"> </w:t>
      </w:r>
    </w:p>
    <w:p>
      <w:pPr>
        <w:spacing w:line="360" w:lineRule="auto"/>
        <w:ind w:firstLine="4800" w:firstLineChars="2000"/>
        <w:rPr>
          <w:sz w:val="24"/>
          <w:szCs w:val="24"/>
        </w:rPr>
        <w:sectPr>
          <w:pgSz w:w="11907" w:h="16840"/>
          <w:pgMar w:top="1418" w:right="1134" w:bottom="1361" w:left="1134" w:header="794" w:footer="794" w:gutter="0"/>
          <w:pgNumType w:fmt="decimal"/>
          <w:cols w:space="720" w:num="1"/>
          <w:docGrid w:linePitch="285" w:charSpace="0"/>
        </w:sectPr>
      </w:pPr>
      <w:r>
        <w:rPr>
          <w:rFonts w:ascii="宋体" w:hAnsi="宋体" w:cs="宋体"/>
          <w:kern w:val="0"/>
          <w:sz w:val="24"/>
          <w:szCs w:val="24"/>
        </w:rPr>
        <w:t>日期：</w:t>
      </w:r>
    </w:p>
    <w:p>
      <w:pPr>
        <w:pStyle w:val="2"/>
        <w:pageBreakBefore/>
        <w:numPr>
          <w:ilvl w:val="0"/>
          <w:numId w:val="0"/>
        </w:numPr>
        <w:spacing w:afterLines="100"/>
        <w:jc w:val="center"/>
        <w:rPr>
          <w:rStyle w:val="82"/>
          <w:rFonts w:asciiTheme="majorEastAsia" w:hAnsiTheme="majorEastAsia" w:eastAsiaTheme="majorEastAsia"/>
          <w:b/>
          <w:bCs/>
        </w:rPr>
      </w:pPr>
      <w:bookmarkStart w:id="330" w:name="_Toc10188495"/>
      <w:r>
        <w:rPr>
          <w:rStyle w:val="82"/>
          <w:rFonts w:hint="eastAsia" w:asciiTheme="majorEastAsia" w:hAnsiTheme="majorEastAsia" w:eastAsiaTheme="majorEastAsia"/>
          <w:b/>
          <w:bCs/>
        </w:rPr>
        <w:t>（二）授权委托书</w:t>
      </w:r>
      <w:bookmarkEnd w:id="328"/>
      <w:bookmarkEnd w:id="329"/>
      <w:bookmarkEnd w:id="330"/>
    </w:p>
    <w:p>
      <w:pPr>
        <w:spacing w:line="360" w:lineRule="auto"/>
        <w:rPr>
          <w:rFonts w:ascii="宋体" w:cs="Times New Roman"/>
          <w:b/>
          <w:bCs/>
          <w:sz w:val="28"/>
          <w:szCs w:val="28"/>
        </w:rPr>
      </w:pPr>
    </w:p>
    <w:p>
      <w:pPr>
        <w:snapToGrid w:val="0"/>
        <w:spacing w:line="360" w:lineRule="auto"/>
        <w:ind w:firstLine="480" w:firstLineChars="200"/>
        <w:rPr>
          <w:rFonts w:ascii="宋体" w:cs="Times New Roman"/>
          <w:sz w:val="24"/>
          <w:szCs w:val="24"/>
        </w:rPr>
      </w:pPr>
      <w:r>
        <w:rPr>
          <w:rFonts w:ascii="宋体" w:hAnsi="宋体"/>
          <w:sz w:val="24"/>
        </w:rPr>
        <w:t xml:space="preserve">本授权委托书声明： </w:t>
      </w:r>
      <w:r>
        <w:rPr>
          <w:rFonts w:hint="eastAsia" w:ascii="宋体" w:hAnsi="宋体"/>
          <w:sz w:val="24"/>
        </w:rPr>
        <w:t>本人</w:t>
      </w:r>
      <w:r>
        <w:rPr>
          <w:rFonts w:ascii="宋体" w:hAnsi="宋体"/>
          <w:sz w:val="24"/>
          <w:u w:val="single"/>
        </w:rPr>
        <w:t xml:space="preserve"> （姓名）</w:t>
      </w:r>
      <w:r>
        <w:rPr>
          <w:rFonts w:ascii="宋体" w:hAnsi="宋体"/>
          <w:sz w:val="24"/>
        </w:rPr>
        <w:t xml:space="preserve"> 系</w:t>
      </w:r>
      <w:r>
        <w:rPr>
          <w:rFonts w:ascii="宋体" w:hAnsi="宋体"/>
          <w:sz w:val="24"/>
          <w:u w:val="single"/>
        </w:rPr>
        <w:t xml:space="preserve"> （投标单位名称） </w:t>
      </w:r>
      <w:r>
        <w:rPr>
          <w:rFonts w:ascii="宋体" w:hAnsi="宋体"/>
          <w:sz w:val="24"/>
        </w:rPr>
        <w:t xml:space="preserve">的法定代表人，现授权委托 </w:t>
      </w:r>
      <w:r>
        <w:rPr>
          <w:rFonts w:hint="eastAsia" w:ascii="宋体" w:hAnsi="宋体"/>
          <w:sz w:val="24"/>
        </w:rPr>
        <w:t>我司的</w:t>
      </w:r>
      <w:r>
        <w:rPr>
          <w:rFonts w:hint="eastAsia" w:ascii="宋体" w:hAnsi="宋体"/>
          <w:sz w:val="24"/>
          <w:u w:val="single"/>
        </w:rPr>
        <w:t xml:space="preserve"> </w:t>
      </w:r>
      <w:r>
        <w:rPr>
          <w:rFonts w:ascii="宋体" w:hAnsi="宋体"/>
          <w:sz w:val="24"/>
          <w:u w:val="single"/>
        </w:rPr>
        <w:t xml:space="preserve">（姓名） </w:t>
      </w:r>
      <w:r>
        <w:rPr>
          <w:rFonts w:ascii="宋体" w:hAnsi="宋体"/>
          <w:sz w:val="24"/>
        </w:rPr>
        <w:t>为我公司代理人，以本公司的名义参加</w:t>
      </w:r>
      <w:r>
        <w:rPr>
          <w:rFonts w:hint="eastAsia" w:ascii="宋体" w:hAnsi="宋体"/>
          <w:sz w:val="24"/>
        </w:rPr>
        <w:t>海南恒晨工程项目管理有限公司</w:t>
      </w:r>
      <w:r>
        <w:rPr>
          <w:rFonts w:ascii="宋体" w:hAnsi="宋体"/>
          <w:sz w:val="24"/>
        </w:rPr>
        <w:t>组织的编号为</w:t>
      </w:r>
      <w:r>
        <w:rPr>
          <w:rFonts w:ascii="宋体" w:hAnsi="宋体"/>
          <w:sz w:val="24"/>
          <w:u w:val="single"/>
        </w:rPr>
        <w:t xml:space="preserve"> （招标项目编号） </w:t>
      </w:r>
      <w:r>
        <w:rPr>
          <w:rFonts w:ascii="宋体" w:hAnsi="宋体"/>
          <w:sz w:val="24"/>
        </w:rPr>
        <w:t>的招标活动。 代理人在开标、 评标、 合同签订过程中所签署的一切文件、 处理与本招标活动有关的一切事务， 我均予以承认。</w:t>
      </w:r>
      <w:r>
        <w:rPr>
          <w:rFonts w:hint="eastAsia"/>
        </w:rPr>
        <w:br w:type="textWrapping"/>
      </w:r>
      <w:r>
        <w:rPr>
          <w:rFonts w:hint="eastAsia" w:ascii="宋体" w:hAnsi="宋体"/>
          <w:sz w:val="24"/>
        </w:rPr>
        <w:t xml:space="preserve">    </w:t>
      </w:r>
      <w:r>
        <w:rPr>
          <w:rFonts w:ascii="宋体" w:hAnsi="宋体"/>
          <w:sz w:val="24"/>
        </w:rPr>
        <w:t>代理人在授权委托书有效期内签署的所有文件不因授权委托的撤销而失效。 除非有撤销授权委托的书面通知， 本授权委托书</w:t>
      </w:r>
      <w:r>
        <w:rPr>
          <w:rFonts w:hint="eastAsia"/>
          <w:sz w:val="24"/>
          <w:szCs w:val="24"/>
        </w:rPr>
        <w:t>自响应文件开启之日起60天内有效</w:t>
      </w:r>
      <w:r>
        <w:rPr>
          <w:rFonts w:ascii="宋体" w:hAnsi="宋体"/>
          <w:sz w:val="24"/>
        </w:rPr>
        <w:t>。</w:t>
      </w:r>
      <w:r>
        <w:rPr>
          <w:rFonts w:hint="eastAsia"/>
        </w:rPr>
        <w:br w:type="textWrapping"/>
      </w:r>
      <w:r>
        <w:rPr>
          <w:rFonts w:hint="eastAsia" w:ascii="宋体" w:hAnsi="宋体"/>
          <w:sz w:val="24"/>
        </w:rPr>
        <w:t xml:space="preserve">    </w:t>
      </w:r>
      <w:r>
        <w:rPr>
          <w:rFonts w:ascii="宋体" w:hAnsi="宋体"/>
          <w:sz w:val="24"/>
        </w:rPr>
        <w:t>代理人无转委托权。 特此委托。</w:t>
      </w:r>
    </w:p>
    <w:p>
      <w:pPr>
        <w:snapToGrid w:val="0"/>
        <w:spacing w:line="360" w:lineRule="auto"/>
        <w:rPr>
          <w:rFonts w:ascii="宋体" w:cs="Times New Roman"/>
          <w:sz w:val="24"/>
          <w:szCs w:val="24"/>
        </w:rPr>
      </w:pPr>
    </w:p>
    <w:p>
      <w:pPr>
        <w:snapToGrid w:val="0"/>
        <w:spacing w:line="360" w:lineRule="auto"/>
        <w:rPr>
          <w:rFonts w:ascii="宋体" w:cs="Times New Roman"/>
          <w:sz w:val="24"/>
          <w:szCs w:val="24"/>
        </w:rPr>
      </w:pPr>
      <w:r>
        <w:rPr>
          <w:rFonts w:hint="eastAsia" w:ascii="宋体" w:hAnsi="宋体" w:cs="宋体"/>
          <w:sz w:val="24"/>
          <w:szCs w:val="24"/>
        </w:rPr>
        <w:t>附：受托人身份证复印件</w:t>
      </w:r>
    </w:p>
    <w:p>
      <w:pPr>
        <w:snapToGrid w:val="0"/>
        <w:spacing w:line="360" w:lineRule="auto"/>
        <w:ind w:firstLine="3840" w:firstLineChars="1600"/>
        <w:rPr>
          <w:rFonts w:ascii="宋体" w:cs="Times New Roman"/>
          <w:sz w:val="24"/>
          <w:szCs w:val="24"/>
        </w:rPr>
      </w:pPr>
    </w:p>
    <w:p>
      <w:pPr>
        <w:snapToGrid w:val="0"/>
        <w:spacing w:line="360" w:lineRule="auto"/>
        <w:jc w:val="center"/>
        <w:rPr>
          <w:rFonts w:ascii="宋体" w:hAnsi="宋体" w:cs="宋体"/>
          <w:kern w:val="0"/>
          <w:sz w:val="24"/>
          <w:szCs w:val="24"/>
        </w:rPr>
      </w:pPr>
      <w:r>
        <w:rPr>
          <w:rFonts w:hint="eastAsia" w:ascii="宋体" w:hAnsi="宋体" w:cs="宋体"/>
          <w:kern w:val="0"/>
          <w:sz w:val="24"/>
          <w:szCs w:val="24"/>
        </w:rPr>
        <w:t xml:space="preserve">                       </w:t>
      </w:r>
    </w:p>
    <w:p>
      <w:pPr>
        <w:snapToGrid w:val="0"/>
        <w:spacing w:line="360" w:lineRule="auto"/>
        <w:jc w:val="center"/>
        <w:rPr>
          <w:rFonts w:ascii="宋体" w:hAns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投标人（填写名称并盖章）：</w:t>
      </w:r>
    </w:p>
    <w:p>
      <w:pPr>
        <w:snapToGrid w:val="0"/>
        <w:spacing w:line="360" w:lineRule="auto"/>
        <w:jc w:val="center"/>
        <w:rPr>
          <w:rFonts w:ascii="宋体" w:cs="Times New Roman"/>
          <w:sz w:val="24"/>
          <w:szCs w:val="24"/>
          <w:u w:val="single"/>
        </w:rPr>
      </w:pPr>
      <w:r>
        <w:rPr>
          <w:rFonts w:hint="eastAsia" w:ascii="宋体" w:hAnsi="宋体" w:cs="宋体"/>
          <w:sz w:val="24"/>
          <w:szCs w:val="24"/>
        </w:rPr>
        <w:t xml:space="preserve">                      法定代表人</w:t>
      </w:r>
      <w:r>
        <w:rPr>
          <w:rFonts w:ascii="宋体" w:hAnsi="宋体" w:cs="宋体"/>
          <w:kern w:val="0"/>
          <w:sz w:val="24"/>
          <w:szCs w:val="24"/>
        </w:rPr>
        <w:t>（签字或盖章）</w:t>
      </w:r>
      <w:r>
        <w:rPr>
          <w:rFonts w:hint="eastAsia" w:ascii="宋体" w:hAnsi="宋体" w:cs="宋体"/>
          <w:sz w:val="24"/>
          <w:szCs w:val="24"/>
        </w:rPr>
        <w:t>：</w:t>
      </w:r>
      <w:r>
        <w:rPr>
          <w:rFonts w:ascii="宋体" w:cs="Times New Roman"/>
          <w:sz w:val="24"/>
          <w:szCs w:val="24"/>
          <w:u w:val="single"/>
        </w:rPr>
        <w:t xml:space="preserve"> </w:t>
      </w:r>
    </w:p>
    <w:p>
      <w:pPr>
        <w:snapToGrid w:val="0"/>
        <w:spacing w:line="360" w:lineRule="auto"/>
        <w:jc w:val="center"/>
        <w:rPr>
          <w:rFonts w:ascii="宋体" w:hAnsi="宋体" w:cs="宋体"/>
          <w:sz w:val="24"/>
          <w:szCs w:val="24"/>
        </w:rPr>
      </w:pPr>
      <w:r>
        <w:rPr>
          <w:rFonts w:hint="eastAsia" w:ascii="宋体" w:hAnsi="宋体" w:cs="宋体"/>
          <w:sz w:val="24"/>
          <w:szCs w:val="24"/>
        </w:rPr>
        <w:t xml:space="preserve">            </w:t>
      </w:r>
    </w:p>
    <w:p>
      <w:pPr>
        <w:snapToGrid w:val="0"/>
        <w:spacing w:line="360" w:lineRule="auto"/>
        <w:jc w:val="center"/>
        <w:rPr>
          <w:rFonts w:ascii="宋体" w:cs="Times New Roman"/>
          <w:sz w:val="24"/>
          <w:szCs w:val="24"/>
          <w:u w:val="single"/>
        </w:rPr>
      </w:pPr>
      <w:r>
        <w:rPr>
          <w:rFonts w:hint="eastAsia" w:ascii="宋体" w:hAnsi="宋体" w:cs="宋体"/>
          <w:sz w:val="24"/>
          <w:szCs w:val="24"/>
        </w:rPr>
        <w:t xml:space="preserve">            受托人</w:t>
      </w:r>
      <w:r>
        <w:rPr>
          <w:rFonts w:hint="eastAsia" w:ascii="宋体" w:hAnsi="宋体" w:cs="宋体"/>
          <w:sz w:val="24"/>
          <w:szCs w:val="24"/>
          <w:u w:val="single"/>
        </w:rPr>
        <w:t>（签字）</w:t>
      </w:r>
      <w:r>
        <w:rPr>
          <w:rFonts w:hint="eastAsia" w:ascii="宋体" w:hAnsi="宋体" w:cs="宋体"/>
          <w:sz w:val="24"/>
          <w:szCs w:val="24"/>
        </w:rPr>
        <w:t>：</w:t>
      </w:r>
    </w:p>
    <w:p>
      <w:pPr>
        <w:ind w:firstLine="4560" w:firstLineChars="1900"/>
        <w:sectPr>
          <w:pgSz w:w="11907" w:h="16840"/>
          <w:pgMar w:top="1418" w:right="1134" w:bottom="1361" w:left="1134" w:header="794" w:footer="794" w:gutter="0"/>
          <w:pgNumType w:fmt="decimal"/>
          <w:cols w:space="720" w:num="1"/>
          <w:docGrid w:linePitch="285" w:charSpace="0"/>
        </w:sectPr>
      </w:pPr>
      <w:r>
        <w:rPr>
          <w:rFonts w:ascii="宋体" w:hAnsi="宋体" w:cs="宋体"/>
          <w:kern w:val="0"/>
          <w:sz w:val="24"/>
          <w:szCs w:val="24"/>
        </w:rPr>
        <w:t>日期</w:t>
      </w:r>
      <w:r>
        <w:rPr>
          <w:rFonts w:hint="eastAsia" w:ascii="宋体" w:hAnsi="宋体" w:cs="宋体"/>
          <w:kern w:val="0"/>
          <w:sz w:val="24"/>
          <w:szCs w:val="24"/>
        </w:rPr>
        <w:t>：</w:t>
      </w:r>
    </w:p>
    <w:p>
      <w:pPr>
        <w:snapToGrid w:val="0"/>
        <w:spacing w:line="360" w:lineRule="auto"/>
        <w:jc w:val="center"/>
        <w:rPr>
          <w:rStyle w:val="82"/>
          <w:rFonts w:cs="Arial" w:asciiTheme="majorEastAsia" w:hAnsiTheme="majorEastAsia" w:eastAsiaTheme="majorEastAsia"/>
        </w:rPr>
      </w:pPr>
      <w:r>
        <w:rPr>
          <w:rStyle w:val="82"/>
          <w:rFonts w:cs="Arial" w:asciiTheme="majorEastAsia" w:hAnsiTheme="majorEastAsia" w:eastAsiaTheme="majorEastAsia"/>
        </w:rPr>
        <w:t>（</w:t>
      </w:r>
      <w:r>
        <w:rPr>
          <w:rStyle w:val="82"/>
          <w:rFonts w:hint="eastAsia" w:cs="Arial" w:asciiTheme="majorEastAsia" w:hAnsiTheme="majorEastAsia" w:eastAsiaTheme="majorEastAsia"/>
        </w:rPr>
        <w:t>三</w:t>
      </w:r>
      <w:r>
        <w:rPr>
          <w:rStyle w:val="82"/>
          <w:rFonts w:cs="Arial" w:asciiTheme="majorEastAsia" w:hAnsiTheme="majorEastAsia" w:eastAsiaTheme="majorEastAsia"/>
        </w:rPr>
        <w:t>） 资格申明信</w:t>
      </w:r>
    </w:p>
    <w:p>
      <w:pPr>
        <w:snapToGrid w:val="0"/>
        <w:spacing w:line="360" w:lineRule="auto"/>
        <w:rPr>
          <w:rFonts w:ascii="宋体" w:hAnsi="宋体" w:cs="宋体"/>
          <w:sz w:val="24"/>
          <w:szCs w:val="24"/>
        </w:rPr>
      </w:pPr>
      <w:r>
        <w:rPr>
          <w:rFonts w:hint="eastAsia" w:ascii="宋体" w:hAnsi="宋体" w:cs="宋体"/>
          <w:kern w:val="0"/>
          <w:sz w:val="36"/>
          <w:szCs w:val="36"/>
        </w:rPr>
        <w:br w:type="textWrapping"/>
      </w:r>
      <w:r>
        <w:rPr>
          <w:rFonts w:ascii="宋体" w:hAnsi="宋体" w:cs="宋体"/>
          <w:sz w:val="24"/>
          <w:szCs w:val="24"/>
        </w:rPr>
        <w:t>致:</w:t>
      </w:r>
      <w:r>
        <w:rPr>
          <w:rFonts w:hint="eastAsia" w:ascii="宋体" w:hAnsi="宋体" w:cs="宋体"/>
          <w:sz w:val="24"/>
          <w:szCs w:val="24"/>
        </w:rPr>
        <w:t xml:space="preserve"> 三亚市海棠区综合行政执法局</w:t>
      </w:r>
      <w:r>
        <w:rPr>
          <w:rFonts w:hint="eastAsia" w:ascii="宋体" w:hAnsi="宋体" w:cs="宋体"/>
          <w:sz w:val="24"/>
          <w:szCs w:val="24"/>
        </w:rPr>
        <w:br w:type="textWrapping"/>
      </w:r>
      <w:r>
        <w:rPr>
          <w:rFonts w:hint="eastAsia" w:ascii="宋体" w:hAnsi="宋体" w:cs="宋体"/>
          <w:sz w:val="24"/>
          <w:szCs w:val="24"/>
        </w:rPr>
        <w:t xml:space="preserve">    </w:t>
      </w:r>
      <w:r>
        <w:rPr>
          <w:rFonts w:ascii="宋体" w:hAnsi="宋体" w:cs="宋体"/>
          <w:sz w:val="24"/>
          <w:szCs w:val="24"/>
        </w:rPr>
        <w:t>为响应你方组织的</w:t>
      </w:r>
      <w:r>
        <w:rPr>
          <w:rFonts w:hint="eastAsia" w:ascii="宋体" w:hAnsi="宋体" w:cs="宋体"/>
          <w:sz w:val="24"/>
          <w:szCs w:val="24"/>
          <w:u w:val="single"/>
        </w:rPr>
        <w:t xml:space="preserve"> </w:t>
      </w:r>
      <w:r>
        <w:rPr>
          <w:rFonts w:hint="eastAsia" w:cs="宋体" w:asciiTheme="minorEastAsia" w:hAnsiTheme="minorEastAsia" w:eastAsiaTheme="minorEastAsia"/>
          <w:sz w:val="24"/>
          <w:szCs w:val="24"/>
          <w:u w:val="single"/>
        </w:rPr>
        <w:t>海</w:t>
      </w:r>
      <w:r>
        <w:rPr>
          <w:rFonts w:hint="eastAsia" w:ascii="宋体" w:hAnsi="宋体" w:cs="宋体"/>
          <w:sz w:val="24"/>
          <w:szCs w:val="24"/>
          <w:u w:val="single"/>
        </w:rPr>
        <w:t>棠区林旺片区（藤海社区、江林村、青田村、铁炉村）农村环境卫生清扫保洁收运服务项目</w:t>
      </w:r>
      <w:r>
        <w:rPr>
          <w:rFonts w:ascii="宋体" w:hAnsi="宋体" w:cs="宋体"/>
          <w:sz w:val="24"/>
          <w:szCs w:val="24"/>
          <w:u w:val="single"/>
        </w:rPr>
        <w:t>采购项目</w:t>
      </w:r>
      <w:r>
        <w:rPr>
          <w:rFonts w:hint="eastAsia" w:ascii="宋体" w:hAnsi="宋体" w:cs="宋体"/>
          <w:sz w:val="24"/>
          <w:szCs w:val="24"/>
          <w:u w:val="single"/>
        </w:rPr>
        <w:t xml:space="preserve"> </w:t>
      </w:r>
      <w:r>
        <w:rPr>
          <w:rFonts w:ascii="宋体" w:hAnsi="宋体" w:cs="宋体"/>
          <w:sz w:val="24"/>
          <w:szCs w:val="24"/>
        </w:rPr>
        <w:t>的招标活动［项目编号</w:t>
      </w:r>
      <w:r>
        <w:rPr>
          <w:rFonts w:hint="eastAsia" w:ascii="宋体" w:hAnsi="宋体" w:cs="宋体"/>
          <w:sz w:val="24"/>
          <w:szCs w:val="24"/>
        </w:rPr>
        <w:t>为：</w:t>
      </w:r>
      <w:r>
        <w:rPr>
          <w:rFonts w:hint="eastAsia" w:cs="宋体" w:asciiTheme="minorEastAsia" w:hAnsiTheme="minorEastAsia" w:eastAsiaTheme="minorEastAsia"/>
          <w:sz w:val="24"/>
          <w:szCs w:val="24"/>
        </w:rPr>
        <w:t>HNHC-CG-2019-01</w:t>
      </w:r>
      <w:r>
        <w:rPr>
          <w:rFonts w:ascii="宋体" w:hAnsi="宋体" w:cs="宋体"/>
          <w:sz w:val="24"/>
          <w:szCs w:val="24"/>
        </w:rPr>
        <w:t>］</w:t>
      </w:r>
      <w:r>
        <w:rPr>
          <w:rFonts w:hint="eastAsia" w:ascii="宋体" w:hAnsi="宋体" w:cs="宋体"/>
          <w:sz w:val="24"/>
          <w:szCs w:val="24"/>
        </w:rPr>
        <w:t>，我方愿意参与投标。</w:t>
      </w:r>
    </w:p>
    <w:p>
      <w:pPr>
        <w:snapToGrid w:val="0"/>
        <w:spacing w:line="360" w:lineRule="auto"/>
        <w:ind w:firstLine="480" w:firstLineChars="200"/>
        <w:rPr>
          <w:rFonts w:ascii="宋体" w:hAnsi="宋体" w:cs="宋体"/>
          <w:kern w:val="0"/>
          <w:sz w:val="24"/>
        </w:rPr>
      </w:pPr>
      <w:r>
        <w:rPr>
          <w:rFonts w:ascii="宋体" w:hAnsi="宋体" w:cs="宋体"/>
          <w:kern w:val="0"/>
          <w:sz w:val="24"/>
        </w:rPr>
        <w:t>我方在法律、 财务和运作上是符合招标文件对投标人的资格要求,提交所</w:t>
      </w:r>
      <w:r>
        <w:rPr>
          <w:rFonts w:hint="eastAsia" w:ascii="宋体" w:hAnsi="宋体" w:cs="宋体"/>
          <w:kern w:val="0"/>
          <w:sz w:val="24"/>
        </w:rPr>
        <w:t>有文件</w:t>
      </w:r>
      <w:r>
        <w:rPr>
          <w:rFonts w:ascii="宋体" w:hAnsi="宋体" w:cs="宋体"/>
          <w:kern w:val="0"/>
          <w:sz w:val="24"/>
        </w:rPr>
        <w:t>和全部说明是真实的和正确的</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ascii="宋体" w:hAnsi="宋体" w:cs="宋体"/>
          <w:kern w:val="0"/>
          <w:sz w:val="24"/>
        </w:rPr>
        <w:t>我方理解你方可能还要求提供更进一步的资格资料,并愿意应你方的要求提交。</w:t>
      </w:r>
    </w:p>
    <w:p>
      <w:pPr>
        <w:snapToGrid w:val="0"/>
        <w:spacing w:line="360" w:lineRule="auto"/>
        <w:ind w:firstLine="480" w:firstLineChars="200"/>
        <w:jc w:val="center"/>
        <w:rPr>
          <w:rFonts w:ascii="宋体" w:hAnsi="宋体" w:cs="宋体"/>
          <w:sz w:val="24"/>
          <w:szCs w:val="24"/>
        </w:rPr>
        <w:sectPr>
          <w:pgSz w:w="11907" w:h="16840"/>
          <w:pgMar w:top="1418" w:right="1134" w:bottom="1361" w:left="1134" w:header="794" w:footer="794" w:gutter="0"/>
          <w:pgNumType w:fmt="decimal"/>
          <w:cols w:space="720" w:num="1"/>
          <w:docGrid w:linePitch="285" w:charSpace="0"/>
        </w:sectPr>
      </w:pPr>
      <w:r>
        <w:rPr>
          <w:rFonts w:ascii="宋体" w:hAnsi="宋体" w:cs="宋体"/>
          <w:sz w:val="24"/>
          <w:szCs w:val="24"/>
        </w:rPr>
        <w:br w:type="textWrapping"/>
      </w:r>
      <w:r>
        <w:rPr>
          <w:rFonts w:hint="eastAsia" w:ascii="宋体" w:hAnsi="宋体" w:cs="宋体"/>
          <w:sz w:val="24"/>
          <w:szCs w:val="24"/>
        </w:rPr>
        <w:t xml:space="preserve">                     </w:t>
      </w:r>
      <w:r>
        <w:rPr>
          <w:rFonts w:ascii="宋体" w:hAnsi="宋体" w:cs="宋体"/>
          <w:sz w:val="24"/>
          <w:szCs w:val="24"/>
        </w:rPr>
        <w:t>投标人（填写单位并盖章）：</w:t>
      </w:r>
      <w:r>
        <w:rPr>
          <w:rFonts w:hint="eastAsia" w:ascii="宋体" w:hAnsi="宋体" w:cs="宋体"/>
          <w:sz w:val="24"/>
          <w:szCs w:val="24"/>
        </w:rPr>
        <w:t xml:space="preserve"> </w:t>
      </w:r>
      <w:r>
        <w:rPr>
          <w:rFonts w:hint="eastAsia" w:ascii="宋体" w:hAnsi="宋体" w:cs="宋体"/>
          <w:sz w:val="24"/>
          <w:szCs w:val="24"/>
        </w:rPr>
        <w:br w:type="textWrapping"/>
      </w:r>
      <w:r>
        <w:rPr>
          <w:rFonts w:hint="eastAsia" w:ascii="宋体" w:hAnsi="宋体" w:cs="宋体"/>
          <w:sz w:val="24"/>
          <w:szCs w:val="24"/>
        </w:rPr>
        <w:t xml:space="preserve">                                 </w:t>
      </w:r>
      <w:r>
        <w:rPr>
          <w:rFonts w:ascii="宋体" w:hAnsi="宋体" w:cs="宋体"/>
          <w:kern w:val="0"/>
          <w:sz w:val="24"/>
          <w:szCs w:val="24"/>
        </w:rPr>
        <w:t>法定代表人或授权委托人（签字或盖章）：</w:t>
      </w:r>
      <w:r>
        <w:rPr>
          <w:rFonts w:hint="eastAsia" w:ascii="宋体" w:hAnsi="宋体" w:cs="宋体"/>
          <w:sz w:val="24"/>
          <w:szCs w:val="24"/>
        </w:rPr>
        <w:t xml:space="preserve"> </w:t>
      </w:r>
      <w:r>
        <w:rPr>
          <w:rFonts w:hint="eastAsia" w:ascii="宋体" w:hAnsi="宋体" w:cs="宋体"/>
          <w:sz w:val="24"/>
          <w:szCs w:val="24"/>
        </w:rPr>
        <w:br w:type="textWrapping"/>
      </w:r>
      <w:r>
        <w:rPr>
          <w:rFonts w:hint="eastAsia" w:ascii="宋体" w:hAnsi="宋体" w:cs="宋体"/>
          <w:sz w:val="24"/>
          <w:szCs w:val="24"/>
        </w:rPr>
        <w:t xml:space="preserve">          </w:t>
      </w:r>
      <w:r>
        <w:rPr>
          <w:rFonts w:ascii="宋体" w:hAnsi="宋体" w:cs="宋体"/>
          <w:sz w:val="24"/>
          <w:szCs w:val="24"/>
        </w:rPr>
        <w:t>日期： 年 月 日</w:t>
      </w:r>
    </w:p>
    <w:p>
      <w:pPr>
        <w:widowControl/>
        <w:spacing w:line="360" w:lineRule="auto"/>
        <w:jc w:val="center"/>
        <w:rPr>
          <w:rStyle w:val="82"/>
          <w:rFonts w:cs="Arial" w:asciiTheme="majorEastAsia" w:hAnsiTheme="majorEastAsia" w:eastAsiaTheme="majorEastAsia"/>
        </w:rPr>
      </w:pPr>
      <w:r>
        <w:rPr>
          <w:rStyle w:val="82"/>
          <w:rFonts w:cs="Arial" w:asciiTheme="majorEastAsia" w:hAnsiTheme="majorEastAsia" w:eastAsiaTheme="majorEastAsia"/>
        </w:rPr>
        <w:t>（</w:t>
      </w:r>
      <w:r>
        <w:rPr>
          <w:rStyle w:val="82"/>
          <w:rFonts w:hint="eastAsia" w:cs="Arial" w:asciiTheme="majorEastAsia" w:hAnsiTheme="majorEastAsia" w:eastAsiaTheme="majorEastAsia"/>
        </w:rPr>
        <w:t>四</w:t>
      </w:r>
      <w:r>
        <w:rPr>
          <w:rStyle w:val="82"/>
          <w:rFonts w:cs="Arial" w:asciiTheme="majorEastAsia" w:hAnsiTheme="majorEastAsia" w:eastAsiaTheme="majorEastAsia"/>
        </w:rPr>
        <w:t>） 商务条款偏离表</w:t>
      </w:r>
    </w:p>
    <w:p>
      <w:pPr>
        <w:widowControl/>
        <w:spacing w:line="360" w:lineRule="auto"/>
        <w:jc w:val="left"/>
        <w:rPr>
          <w:rFonts w:ascii="宋体" w:hAnsi="宋体" w:cs="宋体"/>
          <w:kern w:val="0"/>
          <w:sz w:val="24"/>
          <w:szCs w:val="24"/>
        </w:rPr>
      </w:pPr>
      <w:r>
        <w:rPr>
          <w:rFonts w:hint="eastAsia" w:ascii="宋体" w:hAnsi="宋体" w:cs="宋体"/>
          <w:kern w:val="0"/>
          <w:sz w:val="24"/>
          <w:szCs w:val="24"/>
        </w:rPr>
        <w:br w:type="textWrapping"/>
      </w:r>
      <w:r>
        <w:rPr>
          <w:rFonts w:ascii="宋体" w:hAnsi="宋体" w:cs="宋体"/>
          <w:kern w:val="0"/>
          <w:sz w:val="24"/>
          <w:szCs w:val="24"/>
        </w:rPr>
        <w:t>项目名称：</w:t>
      </w:r>
      <w:r>
        <w:rPr>
          <w:rFonts w:hint="eastAsia" w:ascii="宋体" w:hAnsi="宋体" w:cs="宋体"/>
          <w:kern w:val="0"/>
          <w:sz w:val="24"/>
          <w:szCs w:val="24"/>
        </w:rPr>
        <w:br w:type="textWrapping"/>
      </w:r>
      <w:r>
        <w:rPr>
          <w:rFonts w:ascii="宋体" w:hAnsi="宋体" w:cs="宋体"/>
          <w:kern w:val="0"/>
          <w:sz w:val="24"/>
          <w:szCs w:val="24"/>
        </w:rPr>
        <w:t>项目编号：</w:t>
      </w:r>
    </w:p>
    <w:tbl>
      <w:tblPr>
        <w:tblStyle w:val="44"/>
        <w:tblW w:w="98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3"/>
        <w:gridCol w:w="2739"/>
        <w:gridCol w:w="1802"/>
        <w:gridCol w:w="1275"/>
        <w:gridCol w:w="1559"/>
        <w:gridCol w:w="16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序号</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项目</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招标文件要求</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投标响应</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是否偏离</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偏离及其</w:t>
            </w:r>
            <w:r>
              <w:rPr>
                <w:rFonts w:hint="eastAsia" w:ascii="宋体" w:hAnsi="宋体" w:cs="宋体"/>
                <w:b/>
                <w:kern w:val="0"/>
                <w:sz w:val="24"/>
                <w:szCs w:val="24"/>
              </w:rPr>
              <w:t>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 xml:space="preserve">1 </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资格证明文件</w:t>
            </w:r>
          </w:p>
        </w:tc>
        <w:tc>
          <w:tcPr>
            <w:tcW w:w="1802" w:type="dxa"/>
            <w:vAlign w:val="center"/>
          </w:tcPr>
          <w:p>
            <w:pPr>
              <w:widowControl/>
              <w:spacing w:line="360" w:lineRule="auto"/>
              <w:jc w:val="left"/>
              <w:rPr>
                <w:rFonts w:ascii="Times New Roman" w:hAnsi="Times New Roman" w:eastAsia="Times New Roman" w:cs="Times New Roman"/>
                <w:kern w:val="0"/>
                <w:sz w:val="24"/>
                <w:szCs w:val="24"/>
              </w:rPr>
            </w:pPr>
          </w:p>
        </w:tc>
        <w:tc>
          <w:tcPr>
            <w:tcW w:w="1275" w:type="dxa"/>
            <w:vAlign w:val="center"/>
          </w:tcPr>
          <w:p>
            <w:pPr>
              <w:widowControl/>
              <w:spacing w:line="360" w:lineRule="auto"/>
              <w:jc w:val="left"/>
              <w:rPr>
                <w:rFonts w:ascii="Times New Roman" w:hAnsi="Times New Roman" w:eastAsia="Times New Roman" w:cs="Times New Roman"/>
                <w:kern w:val="0"/>
                <w:sz w:val="24"/>
                <w:szCs w:val="24"/>
              </w:rPr>
            </w:pPr>
          </w:p>
        </w:tc>
        <w:tc>
          <w:tcPr>
            <w:tcW w:w="1559" w:type="dxa"/>
            <w:vAlign w:val="center"/>
          </w:tcPr>
          <w:p>
            <w:pPr>
              <w:widowControl/>
              <w:spacing w:line="360" w:lineRule="auto"/>
              <w:jc w:val="left"/>
              <w:rPr>
                <w:rFonts w:ascii="Times New Roman" w:hAnsi="Times New Roman" w:eastAsia="Times New Roman" w:cs="Times New Roman"/>
                <w:kern w:val="0"/>
                <w:sz w:val="24"/>
                <w:szCs w:val="24"/>
              </w:rPr>
            </w:pPr>
          </w:p>
        </w:tc>
        <w:tc>
          <w:tcPr>
            <w:tcW w:w="1667"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 xml:space="preserve">2 </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投标文件有效期</w:t>
            </w:r>
          </w:p>
        </w:tc>
        <w:tc>
          <w:tcPr>
            <w:tcW w:w="1802" w:type="dxa"/>
            <w:vAlign w:val="center"/>
          </w:tcPr>
          <w:p>
            <w:pPr>
              <w:widowControl/>
              <w:spacing w:line="360" w:lineRule="auto"/>
              <w:jc w:val="left"/>
              <w:rPr>
                <w:rFonts w:ascii="Times New Roman" w:hAnsi="Times New Roman" w:eastAsia="Times New Roman" w:cs="Times New Roman"/>
                <w:kern w:val="0"/>
                <w:sz w:val="24"/>
                <w:szCs w:val="24"/>
              </w:rPr>
            </w:pPr>
          </w:p>
        </w:tc>
        <w:tc>
          <w:tcPr>
            <w:tcW w:w="1275" w:type="dxa"/>
            <w:vAlign w:val="center"/>
          </w:tcPr>
          <w:p>
            <w:pPr>
              <w:widowControl/>
              <w:spacing w:line="360" w:lineRule="auto"/>
              <w:jc w:val="left"/>
              <w:rPr>
                <w:rFonts w:ascii="Times New Roman" w:hAnsi="Times New Roman" w:eastAsia="Times New Roman" w:cs="Times New Roman"/>
                <w:kern w:val="0"/>
                <w:sz w:val="24"/>
                <w:szCs w:val="24"/>
              </w:rPr>
            </w:pPr>
          </w:p>
        </w:tc>
        <w:tc>
          <w:tcPr>
            <w:tcW w:w="1559" w:type="dxa"/>
            <w:vAlign w:val="center"/>
          </w:tcPr>
          <w:p>
            <w:pPr>
              <w:widowControl/>
              <w:spacing w:line="360" w:lineRule="auto"/>
              <w:jc w:val="left"/>
              <w:rPr>
                <w:rFonts w:ascii="Times New Roman" w:hAnsi="Times New Roman" w:eastAsia="Times New Roman" w:cs="Times New Roman"/>
                <w:kern w:val="0"/>
                <w:sz w:val="24"/>
                <w:szCs w:val="24"/>
              </w:rPr>
            </w:pPr>
          </w:p>
        </w:tc>
        <w:tc>
          <w:tcPr>
            <w:tcW w:w="1667"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 xml:space="preserve">3 </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投标保证金</w:t>
            </w:r>
          </w:p>
        </w:tc>
        <w:tc>
          <w:tcPr>
            <w:tcW w:w="1802" w:type="dxa"/>
            <w:vAlign w:val="center"/>
          </w:tcPr>
          <w:p>
            <w:pPr>
              <w:widowControl/>
              <w:spacing w:line="360" w:lineRule="auto"/>
              <w:jc w:val="left"/>
              <w:rPr>
                <w:rFonts w:ascii="Times New Roman" w:hAnsi="Times New Roman" w:eastAsia="Times New Roman" w:cs="Times New Roman"/>
                <w:kern w:val="0"/>
                <w:sz w:val="24"/>
                <w:szCs w:val="24"/>
              </w:rPr>
            </w:pPr>
          </w:p>
        </w:tc>
        <w:tc>
          <w:tcPr>
            <w:tcW w:w="1275" w:type="dxa"/>
            <w:vAlign w:val="center"/>
          </w:tcPr>
          <w:p>
            <w:pPr>
              <w:widowControl/>
              <w:spacing w:line="360" w:lineRule="auto"/>
              <w:jc w:val="left"/>
              <w:rPr>
                <w:rFonts w:ascii="Times New Roman" w:hAnsi="Times New Roman" w:eastAsia="Times New Roman" w:cs="Times New Roman"/>
                <w:kern w:val="0"/>
                <w:sz w:val="24"/>
                <w:szCs w:val="24"/>
              </w:rPr>
            </w:pPr>
          </w:p>
        </w:tc>
        <w:tc>
          <w:tcPr>
            <w:tcW w:w="1559" w:type="dxa"/>
            <w:vAlign w:val="center"/>
          </w:tcPr>
          <w:p>
            <w:pPr>
              <w:widowControl/>
              <w:spacing w:line="360" w:lineRule="auto"/>
              <w:jc w:val="left"/>
              <w:rPr>
                <w:rFonts w:ascii="Times New Roman" w:hAnsi="Times New Roman" w:eastAsia="Times New Roman" w:cs="Times New Roman"/>
                <w:kern w:val="0"/>
                <w:sz w:val="24"/>
                <w:szCs w:val="24"/>
              </w:rPr>
            </w:pPr>
          </w:p>
        </w:tc>
        <w:tc>
          <w:tcPr>
            <w:tcW w:w="1667"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 xml:space="preserve">4 </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投标文件份数</w:t>
            </w:r>
          </w:p>
        </w:tc>
        <w:tc>
          <w:tcPr>
            <w:tcW w:w="1802" w:type="dxa"/>
            <w:vAlign w:val="center"/>
          </w:tcPr>
          <w:p>
            <w:pPr>
              <w:widowControl/>
              <w:spacing w:line="360" w:lineRule="auto"/>
              <w:jc w:val="left"/>
              <w:rPr>
                <w:rFonts w:ascii="Times New Roman" w:hAnsi="Times New Roman" w:eastAsia="Times New Roman" w:cs="Times New Roman"/>
                <w:kern w:val="0"/>
                <w:sz w:val="24"/>
                <w:szCs w:val="24"/>
              </w:rPr>
            </w:pPr>
          </w:p>
        </w:tc>
        <w:tc>
          <w:tcPr>
            <w:tcW w:w="1275" w:type="dxa"/>
            <w:vAlign w:val="center"/>
          </w:tcPr>
          <w:p>
            <w:pPr>
              <w:widowControl/>
              <w:spacing w:line="360" w:lineRule="auto"/>
              <w:jc w:val="left"/>
              <w:rPr>
                <w:rFonts w:ascii="Times New Roman" w:hAnsi="Times New Roman" w:eastAsia="Times New Roman" w:cs="Times New Roman"/>
                <w:kern w:val="0"/>
                <w:sz w:val="24"/>
                <w:szCs w:val="24"/>
              </w:rPr>
            </w:pPr>
          </w:p>
        </w:tc>
        <w:tc>
          <w:tcPr>
            <w:tcW w:w="1559" w:type="dxa"/>
            <w:vAlign w:val="center"/>
          </w:tcPr>
          <w:p>
            <w:pPr>
              <w:widowControl/>
              <w:spacing w:line="360" w:lineRule="auto"/>
              <w:jc w:val="left"/>
              <w:rPr>
                <w:rFonts w:ascii="Times New Roman" w:hAnsi="Times New Roman" w:eastAsia="Times New Roman" w:cs="Times New Roman"/>
                <w:kern w:val="0"/>
                <w:sz w:val="24"/>
                <w:szCs w:val="24"/>
              </w:rPr>
            </w:pPr>
          </w:p>
        </w:tc>
        <w:tc>
          <w:tcPr>
            <w:tcW w:w="1667"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 xml:space="preserve">5 </w:t>
            </w:r>
          </w:p>
        </w:tc>
        <w:tc>
          <w:tcPr>
            <w:tcW w:w="27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ascii="宋体" w:hAnsi="宋体" w:cs="宋体"/>
                <w:kern w:val="0"/>
                <w:sz w:val="24"/>
                <w:szCs w:val="24"/>
              </w:rPr>
              <w:t>服务期限</w:t>
            </w:r>
          </w:p>
        </w:tc>
        <w:tc>
          <w:tcPr>
            <w:tcW w:w="1802" w:type="dxa"/>
            <w:vAlign w:val="center"/>
          </w:tcPr>
          <w:p>
            <w:pPr>
              <w:widowControl/>
              <w:spacing w:line="360" w:lineRule="auto"/>
              <w:jc w:val="left"/>
              <w:rPr>
                <w:rFonts w:ascii="Times New Roman" w:hAnsi="Times New Roman" w:eastAsia="Times New Roman" w:cs="Times New Roman"/>
                <w:kern w:val="0"/>
                <w:sz w:val="24"/>
                <w:szCs w:val="24"/>
              </w:rPr>
            </w:pPr>
          </w:p>
        </w:tc>
        <w:tc>
          <w:tcPr>
            <w:tcW w:w="1275" w:type="dxa"/>
            <w:vAlign w:val="center"/>
          </w:tcPr>
          <w:p>
            <w:pPr>
              <w:widowControl/>
              <w:spacing w:line="360" w:lineRule="auto"/>
              <w:jc w:val="left"/>
              <w:rPr>
                <w:rFonts w:ascii="Times New Roman" w:hAnsi="Times New Roman" w:eastAsia="Times New Roman" w:cs="Times New Roman"/>
                <w:kern w:val="0"/>
                <w:sz w:val="24"/>
                <w:szCs w:val="24"/>
              </w:rPr>
            </w:pPr>
          </w:p>
        </w:tc>
        <w:tc>
          <w:tcPr>
            <w:tcW w:w="1559" w:type="dxa"/>
            <w:vAlign w:val="center"/>
          </w:tcPr>
          <w:p>
            <w:pPr>
              <w:widowControl/>
              <w:spacing w:line="360" w:lineRule="auto"/>
              <w:jc w:val="left"/>
              <w:rPr>
                <w:rFonts w:ascii="Times New Roman" w:hAnsi="Times New Roman" w:eastAsia="Times New Roman" w:cs="Times New Roman"/>
                <w:kern w:val="0"/>
                <w:sz w:val="24"/>
                <w:szCs w:val="24"/>
              </w:rPr>
            </w:pPr>
          </w:p>
        </w:tc>
        <w:tc>
          <w:tcPr>
            <w:tcW w:w="1667" w:type="dxa"/>
            <w:vAlign w:val="center"/>
          </w:tcPr>
          <w:p>
            <w:pPr>
              <w:widowControl/>
              <w:spacing w:line="360" w:lineRule="auto"/>
              <w:jc w:val="left"/>
              <w:rPr>
                <w:rFonts w:ascii="Times New Roman" w:hAnsi="Times New Roman" w:eastAsia="Times New Roman" w:cs="Times New Roman"/>
                <w:kern w:val="0"/>
                <w:sz w:val="24"/>
                <w:szCs w:val="24"/>
              </w:rPr>
            </w:pPr>
          </w:p>
        </w:tc>
      </w:tr>
    </w:tbl>
    <w:p>
      <w:pPr>
        <w:snapToGrid w:val="0"/>
        <w:spacing w:line="360" w:lineRule="auto"/>
        <w:ind w:firstLine="480" w:firstLineChars="200"/>
        <w:jc w:val="center"/>
        <w:rPr>
          <w:rFonts w:ascii="宋体" w:hAnsi="宋体" w:cs="宋体"/>
          <w:kern w:val="0"/>
          <w:sz w:val="24"/>
          <w:szCs w:val="24"/>
        </w:rPr>
      </w:pPr>
    </w:p>
    <w:p>
      <w:pPr>
        <w:snapToGrid w:val="0"/>
        <w:spacing w:line="360" w:lineRule="auto"/>
        <w:ind w:firstLine="480" w:firstLineChars="200"/>
        <w:jc w:val="center"/>
        <w:rPr>
          <w:rFonts w:ascii="宋体" w:hAnsi="宋体" w:cs="宋体"/>
          <w:kern w:val="0"/>
          <w:sz w:val="24"/>
          <w:szCs w:val="24"/>
        </w:rPr>
      </w:pPr>
      <w:r>
        <w:rPr>
          <w:rFonts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投标人（填写名称并盖章）：</w:t>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法定代表人或授权委托人（签字或盖章）：</w:t>
      </w:r>
    </w:p>
    <w:p>
      <w:pPr>
        <w:snapToGrid w:val="0"/>
        <w:spacing w:line="360" w:lineRule="auto"/>
        <w:ind w:firstLine="4320" w:firstLineChars="1800"/>
        <w:rPr>
          <w:rFonts w:ascii="宋体" w:hAnsi="宋体" w:cs="宋体"/>
          <w:sz w:val="24"/>
          <w:szCs w:val="24"/>
        </w:rPr>
      </w:pPr>
      <w:r>
        <w:rPr>
          <w:rFonts w:ascii="宋体" w:hAnsi="宋体" w:cs="宋体"/>
          <w:kern w:val="0"/>
          <w:sz w:val="24"/>
          <w:szCs w:val="24"/>
        </w:rPr>
        <w:t>日期：</w:t>
      </w:r>
    </w:p>
    <w:bookmarkEnd w:id="323"/>
    <w:bookmarkEnd w:id="324"/>
    <w:p>
      <w:pPr>
        <w:widowControl/>
        <w:spacing w:line="360" w:lineRule="auto"/>
        <w:jc w:val="center"/>
        <w:rPr>
          <w:rStyle w:val="82"/>
          <w:rFonts w:cs="Arial" w:asciiTheme="majorEastAsia" w:hAnsiTheme="majorEastAsia" w:eastAsiaTheme="majorEastAsia"/>
        </w:rPr>
        <w:sectPr>
          <w:pgSz w:w="11907" w:h="16840"/>
          <w:pgMar w:top="1418" w:right="1134" w:bottom="1361" w:left="1134" w:header="794" w:footer="794" w:gutter="0"/>
          <w:pgNumType w:fmt="decimal"/>
          <w:cols w:space="720" w:num="1"/>
          <w:docGrid w:linePitch="285" w:charSpace="0"/>
        </w:sectPr>
      </w:pPr>
    </w:p>
    <w:p>
      <w:pPr>
        <w:widowControl/>
        <w:spacing w:line="360" w:lineRule="auto"/>
        <w:jc w:val="center"/>
        <w:rPr>
          <w:rStyle w:val="82"/>
          <w:rFonts w:cs="Arial" w:asciiTheme="majorEastAsia" w:hAnsiTheme="majorEastAsia" w:eastAsiaTheme="majorEastAsia"/>
        </w:rPr>
      </w:pPr>
      <w:r>
        <w:rPr>
          <w:rStyle w:val="82"/>
          <w:rFonts w:cs="Arial" w:asciiTheme="majorEastAsia" w:hAnsiTheme="majorEastAsia" w:eastAsiaTheme="majorEastAsia"/>
        </w:rPr>
        <w:t>（</w:t>
      </w:r>
      <w:r>
        <w:rPr>
          <w:rStyle w:val="82"/>
          <w:rFonts w:hint="eastAsia" w:cs="Arial" w:asciiTheme="majorEastAsia" w:hAnsiTheme="majorEastAsia" w:eastAsiaTheme="majorEastAsia"/>
        </w:rPr>
        <w:t>五</w:t>
      </w:r>
      <w:r>
        <w:rPr>
          <w:rStyle w:val="82"/>
          <w:rFonts w:cs="Arial" w:asciiTheme="majorEastAsia" w:hAnsiTheme="majorEastAsia" w:eastAsiaTheme="majorEastAsia"/>
        </w:rPr>
        <w:t>） 投标人简介</w:t>
      </w:r>
    </w:p>
    <w:p>
      <w:pPr>
        <w:pStyle w:val="2"/>
        <w:numPr>
          <w:ilvl w:val="0"/>
          <w:numId w:val="0"/>
        </w:numPr>
        <w:ind w:left="567"/>
      </w:pPr>
    </w:p>
    <w:bookmarkEnd w:id="325"/>
    <w:p>
      <w:pPr>
        <w:snapToGrid w:val="0"/>
        <w:spacing w:line="360" w:lineRule="auto"/>
        <w:rPr>
          <w:rFonts w:ascii="宋体" w:hAnsi="宋体" w:cs="宋体"/>
          <w:kern w:val="0"/>
          <w:sz w:val="24"/>
        </w:rPr>
      </w:pPr>
      <w:bookmarkStart w:id="331" w:name="_Toc264213367"/>
      <w:r>
        <w:rPr>
          <w:rFonts w:ascii="宋体" w:hAnsi="宋体" w:cs="宋体"/>
          <w:kern w:val="0"/>
          <w:sz w:val="24"/>
        </w:rPr>
        <w:t>1、 资格证明文件：</w:t>
      </w:r>
    </w:p>
    <w:p>
      <w:pPr>
        <w:snapToGrid w:val="0"/>
        <w:spacing w:line="360" w:lineRule="auto"/>
        <w:ind w:firstLine="240" w:firstLineChars="100"/>
        <w:rPr>
          <w:rFonts w:ascii="宋体" w:hAnsi="宋体" w:cs="宋体"/>
          <w:kern w:val="0"/>
          <w:sz w:val="24"/>
        </w:rPr>
      </w:pPr>
      <w:r>
        <w:rPr>
          <w:rFonts w:ascii="宋体" w:hAnsi="宋体" w:cs="宋体"/>
          <w:kern w:val="0"/>
          <w:sz w:val="24"/>
        </w:rPr>
        <w:t>（1） 投标人营业执照副本、 税务登记证副本、 组织代码证副本（或已办理三证合</w:t>
      </w:r>
      <w:r>
        <w:rPr>
          <w:rFonts w:hint="eastAsia" w:ascii="宋体" w:hAnsi="宋体" w:cs="宋体"/>
          <w:kern w:val="0"/>
          <w:sz w:val="24"/>
        </w:rPr>
        <w:br w:type="textWrapping"/>
      </w:r>
      <w:r>
        <w:rPr>
          <w:rFonts w:ascii="宋体" w:hAnsi="宋体" w:cs="宋体"/>
          <w:kern w:val="0"/>
          <w:sz w:val="24"/>
        </w:rPr>
        <w:t>一手续的投标人， 须提供三证合一证件）</w:t>
      </w:r>
      <w:r>
        <w:rPr>
          <w:rFonts w:hint="eastAsia" w:ascii="宋体" w:hAnsi="宋体" w:cs="宋体"/>
          <w:kern w:val="0"/>
          <w:sz w:val="24"/>
        </w:rPr>
        <w:br w:type="textWrapping"/>
      </w:r>
      <w:r>
        <w:rPr>
          <w:rFonts w:hint="eastAsia" w:ascii="宋体" w:hAnsi="宋体" w:cs="宋体"/>
          <w:kern w:val="0"/>
          <w:sz w:val="24"/>
        </w:rPr>
        <w:t xml:space="preserve">  </w:t>
      </w:r>
      <w:r>
        <w:rPr>
          <w:rFonts w:ascii="宋体" w:hAnsi="宋体" w:cs="宋体"/>
          <w:kern w:val="0"/>
          <w:sz w:val="24"/>
        </w:rPr>
        <w:t>（</w:t>
      </w:r>
      <w:r>
        <w:rPr>
          <w:rFonts w:hint="eastAsia" w:ascii="宋体" w:hAnsi="宋体" w:cs="宋体"/>
          <w:kern w:val="0"/>
          <w:sz w:val="24"/>
        </w:rPr>
        <w:t>2</w:t>
      </w:r>
      <w:r>
        <w:rPr>
          <w:rFonts w:ascii="宋体" w:hAnsi="宋体" w:cs="宋体"/>
          <w:kern w:val="0"/>
          <w:sz w:val="24"/>
        </w:rPr>
        <w:t>） 近期社保金缴费凭证复印件；</w:t>
      </w:r>
      <w:r>
        <w:rPr>
          <w:rFonts w:hint="eastAsia" w:ascii="宋体" w:hAnsi="宋体" w:cs="宋体"/>
          <w:kern w:val="0"/>
          <w:sz w:val="24"/>
        </w:rPr>
        <w:br w:type="textWrapping"/>
      </w:r>
      <w:r>
        <w:rPr>
          <w:rFonts w:hint="eastAsia" w:ascii="宋体" w:hAnsi="宋体" w:cs="宋体"/>
          <w:kern w:val="0"/>
          <w:sz w:val="24"/>
        </w:rPr>
        <w:t xml:space="preserve">  </w:t>
      </w:r>
      <w:r>
        <w:rPr>
          <w:rFonts w:ascii="宋体" w:hAnsi="宋体" w:cs="宋体"/>
          <w:kern w:val="0"/>
          <w:sz w:val="24"/>
        </w:rPr>
        <w:t>（</w:t>
      </w:r>
      <w:r>
        <w:rPr>
          <w:rFonts w:hint="eastAsia" w:ascii="宋体" w:hAnsi="宋体" w:cs="宋体"/>
          <w:kern w:val="0"/>
          <w:sz w:val="24"/>
        </w:rPr>
        <w:t>3</w:t>
      </w:r>
      <w:r>
        <w:rPr>
          <w:rFonts w:ascii="宋体" w:hAnsi="宋体" w:cs="宋体"/>
          <w:kern w:val="0"/>
          <w:sz w:val="24"/>
        </w:rPr>
        <w:t>） 近期纳税证明复印件；</w:t>
      </w: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t xml:space="preserve">  </w:t>
      </w:r>
      <w:r>
        <w:rPr>
          <w:rFonts w:ascii="宋体" w:hAnsi="宋体" w:cs="宋体"/>
          <w:kern w:val="0"/>
          <w:sz w:val="24"/>
        </w:rPr>
        <w:t>（</w:t>
      </w:r>
      <w:r>
        <w:rPr>
          <w:rFonts w:hint="eastAsia" w:ascii="宋体" w:hAnsi="宋体" w:cs="宋体"/>
          <w:kern w:val="0"/>
          <w:sz w:val="24"/>
        </w:rPr>
        <w:t>4</w:t>
      </w:r>
      <w:r>
        <w:rPr>
          <w:rFonts w:ascii="宋体" w:hAnsi="宋体" w:cs="宋体"/>
          <w:kern w:val="0"/>
          <w:sz w:val="24"/>
        </w:rPr>
        <w:t>） 投标人认为需要提供的其它资格证明文件。</w:t>
      </w:r>
      <w:r>
        <w:rPr>
          <w:rFonts w:hint="eastAsia" w:ascii="宋体" w:hAnsi="宋体" w:cs="宋体"/>
          <w:kern w:val="0"/>
          <w:sz w:val="24"/>
        </w:rPr>
        <w:br w:type="textWrapping"/>
      </w:r>
      <w:r>
        <w:rPr>
          <w:rFonts w:ascii="宋体" w:hAnsi="宋体" w:cs="宋体"/>
          <w:kern w:val="0"/>
          <w:sz w:val="24"/>
        </w:rPr>
        <w:t>2、 投标人简介： 包括投标人概况、 管理组织机构、 经营情况、 企业信誉、 人员状</w:t>
      </w:r>
      <w:r>
        <w:rPr>
          <w:rFonts w:hint="eastAsia" w:ascii="宋体" w:hAnsi="宋体" w:cs="宋体"/>
          <w:kern w:val="0"/>
          <w:sz w:val="24"/>
        </w:rPr>
        <w:br w:type="textWrapping"/>
      </w:r>
      <w:r>
        <w:rPr>
          <w:rFonts w:ascii="宋体" w:hAnsi="宋体" w:cs="宋体"/>
          <w:kern w:val="0"/>
          <w:sz w:val="24"/>
        </w:rPr>
        <w:t>况等；</w:t>
      </w:r>
      <w:r>
        <w:rPr>
          <w:rFonts w:hint="eastAsia" w:ascii="宋体" w:hAnsi="宋体" w:cs="宋体"/>
          <w:kern w:val="0"/>
          <w:sz w:val="24"/>
        </w:rPr>
        <w:br w:type="textWrapping"/>
      </w:r>
      <w:r>
        <w:rPr>
          <w:rFonts w:ascii="宋体" w:hAnsi="宋体" w:cs="宋体"/>
          <w:kern w:val="0"/>
          <w:sz w:val="24"/>
        </w:rPr>
        <w:t>3、 招标文件规定的或其它投标人认为需要提供的内容。</w:t>
      </w:r>
    </w:p>
    <w:bookmarkEnd w:id="331"/>
    <w:p>
      <w:pPr>
        <w:spacing w:line="360" w:lineRule="auto"/>
        <w:ind w:firstLine="5160" w:firstLineChars="2150"/>
        <w:rPr>
          <w:rFonts w:ascii="宋体" w:cs="Times New Roman"/>
          <w:sz w:val="24"/>
          <w:szCs w:val="24"/>
        </w:rPr>
      </w:pPr>
    </w:p>
    <w:p>
      <w:pPr>
        <w:spacing w:line="360" w:lineRule="auto"/>
        <w:rPr>
          <w:rFonts w:ascii="宋体" w:cs="Times New Roman"/>
          <w:b/>
          <w:bCs/>
          <w:sz w:val="28"/>
          <w:szCs w:val="28"/>
        </w:rPr>
      </w:pPr>
    </w:p>
    <w:p>
      <w:pPr>
        <w:pStyle w:val="2"/>
        <w:pageBreakBefore/>
        <w:numPr>
          <w:ilvl w:val="0"/>
          <w:numId w:val="0"/>
        </w:numPr>
        <w:spacing w:afterLines="100"/>
        <w:jc w:val="center"/>
        <w:rPr>
          <w:rStyle w:val="82"/>
          <w:rFonts w:asciiTheme="majorEastAsia" w:hAnsiTheme="majorEastAsia" w:eastAsiaTheme="majorEastAsia"/>
          <w:b/>
          <w:bCs/>
        </w:rPr>
      </w:pPr>
      <w:bookmarkStart w:id="332" w:name="_Toc16965"/>
      <w:bookmarkStart w:id="333" w:name="_Toc10188496"/>
      <w:bookmarkStart w:id="334" w:name="_Toc8283305"/>
      <w:r>
        <w:rPr>
          <w:rStyle w:val="82"/>
          <w:rFonts w:hint="eastAsia" w:asciiTheme="majorEastAsia" w:hAnsiTheme="majorEastAsia" w:eastAsiaTheme="majorEastAsia"/>
          <w:b/>
          <w:bCs/>
        </w:rPr>
        <w:t>（六）投标保证金</w:t>
      </w:r>
      <w:bookmarkEnd w:id="332"/>
      <w:bookmarkEnd w:id="333"/>
      <w:bookmarkEnd w:id="334"/>
    </w:p>
    <w:p>
      <w:pPr>
        <w:spacing w:line="360" w:lineRule="auto"/>
        <w:rPr>
          <w:rFonts w:ascii="宋体" w:cs="Times New Roman"/>
          <w:b/>
          <w:bCs/>
          <w:sz w:val="28"/>
          <w:szCs w:val="28"/>
        </w:rPr>
      </w:pPr>
    </w:p>
    <w:p>
      <w:pPr>
        <w:spacing w:line="360" w:lineRule="auto"/>
        <w:ind w:left="360" w:hanging="360" w:hangingChars="150"/>
        <w:rPr>
          <w:rFonts w:ascii="宋体" w:hAnsi="宋体"/>
          <w:sz w:val="24"/>
        </w:rPr>
      </w:pPr>
      <w:r>
        <w:rPr>
          <w:rFonts w:ascii="宋体" w:hAnsi="宋体"/>
          <w:sz w:val="24"/>
        </w:rPr>
        <w:t>致:</w:t>
      </w:r>
      <w:r>
        <w:rPr>
          <w:rFonts w:hint="eastAsia" w:ascii="宋体" w:hAnsi="宋体" w:cs="宋体"/>
          <w:sz w:val="24"/>
          <w:szCs w:val="24"/>
        </w:rPr>
        <w:t xml:space="preserve"> 三亚市海棠区综合行政执法局</w:t>
      </w:r>
      <w:r>
        <w:rPr>
          <w:rFonts w:hint="eastAsia"/>
        </w:rPr>
        <w:br w:type="textWrapping"/>
      </w:r>
      <w:r>
        <w:rPr>
          <w:rFonts w:ascii="宋体" w:hAnsi="宋体"/>
          <w:sz w:val="24"/>
        </w:rPr>
        <w:t>我司参加招标编号为 项目的招标活动， 于</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日交纳投标保证金</w:t>
      </w:r>
    </w:p>
    <w:p>
      <w:pPr>
        <w:spacing w:line="360" w:lineRule="auto"/>
        <w:ind w:left="360" w:hanging="360" w:hangingChars="150"/>
        <w:rPr>
          <w:rFonts w:ascii="宋体" w:hAnsi="宋体"/>
          <w:sz w:val="24"/>
        </w:rPr>
      </w:pPr>
      <w:r>
        <w:rPr>
          <w:rFonts w:hint="eastAsia" w:ascii="宋体" w:hAnsi="宋体"/>
          <w:sz w:val="24"/>
        </w:rPr>
        <w:t>50000.00</w:t>
      </w:r>
      <w:r>
        <w:rPr>
          <w:rFonts w:ascii="宋体" w:hAnsi="宋体"/>
          <w:sz w:val="24"/>
        </w:rPr>
        <w:t>元。 交纳方式为银行转帐。</w:t>
      </w:r>
    </w:p>
    <w:p>
      <w:pPr>
        <w:spacing w:line="360" w:lineRule="auto"/>
        <w:ind w:left="360" w:hanging="360" w:hangingChars="150"/>
        <w:rPr>
          <w:rFonts w:ascii="宋体" w:hAnsi="宋体"/>
          <w:sz w:val="24"/>
        </w:rPr>
      </w:pPr>
    </w:p>
    <w:p>
      <w:pPr>
        <w:spacing w:line="360" w:lineRule="auto"/>
        <w:ind w:left="315" w:hanging="315" w:hangingChars="150"/>
        <w:rPr>
          <w:rFonts w:ascii="宋体" w:hAnsi="宋体"/>
          <w:sz w:val="24"/>
        </w:rPr>
      </w:pPr>
      <w:r>
        <w:rPr>
          <w:rFonts w:hint="eastAsia"/>
        </w:rPr>
        <w:br w:type="textWrapping"/>
      </w:r>
      <w:r>
        <w:rPr>
          <w:rFonts w:ascii="宋体" w:hAnsi="宋体"/>
          <w:sz w:val="24"/>
        </w:rPr>
        <w:t>附： 缴纳投标保证金凭证</w:t>
      </w:r>
      <w:r>
        <w:rPr>
          <w:rFonts w:hint="eastAsia"/>
        </w:rPr>
        <w:br w:type="textWrapping"/>
      </w:r>
    </w:p>
    <w:p>
      <w:pPr>
        <w:spacing w:line="360" w:lineRule="auto"/>
        <w:ind w:left="360" w:hanging="360" w:hangingChars="150"/>
        <w:rPr>
          <w:rFonts w:ascii="宋体" w:hAnsi="宋体"/>
          <w:sz w:val="24"/>
        </w:rPr>
      </w:pPr>
    </w:p>
    <w:p>
      <w:pPr>
        <w:spacing w:line="360" w:lineRule="auto"/>
        <w:ind w:left="360" w:hanging="360" w:hangingChars="150"/>
        <w:jc w:val="center"/>
        <w:rPr>
          <w:rFonts w:ascii="宋体" w:hAnsi="宋体" w:cs="宋体"/>
          <w:kern w:val="0"/>
          <w:sz w:val="24"/>
          <w:szCs w:val="24"/>
        </w:rPr>
      </w:pPr>
      <w:r>
        <w:rPr>
          <w:rFonts w:hint="eastAsia" w:ascii="宋体" w:hAnsi="宋体" w:cs="宋体"/>
          <w:kern w:val="0"/>
          <w:sz w:val="24"/>
          <w:szCs w:val="24"/>
        </w:rPr>
        <w:t xml:space="preserve">         </w:t>
      </w:r>
    </w:p>
    <w:p>
      <w:pPr>
        <w:spacing w:line="360" w:lineRule="auto"/>
        <w:ind w:left="360" w:hanging="360" w:hangingChars="150"/>
        <w:jc w:val="center"/>
        <w:rPr>
          <w:rFonts w:ascii="宋体" w:hAnsi="宋体" w:cs="宋体"/>
          <w:kern w:val="0"/>
          <w:sz w:val="24"/>
          <w:szCs w:val="24"/>
        </w:rPr>
      </w:pPr>
      <w:r>
        <w:rPr>
          <w:rFonts w:hint="eastAsia" w:ascii="宋体" w:hAnsi="宋体" w:cs="宋体"/>
          <w:kern w:val="0"/>
          <w:sz w:val="24"/>
          <w:szCs w:val="24"/>
        </w:rPr>
        <w:t xml:space="preserve">       </w:t>
      </w:r>
    </w:p>
    <w:p>
      <w:pPr>
        <w:spacing w:line="360" w:lineRule="auto"/>
        <w:ind w:left="360" w:hanging="360" w:hangingChars="150"/>
        <w:jc w:val="center"/>
      </w:pPr>
      <w:r>
        <w:rPr>
          <w:rFonts w:hint="eastAsia" w:ascii="宋体" w:hAnsi="宋体" w:cs="宋体"/>
          <w:kern w:val="0"/>
          <w:sz w:val="24"/>
          <w:szCs w:val="24"/>
        </w:rPr>
        <w:t xml:space="preserve">                       </w:t>
      </w:r>
      <w:r>
        <w:rPr>
          <w:rFonts w:ascii="宋体" w:hAnsi="宋体" w:cs="宋体"/>
          <w:kern w:val="0"/>
          <w:sz w:val="24"/>
          <w:szCs w:val="24"/>
        </w:rPr>
        <w:t>投标人（填写名称并盖章）：</w:t>
      </w:r>
      <w:r>
        <w:rPr>
          <w:rFonts w:hint="eastAsia"/>
        </w:rPr>
        <w:t xml:space="preserve"> </w:t>
      </w:r>
    </w:p>
    <w:p>
      <w:pPr>
        <w:spacing w:line="360" w:lineRule="auto"/>
        <w:ind w:left="315" w:leftChars="150" w:firstLine="4320" w:firstLineChars="1800"/>
        <w:rPr>
          <w:rFonts w:ascii="宋体" w:cs="Times New Roman"/>
          <w:b/>
          <w:bCs/>
          <w:sz w:val="28"/>
          <w:szCs w:val="28"/>
        </w:rPr>
      </w:pPr>
      <w:r>
        <w:rPr>
          <w:rFonts w:hint="eastAsia" w:ascii="宋体" w:hAnsi="宋体"/>
          <w:sz w:val="24"/>
        </w:rPr>
        <w:t>日期：</w:t>
      </w: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pStyle w:val="2"/>
        <w:pageBreakBefore/>
        <w:numPr>
          <w:ilvl w:val="0"/>
          <w:numId w:val="0"/>
        </w:numPr>
        <w:spacing w:afterLines="100"/>
        <w:jc w:val="center"/>
        <w:rPr>
          <w:rStyle w:val="82"/>
          <w:rFonts w:asciiTheme="majorEastAsia" w:hAnsiTheme="majorEastAsia" w:eastAsiaTheme="majorEastAsia"/>
          <w:b/>
          <w:bCs/>
        </w:rPr>
        <w:sectPr>
          <w:pgSz w:w="11907" w:h="16840"/>
          <w:pgMar w:top="1418" w:right="1134" w:bottom="1361" w:left="1134" w:header="794" w:footer="794" w:gutter="0"/>
          <w:pgNumType w:fmt="decimal"/>
          <w:cols w:space="720" w:num="1"/>
          <w:docGrid w:linePitch="285" w:charSpace="0"/>
        </w:sectPr>
      </w:pPr>
      <w:bookmarkStart w:id="335" w:name="_Toc1958"/>
      <w:bookmarkStart w:id="336" w:name="_Toc480202223"/>
      <w:bookmarkStart w:id="337" w:name="_Toc8283306"/>
    </w:p>
    <w:p>
      <w:pPr>
        <w:spacing w:afterLines="50" w:line="440" w:lineRule="exact"/>
        <w:jc w:val="center"/>
        <w:rPr>
          <w:rStyle w:val="82"/>
          <w:rFonts w:cs="Arial" w:asciiTheme="majorEastAsia" w:hAnsiTheme="majorEastAsia" w:eastAsiaTheme="majorEastAsia"/>
          <w:b w:val="0"/>
          <w:bCs w:val="0"/>
        </w:rPr>
      </w:pPr>
      <w:r>
        <w:rPr>
          <w:rStyle w:val="82"/>
          <w:rFonts w:hint="eastAsia" w:cs="Arial" w:asciiTheme="majorEastAsia" w:hAnsiTheme="majorEastAsia" w:eastAsiaTheme="majorEastAsia"/>
        </w:rPr>
        <w:t>（七）中小企业声明函</w:t>
      </w:r>
    </w:p>
    <w:p>
      <w:pPr>
        <w:pStyle w:val="40"/>
        <w:spacing w:line="440" w:lineRule="exact"/>
        <w:ind w:firstLine="480"/>
      </w:pPr>
    </w:p>
    <w:p>
      <w:pPr>
        <w:pStyle w:val="40"/>
        <w:spacing w:line="440" w:lineRule="exact"/>
        <w:ind w:firstLine="480"/>
        <w:rPr>
          <w:rFonts w:cs="Times New Roman"/>
        </w:rPr>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rPr>
          <w:rFonts w:cs="Times New Roman"/>
        </w:rPr>
        <w:br w:type="textWrapping"/>
      </w:r>
      <w:r>
        <w:rPr>
          <w:rFonts w:hint="eastAsia"/>
        </w:rPr>
        <w:t>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rPr>
          <w:rFonts w:cs="Times New Roman"/>
        </w:rPr>
        <w:br w:type="textWrapping"/>
      </w:r>
      <w:r>
        <w:rPr>
          <w:rFonts w:hint="eastAsia"/>
        </w:rPr>
        <w:t>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rPr>
          <w:rFonts w:cs="Times New Roman"/>
        </w:rPr>
        <w:br w:type="textWrapping"/>
      </w:r>
      <w:r>
        <w:rPr>
          <w:rFonts w:hint="eastAsia"/>
        </w:rPr>
        <w:t>　　本公司对上述声明的真实性负责。如有虚假，将依法承担相应责任。</w:t>
      </w:r>
      <w:r>
        <w:rPr>
          <w:rFonts w:cs="Times New Roman"/>
        </w:rPr>
        <w:br w:type="textWrapping"/>
      </w:r>
      <w:r>
        <w:rPr>
          <w:rFonts w:hint="eastAsia"/>
        </w:rPr>
        <w:t>　　</w:t>
      </w:r>
    </w:p>
    <w:p>
      <w:pPr>
        <w:pStyle w:val="40"/>
        <w:spacing w:line="440" w:lineRule="exact"/>
        <w:ind w:right="720" w:firstLine="480"/>
        <w:jc w:val="right"/>
      </w:pPr>
      <w:r>
        <w:t>投标人（填写名称并盖章）：</w:t>
      </w:r>
    </w:p>
    <w:p>
      <w:pPr>
        <w:pStyle w:val="40"/>
        <w:spacing w:line="440" w:lineRule="exact"/>
        <w:ind w:right="1200" w:firstLine="480"/>
      </w:pPr>
      <w:r>
        <w:rPr>
          <w:rFonts w:hint="eastAsia"/>
        </w:rPr>
        <w:t xml:space="preserve">                                            日期：</w:t>
      </w:r>
    </w:p>
    <w:p>
      <w:pPr>
        <w:pStyle w:val="40"/>
        <w:spacing w:line="440" w:lineRule="exact"/>
        <w:ind w:firstLine="480"/>
        <w:rPr>
          <w:rFonts w:cs="Times New Roman"/>
          <w:sz w:val="28"/>
          <w:szCs w:val="28"/>
        </w:rPr>
      </w:pPr>
    </w:p>
    <w:p>
      <w:pPr>
        <w:spacing w:line="440" w:lineRule="exact"/>
        <w:ind w:firstLine="480" w:firstLineChars="200"/>
        <w:rPr>
          <w:rFonts w:ascii="宋体" w:hAnsi="宋体" w:cs="宋体"/>
          <w:sz w:val="24"/>
          <w:szCs w:val="24"/>
        </w:rPr>
      </w:pPr>
    </w:p>
    <w:p>
      <w:pPr>
        <w:spacing w:line="440" w:lineRule="exact"/>
        <w:ind w:firstLine="480" w:firstLineChars="200"/>
        <w:rPr>
          <w:rFonts w:ascii="宋体" w:hAnsi="宋体" w:cs="宋体"/>
          <w:sz w:val="24"/>
          <w:szCs w:val="24"/>
        </w:rPr>
      </w:pPr>
    </w:p>
    <w:p>
      <w:pPr>
        <w:spacing w:line="440" w:lineRule="exact"/>
        <w:ind w:firstLine="480" w:firstLineChars="200"/>
        <w:rPr>
          <w:rFonts w:ascii="宋体" w:hAnsi="宋体" w:cs="宋体"/>
          <w:sz w:val="24"/>
          <w:szCs w:val="24"/>
        </w:rPr>
      </w:pPr>
    </w:p>
    <w:p>
      <w:pPr>
        <w:pStyle w:val="2"/>
        <w:pageBreakBefore/>
        <w:numPr>
          <w:ilvl w:val="0"/>
          <w:numId w:val="0"/>
        </w:numPr>
        <w:spacing w:afterLines="100"/>
        <w:jc w:val="center"/>
        <w:rPr>
          <w:rStyle w:val="82"/>
          <w:rFonts w:asciiTheme="majorEastAsia" w:hAnsiTheme="majorEastAsia" w:eastAsiaTheme="majorEastAsia"/>
          <w:b/>
          <w:bCs/>
        </w:rPr>
      </w:pPr>
      <w:bookmarkStart w:id="338" w:name="_Toc10188497"/>
      <w:r>
        <w:rPr>
          <w:rStyle w:val="82"/>
          <w:rFonts w:hint="eastAsia" w:asciiTheme="majorEastAsia" w:hAnsiTheme="majorEastAsia" w:eastAsiaTheme="majorEastAsia"/>
          <w:b/>
          <w:bCs/>
        </w:rPr>
        <w:t>（八）反商业贿赂承诺书</w:t>
      </w:r>
      <w:bookmarkEnd w:id="338"/>
    </w:p>
    <w:p>
      <w:pPr>
        <w:spacing w:line="440" w:lineRule="exact"/>
        <w:rPr>
          <w:rFonts w:ascii="宋体" w:hAnsi="宋体" w:cs="宋体"/>
          <w:sz w:val="24"/>
        </w:rPr>
      </w:pPr>
    </w:p>
    <w:p>
      <w:pPr>
        <w:spacing w:line="440" w:lineRule="exact"/>
        <w:jc w:val="left"/>
        <w:rPr>
          <w:rFonts w:ascii="宋体" w:hAnsi="宋体" w:cs="宋体"/>
          <w:b/>
          <w:sz w:val="28"/>
          <w:szCs w:val="28"/>
        </w:rPr>
      </w:pPr>
      <w:r>
        <w:rPr>
          <w:rFonts w:hint="eastAsia" w:ascii="宋体" w:hAnsi="宋体" w:cs="宋体"/>
          <w:b/>
          <w:sz w:val="28"/>
          <w:szCs w:val="28"/>
        </w:rPr>
        <w:t>我公司郑重承诺：</w:t>
      </w:r>
    </w:p>
    <w:p>
      <w:pPr>
        <w:spacing w:line="440" w:lineRule="exact"/>
        <w:ind w:firstLine="480"/>
        <w:rPr>
          <w:rFonts w:ascii="宋体" w:hAnsi="宋体" w:cs="宋体"/>
          <w:iCs/>
          <w:sz w:val="24"/>
          <w:u w:val="single"/>
        </w:rPr>
      </w:pPr>
      <w:r>
        <w:rPr>
          <w:rFonts w:hint="eastAsia" w:ascii="宋体" w:hAnsi="宋体" w:cs="宋体"/>
          <w:sz w:val="24"/>
        </w:rPr>
        <w:t>在</w:t>
      </w:r>
      <w:r>
        <w:rPr>
          <w:rFonts w:hint="eastAsia" w:ascii="宋体" w:hAnsi="宋体" w:cs="宋体"/>
          <w:iCs/>
          <w:sz w:val="24"/>
          <w:u w:val="single"/>
        </w:rPr>
        <w:t xml:space="preserve">                              </w:t>
      </w:r>
      <w:r>
        <w:rPr>
          <w:rFonts w:hint="eastAsia" w:ascii="宋体" w:hAnsi="宋体" w:cs="宋体"/>
          <w:iCs/>
          <w:sz w:val="24"/>
        </w:rPr>
        <w:t>招</w:t>
      </w:r>
      <w:r>
        <w:rPr>
          <w:rFonts w:hint="eastAsia" w:ascii="宋体" w:hAnsi="宋体" w:cs="宋体"/>
          <w:sz w:val="24"/>
        </w:rPr>
        <w:t>标活动中，我公司保证做到：</w:t>
      </w:r>
    </w:p>
    <w:p>
      <w:pPr>
        <w:spacing w:line="440" w:lineRule="exact"/>
        <w:ind w:firstLine="480"/>
        <w:rPr>
          <w:rFonts w:ascii="宋体" w:hAnsi="宋体" w:cs="宋体"/>
          <w:sz w:val="24"/>
        </w:rPr>
      </w:pPr>
      <w:r>
        <w:rPr>
          <w:rFonts w:hint="eastAsia" w:ascii="宋体" w:hAnsi="宋体" w:cs="宋体"/>
          <w:sz w:val="24"/>
        </w:rPr>
        <w:t>一、公平竞争参加本次招标活动。</w:t>
      </w:r>
    </w:p>
    <w:p>
      <w:pPr>
        <w:spacing w:line="440" w:lineRule="exact"/>
        <w:ind w:firstLine="480"/>
        <w:rPr>
          <w:rFonts w:ascii="宋体" w:hAnsi="宋体" w:cs="宋体"/>
          <w:sz w:val="24"/>
        </w:rPr>
      </w:pPr>
      <w:r>
        <w:rPr>
          <w:rFonts w:hint="eastAsia" w:ascii="宋体" w:hAnsi="宋体" w:cs="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440" w:lineRule="exact"/>
        <w:ind w:firstLine="480"/>
        <w:rPr>
          <w:rFonts w:ascii="宋体" w:hAnsi="宋体" w:cs="宋体"/>
          <w:sz w:val="24"/>
        </w:rPr>
      </w:pPr>
      <w:r>
        <w:rPr>
          <w:rFonts w:hint="eastAsia" w:ascii="宋体" w:hAnsi="宋体" w:cs="宋体"/>
          <w:sz w:val="24"/>
        </w:rPr>
        <w:t>三、若出现上述行为，我公司及参与投标的工作人员愿意接受按照国家法律法规等有关规定给予的处罚。</w:t>
      </w:r>
    </w:p>
    <w:p>
      <w:pPr>
        <w:spacing w:line="440" w:lineRule="exact"/>
        <w:rPr>
          <w:rFonts w:ascii="宋体" w:hAnsi="宋体" w:cs="宋体"/>
          <w:sz w:val="24"/>
        </w:rPr>
      </w:pPr>
    </w:p>
    <w:p>
      <w:pPr>
        <w:spacing w:line="440" w:lineRule="exact"/>
        <w:jc w:val="center"/>
        <w:rPr>
          <w:rFonts w:ascii="宋体" w:hAnsi="宋体" w:cs="宋体"/>
          <w:sz w:val="24"/>
        </w:rPr>
      </w:pPr>
      <w:r>
        <w:rPr>
          <w:rFonts w:hint="eastAsia" w:ascii="宋体" w:hAnsi="宋体" w:cs="宋体"/>
          <w:sz w:val="24"/>
        </w:rPr>
        <w:t>公司法人代表：</w:t>
      </w:r>
      <w:r>
        <w:rPr>
          <w:rFonts w:hint="eastAsia" w:ascii="宋体" w:hAnsi="宋体" w:cs="宋体"/>
          <w:iCs/>
          <w:sz w:val="24"/>
          <w:u w:val="single"/>
        </w:rPr>
        <w:t>（签字）</w:t>
      </w:r>
    </w:p>
    <w:p>
      <w:pPr>
        <w:spacing w:line="440" w:lineRule="exact"/>
        <w:jc w:val="center"/>
        <w:rPr>
          <w:rFonts w:ascii="宋体" w:hAnsi="宋体" w:cs="宋体"/>
          <w:sz w:val="24"/>
        </w:rPr>
      </w:pPr>
      <w:r>
        <w:rPr>
          <w:rFonts w:hint="eastAsia" w:ascii="宋体" w:hAnsi="宋体" w:cs="宋体"/>
          <w:sz w:val="24"/>
        </w:rPr>
        <w:t>法人授权代表：</w:t>
      </w:r>
      <w:r>
        <w:rPr>
          <w:rFonts w:hint="eastAsia" w:ascii="宋体" w:hAnsi="宋体" w:cs="宋体"/>
          <w:iCs/>
          <w:sz w:val="24"/>
          <w:u w:val="single"/>
        </w:rPr>
        <w:t>（签字）</w:t>
      </w: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ind w:right="480" w:firstLine="5520" w:firstLineChars="2300"/>
        <w:rPr>
          <w:rFonts w:ascii="宋体" w:hAnsi="宋体" w:cs="宋体"/>
          <w:iCs/>
          <w:sz w:val="24"/>
          <w:u w:val="single"/>
        </w:rPr>
      </w:pPr>
      <w:r>
        <w:rPr>
          <w:rFonts w:hint="eastAsia" w:ascii="宋体" w:hAnsi="宋体" w:cs="宋体"/>
          <w:iCs/>
          <w:sz w:val="24"/>
          <w:u w:val="single"/>
        </w:rPr>
        <w:t>（公司公章）</w:t>
      </w:r>
    </w:p>
    <w:p>
      <w:pPr>
        <w:spacing w:line="440" w:lineRule="exact"/>
        <w:ind w:right="480" w:firstLine="5640" w:firstLineChars="2350"/>
        <w:rPr>
          <w:rFonts w:ascii="宋体" w:hAnsi="宋体" w:cs="宋体"/>
          <w:sz w:val="24"/>
        </w:rPr>
      </w:pPr>
      <w:r>
        <w:rPr>
          <w:rFonts w:hint="eastAsia" w:ascii="宋体" w:hAnsi="宋体" w:cs="宋体"/>
          <w:sz w:val="24"/>
        </w:rPr>
        <w:t>201</w:t>
      </w:r>
      <w:r>
        <w:rPr>
          <w:rFonts w:ascii="宋体" w:hAnsi="宋体" w:cs="宋体"/>
          <w:sz w:val="24"/>
        </w:rPr>
        <w:t>9</w:t>
      </w:r>
      <w:r>
        <w:rPr>
          <w:rFonts w:hint="eastAsia" w:ascii="宋体" w:hAnsi="宋体" w:cs="宋体"/>
          <w:sz w:val="24"/>
        </w:rPr>
        <w:t>年   月   日</w:t>
      </w:r>
    </w:p>
    <w:p>
      <w:pPr>
        <w:spacing w:line="360" w:lineRule="auto"/>
        <w:jc w:val="center"/>
        <w:outlineLvl w:val="0"/>
        <w:rPr>
          <w:rFonts w:ascii="宋体" w:hAnsi="宋体" w:cs="宋体"/>
          <w:b/>
          <w:bCs/>
          <w:sz w:val="36"/>
          <w:szCs w:val="36"/>
        </w:rPr>
      </w:pPr>
    </w:p>
    <w:p>
      <w:pPr>
        <w:spacing w:line="360" w:lineRule="auto"/>
        <w:jc w:val="center"/>
        <w:outlineLvl w:val="0"/>
        <w:rPr>
          <w:rFonts w:ascii="宋体" w:hAnsi="宋体" w:cs="宋体"/>
          <w:b/>
          <w:bCs/>
          <w:sz w:val="36"/>
          <w:szCs w:val="36"/>
        </w:rPr>
      </w:pPr>
    </w:p>
    <w:p>
      <w:pPr>
        <w:pStyle w:val="2"/>
        <w:pageBreakBefore/>
        <w:numPr>
          <w:ilvl w:val="0"/>
          <w:numId w:val="0"/>
        </w:numPr>
        <w:spacing w:afterLines="100"/>
        <w:jc w:val="center"/>
        <w:rPr>
          <w:rStyle w:val="82"/>
          <w:rFonts w:asciiTheme="majorEastAsia" w:hAnsiTheme="majorEastAsia" w:eastAsiaTheme="majorEastAsia"/>
          <w:b/>
          <w:bCs/>
        </w:rPr>
      </w:pPr>
      <w:bookmarkStart w:id="339" w:name="_Toc10188498"/>
      <w:r>
        <w:rPr>
          <w:rStyle w:val="82"/>
          <w:rFonts w:hint="eastAsia" w:asciiTheme="majorEastAsia" w:hAnsiTheme="majorEastAsia" w:eastAsiaTheme="majorEastAsia"/>
          <w:b/>
          <w:bCs/>
        </w:rPr>
        <w:t>（九）信用查询记录</w:t>
      </w:r>
      <w:bookmarkEnd w:id="339"/>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根据财库（</w:t>
      </w:r>
      <w:r>
        <w:rPr>
          <w:rFonts w:ascii="宋体" w:hAnsi="宋体" w:cs="宋体"/>
          <w:sz w:val="24"/>
        </w:rPr>
        <w:t>2016</w:t>
      </w:r>
      <w:r>
        <w:rPr>
          <w:rFonts w:hint="eastAsia" w:ascii="宋体" w:hAnsi="宋体" w:cs="宋体"/>
          <w:sz w:val="24"/>
        </w:rPr>
        <w:t>）</w:t>
      </w:r>
      <w:r>
        <w:rPr>
          <w:rFonts w:ascii="宋体" w:hAnsi="宋体" w:cs="宋体"/>
          <w:sz w:val="24"/>
        </w:rPr>
        <w:t>2017/4/17125</w:t>
      </w:r>
      <w:r>
        <w:rPr>
          <w:rFonts w:hint="eastAsia" w:ascii="宋体" w:hAnsi="宋体" w:cs="宋体"/>
          <w:sz w:val="24"/>
        </w:rPr>
        <w:t>号文的规定，各投标人需通过</w:t>
      </w:r>
      <w:r>
        <w:rPr>
          <w:rFonts w:ascii="宋体" w:hAnsi="宋体" w:cs="宋体"/>
          <w:sz w:val="24"/>
        </w:rPr>
        <w:t>"</w:t>
      </w:r>
      <w:r>
        <w:rPr>
          <w:rFonts w:hint="eastAsia" w:ascii="宋体" w:hAnsi="宋体" w:cs="宋体"/>
          <w:sz w:val="24"/>
        </w:rPr>
        <w:t>信用中国</w:t>
      </w:r>
      <w:r>
        <w:rPr>
          <w:rFonts w:ascii="宋体" w:hAnsi="宋体" w:cs="宋体"/>
          <w:sz w:val="24"/>
        </w:rPr>
        <w:t>"</w:t>
      </w:r>
      <w:r>
        <w:rPr>
          <w:rFonts w:hint="eastAsia" w:ascii="宋体" w:hAnsi="宋体" w:cs="宋体"/>
          <w:sz w:val="24"/>
        </w:rPr>
        <w:t>网站（</w:t>
      </w:r>
      <w:r>
        <w:rPr>
          <w:rFonts w:ascii="宋体" w:hAnsi="宋体" w:cs="宋体"/>
          <w:sz w:val="24"/>
        </w:rPr>
        <w:t>http://www.creditchina.gov.cn/</w:t>
      </w:r>
      <w:r>
        <w:rPr>
          <w:rFonts w:hint="eastAsia" w:ascii="宋体" w:hAnsi="宋体" w:cs="宋体"/>
          <w:sz w:val="24"/>
        </w:rPr>
        <w:t>）或中国政府采购网（</w:t>
      </w:r>
      <w:r>
        <w:rPr>
          <w:rFonts w:ascii="宋体" w:hAnsi="宋体" w:cs="宋体"/>
          <w:sz w:val="24"/>
        </w:rPr>
        <w:t>http://www.ccgp.gov.cn/</w:t>
      </w:r>
      <w:r>
        <w:rPr>
          <w:rFonts w:hint="eastAsia" w:ascii="宋体" w:hAnsi="宋体" w:cs="宋体"/>
          <w:sz w:val="24"/>
        </w:rPr>
        <w:t>）查询信用记录，并打印网站查询结果的截图。对列入失信被执行人、重大税收违法案件当事人名单、政府采购严重违法失信行为记录名单的单位拒绝其参与政府采购活动（提供网站截图）；</w:t>
      </w:r>
    </w:p>
    <w:p>
      <w:pPr>
        <w:spacing w:line="360" w:lineRule="auto"/>
        <w:ind w:firstLine="480" w:firstLineChars="200"/>
        <w:rPr>
          <w:sz w:val="24"/>
        </w:rPr>
      </w:pPr>
      <w:r>
        <w:rPr>
          <w:rFonts w:hint="eastAsia"/>
          <w:sz w:val="24"/>
        </w:rPr>
        <w:t>两个以上的自然人、法人或者其他组织组成一个联合体，以一个投标人的身份共同参加政府采购活动的，对所有联合体成员进行信用记录查询，联合体成员存在不良信用记录的，视同联合体存在不良信用记录。</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rPr>
          <w:rFonts w:ascii="宋体" w:hAnsi="宋体" w:cs="宋体"/>
          <w:sz w:val="24"/>
        </w:rPr>
      </w:pPr>
      <w:r>
        <w:rPr>
          <w:rFonts w:hint="eastAsia" w:ascii="宋体" w:hAnsi="宋体" w:cs="宋体"/>
          <w:sz w:val="24"/>
        </w:rPr>
        <w:t xml:space="preserve">                                   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ind w:firstLine="480" w:firstLineChars="200"/>
        <w:rPr>
          <w:sz w:val="24"/>
        </w:rPr>
      </w:pPr>
    </w:p>
    <w:p>
      <w:pPr>
        <w:pStyle w:val="2"/>
        <w:pageBreakBefore/>
        <w:numPr>
          <w:ilvl w:val="0"/>
          <w:numId w:val="0"/>
        </w:numPr>
        <w:spacing w:afterLines="100"/>
        <w:jc w:val="center"/>
        <w:rPr>
          <w:rStyle w:val="82"/>
          <w:rFonts w:asciiTheme="majorEastAsia" w:hAnsiTheme="majorEastAsia" w:eastAsiaTheme="majorEastAsia"/>
          <w:b/>
          <w:bCs/>
        </w:rPr>
        <w:sectPr>
          <w:pgSz w:w="11907" w:h="16840"/>
          <w:pgMar w:top="1418" w:right="1134" w:bottom="1361" w:left="1134" w:header="794" w:footer="794" w:gutter="0"/>
          <w:pgNumType w:fmt="decimal"/>
          <w:cols w:space="720" w:num="1"/>
          <w:docGrid w:linePitch="285" w:charSpace="0"/>
        </w:sectPr>
      </w:pPr>
    </w:p>
    <w:p>
      <w:pPr>
        <w:pStyle w:val="2"/>
        <w:pageBreakBefore/>
        <w:numPr>
          <w:ilvl w:val="0"/>
          <w:numId w:val="0"/>
        </w:numPr>
        <w:spacing w:afterLines="100"/>
        <w:jc w:val="center"/>
        <w:rPr>
          <w:rStyle w:val="82"/>
          <w:rFonts w:asciiTheme="majorEastAsia" w:hAnsiTheme="majorEastAsia" w:eastAsiaTheme="majorEastAsia"/>
          <w:b/>
          <w:bCs/>
        </w:rPr>
      </w:pPr>
      <w:bookmarkStart w:id="340" w:name="_Toc10188499"/>
      <w:r>
        <w:rPr>
          <w:rStyle w:val="82"/>
          <w:rFonts w:asciiTheme="majorEastAsia" w:hAnsiTheme="majorEastAsia" w:eastAsiaTheme="majorEastAsia"/>
          <w:b/>
          <w:bCs/>
        </w:rPr>
        <w:t>（</w:t>
      </w:r>
      <w:r>
        <w:rPr>
          <w:rStyle w:val="82"/>
          <w:rFonts w:hint="eastAsia" w:asciiTheme="majorEastAsia" w:hAnsiTheme="majorEastAsia" w:eastAsiaTheme="majorEastAsia"/>
          <w:b/>
          <w:bCs/>
        </w:rPr>
        <w:t>十</w:t>
      </w:r>
      <w:r>
        <w:rPr>
          <w:rStyle w:val="82"/>
          <w:rFonts w:asciiTheme="majorEastAsia" w:hAnsiTheme="majorEastAsia" w:eastAsiaTheme="majorEastAsia"/>
          <w:b/>
          <w:bCs/>
        </w:rPr>
        <w:t>） 无重大违法犯罪行为记录声明</w:t>
      </w:r>
      <w:bookmarkEnd w:id="340"/>
    </w:p>
    <w:p/>
    <w:p>
      <w:pPr>
        <w:pStyle w:val="2"/>
        <w:numPr>
          <w:ilvl w:val="0"/>
          <w:numId w:val="0"/>
        </w:numPr>
        <w:ind w:firstLine="480" w:firstLineChars="200"/>
        <w:rPr>
          <w:rFonts w:ascii="宋体" w:hAnsi="宋体" w:cs="Calibri"/>
          <w:b w:val="0"/>
          <w:bCs w:val="0"/>
          <w:sz w:val="24"/>
        </w:rPr>
      </w:pPr>
    </w:p>
    <w:p>
      <w:pPr>
        <w:pStyle w:val="2"/>
        <w:numPr>
          <w:ilvl w:val="0"/>
          <w:numId w:val="0"/>
        </w:numPr>
        <w:ind w:firstLine="480" w:firstLineChars="200"/>
        <w:rPr>
          <w:rFonts w:ascii="宋体" w:hAnsi="宋体" w:cs="Calibri"/>
          <w:b w:val="0"/>
          <w:bCs w:val="0"/>
          <w:sz w:val="24"/>
        </w:rPr>
      </w:pPr>
      <w:bookmarkStart w:id="341" w:name="_Toc10188500"/>
      <w:r>
        <w:rPr>
          <w:rFonts w:ascii="宋体" w:hAnsi="宋体" w:cs="Calibri"/>
          <w:b w:val="0"/>
          <w:bCs w:val="0"/>
          <w:sz w:val="24"/>
        </w:rPr>
        <w:t>本公司郑重声明， 我方在参加政府采购活动前三年内， 在经营活动中无重大违法</w:t>
      </w:r>
      <w:r>
        <w:rPr>
          <w:rFonts w:hint="eastAsia" w:ascii="Calibri" w:hAnsi="Calibri" w:cs="Calibri"/>
          <w:b w:val="0"/>
          <w:bCs w:val="0"/>
          <w:sz w:val="21"/>
          <w:szCs w:val="21"/>
        </w:rPr>
        <w:br w:type="textWrapping"/>
      </w:r>
      <w:r>
        <w:rPr>
          <w:rFonts w:ascii="宋体" w:hAnsi="宋体" w:cs="Calibri"/>
          <w:b w:val="0"/>
          <w:bCs w:val="0"/>
          <w:sz w:val="24"/>
        </w:rPr>
        <w:t>犯罪行为记录。</w:t>
      </w:r>
      <w:bookmarkEnd w:id="341"/>
      <w:r>
        <w:rPr>
          <w:rFonts w:hint="eastAsia" w:ascii="Calibri" w:hAnsi="Calibri" w:cs="Calibri"/>
          <w:b w:val="0"/>
          <w:bCs w:val="0"/>
          <w:sz w:val="21"/>
          <w:szCs w:val="21"/>
        </w:rPr>
        <w:br w:type="textWrapping"/>
      </w:r>
    </w:p>
    <w:p>
      <w:pPr>
        <w:pStyle w:val="2"/>
        <w:numPr>
          <w:ilvl w:val="0"/>
          <w:numId w:val="0"/>
        </w:numPr>
        <w:ind w:firstLine="480" w:firstLineChars="200"/>
        <w:rPr>
          <w:rFonts w:ascii="宋体" w:hAnsi="宋体" w:cs="Calibri"/>
          <w:b w:val="0"/>
          <w:bCs w:val="0"/>
          <w:sz w:val="24"/>
        </w:rPr>
      </w:pPr>
    </w:p>
    <w:p>
      <w:pPr>
        <w:spacing w:line="360" w:lineRule="auto"/>
        <w:ind w:firstLine="480"/>
        <w:rPr>
          <w:rFonts w:ascii="宋体" w:hAnsi="宋体" w:cs="宋体"/>
          <w:sz w:val="24"/>
        </w:rPr>
      </w:pPr>
      <w:r>
        <w:rPr>
          <w:rFonts w:hint="eastAsia" w:ascii="宋体" w:hAnsi="宋体" w:cs="宋体"/>
          <w:sz w:val="24"/>
        </w:rPr>
        <w:t xml:space="preserve">                                   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sectPr>
          <w:pgSz w:w="11907" w:h="16840"/>
          <w:pgMar w:top="1418" w:right="1134" w:bottom="1361" w:left="1134" w:header="794" w:footer="794" w:gutter="0"/>
          <w:pgNumType w:fmt="decimal"/>
          <w:cols w:space="720" w:num="1"/>
          <w:docGrid w:linePitch="285" w:charSpace="0"/>
        </w:sectPr>
      </w:pPr>
      <w:r>
        <w:rPr>
          <w:rFonts w:hint="eastAsia" w:ascii="宋体" w:hAnsi="宋体" w:cs="宋体"/>
          <w:sz w:val="24"/>
        </w:rPr>
        <w:t xml:space="preserve">                                   日期：</w:t>
      </w:r>
    </w:p>
    <w:p>
      <w:pPr>
        <w:spacing w:line="360" w:lineRule="auto"/>
        <w:jc w:val="center"/>
        <w:rPr>
          <w:rStyle w:val="82"/>
          <w:rFonts w:cs="Arial" w:asciiTheme="majorEastAsia" w:hAnsiTheme="majorEastAsia" w:eastAsiaTheme="majorEastAsia"/>
        </w:rPr>
      </w:pPr>
      <w:r>
        <w:rPr>
          <w:rStyle w:val="82"/>
          <w:rFonts w:cs="Arial" w:asciiTheme="majorEastAsia" w:hAnsiTheme="majorEastAsia" w:eastAsiaTheme="majorEastAsia"/>
        </w:rPr>
        <w:t>（十</w:t>
      </w:r>
      <w:r>
        <w:rPr>
          <w:rStyle w:val="82"/>
          <w:rFonts w:hint="eastAsia" w:cs="Arial" w:asciiTheme="majorEastAsia" w:hAnsiTheme="majorEastAsia" w:eastAsiaTheme="majorEastAsia"/>
        </w:rPr>
        <w:t>一</w:t>
      </w:r>
      <w:r>
        <w:rPr>
          <w:rStyle w:val="82"/>
          <w:rFonts w:cs="Arial" w:asciiTheme="majorEastAsia" w:hAnsiTheme="majorEastAsia" w:eastAsiaTheme="majorEastAsia"/>
        </w:rPr>
        <w:t>） 残疾人福利性单位声明函</w:t>
      </w:r>
    </w:p>
    <w:p>
      <w:pPr>
        <w:pStyle w:val="2"/>
        <w:numPr>
          <w:ilvl w:val="0"/>
          <w:numId w:val="0"/>
        </w:numPr>
        <w:ind w:firstLine="480" w:firstLineChars="200"/>
        <w:rPr>
          <w:rFonts w:ascii="宋体" w:hAnsi="宋体" w:cs="Calibri"/>
          <w:b w:val="0"/>
          <w:bCs w:val="0"/>
          <w:sz w:val="24"/>
        </w:rPr>
      </w:pPr>
    </w:p>
    <w:p>
      <w:pPr>
        <w:pStyle w:val="2"/>
        <w:numPr>
          <w:ilvl w:val="0"/>
          <w:numId w:val="0"/>
        </w:numPr>
        <w:ind w:firstLine="480" w:firstLineChars="200"/>
        <w:rPr>
          <w:rFonts w:ascii="宋体" w:hAnsi="宋体" w:cs="Calibri"/>
          <w:b w:val="0"/>
          <w:bCs w:val="0"/>
          <w:sz w:val="24"/>
        </w:rPr>
      </w:pPr>
    </w:p>
    <w:p>
      <w:pPr>
        <w:pStyle w:val="2"/>
        <w:numPr>
          <w:ilvl w:val="0"/>
          <w:numId w:val="0"/>
        </w:numPr>
        <w:ind w:firstLine="480" w:firstLineChars="200"/>
        <w:rPr>
          <w:rFonts w:ascii="宋体" w:hAnsi="宋体" w:cs="Calibri"/>
          <w:b w:val="0"/>
          <w:bCs w:val="0"/>
          <w:sz w:val="24"/>
        </w:rPr>
      </w:pPr>
      <w:bookmarkStart w:id="342" w:name="_Toc10188501"/>
      <w:r>
        <w:rPr>
          <w:rFonts w:ascii="宋体" w:hAnsi="宋体" w:cs="Calibri"/>
          <w:b w:val="0"/>
          <w:bCs w:val="0"/>
          <w:sz w:val="24"/>
        </w:rPr>
        <w:t>本单位郑重声明， 根据《财政部民政部中国残疾人联合会关于促进残疾人就业政府采购政策的通知》 （财库〔2017〕 141 号） 的规定， 本单位为符合条件的残疾人福利性单位， 且本单位参加______单位的______项目采购活动提供本单位制造的货物（由本单位承担工程/提供服务） ， 或者提供其他残疾人福利性单位制造的货物（不包括使用非残疾人福利性单位注册商标的货物） 。</w:t>
      </w:r>
      <w:bookmarkEnd w:id="342"/>
    </w:p>
    <w:p>
      <w:pPr>
        <w:pStyle w:val="2"/>
        <w:numPr>
          <w:ilvl w:val="0"/>
          <w:numId w:val="0"/>
        </w:numPr>
        <w:ind w:firstLine="480" w:firstLineChars="200"/>
        <w:rPr>
          <w:rFonts w:ascii="宋体" w:hAnsi="宋体" w:cs="Calibri"/>
          <w:b w:val="0"/>
          <w:bCs w:val="0"/>
          <w:sz w:val="24"/>
        </w:rPr>
      </w:pPr>
      <w:bookmarkStart w:id="343" w:name="_Toc10188502"/>
      <w:r>
        <w:rPr>
          <w:rFonts w:ascii="宋体" w:hAnsi="宋体" w:cs="Calibri"/>
          <w:b w:val="0"/>
          <w:bCs w:val="0"/>
          <w:sz w:val="24"/>
        </w:rPr>
        <w:t>本单位对上述声明的真实性负责。 如有虚假， 将依法承担相应责任。</w:t>
      </w:r>
      <w:bookmarkEnd w:id="343"/>
    </w:p>
    <w:p/>
    <w:p>
      <w:pPr>
        <w:pStyle w:val="2"/>
        <w:numPr>
          <w:ilvl w:val="0"/>
          <w:numId w:val="0"/>
        </w:numPr>
        <w:ind w:left="567" w:hanging="567"/>
        <w:jc w:val="left"/>
        <w:rPr>
          <w:rFonts w:ascii="宋体" w:hAnsi="宋体" w:cs="Calibri"/>
          <w:b w:val="0"/>
          <w:bCs w:val="0"/>
          <w:sz w:val="24"/>
        </w:rPr>
      </w:pPr>
    </w:p>
    <w:p>
      <w:pPr>
        <w:pStyle w:val="2"/>
        <w:numPr>
          <w:ilvl w:val="0"/>
          <w:numId w:val="0"/>
        </w:numPr>
        <w:ind w:firstLine="482" w:firstLineChars="200"/>
        <w:rPr>
          <w:rFonts w:ascii="宋体" w:hAnsi="宋体" w:cs="Calibri"/>
          <w:bCs w:val="0"/>
          <w:sz w:val="24"/>
        </w:rPr>
      </w:pPr>
      <w:bookmarkStart w:id="344" w:name="_Toc10188503"/>
      <w:r>
        <w:rPr>
          <w:rFonts w:ascii="宋体" w:hAnsi="宋体" w:cs="Calibri"/>
          <w:bCs w:val="0"/>
          <w:sz w:val="24"/>
        </w:rPr>
        <w:t>（注： 如为残疾人福利性单位， 需在《唱标表》 备注栏中注明， 且在唱标信封中附残疾性单位声明函， 否则其投标报价不做优惠折算。 ）</w:t>
      </w:r>
      <w:bookmarkEnd w:id="344"/>
    </w:p>
    <w:p/>
    <w:p>
      <w:pPr>
        <w:pStyle w:val="2"/>
        <w:numPr>
          <w:ilvl w:val="0"/>
          <w:numId w:val="0"/>
        </w:numPr>
        <w:ind w:left="567"/>
      </w:pPr>
    </w:p>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680" w:firstLineChars="1950"/>
        <w:rPr>
          <w:rFonts w:ascii="宋体" w:hAnsi="宋体" w:cs="宋体"/>
          <w:sz w:val="24"/>
        </w:rPr>
      </w:pPr>
      <w:r>
        <w:rPr>
          <w:rFonts w:hint="eastAsia" w:ascii="宋体" w:hAnsi="宋体" w:cs="宋体"/>
          <w:sz w:val="24"/>
        </w:rPr>
        <w:t>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sectPr>
          <w:pgSz w:w="11907" w:h="16840"/>
          <w:pgMar w:top="1418" w:right="1134" w:bottom="1361" w:left="1134" w:header="794" w:footer="794" w:gutter="0"/>
          <w:pgNumType w:fmt="decimal"/>
          <w:cols w:space="720" w:num="1"/>
          <w:docGrid w:linePitch="285" w:charSpace="0"/>
        </w:sectPr>
      </w:pPr>
      <w:r>
        <w:rPr>
          <w:rFonts w:hint="eastAsia" w:ascii="宋体" w:hAnsi="宋体" w:cs="宋体"/>
          <w:sz w:val="24"/>
        </w:rPr>
        <w:t xml:space="preserve">                                   日期：</w:t>
      </w:r>
    </w:p>
    <w:bookmarkEnd w:id="335"/>
    <w:bookmarkEnd w:id="336"/>
    <w:bookmarkEnd w:id="337"/>
    <w:p>
      <w:pPr>
        <w:widowControl/>
        <w:jc w:val="left"/>
        <w:rPr>
          <w:rFonts w:ascii="宋体" w:hAnsi="宋体"/>
          <w:b/>
          <w:sz w:val="32"/>
          <w:szCs w:val="36"/>
        </w:rPr>
      </w:pPr>
      <w:r>
        <w:rPr>
          <w:rFonts w:ascii="宋体" w:hAnsi="宋体"/>
          <w:b/>
          <w:sz w:val="32"/>
          <w:szCs w:val="36"/>
        </w:rPr>
        <w:t>三、 技术响应文件</w:t>
      </w:r>
    </w:p>
    <w:p>
      <w:pPr>
        <w:widowControl/>
        <w:jc w:val="center"/>
        <w:rPr>
          <w:rStyle w:val="82"/>
          <w:rFonts w:cs="Arial" w:asciiTheme="majorEastAsia" w:hAnsiTheme="majorEastAsia" w:eastAsiaTheme="majorEastAsia"/>
        </w:rPr>
      </w:pPr>
      <w:r>
        <w:rPr>
          <w:rFonts w:hint="eastAsia" w:ascii="宋体" w:hAnsi="宋体" w:cs="宋体"/>
          <w:kern w:val="0"/>
          <w:sz w:val="36"/>
          <w:szCs w:val="36"/>
        </w:rPr>
        <w:br w:type="textWrapping"/>
      </w:r>
      <w:r>
        <w:rPr>
          <w:rStyle w:val="82"/>
          <w:rFonts w:cs="Arial" w:asciiTheme="majorEastAsia" w:hAnsiTheme="majorEastAsia" w:eastAsiaTheme="majorEastAsia"/>
        </w:rPr>
        <w:t>（一） 技术标准要求偏离表</w:t>
      </w:r>
    </w:p>
    <w:p>
      <w:pPr>
        <w:widowControl/>
        <w:spacing w:line="360" w:lineRule="auto"/>
        <w:rPr>
          <w:rFonts w:ascii="宋体" w:hAnsi="宋体" w:cs="宋体"/>
          <w:kern w:val="0"/>
          <w:sz w:val="24"/>
          <w:szCs w:val="24"/>
        </w:rPr>
      </w:pPr>
    </w:p>
    <w:p>
      <w:pPr>
        <w:widowControl/>
        <w:spacing w:line="360" w:lineRule="auto"/>
        <w:rPr>
          <w:rFonts w:ascii="宋体" w:hAnsi="宋体" w:cs="宋体"/>
          <w:kern w:val="0"/>
          <w:sz w:val="24"/>
          <w:szCs w:val="24"/>
        </w:rPr>
      </w:pPr>
      <w:r>
        <w:rPr>
          <w:rFonts w:ascii="宋体" w:hAnsi="宋体" w:cs="宋体"/>
          <w:kern w:val="0"/>
          <w:sz w:val="24"/>
          <w:szCs w:val="24"/>
        </w:rPr>
        <w:t>项目名称：</w:t>
      </w:r>
      <w:r>
        <w:rPr>
          <w:rFonts w:hint="eastAsia" w:ascii="宋体" w:hAnsi="宋体" w:cs="宋体"/>
          <w:kern w:val="0"/>
          <w:sz w:val="24"/>
          <w:szCs w:val="24"/>
        </w:rPr>
        <w:br w:type="textWrapping"/>
      </w:r>
      <w:r>
        <w:rPr>
          <w:rFonts w:ascii="宋体" w:hAnsi="宋体" w:cs="宋体"/>
          <w:kern w:val="0"/>
          <w:sz w:val="24"/>
          <w:szCs w:val="24"/>
        </w:rPr>
        <w:t>项目编号：</w:t>
      </w:r>
    </w:p>
    <w:tbl>
      <w:tblPr>
        <w:tblStyle w:val="44"/>
        <w:tblW w:w="98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3121"/>
        <w:gridCol w:w="1502"/>
        <w:gridCol w:w="1503"/>
        <w:gridCol w:w="1564"/>
        <w:gridCol w:w="14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675"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序号</w:t>
            </w:r>
          </w:p>
        </w:tc>
        <w:tc>
          <w:tcPr>
            <w:tcW w:w="3121"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内容</w:t>
            </w:r>
          </w:p>
        </w:tc>
        <w:tc>
          <w:tcPr>
            <w:tcW w:w="300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技术标准及要求</w:t>
            </w:r>
          </w:p>
        </w:tc>
        <w:tc>
          <w:tcPr>
            <w:tcW w:w="156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响应/正偏离/负偏离</w:t>
            </w:r>
          </w:p>
        </w:tc>
        <w:tc>
          <w:tcPr>
            <w:tcW w:w="1490"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675"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3121"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招标文件</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投标文件</w:t>
            </w:r>
          </w:p>
        </w:tc>
        <w:tc>
          <w:tcPr>
            <w:tcW w:w="1564"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490"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2</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3</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4</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5</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n</w:t>
            </w:r>
          </w:p>
        </w:tc>
        <w:tc>
          <w:tcPr>
            <w:tcW w:w="3121" w:type="dxa"/>
            <w:vAlign w:val="center"/>
          </w:tcPr>
          <w:p>
            <w:pPr>
              <w:widowControl/>
              <w:spacing w:line="360" w:lineRule="auto"/>
              <w:jc w:val="left"/>
              <w:rPr>
                <w:rFonts w:ascii="Times New Roman" w:hAnsi="Times New Roman" w:eastAsia="Times New Roman" w:cs="Times New Roman"/>
                <w:kern w:val="0"/>
                <w:sz w:val="24"/>
                <w:szCs w:val="24"/>
              </w:rPr>
            </w:pPr>
          </w:p>
        </w:tc>
        <w:tc>
          <w:tcPr>
            <w:tcW w:w="1502" w:type="dxa"/>
            <w:vAlign w:val="center"/>
          </w:tcPr>
          <w:p>
            <w:pPr>
              <w:widowControl/>
              <w:spacing w:line="360" w:lineRule="auto"/>
              <w:jc w:val="left"/>
              <w:rPr>
                <w:rFonts w:ascii="Times New Roman" w:hAnsi="Times New Roman" w:eastAsia="Times New Roman" w:cs="Times New Roman"/>
                <w:kern w:val="0"/>
                <w:sz w:val="24"/>
                <w:szCs w:val="24"/>
              </w:rPr>
            </w:pPr>
          </w:p>
        </w:tc>
        <w:tc>
          <w:tcPr>
            <w:tcW w:w="1503" w:type="dxa"/>
            <w:vAlign w:val="center"/>
          </w:tcPr>
          <w:p>
            <w:pPr>
              <w:widowControl/>
              <w:spacing w:line="360" w:lineRule="auto"/>
              <w:jc w:val="left"/>
              <w:rPr>
                <w:rFonts w:ascii="Times New Roman" w:hAnsi="Times New Roman" w:eastAsia="Times New Roman" w:cs="Times New Roman"/>
                <w:kern w:val="0"/>
                <w:sz w:val="24"/>
                <w:szCs w:val="24"/>
              </w:rPr>
            </w:pPr>
          </w:p>
        </w:tc>
        <w:tc>
          <w:tcPr>
            <w:tcW w:w="1564" w:type="dxa"/>
            <w:vAlign w:val="center"/>
          </w:tcPr>
          <w:p>
            <w:pPr>
              <w:widowControl/>
              <w:spacing w:line="360" w:lineRule="auto"/>
              <w:jc w:val="left"/>
              <w:rPr>
                <w:rFonts w:ascii="Times New Roman" w:hAnsi="Times New Roman" w:eastAsia="Times New Roman" w:cs="Times New Roman"/>
                <w:kern w:val="0"/>
                <w:sz w:val="24"/>
                <w:szCs w:val="24"/>
              </w:rPr>
            </w:pPr>
          </w:p>
        </w:tc>
        <w:tc>
          <w:tcPr>
            <w:tcW w:w="1490" w:type="dxa"/>
            <w:vAlign w:val="center"/>
          </w:tcPr>
          <w:p>
            <w:pPr>
              <w:widowControl/>
              <w:spacing w:line="360" w:lineRule="auto"/>
              <w:jc w:val="left"/>
              <w:rPr>
                <w:rFonts w:ascii="Times New Roman" w:hAnsi="Times New Roman" w:eastAsia="Times New Roman" w:cs="Times New Roman"/>
                <w:kern w:val="0"/>
                <w:sz w:val="24"/>
                <w:szCs w:val="24"/>
              </w:rPr>
            </w:pPr>
          </w:p>
        </w:tc>
      </w:tr>
    </w:tbl>
    <w:p>
      <w:pPr>
        <w:spacing w:line="360" w:lineRule="auto"/>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注： 1. 供应商必须把招标项目的全部服务内容事项列入此表。</w:t>
      </w:r>
    </w:p>
    <w:p>
      <w:pPr>
        <w:spacing w:line="360" w:lineRule="auto"/>
        <w:ind w:firstLine="600" w:firstLineChars="250"/>
        <w:rPr>
          <w:rFonts w:ascii="宋体" w:hAnsi="宋体" w:cs="宋体"/>
          <w:kern w:val="0"/>
          <w:sz w:val="24"/>
          <w:szCs w:val="24"/>
        </w:rPr>
      </w:pPr>
      <w:r>
        <w:rPr>
          <w:rFonts w:ascii="宋体" w:hAnsi="宋体" w:cs="宋体"/>
          <w:kern w:val="0"/>
          <w:sz w:val="24"/>
          <w:szCs w:val="24"/>
        </w:rPr>
        <w:t>2．按照招标项目服务要求的顺序对应填写。</w:t>
      </w:r>
    </w:p>
    <w:p>
      <w:pPr>
        <w:spacing w:line="360" w:lineRule="auto"/>
        <w:ind w:firstLine="600" w:firstLineChars="250"/>
        <w:rPr>
          <w:rFonts w:ascii="宋体" w:hAnsi="宋体" w:cs="宋体"/>
          <w:kern w:val="0"/>
          <w:sz w:val="24"/>
          <w:szCs w:val="24"/>
        </w:rPr>
      </w:pPr>
      <w:r>
        <w:rPr>
          <w:rFonts w:ascii="宋体" w:hAnsi="宋体" w:cs="宋体"/>
          <w:kern w:val="0"/>
          <w:sz w:val="24"/>
          <w:szCs w:val="24"/>
        </w:rPr>
        <w:t>3．供应商必须据实填写， 不得虚假填写， 否则将取消其投标或中标资格。</w:t>
      </w:r>
    </w:p>
    <w:p>
      <w:pPr>
        <w:spacing w:line="360" w:lineRule="auto"/>
        <w:ind w:firstLine="600" w:firstLineChars="250"/>
      </w:pPr>
      <w:r>
        <w:rPr>
          <w:rFonts w:ascii="宋体" w:hAnsi="宋体" w:cs="宋体"/>
          <w:kern w:val="0"/>
          <w:sz w:val="24"/>
          <w:szCs w:val="24"/>
        </w:rPr>
        <w:t>4.响应： 投标应答满足招标文件基本要求； 正偏离： 投标应答优于招标文件要求；负偏离： 投标应答低于招标文件要求。</w:t>
      </w:r>
    </w:p>
    <w:p>
      <w:pPr>
        <w:spacing w:line="360" w:lineRule="auto"/>
        <w:ind w:firstLine="4680" w:firstLineChars="1950"/>
        <w:rPr>
          <w:rFonts w:ascii="宋体" w:hAnsi="宋体" w:cs="宋体"/>
          <w:sz w:val="24"/>
        </w:rPr>
      </w:pPr>
    </w:p>
    <w:p>
      <w:pPr>
        <w:spacing w:line="360" w:lineRule="auto"/>
        <w:ind w:firstLine="4680" w:firstLineChars="1950"/>
        <w:rPr>
          <w:rFonts w:ascii="宋体" w:hAnsi="宋体" w:cs="宋体"/>
          <w:sz w:val="24"/>
        </w:rPr>
      </w:pPr>
    </w:p>
    <w:p>
      <w:pPr>
        <w:spacing w:line="360" w:lineRule="auto"/>
        <w:ind w:firstLine="4680" w:firstLineChars="1950"/>
        <w:rPr>
          <w:rFonts w:ascii="宋体" w:hAnsi="宋体" w:cs="宋体"/>
          <w:sz w:val="24"/>
        </w:rPr>
      </w:pPr>
      <w:r>
        <w:rPr>
          <w:rFonts w:hint="eastAsia" w:ascii="宋体" w:hAnsi="宋体" w:cs="宋体"/>
          <w:sz w:val="24"/>
        </w:rPr>
        <w:t>投标人名称（盖章）：</w:t>
      </w:r>
    </w:p>
    <w:p>
      <w:pPr>
        <w:spacing w:line="360" w:lineRule="auto"/>
        <w:ind w:firstLine="480"/>
        <w:rPr>
          <w:rFonts w:ascii="宋体" w:hAnsi="宋体" w:cs="宋体"/>
          <w:sz w:val="24"/>
        </w:rPr>
      </w:pPr>
      <w:r>
        <w:rPr>
          <w:rFonts w:hint="eastAsia" w:ascii="宋体" w:hAnsi="宋体" w:cs="宋体"/>
          <w:sz w:val="24"/>
        </w:rPr>
        <w:t xml:space="preserve">                                   法定代表人或授权委托人(签字或盖章）：</w:t>
      </w:r>
    </w:p>
    <w:p>
      <w:pPr>
        <w:spacing w:line="360" w:lineRule="auto"/>
        <w:ind w:firstLine="480"/>
        <w:rPr>
          <w:rFonts w:ascii="宋体" w:hAnsi="宋体" w:cs="宋体"/>
          <w:sz w:val="24"/>
        </w:rPr>
        <w:sectPr>
          <w:pgSz w:w="11907" w:h="16840"/>
          <w:pgMar w:top="1418" w:right="1134" w:bottom="1361" w:left="1134" w:header="794" w:footer="794" w:gutter="0"/>
          <w:pgNumType w:fmt="decimal"/>
          <w:cols w:space="720" w:num="1"/>
          <w:docGrid w:linePitch="285" w:charSpace="0"/>
        </w:sectPr>
      </w:pPr>
      <w:r>
        <w:rPr>
          <w:rFonts w:hint="eastAsia" w:ascii="宋体" w:hAnsi="宋体" w:cs="宋体"/>
          <w:sz w:val="24"/>
        </w:rPr>
        <w:t xml:space="preserve">                                   日期：</w:t>
      </w:r>
    </w:p>
    <w:p>
      <w:pPr>
        <w:jc w:val="center"/>
        <w:rPr>
          <w:rStyle w:val="82"/>
          <w:rFonts w:cs="Arial" w:asciiTheme="majorEastAsia" w:hAnsiTheme="majorEastAsia" w:eastAsiaTheme="majorEastAsia"/>
        </w:rPr>
      </w:pPr>
      <w:bookmarkStart w:id="345" w:name="_Toc310958761"/>
      <w:bookmarkStart w:id="346" w:name="_Toc217446089"/>
      <w:r>
        <w:rPr>
          <w:rStyle w:val="82"/>
          <w:rFonts w:cs="Arial" w:asciiTheme="majorEastAsia" w:hAnsiTheme="majorEastAsia" w:eastAsiaTheme="majorEastAsia"/>
        </w:rPr>
        <w:t>（二） 服务计划</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sz w:val="24"/>
        </w:rPr>
      </w:pPr>
      <w:r>
        <w:rPr>
          <w:rFonts w:ascii="宋体" w:hAnsi="宋体"/>
          <w:sz w:val="24"/>
        </w:rPr>
        <w:t>（格式由投标人自行拟定）</w:t>
      </w:r>
    </w:p>
    <w:p>
      <w:pPr>
        <w:jc w:val="center"/>
        <w:rPr>
          <w:rStyle w:val="82"/>
          <w:rFonts w:cs="Arial" w:asciiTheme="majorEastAsia" w:hAnsiTheme="majorEastAsia" w:eastAsiaTheme="majorEastAsia"/>
        </w:rPr>
        <w:sectPr>
          <w:pgSz w:w="11907" w:h="16840"/>
          <w:pgMar w:top="1418" w:right="1134" w:bottom="1361" w:left="1134" w:header="794" w:footer="794" w:gutter="0"/>
          <w:pgNumType w:fmt="decimal"/>
          <w:cols w:space="720" w:num="1"/>
          <w:docGrid w:linePitch="285" w:charSpace="0"/>
        </w:sectPr>
      </w:pPr>
    </w:p>
    <w:p>
      <w:pPr>
        <w:jc w:val="center"/>
        <w:rPr>
          <w:rStyle w:val="82"/>
          <w:rFonts w:cs="Arial" w:asciiTheme="majorEastAsia" w:hAnsiTheme="majorEastAsia" w:eastAsiaTheme="majorEastAsia"/>
        </w:rPr>
      </w:pPr>
      <w:r>
        <w:rPr>
          <w:rStyle w:val="82"/>
          <w:rFonts w:cs="Arial" w:asciiTheme="majorEastAsia" w:hAnsiTheme="majorEastAsia" w:eastAsiaTheme="majorEastAsia"/>
        </w:rPr>
        <w:t>（三） 投标人认为需要提供的其它资料</w:t>
      </w:r>
    </w:p>
    <w:bookmarkEnd w:id="345"/>
    <w:bookmarkEnd w:id="346"/>
    <w:p>
      <w:pPr>
        <w:adjustRightInd w:val="0"/>
        <w:snapToGrid w:val="0"/>
        <w:spacing w:beforeLines="50"/>
        <w:rPr>
          <w:rFonts w:hAnsi="宋体" w:cs="宋体"/>
          <w:sz w:val="24"/>
        </w:rPr>
      </w:pPr>
    </w:p>
    <w:p>
      <w:bookmarkStart w:id="347" w:name="_Toc468811150"/>
      <w:bookmarkStart w:id="348" w:name="_Toc238907095"/>
    </w:p>
    <w:p>
      <w:pPr>
        <w:pStyle w:val="41"/>
        <w:spacing w:line="360" w:lineRule="auto"/>
        <w:jc w:val="center"/>
        <w:sectPr>
          <w:pgSz w:w="11907" w:h="16840"/>
          <w:pgMar w:top="1418" w:right="1134" w:bottom="1361" w:left="1134" w:header="794" w:footer="794" w:gutter="0"/>
          <w:pgNumType w:fmt="decimal"/>
          <w:cols w:space="720" w:num="1"/>
          <w:docGrid w:linePitch="285" w:charSpace="0"/>
        </w:sectPr>
      </w:pPr>
    </w:p>
    <w:p>
      <w:pPr>
        <w:pStyle w:val="41"/>
        <w:spacing w:line="360" w:lineRule="auto"/>
        <w:jc w:val="center"/>
      </w:pPr>
      <w:bookmarkStart w:id="349" w:name="_Toc10188504"/>
      <w:r>
        <w:rPr>
          <w:rFonts w:hint="eastAsia"/>
        </w:rPr>
        <w:t>第六章 评标办法</w:t>
      </w:r>
      <w:bookmarkEnd w:id="349"/>
    </w:p>
    <w:p>
      <w:pPr>
        <w:pStyle w:val="2"/>
        <w:numPr>
          <w:ilvl w:val="0"/>
          <w:numId w:val="0"/>
        </w:numPr>
        <w:ind w:left="482"/>
        <w:rPr>
          <w:rStyle w:val="82"/>
          <w:rFonts w:asciiTheme="majorEastAsia" w:hAnsiTheme="majorEastAsia" w:eastAsiaTheme="majorEastAsia"/>
          <w:b/>
          <w:bCs w:val="0"/>
          <w:sz w:val="24"/>
          <w:szCs w:val="24"/>
        </w:rPr>
      </w:pPr>
      <w:bookmarkStart w:id="350" w:name="_Toc468811151"/>
      <w:bookmarkStart w:id="351" w:name="_Toc10188505"/>
      <w:r>
        <w:rPr>
          <w:rStyle w:val="82"/>
          <w:rFonts w:hint="eastAsia" w:asciiTheme="majorEastAsia" w:hAnsiTheme="majorEastAsia" w:eastAsiaTheme="majorEastAsia"/>
          <w:b/>
          <w:bCs w:val="0"/>
          <w:sz w:val="24"/>
          <w:szCs w:val="24"/>
        </w:rPr>
        <w:t>一、评标办法</w:t>
      </w:r>
      <w:bookmarkEnd w:id="350"/>
      <w:bookmarkEnd w:id="351"/>
    </w:p>
    <w:p>
      <w:pPr>
        <w:spacing w:line="360" w:lineRule="auto"/>
        <w:ind w:firstLine="480" w:firstLineChars="200"/>
        <w:rPr>
          <w:rFonts w:ascii="宋体" w:hAnsi="宋体" w:cs="宋体"/>
          <w:sz w:val="24"/>
          <w:szCs w:val="24"/>
        </w:rPr>
      </w:pPr>
      <w:bookmarkStart w:id="352" w:name="_Toc468811152"/>
      <w:r>
        <w:rPr>
          <w:rFonts w:hint="eastAsia" w:ascii="宋体" w:hAnsi="宋体" w:cs="宋体"/>
          <w:sz w:val="24"/>
          <w:szCs w:val="24"/>
        </w:rPr>
        <w:t>1. 评审规则</w:t>
      </w:r>
      <w:bookmarkEnd w:id="352"/>
    </w:p>
    <w:p>
      <w:pPr>
        <w:spacing w:line="360" w:lineRule="auto"/>
        <w:ind w:firstLine="480" w:firstLineChars="200"/>
        <w:rPr>
          <w:rFonts w:ascii="宋体" w:hAnsi="宋体" w:cs="宋体"/>
          <w:sz w:val="24"/>
          <w:szCs w:val="24"/>
        </w:rPr>
      </w:pPr>
      <w:r>
        <w:rPr>
          <w:rFonts w:ascii="宋体" w:hAnsi="宋体" w:cs="宋体"/>
          <w:sz w:val="24"/>
          <w:szCs w:val="24"/>
        </w:rPr>
        <w:t xml:space="preserve">1.1 </w:t>
      </w:r>
      <w:r>
        <w:rPr>
          <w:rFonts w:hint="eastAsia" w:ascii="宋体" w:hAnsi="宋体" w:cs="宋体"/>
          <w:sz w:val="24"/>
          <w:szCs w:val="24"/>
        </w:rPr>
        <w:t>评标办法采用综合评分法。</w:t>
      </w:r>
    </w:p>
    <w:p>
      <w:pPr>
        <w:spacing w:line="360" w:lineRule="auto"/>
        <w:ind w:firstLine="480" w:firstLineChars="200"/>
        <w:rPr>
          <w:rFonts w:ascii="宋体" w:cs="Times New Roman"/>
          <w:sz w:val="24"/>
          <w:szCs w:val="24"/>
        </w:rPr>
      </w:pPr>
      <w:r>
        <w:rPr>
          <w:rFonts w:ascii="宋体" w:hAnsi="宋体" w:cs="宋体"/>
          <w:sz w:val="24"/>
          <w:szCs w:val="24"/>
        </w:rPr>
        <w:t>1.2</w:t>
      </w:r>
      <w:r>
        <w:rPr>
          <w:rFonts w:hint="eastAsia" w:ascii="宋体" w:hAnsi="宋体" w:cs="宋体"/>
          <w:sz w:val="24"/>
          <w:szCs w:val="24"/>
        </w:rPr>
        <w:t>采用综合评分法的评标步骤：先进行资格性审查，再进行技术、商务的详细评审。只有通过资格性评审的投标人才能进入详细的评审。</w:t>
      </w:r>
    </w:p>
    <w:p>
      <w:pPr>
        <w:spacing w:line="360" w:lineRule="auto"/>
        <w:ind w:firstLine="480" w:firstLineChars="200"/>
        <w:rPr>
          <w:rFonts w:ascii="宋体" w:hAnsi="宋体" w:cs="宋体"/>
          <w:sz w:val="24"/>
          <w:szCs w:val="24"/>
        </w:rPr>
      </w:pPr>
      <w:r>
        <w:rPr>
          <w:rFonts w:ascii="宋体" w:hAnsi="宋体" w:cs="宋体"/>
          <w:sz w:val="24"/>
          <w:szCs w:val="24"/>
        </w:rPr>
        <w:t>1.3</w:t>
      </w:r>
      <w:r>
        <w:rPr>
          <w:rFonts w:hint="eastAsia" w:ascii="宋体" w:hAnsi="宋体" w:cs="宋体"/>
          <w:sz w:val="24"/>
          <w:szCs w:val="24"/>
        </w:rPr>
        <w:t>综合评分及其统计：按照评标程序、评分标准以及分值分配的规定，评标委员会成员分别就各个投标人的技术、商务状况，其对招标文件要求的响应情况进行评议和比较，评出各投标人的技术、商务得分算术平均值即为该投标人的技术、商务评分。然后，由招标文件规定的计算方法评出价格得分。技术、商务得分与价格得分相加即得出综合得分，综合得分按由高到低顺序排列。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三名中标候选供应商。</w:t>
      </w:r>
    </w:p>
    <w:p>
      <w:pPr>
        <w:spacing w:line="360" w:lineRule="auto"/>
        <w:ind w:firstLine="480" w:firstLineChars="200"/>
        <w:rPr>
          <w:rFonts w:ascii="宋体" w:hAnsi="宋体" w:cs="宋体"/>
          <w:sz w:val="24"/>
          <w:szCs w:val="24"/>
        </w:rPr>
      </w:pPr>
      <w:bookmarkStart w:id="353" w:name="_Toc468811153"/>
      <w:r>
        <w:rPr>
          <w:rFonts w:hint="eastAsia" w:ascii="宋体" w:hAnsi="宋体" w:cs="宋体"/>
          <w:sz w:val="24"/>
          <w:szCs w:val="24"/>
        </w:rPr>
        <w:t>2</w:t>
      </w:r>
      <w:r>
        <w:rPr>
          <w:rFonts w:ascii="宋体" w:hAnsi="宋体" w:cs="宋体"/>
          <w:sz w:val="24"/>
          <w:szCs w:val="24"/>
        </w:rPr>
        <w:t xml:space="preserve">. </w:t>
      </w:r>
      <w:r>
        <w:rPr>
          <w:rFonts w:hint="eastAsia" w:ascii="宋体" w:hAnsi="宋体" w:cs="宋体"/>
          <w:sz w:val="24"/>
          <w:szCs w:val="24"/>
        </w:rPr>
        <w:t>初步评审</w:t>
      </w:r>
      <w:bookmarkEnd w:id="353"/>
    </w:p>
    <w:p>
      <w:pPr>
        <w:spacing w:line="360" w:lineRule="auto"/>
        <w:ind w:firstLine="480" w:firstLineChars="200"/>
        <w:rPr>
          <w:rFonts w:ascii="宋体" w:hAnsi="宋体" w:cs="宋体"/>
          <w:sz w:val="24"/>
          <w:szCs w:val="24"/>
        </w:rPr>
      </w:pPr>
      <w:r>
        <w:rPr>
          <w:rFonts w:ascii="宋体" w:hAnsi="宋体" w:cs="宋体"/>
          <w:sz w:val="24"/>
          <w:szCs w:val="24"/>
        </w:rPr>
        <w:t>2.1</w:t>
      </w:r>
      <w:r>
        <w:rPr>
          <w:rFonts w:hint="eastAsia" w:ascii="宋体" w:hAnsi="宋体" w:cs="宋体"/>
          <w:sz w:val="24"/>
          <w:szCs w:val="24"/>
        </w:rPr>
        <w:t>评标委员会根据“资格性审查表”对投标文件的符合性进行评审，只有对“资格性审查表”所列各项作出实质性响应的投标文件才能通过评审。对是否实质性响应招标文件的要求有争议的投标内容，评标委员会将以记名方式表决，得票超过半数的投标人有资格进入下一阶段的评审，否则将被淘汰。</w:t>
      </w:r>
    </w:p>
    <w:p>
      <w:pPr>
        <w:spacing w:line="360" w:lineRule="auto"/>
        <w:ind w:firstLine="480" w:firstLineChars="200"/>
        <w:rPr>
          <w:rFonts w:ascii="宋体" w:hAnsi="宋体" w:cs="宋体"/>
          <w:sz w:val="24"/>
          <w:szCs w:val="24"/>
        </w:rPr>
      </w:pPr>
      <w:r>
        <w:rPr>
          <w:rFonts w:ascii="宋体" w:hAnsi="宋体" w:cs="宋体"/>
          <w:sz w:val="24"/>
          <w:szCs w:val="24"/>
        </w:rPr>
        <w:t>2.2</w:t>
      </w:r>
      <w:r>
        <w:rPr>
          <w:rFonts w:hint="eastAsia" w:ascii="宋体" w:hAnsi="宋体" w:cs="宋体"/>
          <w:sz w:val="24"/>
          <w:szCs w:val="24"/>
        </w:rPr>
        <w:t>评标委员会将审查投标文件是否完整、有关资格证明文件是否齐全有效、是否提交投标保证金、文件签署是否合格、投标有效期是否满足要求、投标文件的总体编排是否基本有序等。</w:t>
      </w:r>
    </w:p>
    <w:p>
      <w:pPr>
        <w:spacing w:line="360" w:lineRule="auto"/>
        <w:ind w:firstLine="480" w:firstLineChars="200"/>
        <w:rPr>
          <w:rFonts w:ascii="宋体" w:hAnsi="宋体" w:cs="宋体"/>
          <w:sz w:val="24"/>
          <w:szCs w:val="24"/>
        </w:rPr>
      </w:pPr>
      <w:r>
        <w:rPr>
          <w:rFonts w:ascii="宋体" w:hAnsi="宋体" w:cs="宋体"/>
          <w:sz w:val="24"/>
          <w:szCs w:val="24"/>
        </w:rPr>
        <w:t>2.3</w:t>
      </w:r>
      <w:r>
        <w:rPr>
          <w:rFonts w:hint="eastAsia" w:ascii="宋体" w:hAnsi="宋体" w:cs="宋体"/>
          <w:sz w:val="24"/>
          <w:szCs w:val="24"/>
        </w:rPr>
        <w:t>在详细评审之前，评标委员会要审查每份投标文件是否实质上响应了招标文件的要求。</w:t>
      </w:r>
    </w:p>
    <w:p>
      <w:pPr>
        <w:spacing w:line="360" w:lineRule="auto"/>
        <w:ind w:firstLine="480" w:firstLineChars="200"/>
        <w:rPr>
          <w:rFonts w:ascii="宋体" w:hAnsi="宋体" w:cs="宋体"/>
          <w:sz w:val="24"/>
          <w:szCs w:val="24"/>
        </w:rPr>
      </w:pPr>
      <w:bookmarkStart w:id="354" w:name="_Toc468811154"/>
      <w:r>
        <w:rPr>
          <w:rFonts w:hint="eastAsia" w:ascii="宋体" w:hAnsi="宋体" w:cs="宋体"/>
          <w:sz w:val="24"/>
          <w:szCs w:val="24"/>
        </w:rPr>
        <w:t>3</w:t>
      </w:r>
      <w:r>
        <w:rPr>
          <w:rFonts w:ascii="宋体" w:hAnsi="宋体" w:cs="宋体"/>
          <w:sz w:val="24"/>
          <w:szCs w:val="24"/>
        </w:rPr>
        <w:t xml:space="preserve">. </w:t>
      </w:r>
      <w:r>
        <w:rPr>
          <w:rFonts w:hint="eastAsia" w:ascii="宋体" w:hAnsi="宋体" w:cs="宋体"/>
          <w:sz w:val="24"/>
          <w:szCs w:val="24"/>
        </w:rPr>
        <w:t>详细评审</w:t>
      </w:r>
      <w:bookmarkEnd w:id="354"/>
    </w:p>
    <w:p>
      <w:pPr>
        <w:spacing w:line="360" w:lineRule="auto"/>
        <w:ind w:firstLine="480" w:firstLineChars="200"/>
        <w:rPr>
          <w:rFonts w:ascii="宋体" w:hAnsi="宋体" w:cs="宋体"/>
          <w:sz w:val="24"/>
          <w:szCs w:val="24"/>
        </w:rPr>
      </w:pPr>
      <w:r>
        <w:rPr>
          <w:rFonts w:ascii="宋体" w:hAnsi="宋体" w:cs="宋体"/>
          <w:sz w:val="24"/>
          <w:szCs w:val="24"/>
        </w:rPr>
        <w:t>3.1</w:t>
      </w:r>
      <w:r>
        <w:rPr>
          <w:rFonts w:hint="eastAsia" w:ascii="宋体" w:hAnsi="宋体" w:cs="宋体"/>
          <w:sz w:val="24"/>
          <w:szCs w:val="24"/>
        </w:rPr>
        <w:t>本次招标评分方法为综合评分法，即在最大限度地满足招标文件实质性要求的前提下，按照招标文件中规定的各项因素进行综合评审后，以评标总得分最高的投标人作为中标候选人或者中标人的评标方法。</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 xml:space="preserve">.2 </w:t>
      </w:r>
      <w:r>
        <w:rPr>
          <w:rFonts w:hint="eastAsia" w:ascii="宋体" w:hAnsi="宋体" w:cs="宋体"/>
          <w:sz w:val="24"/>
          <w:szCs w:val="24"/>
        </w:rPr>
        <w:t>综合评分的主要因素为：对招标文件的响应程度、技术、信誉、业绩、服务、价格以及相应的比重或者数值等，总分值</w:t>
      </w:r>
      <w:r>
        <w:rPr>
          <w:rFonts w:ascii="宋体" w:hAnsi="宋体" w:cs="宋体"/>
          <w:sz w:val="24"/>
          <w:szCs w:val="24"/>
        </w:rPr>
        <w:t>100</w:t>
      </w:r>
      <w:r>
        <w:rPr>
          <w:rFonts w:hint="eastAsia" w:ascii="宋体" w:hAnsi="宋体" w:cs="宋体"/>
          <w:sz w:val="24"/>
          <w:szCs w:val="24"/>
        </w:rPr>
        <w:t>分。</w:t>
      </w:r>
    </w:p>
    <w:p>
      <w:pPr>
        <w:spacing w:line="360" w:lineRule="auto"/>
        <w:ind w:firstLine="480" w:firstLineChars="200"/>
        <w:rPr>
          <w:rFonts w:ascii="宋体" w:hAnsi="宋体" w:cs="宋体"/>
          <w:sz w:val="24"/>
          <w:szCs w:val="24"/>
        </w:rPr>
      </w:pPr>
      <w:r>
        <w:rPr>
          <w:rFonts w:ascii="宋体" w:hAnsi="宋体" w:cs="宋体"/>
          <w:sz w:val="24"/>
          <w:szCs w:val="24"/>
        </w:rPr>
        <w:t>3.3</w:t>
      </w:r>
      <w:r>
        <w:rPr>
          <w:rFonts w:hint="eastAsia" w:ascii="宋体" w:hAnsi="宋体" w:cs="宋体"/>
          <w:sz w:val="24"/>
          <w:szCs w:val="24"/>
        </w:rPr>
        <w:t>评标时，评标委员会各成员独立对每个有效投标人标书中的商务、技术与服务部分进行打分，汇总后按算术平均法计算出每个投标人的得分；报价得分通过计算直接取得；报价得分加评委算术平均得分，为投标人的总得分。</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 xml:space="preserve">.4 </w:t>
      </w:r>
      <w:r>
        <w:rPr>
          <w:rFonts w:hint="eastAsia" w:ascii="宋体" w:hAnsi="宋体" w:cs="宋体"/>
          <w:sz w:val="24"/>
          <w:szCs w:val="24"/>
        </w:rPr>
        <w:t>根据财政部、工业和信息化部</w:t>
      </w:r>
      <w:r>
        <w:rPr>
          <w:rFonts w:ascii="宋体" w:hAnsi="宋体" w:cs="宋体"/>
          <w:sz w:val="24"/>
          <w:szCs w:val="24"/>
        </w:rPr>
        <w:t>2012</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日颁布的《政府采购促进中小企业发展暂行办法》（财库</w:t>
      </w:r>
      <w:r>
        <w:rPr>
          <w:rFonts w:ascii="宋体" w:hAnsi="宋体" w:cs="宋体"/>
          <w:sz w:val="24"/>
          <w:szCs w:val="24"/>
        </w:rPr>
        <w:t>[2011]181</w:t>
      </w:r>
      <w:r>
        <w:rPr>
          <w:rFonts w:hint="eastAsia" w:ascii="宋体" w:hAnsi="宋体" w:cs="宋体"/>
          <w:sz w:val="24"/>
          <w:szCs w:val="24"/>
        </w:rPr>
        <w:t>号）第五条规定，对小、微企业予以价格评分适当优惠（监狱企业视同小型、微型企业）。若供应商为小型或微型企业者，必须提供相关部门出具的证明材料，其参与评分的投标报价取值按投标报价的</w:t>
      </w:r>
      <w:r>
        <w:rPr>
          <w:rFonts w:ascii="宋体" w:hAnsi="宋体" w:cs="宋体"/>
          <w:sz w:val="24"/>
          <w:szCs w:val="24"/>
        </w:rPr>
        <w:t>94%</w:t>
      </w:r>
      <w:r>
        <w:rPr>
          <w:rFonts w:hint="eastAsia" w:ascii="宋体" w:hAnsi="宋体" w:cs="宋体"/>
          <w:sz w:val="24"/>
          <w:szCs w:val="24"/>
        </w:rPr>
        <w:t>计（即按投标报价扣除</w:t>
      </w:r>
      <w:r>
        <w:rPr>
          <w:rFonts w:ascii="宋体" w:hAnsi="宋体" w:cs="宋体"/>
          <w:sz w:val="24"/>
          <w:szCs w:val="24"/>
        </w:rPr>
        <w:t>6%</w:t>
      </w:r>
      <w:r>
        <w:rPr>
          <w:rFonts w:hint="eastAsia" w:ascii="宋体" w:hAnsi="宋体" w:cs="宋体"/>
          <w:sz w:val="24"/>
          <w:szCs w:val="24"/>
        </w:rPr>
        <w:t>后计算）。</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ascii="宋体" w:hAnsi="宋体" w:cs="宋体"/>
          <w:sz w:val="24"/>
          <w:szCs w:val="24"/>
        </w:rPr>
        <w:t xml:space="preserve">.5 </w:t>
      </w:r>
      <w:r>
        <w:rPr>
          <w:rFonts w:hint="eastAsia" w:ascii="宋体" w:hAnsi="宋体" w:cs="宋体"/>
          <w:sz w:val="24"/>
          <w:szCs w:val="24"/>
        </w:rPr>
        <w:t>投标人不能低于成本价恶意报价，如中标人的报价过低，明显不符合市场价格，则采购人有权要求中标人提供预算金额的10%作为履约保证金，同时预付款比例调整为0%。如中标人在实施过程中偷工减料、不按工期完成项目，则采购人有权终止合同，没收履约保证金，并报主管部门严肃处理。</w:t>
      </w:r>
      <w:bookmarkStart w:id="355" w:name="_Toc468811155"/>
    </w:p>
    <w:bookmarkEnd w:id="355"/>
    <w:p>
      <w:pPr>
        <w:pageBreakBefore/>
        <w:shd w:val="clear" w:color="auto" w:fill="FFFFFF"/>
        <w:spacing w:afterLines="100" w:line="360" w:lineRule="auto"/>
        <w:jc w:val="center"/>
        <w:rPr>
          <w:rFonts w:ascii="宋体" w:hAnsi="宋体" w:cs="宋体"/>
          <w:b/>
          <w:sz w:val="28"/>
          <w:szCs w:val="28"/>
        </w:rPr>
      </w:pPr>
      <w:bookmarkStart w:id="356" w:name="_Toc501916571"/>
      <w:r>
        <w:rPr>
          <w:rFonts w:hint="eastAsia" w:ascii="宋体" w:hAnsi="宋体" w:cs="宋体"/>
          <w:b/>
          <w:sz w:val="28"/>
          <w:szCs w:val="28"/>
        </w:rPr>
        <w:t>（一）资格性审查表</w:t>
      </w:r>
      <w:bookmarkEnd w:id="356"/>
    </w:p>
    <w:p>
      <w:pPr>
        <w:shd w:val="clear" w:color="auto" w:fill="FFFFFF"/>
        <w:spacing w:line="360" w:lineRule="auto"/>
        <w:rPr>
          <w:rFonts w:ascii="宋体"/>
          <w:sz w:val="24"/>
          <w:szCs w:val="24"/>
          <w:u w:val="single"/>
        </w:rPr>
      </w:pPr>
      <w:bookmarkStart w:id="357" w:name="_Toc501916572"/>
      <w:r>
        <w:rPr>
          <w:rFonts w:hint="eastAsia" w:ascii="宋体" w:hAnsi="宋体" w:cs="宋体"/>
          <w:sz w:val="24"/>
          <w:szCs w:val="24"/>
        </w:rPr>
        <w:t>项目名称：</w:t>
      </w:r>
    </w:p>
    <w:p>
      <w:pPr>
        <w:widowControl/>
        <w:spacing w:line="360" w:lineRule="auto"/>
        <w:jc w:val="left"/>
        <w:rPr>
          <w:rFonts w:ascii="宋体" w:hAnsi="宋体" w:cs="宋体"/>
          <w:kern w:val="0"/>
          <w:sz w:val="24"/>
          <w:szCs w:val="24"/>
        </w:rPr>
      </w:pPr>
      <w:r>
        <w:rPr>
          <w:rFonts w:hint="eastAsia" w:ascii="宋体" w:hAnsi="宋体" w:cs="宋体"/>
          <w:sz w:val="24"/>
          <w:szCs w:val="24"/>
        </w:rPr>
        <w:t>项目编号：</w:t>
      </w:r>
    </w:p>
    <w:tbl>
      <w:tblPr>
        <w:tblStyle w:val="44"/>
        <w:tblW w:w="98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268"/>
        <w:gridCol w:w="4394"/>
        <w:gridCol w:w="792"/>
        <w:gridCol w:w="792"/>
        <w:gridCol w:w="7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序号</w:t>
            </w:r>
          </w:p>
        </w:tc>
        <w:tc>
          <w:tcPr>
            <w:tcW w:w="226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审查项目</w:t>
            </w:r>
          </w:p>
        </w:tc>
        <w:tc>
          <w:tcPr>
            <w:tcW w:w="439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有效投标认定条件</w:t>
            </w:r>
          </w:p>
        </w:tc>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1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226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4394"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1#</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2#</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 xml:space="preserve">投标人的资格 </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符合招标文件对投标人资格的要求</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 xml:space="preserve">投标文件递交 </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一份正本， 六份副本</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 xml:space="preserve">投标保证金 </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按时、 足额缴纳了投标保证金</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 xml:space="preserve">投标报价 </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投标报价唯一； 未超出预算(最高限价）</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 xml:space="preserve">信用记录 </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ascii="宋体" w:hAnsi="宋体" w:cs="宋体"/>
                <w:kern w:val="0"/>
                <w:sz w:val="24"/>
                <w:szCs w:val="24"/>
              </w:rPr>
              <w:t>无严重违法失信行为记录</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7479" w:type="dxa"/>
            <w:gridSpan w:val="3"/>
            <w:tcBorders>
              <w:top w:val="single" w:color="auto" w:sz="4" w:space="0"/>
              <w:left w:val="single" w:color="auto" w:sz="4" w:space="0"/>
              <w:bottom w:val="single" w:color="auto" w:sz="4" w:space="0"/>
            </w:tcBorders>
            <w:vAlign w:val="center"/>
          </w:tcPr>
          <w:p>
            <w:pPr>
              <w:widowControl/>
              <w:spacing w:line="360" w:lineRule="auto"/>
              <w:jc w:val="center"/>
              <w:rPr>
                <w:rFonts w:ascii="Times New Roman" w:hAnsi="Times New Roman" w:eastAsia="Times New Roman" w:cs="Times New Roman"/>
                <w:b/>
                <w:kern w:val="0"/>
                <w:sz w:val="24"/>
                <w:szCs w:val="24"/>
              </w:rPr>
            </w:pPr>
            <w:r>
              <w:rPr>
                <w:rFonts w:ascii="宋体" w:hAnsi="宋体" w:cs="宋体"/>
                <w:b/>
                <w:kern w:val="0"/>
                <w:sz w:val="24"/>
                <w:szCs w:val="24"/>
              </w:rPr>
              <w:t>结论</w:t>
            </w: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855" w:type="dxa"/>
            <w:gridSpan w:val="6"/>
            <w:tcBorders>
              <w:top w:val="single" w:color="auto" w:sz="4" w:space="0"/>
              <w:left w:val="single" w:color="auto" w:sz="4" w:space="0"/>
              <w:bottom w:val="single" w:color="auto" w:sz="4" w:space="0"/>
            </w:tcBorders>
            <w:vAlign w:val="center"/>
          </w:tcPr>
          <w:p>
            <w:pPr>
              <w:widowControl/>
              <w:spacing w:line="360" w:lineRule="auto"/>
              <w:jc w:val="left"/>
              <w:rPr>
                <w:rFonts w:ascii="Times New Roman" w:hAnsi="Times New Roman" w:eastAsia="Times New Roman" w:cs="Times New Roman"/>
                <w:b/>
                <w:kern w:val="0"/>
                <w:sz w:val="24"/>
                <w:szCs w:val="24"/>
              </w:rPr>
            </w:pPr>
            <w:r>
              <w:rPr>
                <w:rFonts w:ascii="宋体" w:hAnsi="宋体" w:cs="宋体"/>
                <w:b/>
                <w:kern w:val="0"/>
                <w:sz w:val="24"/>
                <w:szCs w:val="24"/>
              </w:rPr>
              <w:t>备注： 经采购人、 招标代理机构审查， 投标人数量须不少于三家， 否则项目招标失败。</w:t>
            </w:r>
          </w:p>
        </w:tc>
      </w:tr>
    </w:tbl>
    <w:p>
      <w:pPr>
        <w:widowControl/>
        <w:jc w:val="left"/>
        <w:rPr>
          <w:rFonts w:ascii="宋体" w:hAnsi="宋体" w:cs="宋体"/>
          <w:kern w:val="0"/>
          <w:sz w:val="24"/>
          <w:szCs w:val="24"/>
        </w:rPr>
      </w:pPr>
      <w:r>
        <w:rPr>
          <w:rFonts w:ascii="宋体" w:hAnsi="宋体" w:cs="宋体"/>
          <w:kern w:val="0"/>
          <w:sz w:val="24"/>
          <w:szCs w:val="24"/>
        </w:rPr>
        <w:br w:type="textWrapping"/>
      </w:r>
      <w:r>
        <w:rPr>
          <w:rFonts w:hint="eastAsia" w:ascii="宋体" w:hAnsi="宋体" w:cs="宋体"/>
          <w:kern w:val="0"/>
          <w:sz w:val="24"/>
          <w:szCs w:val="24"/>
        </w:rPr>
        <w:t>说明：</w:t>
      </w:r>
    </w:p>
    <w:p>
      <w:pPr>
        <w:spacing w:line="4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、结论是合格的，才能进入下一轮；不合格的被淘汰。</w:t>
      </w:r>
    </w:p>
    <w:p>
      <w:pPr>
        <w:pStyle w:val="2"/>
        <w:sectPr>
          <w:pgSz w:w="11907" w:h="16840"/>
          <w:pgMar w:top="1418" w:right="1134" w:bottom="1361" w:left="1134" w:header="794" w:footer="794" w:gutter="0"/>
          <w:pgNumType w:fmt="decimal"/>
          <w:cols w:space="720" w:num="1"/>
          <w:docGrid w:linePitch="285" w:charSpace="0"/>
        </w:sectPr>
      </w:pPr>
    </w:p>
    <w:p>
      <w:pPr>
        <w:pageBreakBefore/>
        <w:shd w:val="clear" w:color="auto" w:fill="FFFFFF"/>
        <w:spacing w:afterLines="100" w:line="360" w:lineRule="auto"/>
        <w:jc w:val="center"/>
        <w:rPr>
          <w:rFonts w:ascii="宋体" w:hAnsi="宋体" w:cs="宋体"/>
          <w:b/>
          <w:sz w:val="28"/>
          <w:szCs w:val="28"/>
        </w:rPr>
      </w:pPr>
      <w:r>
        <w:rPr>
          <w:rFonts w:hint="eastAsia" w:ascii="宋体" w:hAnsi="宋体" w:cs="宋体"/>
          <w:b/>
          <w:sz w:val="28"/>
          <w:szCs w:val="28"/>
        </w:rPr>
        <w:t>（二）</w:t>
      </w:r>
      <w:r>
        <w:rPr>
          <w:rFonts w:ascii="宋体" w:hAnsi="宋体" w:cs="宋体"/>
          <w:b/>
          <w:sz w:val="28"/>
          <w:szCs w:val="28"/>
        </w:rPr>
        <w:t>符合性审查</w:t>
      </w:r>
    </w:p>
    <w:p>
      <w:pPr>
        <w:shd w:val="clear" w:color="auto" w:fill="FFFFFF"/>
        <w:spacing w:line="360" w:lineRule="auto"/>
        <w:rPr>
          <w:rFonts w:ascii="宋体"/>
          <w:sz w:val="24"/>
          <w:szCs w:val="24"/>
          <w:u w:val="single"/>
        </w:rPr>
      </w:pPr>
      <w:r>
        <w:rPr>
          <w:rFonts w:hint="eastAsia" w:ascii="宋体" w:hAnsi="宋体" w:cs="宋体"/>
          <w:sz w:val="24"/>
          <w:szCs w:val="24"/>
        </w:rPr>
        <w:t>项目名称：</w:t>
      </w:r>
    </w:p>
    <w:p>
      <w:pPr>
        <w:widowControl/>
        <w:spacing w:line="360" w:lineRule="auto"/>
        <w:jc w:val="left"/>
        <w:rPr>
          <w:rFonts w:ascii="宋体" w:hAnsi="宋体" w:cs="宋体"/>
          <w:kern w:val="0"/>
          <w:sz w:val="24"/>
          <w:szCs w:val="24"/>
        </w:rPr>
      </w:pPr>
      <w:r>
        <w:rPr>
          <w:rFonts w:hint="eastAsia" w:ascii="宋体" w:hAnsi="宋体" w:cs="宋体"/>
          <w:sz w:val="24"/>
          <w:szCs w:val="24"/>
        </w:rPr>
        <w:t>项目编号：</w:t>
      </w:r>
    </w:p>
    <w:tbl>
      <w:tblPr>
        <w:tblStyle w:val="44"/>
        <w:tblW w:w="98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268"/>
        <w:gridCol w:w="4394"/>
        <w:gridCol w:w="792"/>
        <w:gridCol w:w="792"/>
        <w:gridCol w:w="7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序号</w:t>
            </w:r>
          </w:p>
        </w:tc>
        <w:tc>
          <w:tcPr>
            <w:tcW w:w="226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审查项目</w:t>
            </w:r>
          </w:p>
        </w:tc>
        <w:tc>
          <w:tcPr>
            <w:tcW w:w="439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有效投标认定条件</w:t>
            </w:r>
          </w:p>
        </w:tc>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1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226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4394"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1#</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2#</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 w:val="24"/>
                <w:szCs w:val="24"/>
              </w:rPr>
            </w:pPr>
            <w:r>
              <w:rPr>
                <w:rFonts w:ascii="宋体" w:hAnsi="宋体" w:cs="宋体"/>
                <w:b/>
                <w:kern w:val="0"/>
                <w:sz w:val="24"/>
                <w:szCs w:val="24"/>
              </w:rPr>
              <w:t>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rPr>
            </w:pPr>
            <w:r>
              <w:rPr>
                <w:rFonts w:hint="eastAsia" w:ascii="Tahoma" w:hAnsi="Tahoma" w:cs="宋体"/>
              </w:rPr>
              <w:t>投标文件的有效性、完整性</w:t>
            </w:r>
          </w:p>
        </w:tc>
        <w:tc>
          <w:tcPr>
            <w:tcW w:w="4394"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rPr>
            </w:pPr>
            <w:r>
              <w:rPr>
                <w:rFonts w:hint="eastAsia" w:ascii="Tahoma" w:hAnsi="Tahoma" w:cs="宋体"/>
              </w:rPr>
              <w:t>是否符合招标文件的式样和签署要求且内容完整无缺漏</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rPr>
            </w:pPr>
            <w:r>
              <w:rPr>
                <w:rFonts w:hint="eastAsia" w:ascii="Tahoma" w:hAnsi="Tahoma" w:cs="宋体"/>
              </w:rPr>
              <w:t>报价项目完整性</w:t>
            </w:r>
          </w:p>
        </w:tc>
        <w:tc>
          <w:tcPr>
            <w:tcW w:w="4394"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rPr>
            </w:pPr>
            <w:r>
              <w:rPr>
                <w:rFonts w:hint="eastAsia" w:ascii="Tahoma" w:hAnsi="Tahoma" w:cs="宋体"/>
              </w:rPr>
              <w:t>是否对本项目内所有的内容进行投标，漏报其投标将被拒绝</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cs="宋体"/>
              </w:rPr>
            </w:pPr>
            <w:r>
              <w:rPr>
                <w:rFonts w:hint="eastAsia" w:ascii="宋体" w:hAnsi="宋体" w:cs="宋体"/>
              </w:rPr>
              <w:t>投标有效期</w:t>
            </w:r>
          </w:p>
        </w:tc>
        <w:tc>
          <w:tcPr>
            <w:tcW w:w="4394"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cs="宋体"/>
              </w:rPr>
            </w:pPr>
            <w:r>
              <w:rPr>
                <w:rFonts w:hint="eastAsia" w:ascii="宋体" w:hAnsi="宋体" w:cs="宋体"/>
              </w:rPr>
              <w:t>是否满足招标文件要求</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rPr>
            </w:pPr>
            <w:r>
              <w:rPr>
                <w:rFonts w:hint="eastAsia" w:ascii="宋体" w:hAnsi="宋体" w:cs="宋体"/>
              </w:rPr>
              <w:t>服务期限</w:t>
            </w:r>
          </w:p>
        </w:tc>
        <w:tc>
          <w:tcPr>
            <w:tcW w:w="4394" w:type="dxa"/>
            <w:tcBorders>
              <w:top w:val="single" w:color="auto" w:sz="4" w:space="0"/>
              <w:left w:val="single" w:color="auto" w:sz="4" w:space="0"/>
              <w:bottom w:val="single" w:color="auto" w:sz="4" w:space="0"/>
              <w:right w:val="single" w:color="auto" w:sz="4" w:space="0"/>
            </w:tcBorders>
            <w:vAlign w:val="center"/>
          </w:tcPr>
          <w:p>
            <w:pPr>
              <w:rPr>
                <w:rFonts w:ascii="宋体" w:cs="宋体"/>
              </w:rPr>
            </w:pPr>
            <w:r>
              <w:rPr>
                <w:rFonts w:hint="eastAsia" w:ascii="宋体" w:hAnsi="宋体" w:cs="宋体"/>
              </w:rPr>
              <w:t>是否满足招标文件要求</w:t>
            </w: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c>
          <w:tcPr>
            <w:tcW w:w="792" w:type="dxa"/>
            <w:vAlign w:val="center"/>
          </w:tcPr>
          <w:p>
            <w:pPr>
              <w:widowControl/>
              <w:spacing w:line="360" w:lineRule="auto"/>
              <w:jc w:val="left"/>
              <w:rPr>
                <w:rFonts w:ascii="Times New Roman" w:hAnsi="Times New Roman" w:eastAsia="Times New Roman"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7479" w:type="dxa"/>
            <w:gridSpan w:val="3"/>
            <w:tcBorders>
              <w:top w:val="single" w:color="auto" w:sz="4" w:space="0"/>
              <w:left w:val="single" w:color="auto" w:sz="4" w:space="0"/>
              <w:bottom w:val="single" w:color="auto" w:sz="4" w:space="0"/>
            </w:tcBorders>
            <w:vAlign w:val="center"/>
          </w:tcPr>
          <w:p>
            <w:pPr>
              <w:widowControl/>
              <w:spacing w:line="360" w:lineRule="auto"/>
              <w:jc w:val="center"/>
              <w:rPr>
                <w:rFonts w:ascii="Times New Roman" w:hAnsi="Times New Roman" w:eastAsia="Times New Roman" w:cs="Times New Roman"/>
                <w:b/>
                <w:kern w:val="0"/>
                <w:sz w:val="24"/>
                <w:szCs w:val="24"/>
              </w:rPr>
            </w:pPr>
            <w:r>
              <w:rPr>
                <w:rFonts w:ascii="宋体" w:hAnsi="宋体" w:cs="宋体"/>
                <w:b/>
                <w:kern w:val="0"/>
                <w:sz w:val="24"/>
                <w:szCs w:val="24"/>
              </w:rPr>
              <w:t>结论</w:t>
            </w: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c>
          <w:tcPr>
            <w:tcW w:w="792" w:type="dxa"/>
            <w:vAlign w:val="center"/>
          </w:tcPr>
          <w:p>
            <w:pPr>
              <w:widowControl/>
              <w:spacing w:line="360" w:lineRule="auto"/>
              <w:jc w:val="left"/>
              <w:rPr>
                <w:rFonts w:ascii="Times New Roman" w:hAnsi="Times New Roman" w:eastAsia="Times New Roman" w:cs="Times New Roman"/>
                <w:b/>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855" w:type="dxa"/>
            <w:gridSpan w:val="6"/>
            <w:tcBorders>
              <w:top w:val="single" w:color="auto" w:sz="4" w:space="0"/>
              <w:left w:val="single" w:color="auto" w:sz="4" w:space="0"/>
              <w:bottom w:val="single" w:color="auto" w:sz="4" w:space="0"/>
            </w:tcBorders>
            <w:vAlign w:val="center"/>
          </w:tcPr>
          <w:p>
            <w:pPr>
              <w:widowControl/>
              <w:spacing w:line="360" w:lineRule="auto"/>
              <w:jc w:val="left"/>
              <w:rPr>
                <w:rFonts w:ascii="Times New Roman" w:hAnsi="Times New Roman" w:eastAsia="Times New Roman" w:cs="Times New Roman"/>
                <w:b/>
                <w:kern w:val="0"/>
                <w:sz w:val="24"/>
                <w:szCs w:val="24"/>
              </w:rPr>
            </w:pPr>
            <w:r>
              <w:rPr>
                <w:rFonts w:ascii="宋体" w:hAnsi="宋体" w:cs="宋体"/>
                <w:b/>
                <w:kern w:val="0"/>
                <w:sz w:val="24"/>
                <w:szCs w:val="24"/>
              </w:rPr>
              <w:t>备注： 经采购人、 招标代理机构审查， 投标人数量须不少于三家， 否则项目招标失败。</w:t>
            </w:r>
          </w:p>
        </w:tc>
      </w:tr>
    </w:tbl>
    <w:p>
      <w:pPr>
        <w:widowControl/>
        <w:jc w:val="left"/>
        <w:rPr>
          <w:rFonts w:ascii="宋体" w:hAnsi="宋体" w:cs="宋体"/>
          <w:kern w:val="0"/>
          <w:sz w:val="24"/>
          <w:szCs w:val="24"/>
        </w:rPr>
      </w:pPr>
      <w:r>
        <w:rPr>
          <w:rFonts w:ascii="宋体" w:hAnsi="宋体" w:cs="宋体"/>
          <w:kern w:val="0"/>
          <w:sz w:val="24"/>
          <w:szCs w:val="24"/>
        </w:rPr>
        <w:br w:type="textWrapping"/>
      </w:r>
      <w:r>
        <w:rPr>
          <w:rFonts w:hint="eastAsia" w:ascii="宋体" w:hAnsi="宋体" w:cs="宋体"/>
          <w:kern w:val="0"/>
          <w:sz w:val="24"/>
          <w:szCs w:val="24"/>
        </w:rPr>
        <w:t>说明：</w:t>
      </w:r>
    </w:p>
    <w:p>
      <w:pPr>
        <w:spacing w:line="4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、在表中的各项只需填写“√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48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tabs>
          <w:tab w:val="left" w:pos="1030"/>
        </w:tabs>
        <w:spacing w:line="38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、结论是合格的，才能进入下一轮；不合格的被淘汰。</w:t>
      </w:r>
    </w:p>
    <w:bookmarkEnd w:id="357"/>
    <w:p>
      <w:pPr>
        <w:pageBreakBefore/>
        <w:shd w:val="clear" w:color="auto" w:fill="FFFFFF"/>
        <w:spacing w:afterLines="100" w:line="360" w:lineRule="auto"/>
        <w:jc w:val="center"/>
        <w:rPr>
          <w:rFonts w:ascii="宋体" w:hAnsi="宋体" w:cs="宋体"/>
          <w:b/>
          <w:bCs/>
          <w:sz w:val="28"/>
          <w:szCs w:val="28"/>
        </w:rPr>
        <w:sectPr>
          <w:pgSz w:w="11907" w:h="16840"/>
          <w:pgMar w:top="1418" w:right="1134" w:bottom="1361" w:left="1134" w:header="794" w:footer="794" w:gutter="0"/>
          <w:pgNumType w:fmt="decimal"/>
          <w:cols w:space="720" w:num="1"/>
          <w:docGrid w:linePitch="285" w:charSpace="0"/>
        </w:sectPr>
      </w:pPr>
    </w:p>
    <w:p>
      <w:pPr>
        <w:pageBreakBefore/>
        <w:shd w:val="clear" w:color="auto" w:fill="FFFFFF"/>
        <w:spacing w:afterLines="100" w:line="360" w:lineRule="auto"/>
        <w:jc w:val="center"/>
        <w:rPr>
          <w:rFonts w:ascii="宋体" w:hAnsi="宋体" w:cs="宋体"/>
          <w:b/>
          <w:sz w:val="28"/>
          <w:szCs w:val="28"/>
        </w:rPr>
      </w:pPr>
      <w:r>
        <w:rPr>
          <w:rFonts w:hint="eastAsia" w:ascii="宋体" w:hAnsi="宋体" w:cs="宋体"/>
          <w:b/>
          <w:sz w:val="28"/>
          <w:szCs w:val="28"/>
        </w:rPr>
        <w:t>（三）评分标准</w:t>
      </w:r>
    </w:p>
    <w:p>
      <w:pPr>
        <w:spacing w:line="360" w:lineRule="auto"/>
        <w:ind w:firstLine="480" w:firstLineChars="200"/>
        <w:rPr>
          <w:rFonts w:ascii="宋体" w:hAnsi="宋体" w:cs="宋体"/>
          <w:sz w:val="24"/>
          <w:szCs w:val="24"/>
        </w:rPr>
      </w:pPr>
      <w:r>
        <w:rPr>
          <w:rFonts w:hint="eastAsia" w:ascii="宋体" w:hAnsi="宋体" w:cs="宋体"/>
          <w:sz w:val="24"/>
          <w:szCs w:val="24"/>
        </w:rPr>
        <w:t>1、评标办法</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按照招标文件规定的综合评分：评标委员会将对投标文件进行综合性价比较，主要分值由报价部分（10分</w:t>
      </w:r>
      <w:r>
        <w:rPr>
          <w:rFonts w:ascii="宋体" w:hAnsi="宋体" w:cs="宋体"/>
          <w:sz w:val="24"/>
          <w:szCs w:val="24"/>
        </w:rPr>
        <w:t>）</w:t>
      </w:r>
      <w:r>
        <w:rPr>
          <w:rFonts w:hint="eastAsia" w:ascii="宋体" w:hAnsi="宋体" w:cs="宋体"/>
          <w:sz w:val="24"/>
          <w:szCs w:val="24"/>
        </w:rPr>
        <w:t>、商务部分（30</w:t>
      </w:r>
      <w:r>
        <w:rPr>
          <w:rFonts w:ascii="宋体" w:hAnsi="宋体" w:cs="宋体"/>
          <w:sz w:val="24"/>
          <w:szCs w:val="24"/>
        </w:rPr>
        <w:t>）</w:t>
      </w:r>
      <w:r>
        <w:rPr>
          <w:rFonts w:hint="eastAsia" w:ascii="宋体" w:hAnsi="宋体" w:cs="宋体"/>
          <w:sz w:val="24"/>
          <w:szCs w:val="24"/>
        </w:rPr>
        <w:t>和技术部分（60分</w:t>
      </w:r>
      <w:r>
        <w:rPr>
          <w:rFonts w:ascii="宋体" w:hAnsi="宋体" w:cs="宋体"/>
          <w:sz w:val="24"/>
          <w:szCs w:val="24"/>
        </w:rPr>
        <w:t>）</w:t>
      </w:r>
      <w:r>
        <w:rPr>
          <w:rFonts w:hint="eastAsia" w:ascii="宋体" w:hAnsi="宋体" w:cs="宋体"/>
          <w:sz w:val="24"/>
          <w:szCs w:val="24"/>
        </w:rPr>
        <w:t>三</w:t>
      </w:r>
      <w:r>
        <w:rPr>
          <w:rFonts w:ascii="宋体" w:hAnsi="宋体" w:cs="宋体"/>
          <w:sz w:val="24"/>
          <w:szCs w:val="24"/>
        </w:rPr>
        <w:t>部分</w:t>
      </w:r>
      <w:r>
        <w:rPr>
          <w:rFonts w:hint="eastAsia" w:ascii="宋体" w:hAnsi="宋体" w:cs="宋体"/>
          <w:sz w:val="24"/>
          <w:szCs w:val="24"/>
        </w:rPr>
        <w:t>构成，得分高者中标。</w:t>
      </w:r>
    </w:p>
    <w:p>
      <w:pPr>
        <w:spacing w:line="360" w:lineRule="auto"/>
        <w:ind w:firstLine="480" w:firstLineChars="200"/>
        <w:rPr>
          <w:rFonts w:ascii="宋体" w:hAnsi="宋体" w:cs="宋体"/>
          <w:sz w:val="24"/>
          <w:szCs w:val="24"/>
        </w:rPr>
      </w:pPr>
      <w:r>
        <w:rPr>
          <w:rFonts w:hint="eastAsia" w:ascii="宋体" w:hAnsi="宋体" w:cs="宋体"/>
          <w:sz w:val="24"/>
          <w:szCs w:val="24"/>
        </w:rPr>
        <w:t>2、评标标准和方法</w:t>
      </w:r>
    </w:p>
    <w:tbl>
      <w:tblPr>
        <w:tblStyle w:val="44"/>
        <w:tblW w:w="9650" w:type="dxa"/>
        <w:jc w:val="center"/>
        <w:tblInd w:w="0" w:type="dxa"/>
        <w:tblLayout w:type="fixed"/>
        <w:tblCellMar>
          <w:top w:w="0" w:type="dxa"/>
          <w:left w:w="108" w:type="dxa"/>
          <w:bottom w:w="0" w:type="dxa"/>
          <w:right w:w="108" w:type="dxa"/>
        </w:tblCellMar>
      </w:tblPr>
      <w:tblGrid>
        <w:gridCol w:w="856"/>
        <w:gridCol w:w="2557"/>
        <w:gridCol w:w="5240"/>
        <w:gridCol w:w="997"/>
      </w:tblGrid>
      <w:tr>
        <w:tblPrEx>
          <w:tblLayout w:type="fixed"/>
          <w:tblCellMar>
            <w:top w:w="0" w:type="dxa"/>
            <w:left w:w="108" w:type="dxa"/>
            <w:bottom w:w="0" w:type="dxa"/>
            <w:right w:w="108" w:type="dxa"/>
          </w:tblCellMar>
        </w:tblPrEx>
        <w:trPr>
          <w:trHeight w:val="600" w:hRule="atLeast"/>
          <w:jc w:val="center"/>
        </w:trPr>
        <w:tc>
          <w:tcPr>
            <w:tcW w:w="8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序号</w:t>
            </w:r>
          </w:p>
        </w:tc>
        <w:tc>
          <w:tcPr>
            <w:tcW w:w="255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评分项目</w:t>
            </w:r>
          </w:p>
        </w:tc>
        <w:tc>
          <w:tcPr>
            <w:tcW w:w="52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评分标准</w:t>
            </w:r>
          </w:p>
        </w:tc>
        <w:tc>
          <w:tcPr>
            <w:tcW w:w="9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分值</w:t>
            </w:r>
          </w:p>
        </w:tc>
      </w:tr>
      <w:tr>
        <w:tblPrEx>
          <w:tblLayout w:type="fixed"/>
          <w:tblCellMar>
            <w:top w:w="0" w:type="dxa"/>
            <w:left w:w="108" w:type="dxa"/>
            <w:bottom w:w="0" w:type="dxa"/>
            <w:right w:w="108" w:type="dxa"/>
          </w:tblCellMar>
        </w:tblPrEx>
        <w:trPr>
          <w:trHeight w:val="600" w:hRule="atLeast"/>
          <w:jc w:val="center"/>
        </w:trPr>
        <w:tc>
          <w:tcPr>
            <w:tcW w:w="8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1</w:t>
            </w:r>
          </w:p>
        </w:tc>
        <w:tc>
          <w:tcPr>
            <w:tcW w:w="25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报价部分（10分</w:t>
            </w:r>
            <w:r>
              <w:rPr>
                <w:rFonts w:ascii="宋体" w:hAnsi="宋体" w:cs="宋体"/>
                <w:b/>
                <w:bCs/>
                <w:kern w:val="0"/>
              </w:rPr>
              <w:t>）</w:t>
            </w:r>
          </w:p>
        </w:tc>
        <w:tc>
          <w:tcPr>
            <w:tcW w:w="524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b/>
                <w:bCs/>
                <w:kern w:val="0"/>
              </w:rPr>
            </w:pPr>
          </w:p>
        </w:tc>
        <w:tc>
          <w:tcPr>
            <w:tcW w:w="9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rPr>
            </w:pPr>
            <w:r>
              <w:rPr>
                <w:rFonts w:hint="eastAsia" w:ascii="宋体" w:hAnsi="宋体" w:cs="宋体"/>
                <w:b/>
                <w:bCs/>
                <w:kern w:val="0"/>
              </w:rPr>
              <w:t>10</w:t>
            </w:r>
          </w:p>
        </w:tc>
      </w:tr>
      <w:tr>
        <w:tblPrEx>
          <w:tblLayout w:type="fixed"/>
          <w:tblCellMar>
            <w:top w:w="0" w:type="dxa"/>
            <w:left w:w="108" w:type="dxa"/>
            <w:bottom w:w="0" w:type="dxa"/>
            <w:right w:w="108" w:type="dxa"/>
          </w:tblCellMar>
        </w:tblPrEx>
        <w:trPr>
          <w:trHeight w:val="1782"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1</w:t>
            </w:r>
            <w:r>
              <w:rPr>
                <w:rFonts w:ascii="宋体" w:hAnsi="宋体" w:cs="宋体"/>
                <w:b/>
                <w:bCs/>
                <w:kern w:val="0"/>
              </w:rPr>
              <w:t>.1</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投标报价</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投标基准价：投标报价是否合理，投标价格范围是否完整，是否有重大错漏项，是</w:t>
            </w:r>
            <w:r>
              <w:rPr>
                <w:rFonts w:ascii="宋体" w:hAnsi="宋体" w:cs="宋体"/>
                <w:kern w:val="0"/>
              </w:rPr>
              <w:t>否</w:t>
            </w:r>
            <w:r>
              <w:rPr>
                <w:rFonts w:hint="eastAsia" w:ascii="宋体" w:hAnsi="宋体" w:cs="宋体"/>
                <w:kern w:val="0"/>
              </w:rPr>
              <w:t>满足招标文件要求且投标报价最低的为评标基准价，其</w:t>
            </w:r>
            <w:r>
              <w:rPr>
                <w:rFonts w:ascii="宋体" w:hAnsi="宋体" w:cs="宋体"/>
                <w:kern w:val="0"/>
              </w:rPr>
              <w:t>报价</w:t>
            </w:r>
            <w:r>
              <w:rPr>
                <w:rFonts w:hint="eastAsia" w:ascii="宋体" w:hAnsi="宋体" w:cs="宋体"/>
                <w:kern w:val="0"/>
              </w:rPr>
              <w:t>得</w:t>
            </w:r>
            <w:r>
              <w:rPr>
                <w:rFonts w:ascii="宋体" w:hAnsi="宋体" w:cs="宋体"/>
                <w:kern w:val="0"/>
              </w:rPr>
              <w:t>分为</w:t>
            </w:r>
            <w:r>
              <w:rPr>
                <w:rFonts w:hint="eastAsia" w:ascii="宋体" w:hAnsi="宋体" w:cs="宋体"/>
                <w:kern w:val="0"/>
              </w:rPr>
              <w:t>满分。其它投标</w:t>
            </w:r>
            <w:r>
              <w:rPr>
                <w:rFonts w:ascii="宋体" w:hAnsi="宋体" w:cs="宋体"/>
                <w:kern w:val="0"/>
              </w:rPr>
              <w:t>人的报价</w:t>
            </w:r>
            <w:r>
              <w:rPr>
                <w:rFonts w:hint="eastAsia" w:ascii="宋体" w:hAnsi="宋体" w:cs="宋体"/>
                <w:kern w:val="0"/>
              </w:rPr>
              <w:t>得</w:t>
            </w:r>
            <w:r>
              <w:rPr>
                <w:rFonts w:ascii="宋体" w:hAnsi="宋体" w:cs="宋体"/>
                <w:kern w:val="0"/>
              </w:rPr>
              <w:t>分统一按照下列公式</w:t>
            </w:r>
            <w:r>
              <w:rPr>
                <w:rFonts w:hint="eastAsia" w:ascii="宋体" w:hAnsi="宋体" w:cs="宋体"/>
                <w:kern w:val="0"/>
              </w:rPr>
              <w:t>计算</w:t>
            </w:r>
            <w:r>
              <w:rPr>
                <w:rFonts w:ascii="宋体" w:hAnsi="宋体" w:cs="宋体"/>
                <w:kern w:val="0"/>
              </w:rPr>
              <w:t>：</w:t>
            </w:r>
          </w:p>
          <w:p>
            <w:pPr>
              <w:widowControl/>
              <w:spacing w:line="360" w:lineRule="auto"/>
              <w:rPr>
                <w:rFonts w:ascii="宋体" w:hAnsi="宋体" w:cs="宋体"/>
                <w:kern w:val="0"/>
              </w:rPr>
            </w:pPr>
            <w:r>
              <w:rPr>
                <w:rFonts w:hint="eastAsia" w:ascii="宋体" w:hAnsi="宋体" w:cs="宋体"/>
                <w:kern w:val="0"/>
              </w:rPr>
              <w:t>投标报价得分=（满足招标文件要求的基准价/投标报价）×10。</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w:t>
            </w:r>
          </w:p>
        </w:tc>
      </w:tr>
      <w:tr>
        <w:tblPrEx>
          <w:tblLayout w:type="fixed"/>
          <w:tblCellMar>
            <w:top w:w="0" w:type="dxa"/>
            <w:left w:w="108" w:type="dxa"/>
            <w:bottom w:w="0" w:type="dxa"/>
            <w:right w:w="108" w:type="dxa"/>
          </w:tblCellMar>
        </w:tblPrEx>
        <w:trPr>
          <w:trHeight w:val="600"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2</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商务部分（30分</w:t>
            </w:r>
            <w:r>
              <w:rPr>
                <w:rFonts w:ascii="宋体" w:hAnsi="宋体" w:cs="宋体"/>
                <w:b/>
                <w:bCs/>
                <w:kern w:val="0"/>
              </w:rPr>
              <w:t>）</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rPr>
            </w:pP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w:t>
            </w:r>
            <w:r>
              <w:rPr>
                <w:rFonts w:hint="eastAsia" w:ascii="宋体" w:hAnsi="宋体" w:cs="宋体"/>
                <w:b/>
                <w:bCs/>
                <w:kern w:val="0"/>
              </w:rPr>
              <w:t>0</w:t>
            </w:r>
          </w:p>
        </w:tc>
      </w:tr>
      <w:tr>
        <w:tblPrEx>
          <w:tblLayout w:type="fixed"/>
          <w:tblCellMar>
            <w:top w:w="0" w:type="dxa"/>
            <w:left w:w="108" w:type="dxa"/>
            <w:bottom w:w="0" w:type="dxa"/>
            <w:right w:w="108" w:type="dxa"/>
          </w:tblCellMar>
        </w:tblPrEx>
        <w:trPr>
          <w:trHeight w:val="1538"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2.1</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设备实力</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投标人具有作业机械数量:</w:t>
            </w:r>
          </w:p>
          <w:p>
            <w:pPr>
              <w:widowControl/>
              <w:numPr>
                <w:ilvl w:val="0"/>
                <w:numId w:val="8"/>
              </w:numPr>
              <w:spacing w:line="360" w:lineRule="auto"/>
              <w:rPr>
                <w:rFonts w:ascii="宋体" w:hAnsi="宋体" w:cs="宋体"/>
                <w:kern w:val="0"/>
              </w:rPr>
            </w:pPr>
            <w:r>
              <w:rPr>
                <w:rFonts w:hint="eastAsia" w:ascii="宋体" w:hAnsi="宋体" w:cs="宋体"/>
                <w:kern w:val="0"/>
              </w:rPr>
              <w:t>15吨（车辆总质量）垃圾清运车辆≥1辆，满足者得2分</w:t>
            </w:r>
            <w:bookmarkStart w:id="358" w:name="OLE_LINK9"/>
            <w:r>
              <w:rPr>
                <w:rFonts w:hint="eastAsia" w:ascii="宋体" w:hAnsi="宋体" w:cs="宋体"/>
                <w:kern w:val="0"/>
              </w:rPr>
              <w:t>，否则得0分；</w:t>
            </w:r>
          </w:p>
          <w:p>
            <w:pPr>
              <w:widowControl/>
              <w:numPr>
                <w:ilvl w:val="0"/>
                <w:numId w:val="8"/>
              </w:numPr>
              <w:spacing w:line="360" w:lineRule="auto"/>
              <w:rPr>
                <w:rFonts w:ascii="宋体" w:hAnsi="宋体" w:cs="宋体"/>
                <w:kern w:val="0"/>
              </w:rPr>
            </w:pPr>
            <w:r>
              <w:rPr>
                <w:rFonts w:hint="eastAsia" w:ascii="宋体" w:hAnsi="宋体" w:cs="宋体"/>
                <w:kern w:val="0"/>
              </w:rPr>
              <w:t>15吨（车辆总质量）洒水车≥1 辆，满足者得2分，否则得0分；</w:t>
            </w:r>
          </w:p>
          <w:p>
            <w:pPr>
              <w:widowControl/>
              <w:numPr>
                <w:ilvl w:val="0"/>
                <w:numId w:val="8"/>
              </w:numPr>
              <w:spacing w:line="360" w:lineRule="auto"/>
              <w:rPr>
                <w:rFonts w:ascii="宋体" w:hAnsi="宋体" w:cs="宋体"/>
                <w:kern w:val="0"/>
              </w:rPr>
            </w:pPr>
            <w:r>
              <w:rPr>
                <w:rFonts w:hint="eastAsia" w:ascii="宋体" w:hAnsi="宋体" w:cs="宋体"/>
                <w:kern w:val="0"/>
              </w:rPr>
              <w:t>7吨（车辆总质量）洗扫车≥1辆，满足者得2分，否则得0分。</w:t>
            </w:r>
          </w:p>
          <w:p>
            <w:pPr>
              <w:widowControl/>
              <w:spacing w:line="360" w:lineRule="auto"/>
              <w:rPr>
                <w:rFonts w:ascii="宋体" w:hAnsi="宋体" w:cs="宋体"/>
                <w:kern w:val="0"/>
              </w:rPr>
            </w:pPr>
            <w:r>
              <w:rPr>
                <w:rFonts w:hint="eastAsia" w:ascii="宋体" w:hAnsi="宋体" w:cs="宋体"/>
                <w:kern w:val="0"/>
              </w:rPr>
              <w:t>（1-3提供车辆行驶证和购买发票原件核验，不提供原件者不得分）。</w:t>
            </w:r>
          </w:p>
          <w:p>
            <w:pPr>
              <w:widowControl/>
              <w:spacing w:line="360" w:lineRule="auto"/>
              <w:rPr>
                <w:rFonts w:ascii="宋体" w:hAnsi="宋体" w:cs="宋体"/>
                <w:kern w:val="0"/>
              </w:rPr>
            </w:pPr>
            <w:r>
              <w:rPr>
                <w:rFonts w:hint="eastAsia" w:ascii="宋体" w:hAnsi="宋体" w:cs="宋体"/>
                <w:kern w:val="0"/>
              </w:rPr>
              <w:t>4、投标人具有自有保洁机动三轮车，每提供一辆三轮车得1分，满分4分（提供购买发票原件查验，不提供原件者不得分）。</w:t>
            </w:r>
            <w:bookmarkEnd w:id="358"/>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10分</w:t>
            </w:r>
          </w:p>
        </w:tc>
      </w:tr>
      <w:tr>
        <w:tblPrEx>
          <w:tblLayout w:type="fixed"/>
          <w:tblCellMar>
            <w:top w:w="0" w:type="dxa"/>
            <w:left w:w="108" w:type="dxa"/>
            <w:bottom w:w="0" w:type="dxa"/>
            <w:right w:w="108" w:type="dxa"/>
          </w:tblCellMar>
        </w:tblPrEx>
        <w:trPr>
          <w:trHeight w:val="1538"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2.2</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业绩</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2015年至今，投标人具有类似保洁项目业绩：每提供一份得2分，满分10分。（投标文件中须提交中标通知书或合同复印件，时间以中标通知书或合同签订时间为准，现场查验原件，不提供原件者不得分）</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10分</w:t>
            </w:r>
          </w:p>
        </w:tc>
      </w:tr>
      <w:tr>
        <w:tblPrEx>
          <w:tblLayout w:type="fixed"/>
          <w:tblCellMar>
            <w:top w:w="0" w:type="dxa"/>
            <w:left w:w="108" w:type="dxa"/>
            <w:bottom w:w="0" w:type="dxa"/>
            <w:right w:w="108" w:type="dxa"/>
          </w:tblCellMar>
        </w:tblPrEx>
        <w:trPr>
          <w:trHeight w:val="268"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2.3</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荣誉证书</w:t>
            </w:r>
          </w:p>
        </w:tc>
        <w:tc>
          <w:tcPr>
            <w:tcW w:w="5240" w:type="dxa"/>
            <w:tcBorders>
              <w:top w:val="nil"/>
              <w:left w:val="nil"/>
              <w:bottom w:val="single" w:color="auto" w:sz="4" w:space="0"/>
              <w:right w:val="nil"/>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2011年至今，投标人或其工作人员在环境卫生管理工作中，获得市级或以上相关部门颁发的荣誉证书，得3分，否则得0分。（提供证书原件以及工作人员近期连续三个月的社保证明）</w:t>
            </w:r>
          </w:p>
        </w:tc>
        <w:tc>
          <w:tcPr>
            <w:tcW w:w="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3分</w:t>
            </w:r>
          </w:p>
        </w:tc>
      </w:tr>
      <w:tr>
        <w:tblPrEx>
          <w:tblLayout w:type="fixed"/>
          <w:tblCellMar>
            <w:top w:w="0" w:type="dxa"/>
            <w:left w:w="108" w:type="dxa"/>
            <w:bottom w:w="0" w:type="dxa"/>
            <w:right w:w="108" w:type="dxa"/>
          </w:tblCellMar>
        </w:tblPrEx>
        <w:trPr>
          <w:trHeight w:val="1402"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2.4</w:t>
            </w:r>
          </w:p>
        </w:tc>
        <w:tc>
          <w:tcPr>
            <w:tcW w:w="2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固定办公场所</w:t>
            </w:r>
          </w:p>
        </w:tc>
        <w:tc>
          <w:tcPr>
            <w:tcW w:w="5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投标人在项目所在地具有固定的办公场所或垃圾中转站者得3分，否则得0分。（以相关证明材料原件作为得分依据）</w:t>
            </w:r>
          </w:p>
        </w:tc>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3分</w:t>
            </w:r>
          </w:p>
        </w:tc>
      </w:tr>
      <w:tr>
        <w:tblPrEx>
          <w:tblLayout w:type="fixed"/>
          <w:tblCellMar>
            <w:top w:w="0" w:type="dxa"/>
            <w:left w:w="108" w:type="dxa"/>
            <w:bottom w:w="0" w:type="dxa"/>
            <w:right w:w="108" w:type="dxa"/>
          </w:tblCellMar>
        </w:tblPrEx>
        <w:trPr>
          <w:trHeight w:val="854"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2.5</w:t>
            </w:r>
          </w:p>
        </w:tc>
        <w:tc>
          <w:tcPr>
            <w:tcW w:w="255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投标文件制作</w:t>
            </w:r>
          </w:p>
        </w:tc>
        <w:tc>
          <w:tcPr>
            <w:tcW w:w="524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rPr>
                <w:rFonts w:ascii="宋体" w:hAnsi="宋体" w:cs="宋体"/>
                <w:kern w:val="0"/>
              </w:rPr>
            </w:pPr>
            <w:r>
              <w:rPr>
                <w:rFonts w:hint="eastAsia" w:ascii="宋体" w:hAnsi="宋体" w:cs="宋体"/>
                <w:kern w:val="0"/>
              </w:rPr>
              <w:t>投标文件制作规范、内容完整、装订整齐、有目录和页码，便于查阅，满足者得4分，否则得0分。</w:t>
            </w:r>
          </w:p>
        </w:tc>
        <w:tc>
          <w:tcPr>
            <w:tcW w:w="99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4分</w:t>
            </w:r>
          </w:p>
        </w:tc>
      </w:tr>
      <w:tr>
        <w:tblPrEx>
          <w:tblLayout w:type="fixed"/>
          <w:tblCellMar>
            <w:top w:w="0" w:type="dxa"/>
            <w:left w:w="108" w:type="dxa"/>
            <w:bottom w:w="0" w:type="dxa"/>
            <w:right w:w="108" w:type="dxa"/>
          </w:tblCellMar>
        </w:tblPrEx>
        <w:trPr>
          <w:trHeight w:val="600"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3</w:t>
            </w:r>
          </w:p>
        </w:tc>
        <w:tc>
          <w:tcPr>
            <w:tcW w:w="2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技术分（60分</w:t>
            </w:r>
            <w:r>
              <w:rPr>
                <w:rFonts w:ascii="宋体" w:hAnsi="宋体" w:cs="宋体"/>
                <w:b/>
                <w:bCs/>
                <w:kern w:val="0"/>
              </w:rPr>
              <w:t>）</w:t>
            </w:r>
          </w:p>
        </w:tc>
        <w:tc>
          <w:tcPr>
            <w:tcW w:w="5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rPr>
            </w:pP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60</w:t>
            </w:r>
          </w:p>
        </w:tc>
      </w:tr>
      <w:tr>
        <w:tblPrEx>
          <w:tblLayout w:type="fixed"/>
          <w:tblCellMar>
            <w:top w:w="0" w:type="dxa"/>
            <w:left w:w="108" w:type="dxa"/>
            <w:bottom w:w="0" w:type="dxa"/>
            <w:right w:w="108" w:type="dxa"/>
          </w:tblCellMar>
        </w:tblPrEx>
        <w:trPr>
          <w:trHeight w:val="952"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3.1</w:t>
            </w:r>
          </w:p>
        </w:tc>
        <w:tc>
          <w:tcPr>
            <w:tcW w:w="25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清扫保洁实施方案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根据投标人提供的清扫保洁实施方案进行比较评分：</w:t>
            </w:r>
          </w:p>
          <w:p>
            <w:pPr>
              <w:widowControl/>
              <w:spacing w:line="360" w:lineRule="auto"/>
              <w:rPr>
                <w:rFonts w:ascii="宋体" w:hAnsi="宋体" w:cs="宋体"/>
                <w:kern w:val="0"/>
              </w:rPr>
            </w:pPr>
            <w:r>
              <w:rPr>
                <w:rFonts w:hint="eastAsia" w:ascii="宋体" w:hAnsi="宋体" w:cs="宋体"/>
                <w:kern w:val="0"/>
              </w:rPr>
              <w:t>优得7—10分，较好得4-6分，一般得1-3分，差0分。</w:t>
            </w:r>
          </w:p>
        </w:tc>
        <w:tc>
          <w:tcPr>
            <w:tcW w:w="997"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10分</w:t>
            </w:r>
          </w:p>
        </w:tc>
      </w:tr>
      <w:tr>
        <w:tblPrEx>
          <w:tblLayout w:type="fixed"/>
          <w:tblCellMar>
            <w:top w:w="0" w:type="dxa"/>
            <w:left w:w="108" w:type="dxa"/>
            <w:bottom w:w="0" w:type="dxa"/>
            <w:right w:w="108" w:type="dxa"/>
          </w:tblCellMar>
        </w:tblPrEx>
        <w:trPr>
          <w:trHeight w:val="1119"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3.2</w:t>
            </w:r>
          </w:p>
        </w:tc>
        <w:tc>
          <w:tcPr>
            <w:tcW w:w="25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垃圾清运服务方案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根据投标人提供的垃圾清运方案进行比较评分：</w:t>
            </w:r>
          </w:p>
          <w:p>
            <w:pPr>
              <w:widowControl/>
              <w:spacing w:line="360" w:lineRule="auto"/>
              <w:rPr>
                <w:rFonts w:ascii="宋体" w:hAnsi="宋体" w:cs="宋体"/>
                <w:kern w:val="0"/>
              </w:rPr>
            </w:pPr>
            <w:r>
              <w:rPr>
                <w:rFonts w:hint="eastAsia" w:ascii="宋体" w:hAnsi="宋体" w:cs="宋体"/>
                <w:kern w:val="0"/>
              </w:rPr>
              <w:t>优得7—10分，较好得4-6分，一般得1-3分，差0分。</w:t>
            </w:r>
          </w:p>
        </w:tc>
        <w:tc>
          <w:tcPr>
            <w:tcW w:w="997"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10分</w:t>
            </w:r>
          </w:p>
        </w:tc>
      </w:tr>
      <w:tr>
        <w:tblPrEx>
          <w:tblLayout w:type="fixed"/>
          <w:tblCellMar>
            <w:top w:w="0" w:type="dxa"/>
            <w:left w:w="108" w:type="dxa"/>
            <w:bottom w:w="0" w:type="dxa"/>
            <w:right w:w="108" w:type="dxa"/>
          </w:tblCellMar>
        </w:tblPrEx>
        <w:trPr>
          <w:trHeight w:val="699"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3.3</w:t>
            </w:r>
          </w:p>
        </w:tc>
        <w:tc>
          <w:tcPr>
            <w:tcW w:w="255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管理实施方案</w:t>
            </w:r>
          </w:p>
        </w:tc>
        <w:tc>
          <w:tcPr>
            <w:tcW w:w="524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根据投标人提供的管理实施方案进行比较评分：</w:t>
            </w:r>
          </w:p>
          <w:p>
            <w:pPr>
              <w:widowControl/>
              <w:spacing w:line="360" w:lineRule="auto"/>
              <w:rPr>
                <w:rFonts w:ascii="宋体" w:hAnsi="宋体" w:cs="宋体"/>
                <w:kern w:val="0"/>
              </w:rPr>
            </w:pPr>
            <w:r>
              <w:rPr>
                <w:rFonts w:hint="eastAsia" w:ascii="宋体" w:hAnsi="宋体" w:cs="宋体"/>
                <w:kern w:val="0"/>
              </w:rPr>
              <w:t>优得4—7分，较好得4—2分，一般得1-2分，差0分。</w:t>
            </w:r>
          </w:p>
        </w:tc>
        <w:tc>
          <w:tcPr>
            <w:tcW w:w="99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7分</w:t>
            </w:r>
          </w:p>
        </w:tc>
      </w:tr>
      <w:tr>
        <w:tblPrEx>
          <w:tblLayout w:type="fixed"/>
          <w:tblCellMar>
            <w:top w:w="0" w:type="dxa"/>
            <w:left w:w="108" w:type="dxa"/>
            <w:bottom w:w="0" w:type="dxa"/>
            <w:right w:w="108" w:type="dxa"/>
          </w:tblCellMar>
        </w:tblPrEx>
        <w:trPr>
          <w:trHeight w:val="1008"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3.4</w:t>
            </w:r>
          </w:p>
        </w:tc>
        <w:tc>
          <w:tcPr>
            <w:tcW w:w="2557" w:type="dxa"/>
            <w:tcBorders>
              <w:top w:val="single" w:color="auto" w:sz="4" w:space="0"/>
              <w:left w:val="nil"/>
              <w:bottom w:val="nil"/>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质量考核实施方案</w:t>
            </w:r>
          </w:p>
        </w:tc>
        <w:tc>
          <w:tcPr>
            <w:tcW w:w="524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根据投标人提供的环卫质量考核实施方案进行比较评分：</w:t>
            </w:r>
          </w:p>
          <w:p>
            <w:pPr>
              <w:widowControl/>
              <w:spacing w:line="360" w:lineRule="auto"/>
              <w:rPr>
                <w:rFonts w:ascii="宋体" w:hAnsi="宋体" w:cs="宋体"/>
                <w:kern w:val="0"/>
              </w:rPr>
            </w:pPr>
            <w:r>
              <w:rPr>
                <w:rFonts w:hint="eastAsia" w:ascii="宋体" w:hAnsi="宋体" w:cs="宋体"/>
                <w:kern w:val="0"/>
              </w:rPr>
              <w:t>优得4—7分，较好得4—2分，一般得1-2分，差0分。</w:t>
            </w:r>
          </w:p>
        </w:tc>
        <w:tc>
          <w:tcPr>
            <w:tcW w:w="99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7分</w:t>
            </w:r>
          </w:p>
        </w:tc>
      </w:tr>
      <w:tr>
        <w:tblPrEx>
          <w:tblLayout w:type="fixed"/>
          <w:tblCellMar>
            <w:top w:w="0" w:type="dxa"/>
            <w:left w:w="108" w:type="dxa"/>
            <w:bottom w:w="0" w:type="dxa"/>
            <w:right w:w="108" w:type="dxa"/>
          </w:tblCellMar>
        </w:tblPrEx>
        <w:trPr>
          <w:trHeight w:val="912"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3.5</w:t>
            </w:r>
          </w:p>
        </w:tc>
        <w:tc>
          <w:tcPr>
            <w:tcW w:w="255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安全生产保障方案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根据投标人提供的安全生产保障措施进行比较评分：</w:t>
            </w:r>
          </w:p>
          <w:p>
            <w:pPr>
              <w:widowControl/>
              <w:spacing w:line="360" w:lineRule="auto"/>
              <w:rPr>
                <w:rFonts w:ascii="宋体" w:hAnsi="宋体" w:cs="宋体"/>
                <w:kern w:val="0"/>
              </w:rPr>
            </w:pPr>
            <w:r>
              <w:rPr>
                <w:rFonts w:hint="eastAsia" w:ascii="宋体" w:hAnsi="宋体" w:cs="宋体"/>
                <w:kern w:val="0"/>
              </w:rPr>
              <w:t>优得4—7分，较好得4—2分，一般得1-2分，差0分。</w:t>
            </w:r>
          </w:p>
        </w:tc>
        <w:tc>
          <w:tcPr>
            <w:tcW w:w="997"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7分</w:t>
            </w:r>
          </w:p>
        </w:tc>
      </w:tr>
      <w:tr>
        <w:tblPrEx>
          <w:tblLayout w:type="fixed"/>
          <w:tblCellMar>
            <w:top w:w="0" w:type="dxa"/>
            <w:left w:w="108" w:type="dxa"/>
            <w:bottom w:w="0" w:type="dxa"/>
            <w:right w:w="108" w:type="dxa"/>
          </w:tblCellMar>
        </w:tblPrEx>
        <w:trPr>
          <w:trHeight w:val="832"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ascii="宋体" w:hAnsi="宋体" w:cs="宋体"/>
                <w:b/>
                <w:bCs/>
                <w:kern w:val="0"/>
              </w:rPr>
              <w:t>3.6</w:t>
            </w:r>
          </w:p>
        </w:tc>
        <w:tc>
          <w:tcPr>
            <w:tcW w:w="25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应急保障方案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根据投标人提供的环卫应急保障方案进行比较评分：</w:t>
            </w:r>
          </w:p>
          <w:p>
            <w:pPr>
              <w:widowControl/>
              <w:spacing w:line="360" w:lineRule="auto"/>
              <w:rPr>
                <w:rFonts w:ascii="宋体" w:hAnsi="宋体" w:cs="宋体"/>
                <w:kern w:val="0"/>
              </w:rPr>
            </w:pPr>
            <w:r>
              <w:rPr>
                <w:rFonts w:hint="eastAsia" w:ascii="宋体" w:hAnsi="宋体" w:cs="宋体"/>
                <w:kern w:val="0"/>
              </w:rPr>
              <w:t>优得4—7分，较好得4—2分，一般得1-2分，差0分。</w:t>
            </w:r>
          </w:p>
        </w:tc>
        <w:tc>
          <w:tcPr>
            <w:tcW w:w="997"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宋体" w:hAnsi="宋体" w:cs="宋体"/>
                <w:kern w:val="0"/>
              </w:rPr>
            </w:pPr>
            <w:r>
              <w:rPr>
                <w:rFonts w:hint="eastAsia" w:ascii="宋体" w:hAnsi="宋体" w:cs="宋体"/>
                <w:kern w:val="0"/>
              </w:rPr>
              <w:t>7分</w:t>
            </w:r>
          </w:p>
        </w:tc>
      </w:tr>
      <w:tr>
        <w:tblPrEx>
          <w:tblLayout w:type="fixed"/>
          <w:tblCellMar>
            <w:top w:w="0" w:type="dxa"/>
            <w:left w:w="108" w:type="dxa"/>
            <w:bottom w:w="0" w:type="dxa"/>
            <w:right w:w="108" w:type="dxa"/>
          </w:tblCellMar>
        </w:tblPrEx>
        <w:trPr>
          <w:trHeight w:val="1267"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3.7</w:t>
            </w:r>
          </w:p>
        </w:tc>
        <w:tc>
          <w:tcPr>
            <w:tcW w:w="25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内部管理方案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r>
              <w:rPr>
                <w:rFonts w:hint="eastAsia" w:ascii="宋体" w:hAnsi="宋体" w:cs="宋体"/>
                <w:kern w:val="0"/>
              </w:rPr>
              <w:t>根据投标人提供的内部管理日常工作管理细则进行比较评分：</w:t>
            </w:r>
          </w:p>
          <w:p>
            <w:pPr>
              <w:widowControl/>
              <w:spacing w:line="360" w:lineRule="auto"/>
              <w:rPr>
                <w:rFonts w:ascii="宋体" w:hAnsi="宋体" w:cs="宋体"/>
                <w:kern w:val="0"/>
              </w:rPr>
            </w:pPr>
            <w:r>
              <w:rPr>
                <w:rFonts w:hint="eastAsia" w:ascii="宋体" w:hAnsi="宋体" w:cs="宋体"/>
                <w:kern w:val="0"/>
              </w:rPr>
              <w:t>优得4—7分，较好得4—2分，一般得1-2分，差0分。</w:t>
            </w:r>
          </w:p>
        </w:tc>
        <w:tc>
          <w:tcPr>
            <w:tcW w:w="99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7分</w:t>
            </w:r>
          </w:p>
        </w:tc>
      </w:tr>
      <w:tr>
        <w:tblPrEx>
          <w:tblLayout w:type="fixed"/>
          <w:tblCellMar>
            <w:top w:w="0" w:type="dxa"/>
            <w:left w:w="108" w:type="dxa"/>
            <w:bottom w:w="0" w:type="dxa"/>
            <w:right w:w="108" w:type="dxa"/>
          </w:tblCellMar>
        </w:tblPrEx>
        <w:trPr>
          <w:trHeight w:val="882" w:hRule="atLeast"/>
          <w:jc w:val="center"/>
        </w:trPr>
        <w:tc>
          <w:tcPr>
            <w:tcW w:w="8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3.8</w:t>
            </w:r>
          </w:p>
        </w:tc>
        <w:tc>
          <w:tcPr>
            <w:tcW w:w="25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rPr>
            </w:pPr>
            <w:r>
              <w:rPr>
                <w:rFonts w:hint="eastAsia" w:ascii="宋体" w:hAnsi="宋体" w:cs="宋体"/>
                <w:kern w:val="0"/>
              </w:rPr>
              <w:t>员工</w:t>
            </w:r>
          </w:p>
          <w:p>
            <w:pPr>
              <w:widowControl/>
              <w:spacing w:line="360" w:lineRule="auto"/>
              <w:jc w:val="center"/>
              <w:rPr>
                <w:rFonts w:ascii="宋体" w:hAnsi="宋体" w:cs="宋体"/>
                <w:kern w:val="0"/>
              </w:rPr>
            </w:pPr>
            <w:r>
              <w:rPr>
                <w:rFonts w:hint="eastAsia" w:ascii="宋体" w:hAnsi="宋体" w:cs="宋体"/>
                <w:kern w:val="0"/>
              </w:rPr>
              <w:t>培训方案</w:t>
            </w:r>
          </w:p>
        </w:tc>
        <w:tc>
          <w:tcPr>
            <w:tcW w:w="524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rPr>
            </w:pPr>
            <w:bookmarkStart w:id="359" w:name="_GoBack"/>
            <w:r>
              <w:rPr>
                <w:rFonts w:hint="eastAsia" w:ascii="宋体" w:hAnsi="宋体" w:cs="宋体"/>
                <w:kern w:val="0"/>
              </w:rPr>
              <w:t>根据投标人提供的员工技术培训计划进行比较评分：</w:t>
            </w:r>
          </w:p>
          <w:p>
            <w:pPr>
              <w:widowControl/>
              <w:spacing w:line="360" w:lineRule="auto"/>
              <w:rPr>
                <w:rFonts w:ascii="宋体" w:hAnsi="宋体" w:cs="宋体"/>
                <w:kern w:val="0"/>
              </w:rPr>
            </w:pPr>
            <w:r>
              <w:rPr>
                <w:rFonts w:hint="eastAsia" w:ascii="宋体" w:hAnsi="宋体" w:cs="宋体"/>
                <w:kern w:val="0"/>
              </w:rPr>
              <w:t>优得3—5分，较好得3—2分，一般得1-2分，差0分。</w:t>
            </w:r>
            <w:bookmarkEnd w:id="359"/>
          </w:p>
        </w:tc>
        <w:tc>
          <w:tcPr>
            <w:tcW w:w="99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5分</w:t>
            </w:r>
          </w:p>
        </w:tc>
      </w:tr>
      <w:tr>
        <w:tblPrEx>
          <w:tblLayout w:type="fixed"/>
          <w:tblCellMar>
            <w:top w:w="0" w:type="dxa"/>
            <w:left w:w="108" w:type="dxa"/>
            <w:bottom w:w="0" w:type="dxa"/>
            <w:right w:w="108" w:type="dxa"/>
          </w:tblCellMar>
        </w:tblPrEx>
        <w:trPr>
          <w:trHeight w:val="600" w:hRule="atLeast"/>
          <w:jc w:val="center"/>
        </w:trPr>
        <w:tc>
          <w:tcPr>
            <w:tcW w:w="85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合计</w:t>
            </w:r>
          </w:p>
        </w:tc>
        <w:tc>
          <w:tcPr>
            <w:tcW w:w="7797" w:type="dxa"/>
            <w:gridSpan w:val="2"/>
            <w:tcBorders>
              <w:top w:val="single" w:color="auto" w:sz="4" w:space="0"/>
              <w:left w:val="single" w:color="auto" w:sz="4" w:space="0"/>
              <w:bottom w:val="single" w:color="auto" w:sz="4" w:space="0"/>
              <w:right w:val="nil"/>
            </w:tcBorders>
            <w:shd w:val="clear" w:color="auto" w:fill="auto"/>
            <w:vAlign w:val="center"/>
          </w:tcPr>
          <w:p>
            <w:pPr>
              <w:widowControl/>
              <w:rPr>
                <w:rFonts w:ascii="宋体" w:hAnsi="宋体" w:cs="宋体"/>
                <w:b/>
                <w:bCs/>
                <w:kern w:val="0"/>
              </w:rPr>
            </w:pPr>
          </w:p>
        </w:tc>
        <w:tc>
          <w:tcPr>
            <w:tcW w:w="9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100</w:t>
            </w:r>
          </w:p>
        </w:tc>
      </w:tr>
      <w:tr>
        <w:tblPrEx>
          <w:tblLayout w:type="fixed"/>
          <w:tblCellMar>
            <w:top w:w="0" w:type="dxa"/>
            <w:left w:w="108" w:type="dxa"/>
            <w:bottom w:w="0" w:type="dxa"/>
            <w:right w:w="108" w:type="dxa"/>
          </w:tblCellMar>
        </w:tblPrEx>
        <w:trPr>
          <w:trHeight w:val="1111" w:hRule="atLeast"/>
          <w:jc w:val="center"/>
        </w:trPr>
        <w:tc>
          <w:tcPr>
            <w:tcW w:w="9650" w:type="dxa"/>
            <w:gridSpan w:val="4"/>
            <w:tcBorders>
              <w:top w:val="single" w:color="auto" w:sz="4" w:space="0"/>
              <w:left w:val="nil"/>
              <w:bottom w:val="nil"/>
              <w:right w:val="nil"/>
            </w:tcBorders>
            <w:shd w:val="clear" w:color="auto" w:fill="auto"/>
            <w:noWrap/>
            <w:vAlign w:val="center"/>
          </w:tcPr>
          <w:p>
            <w:pPr>
              <w:widowControl/>
              <w:spacing w:line="360" w:lineRule="auto"/>
              <w:rPr>
                <w:rFonts w:ascii="宋体" w:hAnsi="宋体" w:cs="宋体"/>
                <w:kern w:val="0"/>
              </w:rPr>
            </w:pPr>
            <w:r>
              <w:rPr>
                <w:rFonts w:hint="eastAsia" w:ascii="宋体" w:hAnsi="宋体" w:cs="宋体"/>
                <w:kern w:val="0"/>
              </w:rPr>
              <w:t>注：</w:t>
            </w:r>
            <w:r>
              <w:rPr>
                <w:rFonts w:ascii="宋体" w:hAnsi="宋体" w:cs="宋体"/>
                <w:kern w:val="0"/>
              </w:rPr>
              <w:t>评委在上表设定的分</w:t>
            </w:r>
            <w:r>
              <w:rPr>
                <w:rFonts w:hint="eastAsia" w:ascii="宋体" w:hAnsi="宋体" w:cs="宋体"/>
                <w:kern w:val="0"/>
              </w:rPr>
              <w:t>值</w:t>
            </w:r>
            <w:r>
              <w:rPr>
                <w:rFonts w:ascii="宋体" w:hAnsi="宋体" w:cs="宋体"/>
                <w:kern w:val="0"/>
              </w:rPr>
              <w:t>范围内打分</w:t>
            </w:r>
            <w:r>
              <w:rPr>
                <w:rFonts w:hint="eastAsia" w:ascii="宋体" w:hAnsi="宋体" w:cs="宋体"/>
                <w:kern w:val="0"/>
              </w:rPr>
              <w:t>（四舍</w:t>
            </w:r>
            <w:r>
              <w:rPr>
                <w:rFonts w:ascii="宋体" w:hAnsi="宋体" w:cs="宋体"/>
                <w:kern w:val="0"/>
              </w:rPr>
              <w:t>五入保留</w:t>
            </w:r>
            <w:r>
              <w:rPr>
                <w:rFonts w:hint="eastAsia" w:ascii="宋体" w:hAnsi="宋体" w:cs="宋体"/>
                <w:kern w:val="0"/>
              </w:rPr>
              <w:t>两</w:t>
            </w:r>
            <w:r>
              <w:rPr>
                <w:rFonts w:ascii="宋体" w:hAnsi="宋体" w:cs="宋体"/>
                <w:kern w:val="0"/>
              </w:rPr>
              <w:t>位小数</w:t>
            </w:r>
            <w:r>
              <w:rPr>
                <w:rFonts w:hint="eastAsia" w:ascii="宋体" w:hAnsi="宋体" w:cs="宋体"/>
                <w:kern w:val="0"/>
              </w:rPr>
              <w:t>）</w:t>
            </w:r>
            <w:r>
              <w:rPr>
                <w:rFonts w:ascii="宋体" w:hAnsi="宋体" w:cs="宋体"/>
                <w:kern w:val="0"/>
              </w:rPr>
              <w:t>；</w:t>
            </w:r>
          </w:p>
          <w:p>
            <w:pPr>
              <w:widowControl/>
              <w:spacing w:line="360" w:lineRule="auto"/>
              <w:ind w:firstLine="420" w:firstLineChars="200"/>
              <w:rPr>
                <w:rFonts w:ascii="宋体" w:hAnsi="宋体" w:cs="宋体"/>
                <w:kern w:val="0"/>
              </w:rPr>
            </w:pPr>
          </w:p>
        </w:tc>
      </w:tr>
    </w:tbl>
    <w:p>
      <w:pPr>
        <w:pageBreakBefore/>
        <w:tabs>
          <w:tab w:val="left" w:pos="540"/>
        </w:tabs>
        <w:spacing w:line="360" w:lineRule="auto"/>
        <w:ind w:firstLine="480" w:firstLineChars="200"/>
        <w:rPr>
          <w:rFonts w:ascii="宋体" w:hAnsi="宋体" w:cs="宋体"/>
          <w:sz w:val="24"/>
          <w:szCs w:val="24"/>
        </w:rPr>
      </w:pPr>
      <w:r>
        <w:rPr>
          <w:rFonts w:hint="eastAsia" w:ascii="宋体" w:hAnsi="宋体" w:cs="宋体"/>
          <w:sz w:val="24"/>
          <w:szCs w:val="24"/>
        </w:rPr>
        <w:t>价格评审按如下方法处理：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在投标报价时，虽然报价未低于设备成本，技术参数、规格配置也符合招标文件的要求，但设备的实际应用情况（如精确度、稳定度和耐用度等）名不符实。经由三分之二（含三分之二）以上评标委员会成员以记名方式投票通过认定为名不符实的，其投标作无效投标处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）投标报价有计算上或累加上的算术错误，修正错误的原则如下：</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投标文件的大写金额和小写金额不一致的，以大写金额为准；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总价金额与按单价汇总金额不一致的，以单价金额计算结果为准；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单价金额小数点有明显错位的，应以总价为准，并修改单价；</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对投标货物的关键、主要设备，投标人报价漏项的，作非响应性投标处理；</w:t>
      </w:r>
    </w:p>
    <w:p>
      <w:pPr>
        <w:tabs>
          <w:tab w:val="left" w:pos="540"/>
        </w:tabs>
        <w:spacing w:line="360" w:lineRule="auto"/>
        <w:ind w:firstLine="360" w:firstLineChars="150"/>
        <w:rPr>
          <w:rFonts w:ascii="宋体" w:hAnsi="宋体" w:cs="宋体"/>
          <w:sz w:val="24"/>
          <w:szCs w:val="24"/>
        </w:rPr>
      </w:pPr>
      <w:r>
        <w:rPr>
          <w:rFonts w:hint="eastAsia" w:ascii="宋体" w:hAnsi="宋体" w:cs="宋体"/>
          <w:sz w:val="24"/>
          <w:szCs w:val="24"/>
        </w:rPr>
        <w:t>买方需要的服务和附带备品、配件所需的费用，如果投标人是另外单独报价的话，评标时计入投标报价总价。</w:t>
      </w:r>
      <w:bookmarkEnd w:id="347"/>
      <w:bookmarkEnd w:id="348"/>
    </w:p>
    <w:sectPr>
      <w:pgSz w:w="11907" w:h="16840"/>
      <w:pgMar w:top="1418" w:right="1134" w:bottom="1361" w:left="1134" w:header="794" w:footer="794" w:gutter="0"/>
      <w:pgNumType w:fmt="decimal"/>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彩云">
    <w:altName w:val="微软雅黑"/>
    <w:panose1 w:val="02010800040101010101"/>
    <w:charset w:val="86"/>
    <w:family w:val="auto"/>
    <w:pitch w:val="default"/>
    <w:sig w:usb0="00000000" w:usb1="00000000" w:usb2="00000010" w:usb3="00000000" w:csb0="00040000" w:csb1="00000000"/>
  </w:font>
  <w:font w:name="Century Gothic">
    <w:altName w:val="Segoe Print"/>
    <w:panose1 w:val="020B050202020202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560"/>
      <w:jc w:val="center"/>
      <w:rPr>
        <w:sz w:val="24"/>
        <w:szCs w:val="24"/>
      </w:rPr>
    </w:pPr>
    <w:r>
      <w:rPr>
        <w:sz w:val="24"/>
      </w:rPr>
      <w:pict>
        <v:shape id="_x0000_s1033" o:spid="_x0000_s103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eastAsia" w:eastAsia="宋体"/>
        <w:lang w:val="en-US" w:eastAsia="zh-CN"/>
      </w:rPr>
    </w:pPr>
    <w:r>
      <w:rPr>
        <w:sz w:val="18"/>
      </w:rPr>
      <w:pict>
        <v:shape id="_x0000_s1034" o:spid="_x0000_s103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15"/>
      </w:rPr>
    </w:pPr>
    <w:r>
      <w:rPr>
        <w:sz w:val="24"/>
      </w:rPr>
      <w:pict>
        <v:shape id="_x0000_s1035" o:spid="_x0000_s1035"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w:r>
    <w:r>
      <w:rPr>
        <w:sz w:val="24"/>
        <w:lang w:val="zh-CN" w:bidi="zh-CN"/>
      </w:rPr>
      <w:pict>
        <v:shape id="文本框 6" o:spid="_x0000_s1026" o:spt="202" type="#_x0000_t202" style="position:absolute;left:0pt;margin-left:72.65pt;margin-top:777.95pt;height:12pt;width:4.25pt;mso-position-horizontal-relative:page;mso-position-vertical-relative:page;z-index:-251656192;mso-width-relative:page;mso-height-relative:page;" filled="f" stroked="f" coordsize="21600,21600" o:gfxdata="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JL8A/ZAAAADQEAAA8A&#10;AAAAAAAAAQAgAAAAIgAAAGRycy9kb3ducmV2LnhtbFBLAQIUABQAAAAIAIdO4kCMfjUppAEAADED&#10;AAAOAAAAAAAAAAEAIAAAACgBAABkcnMvZTJvRG9jLnhtbFBLBQYAAAAABgAGAFkBAAA+BQAAAAA=&#10;">
          <v:path/>
          <v:fill on="f" focussize="0,0"/>
          <v:stroke on="f" joinstyle="miter"/>
          <v:imagedata o:title=""/>
          <o:lock v:ext="edit"/>
          <v:textbox inset="0mm,0mm,0mm,0mm">
            <w:txbxContent>
              <w:p>
                <w:pPr>
                  <w:spacing w:before="12"/>
                  <w:ind w:left="20"/>
                  <w:rPr>
                    <w:rFonts w:ascii="Times New Roman"/>
                    <w:sz w:val="18"/>
                  </w:rPr>
                </w:pPr>
                <w:r>
                  <w:rPr>
                    <w:rFonts w:ascii="Times New Roman"/>
                    <w:sz w:val="1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359" w:leftChars="-171" w:right="-328" w:rightChars="-156" w:firstLine="420" w:firstLineChars="200"/>
      <w:rPr>
        <w:rFonts w:ascii="宋体" w:cs="Times New Roman"/>
        <w:color w:val="00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4E011"/>
    <w:multiLevelType w:val="singleLevel"/>
    <w:tmpl w:val="85E4E011"/>
    <w:lvl w:ilvl="0" w:tentative="0">
      <w:start w:val="9"/>
      <w:numFmt w:val="chineseCounting"/>
      <w:suff w:val="nothing"/>
      <w:lvlText w:val="%1、"/>
      <w:lvlJc w:val="left"/>
      <w:rPr>
        <w:rFonts w:hint="eastAsia"/>
      </w:rPr>
    </w:lvl>
  </w:abstractNum>
  <w:abstractNum w:abstractNumId="1">
    <w:nsid w:val="8EFDFD7A"/>
    <w:multiLevelType w:val="singleLevel"/>
    <w:tmpl w:val="8EFDFD7A"/>
    <w:lvl w:ilvl="0" w:tentative="0">
      <w:start w:val="3"/>
      <w:numFmt w:val="chineseCounting"/>
      <w:suff w:val="nothing"/>
      <w:lvlText w:val="（%1）"/>
      <w:lvlJc w:val="left"/>
      <w:rPr>
        <w:rFonts w:hint="eastAsia"/>
      </w:rPr>
    </w:lvl>
  </w:abstractNum>
  <w:abstractNum w:abstractNumId="2">
    <w:nsid w:val="0000000E"/>
    <w:multiLevelType w:val="multilevel"/>
    <w:tmpl w:val="0000000E"/>
    <w:lvl w:ilvl="0" w:tentative="0">
      <w:start w:val="1"/>
      <w:numFmt w:val="decimal"/>
      <w:pStyle w:val="208"/>
      <w:suff w:val="nothing"/>
      <w:lvlText w:val="附　表　%1"/>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49CB248F"/>
    <w:multiLevelType w:val="multilevel"/>
    <w:tmpl w:val="49CB248F"/>
    <w:lvl w:ilvl="0" w:tentative="0">
      <w:start w:val="1"/>
      <w:numFmt w:val="chineseCountingThousand"/>
      <w:suff w:val="nothing"/>
      <w:lvlText w:val="第%1部分"/>
      <w:lvlJc w:val="left"/>
      <w:pPr>
        <w:ind w:left="425" w:hanging="425"/>
      </w:pPr>
      <w:rPr>
        <w:rFonts w:hint="eastAsia"/>
      </w:rPr>
    </w:lvl>
    <w:lvl w:ilvl="1" w:tentative="0">
      <w:start w:val="1"/>
      <w:numFmt w:val="chineseCountingThousand"/>
      <w:pStyle w:val="2"/>
      <w:suff w:val="nothing"/>
      <w:lvlText w:val="%2、"/>
      <w:lvlJc w:val="left"/>
      <w:pPr>
        <w:ind w:left="567" w:hanging="567"/>
      </w:pPr>
      <w:rPr>
        <w:rFonts w:hint="eastAsia"/>
        <w:lang w:val="en-US"/>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4FA404B4"/>
    <w:multiLevelType w:val="multilevel"/>
    <w:tmpl w:val="4FA404B4"/>
    <w:lvl w:ilvl="0" w:tentative="0">
      <w:start w:val="1"/>
      <w:numFmt w:val="chineseCountingThousand"/>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pStyle w:val="4"/>
      <w:suff w:val="nothing"/>
      <w:lvlText w:val="%3、"/>
      <w:lvlJc w:val="left"/>
      <w:pPr>
        <w:ind w:left="851" w:hanging="397"/>
      </w:pPr>
      <w:rPr>
        <w:rFonts w:hint="eastAsia"/>
      </w:rPr>
    </w:lvl>
    <w:lvl w:ilvl="3" w:tentative="0">
      <w:start w:val="1"/>
      <w:numFmt w:val="decimal"/>
      <w:pStyle w:val="5"/>
      <w:suff w:val="nothing"/>
      <w:lvlText w:val="%3.%4"/>
      <w:lvlJc w:val="left"/>
      <w:pPr>
        <w:ind w:left="1418" w:hanging="709"/>
      </w:pPr>
      <w:rPr>
        <w:rFonts w:hint="eastAsia"/>
      </w:rPr>
    </w:lvl>
    <w:lvl w:ilvl="4" w:tentative="0">
      <w:start w:val="1"/>
      <w:numFmt w:val="decimal"/>
      <w:lvlRestart w:val="0"/>
      <w:pStyle w:val="6"/>
      <w:suff w:val="nothing"/>
      <w:lvlText w:val="%3.%4.%5"/>
      <w:lvlJc w:val="left"/>
      <w:pPr>
        <w:ind w:left="1418" w:hanging="56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579EAA54"/>
    <w:multiLevelType w:val="singleLevel"/>
    <w:tmpl w:val="579EAA54"/>
    <w:lvl w:ilvl="0" w:tentative="0">
      <w:start w:val="1"/>
      <w:numFmt w:val="decimal"/>
      <w:suff w:val="nothing"/>
      <w:lvlText w:val="%1、"/>
      <w:lvlJc w:val="left"/>
    </w:lvl>
  </w:abstractNum>
  <w:abstractNum w:abstractNumId="6">
    <w:nsid w:val="59408BD8"/>
    <w:multiLevelType w:val="singleLevel"/>
    <w:tmpl w:val="59408BD8"/>
    <w:lvl w:ilvl="0" w:tentative="0">
      <w:start w:val="1"/>
      <w:numFmt w:val="chineseCounting"/>
      <w:suff w:val="nothing"/>
      <w:lvlText w:val="%1、"/>
      <w:lvlJc w:val="left"/>
    </w:lvl>
  </w:abstractNum>
  <w:abstractNum w:abstractNumId="7">
    <w:nsid w:val="6B060A6C"/>
    <w:multiLevelType w:val="multilevel"/>
    <w:tmpl w:val="6B060A6C"/>
    <w:lvl w:ilvl="0" w:tentative="0">
      <w:start w:val="1"/>
      <w:numFmt w:val="chineseCountingThousand"/>
      <w:pStyle w:val="3"/>
      <w:lvlText w:val="第%1部分"/>
      <w:lvlJc w:val="left"/>
      <w:pPr>
        <w:ind w:left="425" w:hanging="425"/>
      </w:pPr>
      <w:rPr>
        <w:rFonts w:hint="eastAsia"/>
      </w:rPr>
    </w:lvl>
    <w:lvl w:ilvl="1" w:tentative="0">
      <w:start w:val="1"/>
      <w:numFmt w:val="chineseCountingThousand"/>
      <w:lvlText w:val="%2、"/>
      <w:lvlJc w:val="left"/>
      <w:pPr>
        <w:ind w:left="992" w:hanging="567"/>
      </w:pPr>
      <w:rPr>
        <w:rFonts w:hint="eastAsia"/>
      </w:rPr>
    </w:lvl>
    <w:lvl w:ilvl="2" w:tentative="0">
      <w:start w:val="1"/>
      <w:numFmt w:val="decimal"/>
      <w:suff w:val="nothing"/>
      <w:lvlText w:val="%3、"/>
      <w:lvlJc w:val="left"/>
      <w:pPr>
        <w:ind w:left="965" w:hanging="39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7"/>
  </w:num>
  <w:num w:numId="2">
    <w:abstractNumId w:val="3"/>
  </w:num>
  <w:num w:numId="3">
    <w:abstractNumId w:val="4"/>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06084A"/>
    <w:rsid w:val="000022CD"/>
    <w:rsid w:val="00002506"/>
    <w:rsid w:val="00004735"/>
    <w:rsid w:val="00013598"/>
    <w:rsid w:val="00016D9B"/>
    <w:rsid w:val="00022604"/>
    <w:rsid w:val="0003653C"/>
    <w:rsid w:val="0004112C"/>
    <w:rsid w:val="00044B46"/>
    <w:rsid w:val="00052955"/>
    <w:rsid w:val="000565B4"/>
    <w:rsid w:val="00057D68"/>
    <w:rsid w:val="0006084A"/>
    <w:rsid w:val="00060CDF"/>
    <w:rsid w:val="00063A50"/>
    <w:rsid w:val="00066363"/>
    <w:rsid w:val="0007194D"/>
    <w:rsid w:val="00071A46"/>
    <w:rsid w:val="00075005"/>
    <w:rsid w:val="000815AC"/>
    <w:rsid w:val="0008167C"/>
    <w:rsid w:val="00092EED"/>
    <w:rsid w:val="00094DE4"/>
    <w:rsid w:val="00094FE4"/>
    <w:rsid w:val="000A1886"/>
    <w:rsid w:val="000A31C1"/>
    <w:rsid w:val="000A6D12"/>
    <w:rsid w:val="000A7CAA"/>
    <w:rsid w:val="000B0ABC"/>
    <w:rsid w:val="000B20CC"/>
    <w:rsid w:val="000B47B6"/>
    <w:rsid w:val="000C137D"/>
    <w:rsid w:val="000C1D16"/>
    <w:rsid w:val="000C1D4A"/>
    <w:rsid w:val="000C2FD7"/>
    <w:rsid w:val="000C76B9"/>
    <w:rsid w:val="000D065B"/>
    <w:rsid w:val="000D14FC"/>
    <w:rsid w:val="000E0E19"/>
    <w:rsid w:val="000E35CE"/>
    <w:rsid w:val="000E3795"/>
    <w:rsid w:val="000E41DA"/>
    <w:rsid w:val="000E4DF9"/>
    <w:rsid w:val="000E734E"/>
    <w:rsid w:val="000F13C3"/>
    <w:rsid w:val="000F1421"/>
    <w:rsid w:val="000F1DE2"/>
    <w:rsid w:val="000F4910"/>
    <w:rsid w:val="000F4D06"/>
    <w:rsid w:val="000F7C2F"/>
    <w:rsid w:val="00104B61"/>
    <w:rsid w:val="00105400"/>
    <w:rsid w:val="00113DEB"/>
    <w:rsid w:val="001150A6"/>
    <w:rsid w:val="00115A1C"/>
    <w:rsid w:val="00117615"/>
    <w:rsid w:val="0012297F"/>
    <w:rsid w:val="00125BE9"/>
    <w:rsid w:val="0013132E"/>
    <w:rsid w:val="00131C76"/>
    <w:rsid w:val="00136CCE"/>
    <w:rsid w:val="00136D41"/>
    <w:rsid w:val="00140B4A"/>
    <w:rsid w:val="0014600C"/>
    <w:rsid w:val="0014631D"/>
    <w:rsid w:val="0015246B"/>
    <w:rsid w:val="00160EAB"/>
    <w:rsid w:val="001613D6"/>
    <w:rsid w:val="0016256C"/>
    <w:rsid w:val="001626E4"/>
    <w:rsid w:val="00163981"/>
    <w:rsid w:val="001710FE"/>
    <w:rsid w:val="00174B66"/>
    <w:rsid w:val="0018510F"/>
    <w:rsid w:val="00185E00"/>
    <w:rsid w:val="00186C2E"/>
    <w:rsid w:val="00187C2E"/>
    <w:rsid w:val="00194355"/>
    <w:rsid w:val="001A1394"/>
    <w:rsid w:val="001A1E84"/>
    <w:rsid w:val="001B2071"/>
    <w:rsid w:val="001B4CC7"/>
    <w:rsid w:val="001C2189"/>
    <w:rsid w:val="001D3FFC"/>
    <w:rsid w:val="001D6C28"/>
    <w:rsid w:val="001E1363"/>
    <w:rsid w:val="001E231C"/>
    <w:rsid w:val="001E2D2C"/>
    <w:rsid w:val="001E4E3E"/>
    <w:rsid w:val="001F3B34"/>
    <w:rsid w:val="001F3C1A"/>
    <w:rsid w:val="001F7543"/>
    <w:rsid w:val="001F7E0F"/>
    <w:rsid w:val="00201A63"/>
    <w:rsid w:val="00212064"/>
    <w:rsid w:val="002135B4"/>
    <w:rsid w:val="00215102"/>
    <w:rsid w:val="002208C1"/>
    <w:rsid w:val="0022193B"/>
    <w:rsid w:val="00223C6F"/>
    <w:rsid w:val="00226217"/>
    <w:rsid w:val="002323A7"/>
    <w:rsid w:val="00242862"/>
    <w:rsid w:val="00246C2B"/>
    <w:rsid w:val="00257472"/>
    <w:rsid w:val="00281E38"/>
    <w:rsid w:val="00282273"/>
    <w:rsid w:val="00283C3D"/>
    <w:rsid w:val="0028428E"/>
    <w:rsid w:val="002845AD"/>
    <w:rsid w:val="00284907"/>
    <w:rsid w:val="00286521"/>
    <w:rsid w:val="002A2BE7"/>
    <w:rsid w:val="002A57F5"/>
    <w:rsid w:val="002A761A"/>
    <w:rsid w:val="002A7A55"/>
    <w:rsid w:val="002B12A9"/>
    <w:rsid w:val="002B5437"/>
    <w:rsid w:val="002B562D"/>
    <w:rsid w:val="002B678B"/>
    <w:rsid w:val="002B78BA"/>
    <w:rsid w:val="002B7AD9"/>
    <w:rsid w:val="002C064C"/>
    <w:rsid w:val="002C2E7E"/>
    <w:rsid w:val="002C5775"/>
    <w:rsid w:val="002C7524"/>
    <w:rsid w:val="002D1928"/>
    <w:rsid w:val="002D5C87"/>
    <w:rsid w:val="002D6A1E"/>
    <w:rsid w:val="002E2721"/>
    <w:rsid w:val="002F77AD"/>
    <w:rsid w:val="002F7CB4"/>
    <w:rsid w:val="003033FD"/>
    <w:rsid w:val="00304DF5"/>
    <w:rsid w:val="00310CDF"/>
    <w:rsid w:val="00311FF1"/>
    <w:rsid w:val="003136AF"/>
    <w:rsid w:val="00314356"/>
    <w:rsid w:val="0031435A"/>
    <w:rsid w:val="00314B5B"/>
    <w:rsid w:val="00315889"/>
    <w:rsid w:val="00316AB5"/>
    <w:rsid w:val="0031780A"/>
    <w:rsid w:val="00320755"/>
    <w:rsid w:val="003216A4"/>
    <w:rsid w:val="003256BD"/>
    <w:rsid w:val="00341E55"/>
    <w:rsid w:val="00343DFC"/>
    <w:rsid w:val="003573D9"/>
    <w:rsid w:val="00361447"/>
    <w:rsid w:val="00365BE0"/>
    <w:rsid w:val="00370747"/>
    <w:rsid w:val="00372B45"/>
    <w:rsid w:val="00372DFF"/>
    <w:rsid w:val="00380EA4"/>
    <w:rsid w:val="00381F97"/>
    <w:rsid w:val="003B00E1"/>
    <w:rsid w:val="003B4E9B"/>
    <w:rsid w:val="003B74F6"/>
    <w:rsid w:val="003C3BF7"/>
    <w:rsid w:val="003C4ECA"/>
    <w:rsid w:val="003C5F4D"/>
    <w:rsid w:val="003D144D"/>
    <w:rsid w:val="003D3840"/>
    <w:rsid w:val="003D3A39"/>
    <w:rsid w:val="003D431E"/>
    <w:rsid w:val="003D691D"/>
    <w:rsid w:val="003E5735"/>
    <w:rsid w:val="003E5818"/>
    <w:rsid w:val="003E59DB"/>
    <w:rsid w:val="003F2384"/>
    <w:rsid w:val="0040589B"/>
    <w:rsid w:val="0041641F"/>
    <w:rsid w:val="00421F67"/>
    <w:rsid w:val="004228AD"/>
    <w:rsid w:val="00423AAA"/>
    <w:rsid w:val="00426FC8"/>
    <w:rsid w:val="004332B7"/>
    <w:rsid w:val="004347EF"/>
    <w:rsid w:val="00437E13"/>
    <w:rsid w:val="004436EE"/>
    <w:rsid w:val="00443F1C"/>
    <w:rsid w:val="0044774E"/>
    <w:rsid w:val="00456163"/>
    <w:rsid w:val="004574EF"/>
    <w:rsid w:val="004611BE"/>
    <w:rsid w:val="0046332C"/>
    <w:rsid w:val="00472038"/>
    <w:rsid w:val="00475CFA"/>
    <w:rsid w:val="004818EB"/>
    <w:rsid w:val="00482FDD"/>
    <w:rsid w:val="00486120"/>
    <w:rsid w:val="0048670E"/>
    <w:rsid w:val="0048687A"/>
    <w:rsid w:val="00490D9A"/>
    <w:rsid w:val="0049665D"/>
    <w:rsid w:val="004A72DF"/>
    <w:rsid w:val="004B5E06"/>
    <w:rsid w:val="004C212E"/>
    <w:rsid w:val="004C7173"/>
    <w:rsid w:val="004D1B12"/>
    <w:rsid w:val="004D2998"/>
    <w:rsid w:val="004D2CBC"/>
    <w:rsid w:val="004D30E5"/>
    <w:rsid w:val="004E6B6A"/>
    <w:rsid w:val="004E7E1E"/>
    <w:rsid w:val="004F0BB1"/>
    <w:rsid w:val="005020CF"/>
    <w:rsid w:val="00510E80"/>
    <w:rsid w:val="00516068"/>
    <w:rsid w:val="005236C4"/>
    <w:rsid w:val="00523B02"/>
    <w:rsid w:val="00527135"/>
    <w:rsid w:val="00527C21"/>
    <w:rsid w:val="0054014E"/>
    <w:rsid w:val="0054158E"/>
    <w:rsid w:val="005423C1"/>
    <w:rsid w:val="00542DA2"/>
    <w:rsid w:val="00546963"/>
    <w:rsid w:val="005471F9"/>
    <w:rsid w:val="00552912"/>
    <w:rsid w:val="00553C95"/>
    <w:rsid w:val="00553D76"/>
    <w:rsid w:val="005552C0"/>
    <w:rsid w:val="00561EF4"/>
    <w:rsid w:val="0056659B"/>
    <w:rsid w:val="00573F35"/>
    <w:rsid w:val="0057435B"/>
    <w:rsid w:val="00574961"/>
    <w:rsid w:val="00585D75"/>
    <w:rsid w:val="005A1CB4"/>
    <w:rsid w:val="005A7D6E"/>
    <w:rsid w:val="005B1136"/>
    <w:rsid w:val="005B281B"/>
    <w:rsid w:val="005C299D"/>
    <w:rsid w:val="005C3988"/>
    <w:rsid w:val="005C4A99"/>
    <w:rsid w:val="005C58D2"/>
    <w:rsid w:val="005C6B60"/>
    <w:rsid w:val="005C6D88"/>
    <w:rsid w:val="005C7B89"/>
    <w:rsid w:val="005D74AF"/>
    <w:rsid w:val="005D7994"/>
    <w:rsid w:val="005F0C72"/>
    <w:rsid w:val="005F3618"/>
    <w:rsid w:val="00601A65"/>
    <w:rsid w:val="006028C8"/>
    <w:rsid w:val="00603633"/>
    <w:rsid w:val="00617041"/>
    <w:rsid w:val="00623B94"/>
    <w:rsid w:val="00632344"/>
    <w:rsid w:val="006374B5"/>
    <w:rsid w:val="0064068F"/>
    <w:rsid w:val="00642006"/>
    <w:rsid w:val="00642B06"/>
    <w:rsid w:val="00651F85"/>
    <w:rsid w:val="0065642D"/>
    <w:rsid w:val="0065684F"/>
    <w:rsid w:val="006577AA"/>
    <w:rsid w:val="00664634"/>
    <w:rsid w:val="00664C4D"/>
    <w:rsid w:val="00670C58"/>
    <w:rsid w:val="00682943"/>
    <w:rsid w:val="0068367D"/>
    <w:rsid w:val="006932E6"/>
    <w:rsid w:val="00694298"/>
    <w:rsid w:val="006A11BE"/>
    <w:rsid w:val="006A39CB"/>
    <w:rsid w:val="006A5459"/>
    <w:rsid w:val="006B2D79"/>
    <w:rsid w:val="006B35FD"/>
    <w:rsid w:val="006B626E"/>
    <w:rsid w:val="006C01A6"/>
    <w:rsid w:val="006C28F9"/>
    <w:rsid w:val="006C2A50"/>
    <w:rsid w:val="006C2D08"/>
    <w:rsid w:val="006C7C5E"/>
    <w:rsid w:val="006D3C7D"/>
    <w:rsid w:val="006E4ABC"/>
    <w:rsid w:val="006E5683"/>
    <w:rsid w:val="006F4394"/>
    <w:rsid w:val="006F6446"/>
    <w:rsid w:val="007042FD"/>
    <w:rsid w:val="00706D70"/>
    <w:rsid w:val="00715A39"/>
    <w:rsid w:val="00715DEC"/>
    <w:rsid w:val="00720E49"/>
    <w:rsid w:val="0072375F"/>
    <w:rsid w:val="00727C25"/>
    <w:rsid w:val="00736148"/>
    <w:rsid w:val="00743844"/>
    <w:rsid w:val="00754E61"/>
    <w:rsid w:val="00755CDD"/>
    <w:rsid w:val="0076279F"/>
    <w:rsid w:val="00763459"/>
    <w:rsid w:val="007802C9"/>
    <w:rsid w:val="00781109"/>
    <w:rsid w:val="00785989"/>
    <w:rsid w:val="00785A1E"/>
    <w:rsid w:val="00790009"/>
    <w:rsid w:val="007909A9"/>
    <w:rsid w:val="007939C0"/>
    <w:rsid w:val="007A29C9"/>
    <w:rsid w:val="007A7931"/>
    <w:rsid w:val="007B0739"/>
    <w:rsid w:val="007B2204"/>
    <w:rsid w:val="007C091D"/>
    <w:rsid w:val="007D0A72"/>
    <w:rsid w:val="007D20CC"/>
    <w:rsid w:val="007D4261"/>
    <w:rsid w:val="007E33DF"/>
    <w:rsid w:val="007E511C"/>
    <w:rsid w:val="007E5690"/>
    <w:rsid w:val="007E60A2"/>
    <w:rsid w:val="007E7F34"/>
    <w:rsid w:val="007F0A90"/>
    <w:rsid w:val="007F5E71"/>
    <w:rsid w:val="00803A1F"/>
    <w:rsid w:val="00807B2A"/>
    <w:rsid w:val="00812E9D"/>
    <w:rsid w:val="0081322A"/>
    <w:rsid w:val="0081412B"/>
    <w:rsid w:val="0081432A"/>
    <w:rsid w:val="0081724E"/>
    <w:rsid w:val="00817D55"/>
    <w:rsid w:val="00821EE5"/>
    <w:rsid w:val="00825AF6"/>
    <w:rsid w:val="0082776F"/>
    <w:rsid w:val="00844FFF"/>
    <w:rsid w:val="00850C4D"/>
    <w:rsid w:val="008526C1"/>
    <w:rsid w:val="00852709"/>
    <w:rsid w:val="008540D5"/>
    <w:rsid w:val="00857BB2"/>
    <w:rsid w:val="008604A9"/>
    <w:rsid w:val="008604EE"/>
    <w:rsid w:val="008668D2"/>
    <w:rsid w:val="008726A0"/>
    <w:rsid w:val="00895086"/>
    <w:rsid w:val="008B0254"/>
    <w:rsid w:val="008B0986"/>
    <w:rsid w:val="008B152A"/>
    <w:rsid w:val="008B6596"/>
    <w:rsid w:val="008C0995"/>
    <w:rsid w:val="008C40FE"/>
    <w:rsid w:val="008C51F8"/>
    <w:rsid w:val="008C5D08"/>
    <w:rsid w:val="008D2641"/>
    <w:rsid w:val="008D3ECF"/>
    <w:rsid w:val="008D750E"/>
    <w:rsid w:val="008E1AD1"/>
    <w:rsid w:val="008E26BA"/>
    <w:rsid w:val="008E6AB9"/>
    <w:rsid w:val="008F6616"/>
    <w:rsid w:val="008F6C4C"/>
    <w:rsid w:val="009211CC"/>
    <w:rsid w:val="009220F4"/>
    <w:rsid w:val="00924784"/>
    <w:rsid w:val="009276FC"/>
    <w:rsid w:val="00930FE9"/>
    <w:rsid w:val="00931250"/>
    <w:rsid w:val="009365F6"/>
    <w:rsid w:val="009444DC"/>
    <w:rsid w:val="00955095"/>
    <w:rsid w:val="00956B7C"/>
    <w:rsid w:val="00962AD9"/>
    <w:rsid w:val="00965E9A"/>
    <w:rsid w:val="00966EF6"/>
    <w:rsid w:val="009716D2"/>
    <w:rsid w:val="00972AF8"/>
    <w:rsid w:val="009743DA"/>
    <w:rsid w:val="00975AD2"/>
    <w:rsid w:val="009810A4"/>
    <w:rsid w:val="00983EF7"/>
    <w:rsid w:val="00986A10"/>
    <w:rsid w:val="00992AA5"/>
    <w:rsid w:val="00996080"/>
    <w:rsid w:val="009976B3"/>
    <w:rsid w:val="009A2404"/>
    <w:rsid w:val="009A2450"/>
    <w:rsid w:val="009A6171"/>
    <w:rsid w:val="009B08D4"/>
    <w:rsid w:val="009B324A"/>
    <w:rsid w:val="009B3F8B"/>
    <w:rsid w:val="009B503E"/>
    <w:rsid w:val="009C7B32"/>
    <w:rsid w:val="009E429C"/>
    <w:rsid w:val="009E6CEB"/>
    <w:rsid w:val="009E7422"/>
    <w:rsid w:val="009F00EF"/>
    <w:rsid w:val="009F2CDA"/>
    <w:rsid w:val="009F73D0"/>
    <w:rsid w:val="009F74B8"/>
    <w:rsid w:val="009F774E"/>
    <w:rsid w:val="00A00C97"/>
    <w:rsid w:val="00A00F3A"/>
    <w:rsid w:val="00A01586"/>
    <w:rsid w:val="00A020B2"/>
    <w:rsid w:val="00A02C38"/>
    <w:rsid w:val="00A10247"/>
    <w:rsid w:val="00A120FE"/>
    <w:rsid w:val="00A319D3"/>
    <w:rsid w:val="00A31B23"/>
    <w:rsid w:val="00A3290F"/>
    <w:rsid w:val="00A352A1"/>
    <w:rsid w:val="00A3748E"/>
    <w:rsid w:val="00A40C4C"/>
    <w:rsid w:val="00A44133"/>
    <w:rsid w:val="00A45082"/>
    <w:rsid w:val="00A47DA6"/>
    <w:rsid w:val="00A50383"/>
    <w:rsid w:val="00A524B8"/>
    <w:rsid w:val="00A53290"/>
    <w:rsid w:val="00A53AD7"/>
    <w:rsid w:val="00A565E5"/>
    <w:rsid w:val="00A62E31"/>
    <w:rsid w:val="00A646FF"/>
    <w:rsid w:val="00A6707E"/>
    <w:rsid w:val="00A8199F"/>
    <w:rsid w:val="00A81B63"/>
    <w:rsid w:val="00A82859"/>
    <w:rsid w:val="00A82E57"/>
    <w:rsid w:val="00A84BE1"/>
    <w:rsid w:val="00A90F79"/>
    <w:rsid w:val="00A94A36"/>
    <w:rsid w:val="00A96325"/>
    <w:rsid w:val="00AA6DC8"/>
    <w:rsid w:val="00AB39C1"/>
    <w:rsid w:val="00AB6BD0"/>
    <w:rsid w:val="00AC5180"/>
    <w:rsid w:val="00AC555F"/>
    <w:rsid w:val="00AD337A"/>
    <w:rsid w:val="00AD753E"/>
    <w:rsid w:val="00AE1DF4"/>
    <w:rsid w:val="00AF272F"/>
    <w:rsid w:val="00AF28F1"/>
    <w:rsid w:val="00AF6DE5"/>
    <w:rsid w:val="00B03F49"/>
    <w:rsid w:val="00B05CD4"/>
    <w:rsid w:val="00B1441B"/>
    <w:rsid w:val="00B20623"/>
    <w:rsid w:val="00B22B71"/>
    <w:rsid w:val="00B24D88"/>
    <w:rsid w:val="00B32681"/>
    <w:rsid w:val="00B343E6"/>
    <w:rsid w:val="00B41F9B"/>
    <w:rsid w:val="00B42527"/>
    <w:rsid w:val="00B433E4"/>
    <w:rsid w:val="00B43BD7"/>
    <w:rsid w:val="00B50A5B"/>
    <w:rsid w:val="00B55A67"/>
    <w:rsid w:val="00B56B65"/>
    <w:rsid w:val="00B64EA4"/>
    <w:rsid w:val="00B702C6"/>
    <w:rsid w:val="00B70740"/>
    <w:rsid w:val="00B70928"/>
    <w:rsid w:val="00B74F47"/>
    <w:rsid w:val="00B82586"/>
    <w:rsid w:val="00B825CA"/>
    <w:rsid w:val="00B85991"/>
    <w:rsid w:val="00B92235"/>
    <w:rsid w:val="00B96F04"/>
    <w:rsid w:val="00B96F9E"/>
    <w:rsid w:val="00BA3F62"/>
    <w:rsid w:val="00BB084E"/>
    <w:rsid w:val="00BB39F2"/>
    <w:rsid w:val="00BB6676"/>
    <w:rsid w:val="00BC3A37"/>
    <w:rsid w:val="00BC40C5"/>
    <w:rsid w:val="00BD6C94"/>
    <w:rsid w:val="00C002BA"/>
    <w:rsid w:val="00C00357"/>
    <w:rsid w:val="00C036C2"/>
    <w:rsid w:val="00C0387D"/>
    <w:rsid w:val="00C04141"/>
    <w:rsid w:val="00C0490A"/>
    <w:rsid w:val="00C04E5A"/>
    <w:rsid w:val="00C16BAB"/>
    <w:rsid w:val="00C17E27"/>
    <w:rsid w:val="00C21FFA"/>
    <w:rsid w:val="00C22DB2"/>
    <w:rsid w:val="00C24D13"/>
    <w:rsid w:val="00C30602"/>
    <w:rsid w:val="00C3067F"/>
    <w:rsid w:val="00C35397"/>
    <w:rsid w:val="00C356C5"/>
    <w:rsid w:val="00C36504"/>
    <w:rsid w:val="00C36AB0"/>
    <w:rsid w:val="00C37235"/>
    <w:rsid w:val="00C3761B"/>
    <w:rsid w:val="00C425D8"/>
    <w:rsid w:val="00C43119"/>
    <w:rsid w:val="00C43CDE"/>
    <w:rsid w:val="00C47F4E"/>
    <w:rsid w:val="00C51116"/>
    <w:rsid w:val="00C52534"/>
    <w:rsid w:val="00C52C61"/>
    <w:rsid w:val="00C531F0"/>
    <w:rsid w:val="00C535B5"/>
    <w:rsid w:val="00C554D4"/>
    <w:rsid w:val="00C720E8"/>
    <w:rsid w:val="00C732C1"/>
    <w:rsid w:val="00C763A5"/>
    <w:rsid w:val="00C82C17"/>
    <w:rsid w:val="00C830C1"/>
    <w:rsid w:val="00C839B3"/>
    <w:rsid w:val="00C84C3D"/>
    <w:rsid w:val="00C85B6E"/>
    <w:rsid w:val="00C9536A"/>
    <w:rsid w:val="00CA1DF8"/>
    <w:rsid w:val="00CB0FD1"/>
    <w:rsid w:val="00CB2CF4"/>
    <w:rsid w:val="00CB499F"/>
    <w:rsid w:val="00CC3212"/>
    <w:rsid w:val="00CD13CE"/>
    <w:rsid w:val="00CD2C51"/>
    <w:rsid w:val="00CE022D"/>
    <w:rsid w:val="00CE14B1"/>
    <w:rsid w:val="00CE269A"/>
    <w:rsid w:val="00CE5431"/>
    <w:rsid w:val="00CE728C"/>
    <w:rsid w:val="00D02006"/>
    <w:rsid w:val="00D02EBC"/>
    <w:rsid w:val="00D13E4F"/>
    <w:rsid w:val="00D14688"/>
    <w:rsid w:val="00D152D9"/>
    <w:rsid w:val="00D20A5F"/>
    <w:rsid w:val="00D25A6E"/>
    <w:rsid w:val="00D26391"/>
    <w:rsid w:val="00D26E84"/>
    <w:rsid w:val="00D35567"/>
    <w:rsid w:val="00D37E06"/>
    <w:rsid w:val="00D43FB1"/>
    <w:rsid w:val="00D45203"/>
    <w:rsid w:val="00D47706"/>
    <w:rsid w:val="00D52604"/>
    <w:rsid w:val="00D535A3"/>
    <w:rsid w:val="00D5491C"/>
    <w:rsid w:val="00D65C10"/>
    <w:rsid w:val="00D6617A"/>
    <w:rsid w:val="00D73326"/>
    <w:rsid w:val="00D73FE4"/>
    <w:rsid w:val="00D74517"/>
    <w:rsid w:val="00D86791"/>
    <w:rsid w:val="00D9180F"/>
    <w:rsid w:val="00D931FA"/>
    <w:rsid w:val="00D9325F"/>
    <w:rsid w:val="00D949D4"/>
    <w:rsid w:val="00D962DD"/>
    <w:rsid w:val="00DA15C1"/>
    <w:rsid w:val="00DB4429"/>
    <w:rsid w:val="00DB4E7C"/>
    <w:rsid w:val="00DC6140"/>
    <w:rsid w:val="00DD0FC3"/>
    <w:rsid w:val="00DD3244"/>
    <w:rsid w:val="00DD3FB2"/>
    <w:rsid w:val="00DD597F"/>
    <w:rsid w:val="00DF1EA4"/>
    <w:rsid w:val="00DF6427"/>
    <w:rsid w:val="00E00396"/>
    <w:rsid w:val="00E0077F"/>
    <w:rsid w:val="00E05D30"/>
    <w:rsid w:val="00E069C1"/>
    <w:rsid w:val="00E11DCC"/>
    <w:rsid w:val="00E25375"/>
    <w:rsid w:val="00E3077B"/>
    <w:rsid w:val="00E33D1B"/>
    <w:rsid w:val="00E363F3"/>
    <w:rsid w:val="00E36F51"/>
    <w:rsid w:val="00E43AC5"/>
    <w:rsid w:val="00E44919"/>
    <w:rsid w:val="00E62FA5"/>
    <w:rsid w:val="00E64C49"/>
    <w:rsid w:val="00E6766E"/>
    <w:rsid w:val="00E7036E"/>
    <w:rsid w:val="00E70490"/>
    <w:rsid w:val="00E74A87"/>
    <w:rsid w:val="00E81636"/>
    <w:rsid w:val="00E84825"/>
    <w:rsid w:val="00E86B7F"/>
    <w:rsid w:val="00E95A32"/>
    <w:rsid w:val="00EA04BB"/>
    <w:rsid w:val="00EA08FE"/>
    <w:rsid w:val="00EA522B"/>
    <w:rsid w:val="00EA5C50"/>
    <w:rsid w:val="00EA5F4B"/>
    <w:rsid w:val="00EA63A5"/>
    <w:rsid w:val="00EB131F"/>
    <w:rsid w:val="00EB2136"/>
    <w:rsid w:val="00EB5916"/>
    <w:rsid w:val="00EC44C7"/>
    <w:rsid w:val="00EC569C"/>
    <w:rsid w:val="00EC78BF"/>
    <w:rsid w:val="00ED641D"/>
    <w:rsid w:val="00ED67B5"/>
    <w:rsid w:val="00ED7F8C"/>
    <w:rsid w:val="00EE2B3A"/>
    <w:rsid w:val="00EF1B85"/>
    <w:rsid w:val="00EF4922"/>
    <w:rsid w:val="00EF5AD9"/>
    <w:rsid w:val="00F0176F"/>
    <w:rsid w:val="00F01CCA"/>
    <w:rsid w:val="00F039D8"/>
    <w:rsid w:val="00F112E5"/>
    <w:rsid w:val="00F125A2"/>
    <w:rsid w:val="00F133F6"/>
    <w:rsid w:val="00F2573A"/>
    <w:rsid w:val="00F25AAA"/>
    <w:rsid w:val="00F30993"/>
    <w:rsid w:val="00F31B40"/>
    <w:rsid w:val="00F34796"/>
    <w:rsid w:val="00F35D6E"/>
    <w:rsid w:val="00F439ED"/>
    <w:rsid w:val="00F46F8C"/>
    <w:rsid w:val="00F546FA"/>
    <w:rsid w:val="00F55653"/>
    <w:rsid w:val="00F57A96"/>
    <w:rsid w:val="00F71F55"/>
    <w:rsid w:val="00F72AFE"/>
    <w:rsid w:val="00F72FB2"/>
    <w:rsid w:val="00F747D0"/>
    <w:rsid w:val="00F75C1A"/>
    <w:rsid w:val="00F81495"/>
    <w:rsid w:val="00F9024D"/>
    <w:rsid w:val="00F9459F"/>
    <w:rsid w:val="00FA500D"/>
    <w:rsid w:val="00FA5168"/>
    <w:rsid w:val="00FA698C"/>
    <w:rsid w:val="00FA6ABC"/>
    <w:rsid w:val="00FB4DC6"/>
    <w:rsid w:val="00FB78BB"/>
    <w:rsid w:val="00FC25D1"/>
    <w:rsid w:val="00FC35B2"/>
    <w:rsid w:val="00FD3A14"/>
    <w:rsid w:val="00FE15ED"/>
    <w:rsid w:val="00FE31D1"/>
    <w:rsid w:val="00FE3866"/>
    <w:rsid w:val="00FE56B8"/>
    <w:rsid w:val="00FF3501"/>
    <w:rsid w:val="02AF6F07"/>
    <w:rsid w:val="03C851C1"/>
    <w:rsid w:val="04C3452A"/>
    <w:rsid w:val="064462F9"/>
    <w:rsid w:val="06E73197"/>
    <w:rsid w:val="07A02055"/>
    <w:rsid w:val="08A46649"/>
    <w:rsid w:val="0A373DDC"/>
    <w:rsid w:val="0E5E24D6"/>
    <w:rsid w:val="0E7E7B9A"/>
    <w:rsid w:val="0F6447B0"/>
    <w:rsid w:val="16FD2520"/>
    <w:rsid w:val="188D1230"/>
    <w:rsid w:val="18EE14BC"/>
    <w:rsid w:val="19F5506B"/>
    <w:rsid w:val="1A667608"/>
    <w:rsid w:val="1B6411E0"/>
    <w:rsid w:val="1CAB6232"/>
    <w:rsid w:val="2032126F"/>
    <w:rsid w:val="249B3B05"/>
    <w:rsid w:val="282A5482"/>
    <w:rsid w:val="28343213"/>
    <w:rsid w:val="2AD95517"/>
    <w:rsid w:val="2C057D43"/>
    <w:rsid w:val="2DCE0013"/>
    <w:rsid w:val="2E756340"/>
    <w:rsid w:val="2EC95F95"/>
    <w:rsid w:val="2F982C89"/>
    <w:rsid w:val="2FF52F3B"/>
    <w:rsid w:val="30753B41"/>
    <w:rsid w:val="34076564"/>
    <w:rsid w:val="349F0093"/>
    <w:rsid w:val="35AE07FF"/>
    <w:rsid w:val="37292254"/>
    <w:rsid w:val="3A316F55"/>
    <w:rsid w:val="3A850762"/>
    <w:rsid w:val="3E157E88"/>
    <w:rsid w:val="3F9E65AA"/>
    <w:rsid w:val="41C02839"/>
    <w:rsid w:val="42C25039"/>
    <w:rsid w:val="460A1A7F"/>
    <w:rsid w:val="46E2074F"/>
    <w:rsid w:val="4B140D0E"/>
    <w:rsid w:val="4DF742C0"/>
    <w:rsid w:val="4E4501D5"/>
    <w:rsid w:val="4F0B49E1"/>
    <w:rsid w:val="4F110019"/>
    <w:rsid w:val="4F544634"/>
    <w:rsid w:val="4FD17760"/>
    <w:rsid w:val="50CE02C5"/>
    <w:rsid w:val="53820AED"/>
    <w:rsid w:val="541F0EA4"/>
    <w:rsid w:val="55544B54"/>
    <w:rsid w:val="55785AE5"/>
    <w:rsid w:val="56390A80"/>
    <w:rsid w:val="57615F46"/>
    <w:rsid w:val="591B1C26"/>
    <w:rsid w:val="59361EC5"/>
    <w:rsid w:val="599359C8"/>
    <w:rsid w:val="5A54308B"/>
    <w:rsid w:val="5DFD447B"/>
    <w:rsid w:val="600B0E17"/>
    <w:rsid w:val="60A57F6F"/>
    <w:rsid w:val="611744B5"/>
    <w:rsid w:val="61306DA0"/>
    <w:rsid w:val="623A4C1B"/>
    <w:rsid w:val="63390CFF"/>
    <w:rsid w:val="63C51B1E"/>
    <w:rsid w:val="662C25AD"/>
    <w:rsid w:val="66FC7402"/>
    <w:rsid w:val="690938EF"/>
    <w:rsid w:val="6F195F6E"/>
    <w:rsid w:val="6FED1ABD"/>
    <w:rsid w:val="70EE3C8F"/>
    <w:rsid w:val="71C23F15"/>
    <w:rsid w:val="71E8401B"/>
    <w:rsid w:val="761E6C56"/>
    <w:rsid w:val="76FD3F1D"/>
    <w:rsid w:val="792542AD"/>
    <w:rsid w:val="79644059"/>
    <w:rsid w:val="798A2DBA"/>
    <w:rsid w:val="7AFB6895"/>
    <w:rsid w:val="7D66006D"/>
    <w:rsid w:val="7E810799"/>
    <w:rsid w:val="7F841699"/>
    <w:rsid w:val="7F8A5C53"/>
    <w:rsid w:val="7FC966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qFormat="1" w:unhideWhenUsed="0" w:uiPriority="99" w:semiHidden="0"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sdException w:uiPriority="99" w:name="Closing" w:locked="1"/>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52"/>
    <w:qFormat/>
    <w:uiPriority w:val="0"/>
    <w:pPr>
      <w:keepNext/>
      <w:keepLines/>
      <w:numPr>
        <w:ilvl w:val="0"/>
        <w:numId w:val="1"/>
      </w:numPr>
      <w:spacing w:before="340" w:after="330" w:line="576" w:lineRule="auto"/>
      <w:jc w:val="center"/>
      <w:outlineLvl w:val="0"/>
    </w:pPr>
    <w:rPr>
      <w:rFonts w:ascii="Times New Roman" w:hAnsi="Times New Roman" w:cs="Times New Roman"/>
      <w:b/>
      <w:bCs/>
      <w:kern w:val="44"/>
      <w:sz w:val="36"/>
      <w:szCs w:val="36"/>
    </w:rPr>
  </w:style>
  <w:style w:type="paragraph" w:styleId="2">
    <w:name w:val="heading 2"/>
    <w:basedOn w:val="1"/>
    <w:next w:val="1"/>
    <w:link w:val="89"/>
    <w:qFormat/>
    <w:uiPriority w:val="9"/>
    <w:pPr>
      <w:keepNext/>
      <w:keepLines/>
      <w:numPr>
        <w:ilvl w:val="1"/>
        <w:numId w:val="2"/>
      </w:numPr>
      <w:spacing w:line="360" w:lineRule="auto"/>
      <w:outlineLvl w:val="1"/>
    </w:pPr>
    <w:rPr>
      <w:rFonts w:ascii="Arial" w:hAnsi="Arial" w:cs="Arial"/>
      <w:b/>
      <w:bCs/>
      <w:sz w:val="28"/>
      <w:szCs w:val="28"/>
    </w:rPr>
  </w:style>
  <w:style w:type="paragraph" w:styleId="4">
    <w:name w:val="heading 3"/>
    <w:basedOn w:val="1"/>
    <w:next w:val="1"/>
    <w:link w:val="90"/>
    <w:qFormat/>
    <w:uiPriority w:val="9"/>
    <w:pPr>
      <w:keepNext/>
      <w:keepLines/>
      <w:numPr>
        <w:ilvl w:val="2"/>
        <w:numId w:val="3"/>
      </w:numPr>
      <w:spacing w:afterLines="50" w:line="380" w:lineRule="exact"/>
      <w:outlineLvl w:val="2"/>
    </w:pPr>
    <w:rPr>
      <w:rFonts w:ascii="Times New Roman" w:hAnsi="Times New Roman" w:cs="Times New Roman"/>
      <w:b/>
      <w:bCs/>
      <w:sz w:val="24"/>
      <w:szCs w:val="24"/>
    </w:rPr>
  </w:style>
  <w:style w:type="paragraph" w:styleId="5">
    <w:name w:val="heading 4"/>
    <w:basedOn w:val="1"/>
    <w:next w:val="1"/>
    <w:link w:val="91"/>
    <w:qFormat/>
    <w:uiPriority w:val="99"/>
    <w:pPr>
      <w:keepNext/>
      <w:keepLines/>
      <w:numPr>
        <w:ilvl w:val="3"/>
        <w:numId w:val="3"/>
      </w:numPr>
      <w:spacing w:before="160" w:after="160" w:line="360" w:lineRule="auto"/>
      <w:ind w:left="1129" w:hanging="420"/>
      <w:outlineLvl w:val="3"/>
    </w:pPr>
    <w:rPr>
      <w:rFonts w:ascii="Arial" w:hAnsi="Arial" w:cs="Arial"/>
      <w:b/>
      <w:bCs/>
      <w:sz w:val="24"/>
      <w:szCs w:val="24"/>
    </w:rPr>
  </w:style>
  <w:style w:type="paragraph" w:styleId="6">
    <w:name w:val="heading 5"/>
    <w:basedOn w:val="1"/>
    <w:next w:val="1"/>
    <w:link w:val="56"/>
    <w:qFormat/>
    <w:uiPriority w:val="99"/>
    <w:pPr>
      <w:keepNext/>
      <w:keepLines/>
      <w:numPr>
        <w:ilvl w:val="4"/>
        <w:numId w:val="3"/>
      </w:numPr>
      <w:tabs>
        <w:tab w:val="left" w:pos="2520"/>
      </w:tabs>
      <w:spacing w:before="120" w:line="360" w:lineRule="auto"/>
      <w:outlineLvl w:val="4"/>
    </w:pPr>
    <w:rPr>
      <w:rFonts w:ascii="Times New Roman" w:hAnsi="Times New Roman" w:cs="Times New Roman"/>
    </w:rPr>
  </w:style>
  <w:style w:type="paragraph" w:styleId="7">
    <w:name w:val="heading 6"/>
    <w:basedOn w:val="1"/>
    <w:next w:val="1"/>
    <w:link w:val="57"/>
    <w:qFormat/>
    <w:uiPriority w:val="99"/>
    <w:pPr>
      <w:keepNext/>
      <w:keepLines/>
      <w:tabs>
        <w:tab w:val="left" w:pos="2940"/>
      </w:tabs>
      <w:spacing w:before="120" w:line="360" w:lineRule="auto"/>
      <w:ind w:left="2940" w:hanging="420"/>
      <w:outlineLvl w:val="5"/>
    </w:pPr>
    <w:rPr>
      <w:rFonts w:ascii="Arial" w:hAnsi="Arial" w:cs="Arial"/>
    </w:rPr>
  </w:style>
  <w:style w:type="paragraph" w:styleId="8">
    <w:name w:val="heading 7"/>
    <w:basedOn w:val="1"/>
    <w:next w:val="1"/>
    <w:link w:val="58"/>
    <w:qFormat/>
    <w:uiPriority w:val="99"/>
    <w:pPr>
      <w:keepNext/>
      <w:keepLines/>
      <w:tabs>
        <w:tab w:val="left" w:pos="3360"/>
      </w:tabs>
      <w:spacing w:before="120" w:line="360" w:lineRule="auto"/>
      <w:ind w:left="3360" w:hanging="420"/>
      <w:outlineLvl w:val="6"/>
    </w:pPr>
    <w:rPr>
      <w:rFonts w:ascii="Times New Roman" w:hAnsi="Times New Roman" w:cs="Times New Roman"/>
    </w:rPr>
  </w:style>
  <w:style w:type="paragraph" w:styleId="9">
    <w:name w:val="heading 8"/>
    <w:basedOn w:val="1"/>
    <w:next w:val="1"/>
    <w:link w:val="59"/>
    <w:qFormat/>
    <w:uiPriority w:val="99"/>
    <w:pPr>
      <w:keepNext/>
      <w:keepLines/>
      <w:tabs>
        <w:tab w:val="left" w:pos="420"/>
      </w:tabs>
      <w:spacing w:before="240" w:after="64" w:line="317" w:lineRule="auto"/>
      <w:ind w:left="420" w:hanging="420"/>
      <w:outlineLvl w:val="7"/>
    </w:pPr>
    <w:rPr>
      <w:rFonts w:ascii="Times New Roman" w:hAnsi="Times New Roman" w:cs="Times New Roman"/>
      <w:sz w:val="24"/>
      <w:szCs w:val="24"/>
    </w:rPr>
  </w:style>
  <w:style w:type="paragraph" w:styleId="10">
    <w:name w:val="heading 9"/>
    <w:basedOn w:val="1"/>
    <w:next w:val="1"/>
    <w:link w:val="60"/>
    <w:qFormat/>
    <w:uiPriority w:val="99"/>
    <w:pPr>
      <w:keepNext/>
      <w:keepLines/>
      <w:tabs>
        <w:tab w:val="left" w:pos="4200"/>
      </w:tabs>
      <w:spacing w:before="120" w:line="360" w:lineRule="auto"/>
      <w:ind w:left="4200" w:hanging="420"/>
      <w:outlineLvl w:val="8"/>
    </w:pPr>
    <w:rPr>
      <w:rFonts w:ascii="Arial" w:hAnsi="Arial" w:cs="Arial"/>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39"/>
    <w:pPr>
      <w:widowControl/>
      <w:ind w:left="1260"/>
      <w:jc w:val="left"/>
    </w:pPr>
    <w:rPr>
      <w:kern w:val="0"/>
      <w:sz w:val="18"/>
      <w:szCs w:val="18"/>
    </w:rPr>
  </w:style>
  <w:style w:type="paragraph" w:styleId="12">
    <w:name w:val="Normal Indent"/>
    <w:basedOn w:val="1"/>
    <w:link w:val="102"/>
    <w:qFormat/>
    <w:uiPriority w:val="0"/>
    <w:pPr>
      <w:widowControl/>
      <w:spacing w:line="360" w:lineRule="auto"/>
      <w:ind w:firstLine="420"/>
      <w:jc w:val="left"/>
    </w:pPr>
    <w:rPr>
      <w:rFonts w:ascii="宋体" w:cs="宋体"/>
    </w:rPr>
  </w:style>
  <w:style w:type="paragraph" w:styleId="13">
    <w:name w:val="caption"/>
    <w:basedOn w:val="1"/>
    <w:next w:val="1"/>
    <w:link w:val="162"/>
    <w:qFormat/>
    <w:uiPriority w:val="99"/>
    <w:pPr>
      <w:jc w:val="center"/>
    </w:pPr>
    <w:rPr>
      <w:rFonts w:ascii="华文彩云" w:hAnsi="Century Gothic" w:cs="Times New Roman"/>
      <w:b/>
      <w:bCs/>
      <w:kern w:val="0"/>
      <w:sz w:val="72"/>
      <w:szCs w:val="72"/>
    </w:rPr>
  </w:style>
  <w:style w:type="paragraph" w:styleId="14">
    <w:name w:val="Document Map"/>
    <w:basedOn w:val="1"/>
    <w:link w:val="83"/>
    <w:semiHidden/>
    <w:qFormat/>
    <w:uiPriority w:val="99"/>
    <w:pPr>
      <w:widowControl/>
      <w:shd w:val="clear" w:color="auto" w:fill="000080"/>
      <w:jc w:val="left"/>
    </w:pPr>
  </w:style>
  <w:style w:type="paragraph" w:styleId="15">
    <w:name w:val="annotation text"/>
    <w:basedOn w:val="1"/>
    <w:link w:val="63"/>
    <w:qFormat/>
    <w:uiPriority w:val="0"/>
    <w:pPr>
      <w:spacing w:line="360" w:lineRule="auto"/>
      <w:ind w:firstLine="200" w:firstLineChars="200"/>
      <w:jc w:val="left"/>
    </w:pPr>
    <w:rPr>
      <w:rFonts w:eastAsia="仿宋"/>
      <w:sz w:val="32"/>
      <w:szCs w:val="32"/>
    </w:rPr>
  </w:style>
  <w:style w:type="paragraph" w:styleId="16">
    <w:name w:val="Body Text"/>
    <w:basedOn w:val="1"/>
    <w:link w:val="66"/>
    <w:qFormat/>
    <w:uiPriority w:val="99"/>
    <w:pPr>
      <w:widowControl/>
      <w:spacing w:after="120"/>
      <w:jc w:val="left"/>
    </w:pPr>
  </w:style>
  <w:style w:type="paragraph" w:styleId="17">
    <w:name w:val="Body Text Indent"/>
    <w:basedOn w:val="1"/>
    <w:link w:val="84"/>
    <w:qFormat/>
    <w:uiPriority w:val="99"/>
    <w:pPr>
      <w:widowControl/>
      <w:spacing w:after="120"/>
      <w:ind w:left="420" w:leftChars="200"/>
      <w:jc w:val="left"/>
    </w:pPr>
  </w:style>
  <w:style w:type="paragraph" w:styleId="18">
    <w:name w:val="HTML Address"/>
    <w:basedOn w:val="1"/>
    <w:link w:val="69"/>
    <w:qFormat/>
    <w:locked/>
    <w:uiPriority w:val="99"/>
    <w:rPr>
      <w:i/>
      <w:iCs/>
      <w:kern w:val="0"/>
      <w:sz w:val="20"/>
      <w:szCs w:val="20"/>
    </w:rPr>
  </w:style>
  <w:style w:type="paragraph" w:styleId="19">
    <w:name w:val="toc 5"/>
    <w:basedOn w:val="1"/>
    <w:next w:val="1"/>
    <w:qFormat/>
    <w:uiPriority w:val="39"/>
    <w:pPr>
      <w:widowControl/>
      <w:ind w:left="840"/>
      <w:jc w:val="left"/>
    </w:pPr>
    <w:rPr>
      <w:kern w:val="0"/>
      <w:sz w:val="18"/>
      <w:szCs w:val="18"/>
    </w:rPr>
  </w:style>
  <w:style w:type="paragraph" w:styleId="20">
    <w:name w:val="toc 3"/>
    <w:basedOn w:val="1"/>
    <w:next w:val="1"/>
    <w:qFormat/>
    <w:uiPriority w:val="39"/>
    <w:pPr>
      <w:widowControl/>
      <w:ind w:left="420"/>
      <w:jc w:val="left"/>
    </w:pPr>
    <w:rPr>
      <w:i/>
      <w:iCs/>
      <w:kern w:val="0"/>
      <w:sz w:val="20"/>
      <w:szCs w:val="20"/>
    </w:rPr>
  </w:style>
  <w:style w:type="paragraph" w:styleId="21">
    <w:name w:val="Plain Text"/>
    <w:basedOn w:val="1"/>
    <w:link w:val="70"/>
    <w:qFormat/>
    <w:uiPriority w:val="99"/>
    <w:rPr>
      <w:rFonts w:ascii="宋体" w:hAnsi="Courier New" w:cs="宋体"/>
    </w:rPr>
  </w:style>
  <w:style w:type="paragraph" w:styleId="22">
    <w:name w:val="toc 8"/>
    <w:basedOn w:val="1"/>
    <w:next w:val="1"/>
    <w:qFormat/>
    <w:uiPriority w:val="39"/>
    <w:pPr>
      <w:widowControl/>
      <w:ind w:left="1470"/>
      <w:jc w:val="left"/>
    </w:pPr>
    <w:rPr>
      <w:kern w:val="0"/>
      <w:sz w:val="18"/>
      <w:szCs w:val="18"/>
    </w:rPr>
  </w:style>
  <w:style w:type="paragraph" w:styleId="23">
    <w:name w:val="Date"/>
    <w:basedOn w:val="1"/>
    <w:next w:val="1"/>
    <w:link w:val="71"/>
    <w:qFormat/>
    <w:uiPriority w:val="99"/>
    <w:pPr>
      <w:widowControl/>
      <w:ind w:left="100" w:leftChars="2500"/>
      <w:jc w:val="left"/>
    </w:pPr>
    <w:rPr>
      <w:rFonts w:ascii="Times New Roman" w:hAnsi="Times New Roman" w:cs="Times New Roman"/>
      <w:kern w:val="0"/>
    </w:rPr>
  </w:style>
  <w:style w:type="paragraph" w:styleId="24">
    <w:name w:val="Body Text Indent 2"/>
    <w:basedOn w:val="1"/>
    <w:link w:val="72"/>
    <w:qFormat/>
    <w:uiPriority w:val="99"/>
    <w:pPr>
      <w:spacing w:line="360" w:lineRule="auto"/>
      <w:ind w:firstLine="360"/>
    </w:pPr>
    <w:rPr>
      <w:rFonts w:ascii="宋体" w:hAnsi="Times New Roman" w:cs="宋体"/>
      <w:sz w:val="24"/>
      <w:szCs w:val="24"/>
    </w:rPr>
  </w:style>
  <w:style w:type="paragraph" w:styleId="25">
    <w:name w:val="Balloon Text"/>
    <w:basedOn w:val="1"/>
    <w:link w:val="85"/>
    <w:semiHidden/>
    <w:qFormat/>
    <w:uiPriority w:val="99"/>
    <w:pPr>
      <w:ind w:firstLine="200" w:firstLineChars="200"/>
      <w:jc w:val="left"/>
    </w:pPr>
    <w:rPr>
      <w:rFonts w:eastAsia="仿宋"/>
      <w:sz w:val="18"/>
      <w:szCs w:val="18"/>
    </w:rPr>
  </w:style>
  <w:style w:type="paragraph" w:styleId="26">
    <w:name w:val="footer"/>
    <w:basedOn w:val="1"/>
    <w:link w:val="74"/>
    <w:qFormat/>
    <w:uiPriority w:val="99"/>
    <w:pPr>
      <w:tabs>
        <w:tab w:val="center" w:pos="4153"/>
        <w:tab w:val="right" w:pos="8306"/>
      </w:tabs>
      <w:snapToGrid w:val="0"/>
      <w:jc w:val="left"/>
    </w:pPr>
    <w:rPr>
      <w:sz w:val="18"/>
      <w:szCs w:val="18"/>
    </w:rPr>
  </w:style>
  <w:style w:type="paragraph" w:styleId="27">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28">
    <w:name w:val="Signature"/>
    <w:basedOn w:val="1"/>
    <w:link w:val="86"/>
    <w:qFormat/>
    <w:uiPriority w:val="99"/>
    <w:pPr>
      <w:widowControl/>
      <w:jc w:val="right"/>
    </w:pPr>
  </w:style>
  <w:style w:type="paragraph" w:styleId="29">
    <w:name w:val="toc 1"/>
    <w:basedOn w:val="1"/>
    <w:next w:val="1"/>
    <w:qFormat/>
    <w:uiPriority w:val="39"/>
    <w:pPr>
      <w:widowControl/>
      <w:spacing w:before="120" w:after="120"/>
      <w:jc w:val="left"/>
    </w:pPr>
    <w:rPr>
      <w:b/>
      <w:bCs/>
      <w:caps/>
      <w:kern w:val="0"/>
      <w:sz w:val="20"/>
      <w:szCs w:val="20"/>
    </w:rPr>
  </w:style>
  <w:style w:type="paragraph" w:styleId="30">
    <w:name w:val="toc 4"/>
    <w:basedOn w:val="1"/>
    <w:next w:val="1"/>
    <w:qFormat/>
    <w:uiPriority w:val="39"/>
    <w:pPr>
      <w:widowControl/>
      <w:ind w:left="630"/>
      <w:jc w:val="left"/>
    </w:pPr>
    <w:rPr>
      <w:kern w:val="0"/>
      <w:sz w:val="18"/>
      <w:szCs w:val="18"/>
    </w:rPr>
  </w:style>
  <w:style w:type="paragraph" w:styleId="31">
    <w:name w:val="Subtitle"/>
    <w:basedOn w:val="1"/>
    <w:next w:val="1"/>
    <w:link w:val="87"/>
    <w:qFormat/>
    <w:uiPriority w:val="99"/>
    <w:pPr>
      <w:widowControl/>
      <w:spacing w:before="40" w:after="40"/>
      <w:jc w:val="center"/>
    </w:pPr>
    <w:rPr>
      <w:rFonts w:eastAsia="幼圆"/>
      <w:b/>
      <w:bCs/>
      <w:sz w:val="28"/>
      <w:szCs w:val="28"/>
    </w:rPr>
  </w:style>
  <w:style w:type="paragraph" w:styleId="32">
    <w:name w:val="toc 6"/>
    <w:basedOn w:val="1"/>
    <w:next w:val="1"/>
    <w:qFormat/>
    <w:uiPriority w:val="39"/>
    <w:pPr>
      <w:widowControl/>
      <w:ind w:left="1050"/>
      <w:jc w:val="left"/>
    </w:pPr>
    <w:rPr>
      <w:kern w:val="0"/>
      <w:sz w:val="18"/>
      <w:szCs w:val="18"/>
    </w:rPr>
  </w:style>
  <w:style w:type="paragraph" w:styleId="33">
    <w:name w:val="Body Text Indent 3"/>
    <w:basedOn w:val="1"/>
    <w:link w:val="78"/>
    <w:qFormat/>
    <w:uiPriority w:val="99"/>
    <w:pPr>
      <w:spacing w:line="360" w:lineRule="exact"/>
      <w:ind w:firstLine="420" w:firstLineChars="200"/>
    </w:pPr>
    <w:rPr>
      <w:rFonts w:ascii="Times New Roman" w:hAnsi="Times New Roman" w:cs="Times New Roman"/>
    </w:rPr>
  </w:style>
  <w:style w:type="paragraph" w:styleId="34">
    <w:name w:val="toc 2"/>
    <w:basedOn w:val="1"/>
    <w:next w:val="1"/>
    <w:qFormat/>
    <w:uiPriority w:val="39"/>
    <w:pPr>
      <w:widowControl/>
      <w:ind w:left="210"/>
      <w:jc w:val="left"/>
    </w:pPr>
    <w:rPr>
      <w:smallCaps/>
      <w:kern w:val="0"/>
      <w:sz w:val="20"/>
      <w:szCs w:val="20"/>
    </w:rPr>
  </w:style>
  <w:style w:type="paragraph" w:styleId="35">
    <w:name w:val="toc 9"/>
    <w:basedOn w:val="1"/>
    <w:next w:val="1"/>
    <w:qFormat/>
    <w:uiPriority w:val="39"/>
    <w:pPr>
      <w:widowControl/>
      <w:ind w:left="1680"/>
      <w:jc w:val="left"/>
    </w:pPr>
    <w:rPr>
      <w:kern w:val="0"/>
      <w:sz w:val="18"/>
      <w:szCs w:val="18"/>
    </w:rPr>
  </w:style>
  <w:style w:type="paragraph" w:styleId="36">
    <w:name w:val="Body Text 2"/>
    <w:basedOn w:val="1"/>
    <w:link w:val="79"/>
    <w:qFormat/>
    <w:uiPriority w:val="99"/>
    <w:pPr>
      <w:spacing w:line="280" w:lineRule="exact"/>
    </w:pPr>
    <w:rPr>
      <w:rFonts w:ascii="仿宋_GB2312" w:hAnsi="Times New Roman" w:eastAsia="仿宋_GB2312" w:cs="仿宋_GB2312"/>
      <w:sz w:val="24"/>
      <w:szCs w:val="24"/>
    </w:rPr>
  </w:style>
  <w:style w:type="paragraph" w:styleId="37">
    <w:name w:val="List 4"/>
    <w:basedOn w:val="1"/>
    <w:qFormat/>
    <w:locked/>
    <w:uiPriority w:val="99"/>
    <w:pPr>
      <w:ind w:left="100" w:leftChars="600" w:hanging="200" w:hangingChars="200"/>
    </w:pPr>
    <w:rPr>
      <w:rFonts w:ascii="Times New Roman" w:hAnsi="Times New Roman" w:cs="Times New Roman"/>
    </w:rPr>
  </w:style>
  <w:style w:type="paragraph" w:styleId="38">
    <w:name w:val="Message Header"/>
    <w:basedOn w:val="16"/>
    <w:link w:val="80"/>
    <w:qFormat/>
    <w:uiPriority w:val="99"/>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cs="Arial"/>
      <w:spacing w:val="-5"/>
      <w:sz w:val="20"/>
      <w:szCs w:val="20"/>
    </w:rPr>
  </w:style>
  <w:style w:type="paragraph" w:styleId="39">
    <w:name w:val="HTML Preformatted"/>
    <w:basedOn w:val="1"/>
    <w:link w:val="81"/>
    <w:qFormat/>
    <w:locked/>
    <w:uiPriority w:val="99"/>
    <w:rPr>
      <w:rFonts w:ascii="Courier New" w:hAnsi="Courier New" w:cs="Courier New"/>
      <w:kern w:val="0"/>
      <w:sz w:val="20"/>
      <w:szCs w:val="20"/>
    </w:rPr>
  </w:style>
  <w:style w:type="paragraph" w:styleId="4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1">
    <w:name w:val="Title"/>
    <w:basedOn w:val="1"/>
    <w:link w:val="88"/>
    <w:qFormat/>
    <w:uiPriority w:val="10"/>
    <w:pPr>
      <w:widowControl/>
      <w:spacing w:before="240" w:after="60"/>
      <w:jc w:val="left"/>
      <w:outlineLvl w:val="0"/>
    </w:pPr>
    <w:rPr>
      <w:rFonts w:eastAsia="仿宋"/>
      <w:b/>
      <w:bCs/>
      <w:sz w:val="32"/>
      <w:szCs w:val="32"/>
    </w:rPr>
  </w:style>
  <w:style w:type="paragraph" w:styleId="42">
    <w:name w:val="annotation subject"/>
    <w:basedOn w:val="15"/>
    <w:next w:val="15"/>
    <w:link w:val="116"/>
    <w:semiHidden/>
    <w:qFormat/>
    <w:uiPriority w:val="99"/>
    <w:rPr>
      <w:b/>
      <w:bCs/>
    </w:rPr>
  </w:style>
  <w:style w:type="paragraph" w:styleId="43">
    <w:name w:val="Body Text First Indent"/>
    <w:basedOn w:val="1"/>
    <w:link w:val="65"/>
    <w:qFormat/>
    <w:uiPriority w:val="99"/>
    <w:pPr>
      <w:adjustRightInd w:val="0"/>
      <w:snapToGrid w:val="0"/>
      <w:spacing w:after="120" w:line="400" w:lineRule="exact"/>
      <w:ind w:firstLine="510"/>
    </w:pPr>
    <w:rPr>
      <w:rFonts w:ascii="Times New Roman" w:hAnsi="Times New Roman" w:cs="Times New Roman"/>
      <w:sz w:val="24"/>
      <w:szCs w:val="24"/>
    </w:rPr>
  </w:style>
  <w:style w:type="table" w:styleId="45">
    <w:name w:val="Table Grid"/>
    <w:basedOn w:val="44"/>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7">
    <w:name w:val="Strong"/>
    <w:basedOn w:val="46"/>
    <w:qFormat/>
    <w:uiPriority w:val="22"/>
    <w:rPr>
      <w:b/>
      <w:bCs/>
    </w:rPr>
  </w:style>
  <w:style w:type="character" w:styleId="48">
    <w:name w:val="page number"/>
    <w:basedOn w:val="46"/>
    <w:qFormat/>
    <w:uiPriority w:val="99"/>
  </w:style>
  <w:style w:type="character" w:styleId="49">
    <w:name w:val="FollowedHyperlink"/>
    <w:basedOn w:val="46"/>
    <w:qFormat/>
    <w:uiPriority w:val="99"/>
    <w:rPr>
      <w:color w:val="800080"/>
      <w:u w:val="none"/>
    </w:rPr>
  </w:style>
  <w:style w:type="character" w:styleId="50">
    <w:name w:val="Hyperlink"/>
    <w:basedOn w:val="46"/>
    <w:qFormat/>
    <w:uiPriority w:val="99"/>
    <w:rPr>
      <w:color w:val="0000FF"/>
      <w:u w:val="none"/>
    </w:rPr>
  </w:style>
  <w:style w:type="character" w:styleId="51">
    <w:name w:val="annotation reference"/>
    <w:basedOn w:val="46"/>
    <w:semiHidden/>
    <w:qFormat/>
    <w:uiPriority w:val="99"/>
    <w:rPr>
      <w:sz w:val="21"/>
      <w:szCs w:val="21"/>
    </w:rPr>
  </w:style>
  <w:style w:type="character" w:customStyle="1" w:styleId="52">
    <w:name w:val="标题 1 Char"/>
    <w:basedOn w:val="46"/>
    <w:link w:val="3"/>
    <w:qFormat/>
    <w:locked/>
    <w:uiPriority w:val="0"/>
    <w:rPr>
      <w:b/>
      <w:bCs/>
      <w:kern w:val="44"/>
      <w:sz w:val="36"/>
      <w:szCs w:val="36"/>
    </w:rPr>
  </w:style>
  <w:style w:type="character" w:customStyle="1" w:styleId="53">
    <w:name w:val="Heading 2 Char"/>
    <w:basedOn w:val="46"/>
    <w:qFormat/>
    <w:locked/>
    <w:uiPriority w:val="99"/>
    <w:rPr>
      <w:rFonts w:eastAsia="仿宋"/>
      <w:b/>
      <w:bCs/>
      <w:kern w:val="44"/>
      <w:sz w:val="32"/>
      <w:szCs w:val="32"/>
      <w:lang w:val="en-US" w:eastAsia="zh-CN"/>
    </w:rPr>
  </w:style>
  <w:style w:type="character" w:customStyle="1" w:styleId="54">
    <w:name w:val="Heading 3 Char"/>
    <w:basedOn w:val="46"/>
    <w:qFormat/>
    <w:locked/>
    <w:uiPriority w:val="99"/>
    <w:rPr>
      <w:rFonts w:eastAsia="仿宋"/>
      <w:b/>
      <w:bCs/>
      <w:kern w:val="44"/>
      <w:sz w:val="32"/>
      <w:szCs w:val="32"/>
      <w:lang w:val="en-US" w:eastAsia="zh-CN"/>
    </w:rPr>
  </w:style>
  <w:style w:type="character" w:customStyle="1" w:styleId="55">
    <w:name w:val="Heading 4 Char"/>
    <w:basedOn w:val="46"/>
    <w:qFormat/>
    <w:locked/>
    <w:uiPriority w:val="99"/>
    <w:rPr>
      <w:rFonts w:eastAsia="仿宋"/>
      <w:b/>
      <w:bCs/>
      <w:kern w:val="44"/>
      <w:sz w:val="32"/>
      <w:szCs w:val="32"/>
      <w:lang w:val="en-US" w:eastAsia="zh-CN"/>
    </w:rPr>
  </w:style>
  <w:style w:type="character" w:customStyle="1" w:styleId="56">
    <w:name w:val="标题 5 Char"/>
    <w:basedOn w:val="46"/>
    <w:link w:val="6"/>
    <w:qFormat/>
    <w:locked/>
    <w:uiPriority w:val="99"/>
    <w:rPr>
      <w:kern w:val="2"/>
      <w:sz w:val="21"/>
      <w:szCs w:val="21"/>
    </w:rPr>
  </w:style>
  <w:style w:type="character" w:customStyle="1" w:styleId="57">
    <w:name w:val="标题 6 Char"/>
    <w:basedOn w:val="46"/>
    <w:link w:val="7"/>
    <w:qFormat/>
    <w:locked/>
    <w:uiPriority w:val="99"/>
    <w:rPr>
      <w:rFonts w:ascii="Arial" w:hAnsi="Arial" w:eastAsia="宋体" w:cs="Arial"/>
      <w:sz w:val="44"/>
      <w:szCs w:val="44"/>
    </w:rPr>
  </w:style>
  <w:style w:type="character" w:customStyle="1" w:styleId="58">
    <w:name w:val="标题 7 Char"/>
    <w:basedOn w:val="46"/>
    <w:link w:val="8"/>
    <w:qFormat/>
    <w:locked/>
    <w:uiPriority w:val="99"/>
    <w:rPr>
      <w:rFonts w:ascii="Times New Roman" w:hAnsi="Times New Roman" w:eastAsia="宋体" w:cs="Times New Roman"/>
      <w:sz w:val="44"/>
      <w:szCs w:val="44"/>
    </w:rPr>
  </w:style>
  <w:style w:type="character" w:customStyle="1" w:styleId="59">
    <w:name w:val="标题 8 Char"/>
    <w:basedOn w:val="46"/>
    <w:link w:val="9"/>
    <w:qFormat/>
    <w:locked/>
    <w:uiPriority w:val="99"/>
    <w:rPr>
      <w:rFonts w:ascii="Times New Roman" w:hAnsi="Times New Roman" w:eastAsia="宋体" w:cs="Times New Roman"/>
      <w:sz w:val="44"/>
      <w:szCs w:val="44"/>
    </w:rPr>
  </w:style>
  <w:style w:type="character" w:customStyle="1" w:styleId="60">
    <w:name w:val="标题 9 Char"/>
    <w:basedOn w:val="46"/>
    <w:link w:val="10"/>
    <w:qFormat/>
    <w:locked/>
    <w:uiPriority w:val="99"/>
    <w:rPr>
      <w:rFonts w:ascii="Arial" w:hAnsi="Arial" w:eastAsia="宋体" w:cs="Arial"/>
      <w:sz w:val="44"/>
      <w:szCs w:val="44"/>
    </w:rPr>
  </w:style>
  <w:style w:type="character" w:customStyle="1" w:styleId="61">
    <w:name w:val="批注文字 Char"/>
    <w:basedOn w:val="46"/>
    <w:qFormat/>
    <w:locked/>
    <w:uiPriority w:val="99"/>
    <w:rPr>
      <w:rFonts w:eastAsia="仿宋"/>
      <w:sz w:val="32"/>
      <w:szCs w:val="32"/>
    </w:rPr>
  </w:style>
  <w:style w:type="character" w:customStyle="1" w:styleId="62">
    <w:name w:val="Comment Subject Char"/>
    <w:basedOn w:val="63"/>
    <w:semiHidden/>
    <w:qFormat/>
    <w:locked/>
    <w:uiPriority w:val="99"/>
    <w:rPr>
      <w:b/>
      <w:bCs/>
    </w:rPr>
  </w:style>
  <w:style w:type="character" w:customStyle="1" w:styleId="63">
    <w:name w:val="批注文字 Char1"/>
    <w:basedOn w:val="46"/>
    <w:link w:val="15"/>
    <w:semiHidden/>
    <w:qFormat/>
    <w:locked/>
    <w:uiPriority w:val="99"/>
  </w:style>
  <w:style w:type="character" w:customStyle="1" w:styleId="64">
    <w:name w:val="正文文本 Char"/>
    <w:basedOn w:val="46"/>
    <w:qFormat/>
    <w:locked/>
    <w:uiPriority w:val="99"/>
  </w:style>
  <w:style w:type="character" w:customStyle="1" w:styleId="65">
    <w:name w:val="正文首行缩进 Char"/>
    <w:basedOn w:val="66"/>
    <w:link w:val="43"/>
    <w:qFormat/>
    <w:locked/>
    <w:uiPriority w:val="99"/>
    <w:rPr>
      <w:rFonts w:ascii="Times New Roman" w:hAnsi="Times New Roman" w:eastAsia="宋体" w:cs="Times New Roman"/>
      <w:sz w:val="44"/>
      <w:szCs w:val="44"/>
    </w:rPr>
  </w:style>
  <w:style w:type="character" w:customStyle="1" w:styleId="66">
    <w:name w:val="正文文本 Char1"/>
    <w:basedOn w:val="46"/>
    <w:link w:val="16"/>
    <w:semiHidden/>
    <w:qFormat/>
    <w:locked/>
    <w:uiPriority w:val="99"/>
  </w:style>
  <w:style w:type="character" w:customStyle="1" w:styleId="67">
    <w:name w:val="文档结构图 Char"/>
    <w:basedOn w:val="46"/>
    <w:qFormat/>
    <w:locked/>
    <w:uiPriority w:val="99"/>
    <w:rPr>
      <w:shd w:val="clear" w:color="auto" w:fill="000080"/>
    </w:rPr>
  </w:style>
  <w:style w:type="character" w:customStyle="1" w:styleId="68">
    <w:name w:val="正文文本缩进 Char"/>
    <w:basedOn w:val="46"/>
    <w:qFormat/>
    <w:locked/>
    <w:uiPriority w:val="99"/>
  </w:style>
  <w:style w:type="character" w:customStyle="1" w:styleId="69">
    <w:name w:val="HTML 地址 Char1"/>
    <w:basedOn w:val="46"/>
    <w:link w:val="18"/>
    <w:semiHidden/>
    <w:qFormat/>
    <w:locked/>
    <w:uiPriority w:val="99"/>
    <w:rPr>
      <w:i/>
      <w:iCs/>
      <w:kern w:val="2"/>
      <w:sz w:val="22"/>
      <w:szCs w:val="22"/>
    </w:rPr>
  </w:style>
  <w:style w:type="character" w:customStyle="1" w:styleId="70">
    <w:name w:val="纯文本 Char"/>
    <w:basedOn w:val="46"/>
    <w:link w:val="21"/>
    <w:qFormat/>
    <w:locked/>
    <w:uiPriority w:val="99"/>
    <w:rPr>
      <w:rFonts w:ascii="宋体" w:hAnsi="Courier New" w:eastAsia="宋体" w:cs="宋体"/>
      <w:sz w:val="21"/>
      <w:szCs w:val="21"/>
    </w:rPr>
  </w:style>
  <w:style w:type="character" w:customStyle="1" w:styleId="71">
    <w:name w:val="日期 Char"/>
    <w:basedOn w:val="46"/>
    <w:link w:val="23"/>
    <w:qFormat/>
    <w:locked/>
    <w:uiPriority w:val="99"/>
    <w:rPr>
      <w:rFonts w:ascii="Times New Roman" w:hAnsi="Times New Roman" w:eastAsia="宋体" w:cs="Times New Roman"/>
      <w:kern w:val="0"/>
      <w:sz w:val="20"/>
      <w:szCs w:val="20"/>
    </w:rPr>
  </w:style>
  <w:style w:type="character" w:customStyle="1" w:styleId="72">
    <w:name w:val="正文文本缩进 2 Char"/>
    <w:basedOn w:val="46"/>
    <w:link w:val="24"/>
    <w:qFormat/>
    <w:locked/>
    <w:uiPriority w:val="99"/>
    <w:rPr>
      <w:rFonts w:ascii="宋体" w:hAnsi="Times New Roman" w:eastAsia="宋体" w:cs="宋体"/>
      <w:sz w:val="20"/>
      <w:szCs w:val="20"/>
    </w:rPr>
  </w:style>
  <w:style w:type="character" w:customStyle="1" w:styleId="73">
    <w:name w:val="批注框文本 Char"/>
    <w:basedOn w:val="46"/>
    <w:qFormat/>
    <w:locked/>
    <w:uiPriority w:val="99"/>
    <w:rPr>
      <w:rFonts w:eastAsia="仿宋"/>
      <w:sz w:val="18"/>
      <w:szCs w:val="18"/>
    </w:rPr>
  </w:style>
  <w:style w:type="character" w:customStyle="1" w:styleId="74">
    <w:name w:val="页脚 Char"/>
    <w:basedOn w:val="46"/>
    <w:link w:val="26"/>
    <w:qFormat/>
    <w:locked/>
    <w:uiPriority w:val="99"/>
    <w:rPr>
      <w:sz w:val="18"/>
      <w:szCs w:val="18"/>
    </w:rPr>
  </w:style>
  <w:style w:type="character" w:customStyle="1" w:styleId="75">
    <w:name w:val="页眉 Char"/>
    <w:basedOn w:val="46"/>
    <w:link w:val="27"/>
    <w:qFormat/>
    <w:locked/>
    <w:uiPriority w:val="99"/>
    <w:rPr>
      <w:sz w:val="18"/>
      <w:szCs w:val="18"/>
    </w:rPr>
  </w:style>
  <w:style w:type="character" w:customStyle="1" w:styleId="76">
    <w:name w:val="签名 Char"/>
    <w:basedOn w:val="46"/>
    <w:qFormat/>
    <w:locked/>
    <w:uiPriority w:val="99"/>
    <w:rPr>
      <w:sz w:val="21"/>
      <w:szCs w:val="21"/>
    </w:rPr>
  </w:style>
  <w:style w:type="character" w:customStyle="1" w:styleId="77">
    <w:name w:val="副标题 Char"/>
    <w:basedOn w:val="46"/>
    <w:qFormat/>
    <w:locked/>
    <w:uiPriority w:val="99"/>
    <w:rPr>
      <w:rFonts w:eastAsia="幼圆"/>
      <w:b/>
      <w:bCs/>
      <w:sz w:val="28"/>
      <w:szCs w:val="28"/>
    </w:rPr>
  </w:style>
  <w:style w:type="character" w:customStyle="1" w:styleId="78">
    <w:name w:val="正文文本缩进 3 Char"/>
    <w:basedOn w:val="46"/>
    <w:link w:val="33"/>
    <w:qFormat/>
    <w:locked/>
    <w:uiPriority w:val="99"/>
    <w:rPr>
      <w:rFonts w:ascii="Times New Roman" w:hAnsi="Times New Roman" w:eastAsia="宋体" w:cs="Times New Roman"/>
      <w:sz w:val="24"/>
      <w:szCs w:val="24"/>
    </w:rPr>
  </w:style>
  <w:style w:type="character" w:customStyle="1" w:styleId="79">
    <w:name w:val="正文文本 2 Char"/>
    <w:basedOn w:val="46"/>
    <w:link w:val="36"/>
    <w:qFormat/>
    <w:locked/>
    <w:uiPriority w:val="99"/>
    <w:rPr>
      <w:rFonts w:ascii="仿宋_GB2312" w:hAnsi="Times New Roman" w:eastAsia="仿宋_GB2312" w:cs="仿宋_GB2312"/>
      <w:sz w:val="24"/>
      <w:szCs w:val="24"/>
    </w:rPr>
  </w:style>
  <w:style w:type="character" w:customStyle="1" w:styleId="80">
    <w:name w:val="信息标题 Char"/>
    <w:basedOn w:val="46"/>
    <w:link w:val="38"/>
    <w:qFormat/>
    <w:locked/>
    <w:uiPriority w:val="99"/>
    <w:rPr>
      <w:rFonts w:ascii="Arial" w:hAnsi="Arial" w:cs="Arial"/>
      <w:spacing w:val="-5"/>
      <w:sz w:val="20"/>
      <w:szCs w:val="20"/>
    </w:rPr>
  </w:style>
  <w:style w:type="character" w:customStyle="1" w:styleId="81">
    <w:name w:val="HTML 预设格式 Char1"/>
    <w:basedOn w:val="46"/>
    <w:link w:val="39"/>
    <w:semiHidden/>
    <w:qFormat/>
    <w:locked/>
    <w:uiPriority w:val="99"/>
    <w:rPr>
      <w:rFonts w:ascii="Courier New" w:hAnsi="Courier New" w:cs="Courier New"/>
      <w:kern w:val="2"/>
    </w:rPr>
  </w:style>
  <w:style w:type="character" w:customStyle="1" w:styleId="82">
    <w:name w:val="标题 Char"/>
    <w:basedOn w:val="46"/>
    <w:qFormat/>
    <w:locked/>
    <w:uiPriority w:val="10"/>
    <w:rPr>
      <w:rFonts w:eastAsia="仿宋"/>
      <w:b/>
      <w:bCs/>
      <w:sz w:val="32"/>
      <w:szCs w:val="32"/>
    </w:rPr>
  </w:style>
  <w:style w:type="character" w:customStyle="1" w:styleId="83">
    <w:name w:val="文档结构图 Char1"/>
    <w:basedOn w:val="46"/>
    <w:link w:val="14"/>
    <w:semiHidden/>
    <w:qFormat/>
    <w:locked/>
    <w:uiPriority w:val="99"/>
    <w:rPr>
      <w:rFonts w:ascii="宋体" w:eastAsia="宋体" w:cs="宋体"/>
      <w:sz w:val="18"/>
      <w:szCs w:val="18"/>
    </w:rPr>
  </w:style>
  <w:style w:type="character" w:customStyle="1" w:styleId="84">
    <w:name w:val="正文文本缩进 Char1"/>
    <w:basedOn w:val="46"/>
    <w:link w:val="17"/>
    <w:semiHidden/>
    <w:qFormat/>
    <w:locked/>
    <w:uiPriority w:val="99"/>
  </w:style>
  <w:style w:type="character" w:customStyle="1" w:styleId="85">
    <w:name w:val="批注框文本 Char1"/>
    <w:basedOn w:val="46"/>
    <w:link w:val="25"/>
    <w:semiHidden/>
    <w:qFormat/>
    <w:locked/>
    <w:uiPriority w:val="99"/>
    <w:rPr>
      <w:sz w:val="18"/>
      <w:szCs w:val="18"/>
    </w:rPr>
  </w:style>
  <w:style w:type="character" w:customStyle="1" w:styleId="86">
    <w:name w:val="签名 Char1"/>
    <w:basedOn w:val="46"/>
    <w:link w:val="28"/>
    <w:semiHidden/>
    <w:qFormat/>
    <w:locked/>
    <w:uiPriority w:val="99"/>
  </w:style>
  <w:style w:type="character" w:customStyle="1" w:styleId="87">
    <w:name w:val="副标题 Char1"/>
    <w:basedOn w:val="46"/>
    <w:link w:val="31"/>
    <w:qFormat/>
    <w:locked/>
    <w:uiPriority w:val="99"/>
    <w:rPr>
      <w:rFonts w:ascii="Cambria" w:hAnsi="Cambria" w:eastAsia="宋体" w:cs="Cambria"/>
      <w:b/>
      <w:bCs/>
      <w:kern w:val="28"/>
      <w:sz w:val="32"/>
      <w:szCs w:val="32"/>
    </w:rPr>
  </w:style>
  <w:style w:type="character" w:customStyle="1" w:styleId="88">
    <w:name w:val="标题 Char1"/>
    <w:basedOn w:val="46"/>
    <w:link w:val="41"/>
    <w:qFormat/>
    <w:locked/>
    <w:uiPriority w:val="99"/>
    <w:rPr>
      <w:rFonts w:ascii="Cambria" w:hAnsi="Cambria" w:eastAsia="宋体" w:cs="Cambria"/>
      <w:b/>
      <w:bCs/>
      <w:sz w:val="32"/>
      <w:szCs w:val="32"/>
    </w:rPr>
  </w:style>
  <w:style w:type="character" w:customStyle="1" w:styleId="89">
    <w:name w:val="标题 2 Char"/>
    <w:basedOn w:val="46"/>
    <w:link w:val="2"/>
    <w:qFormat/>
    <w:locked/>
    <w:uiPriority w:val="9"/>
    <w:rPr>
      <w:rFonts w:ascii="Arial" w:hAnsi="Arial" w:cs="Arial"/>
      <w:b/>
      <w:bCs/>
      <w:kern w:val="2"/>
      <w:sz w:val="28"/>
      <w:szCs w:val="28"/>
    </w:rPr>
  </w:style>
  <w:style w:type="character" w:customStyle="1" w:styleId="90">
    <w:name w:val="标题 3 Char"/>
    <w:basedOn w:val="46"/>
    <w:link w:val="4"/>
    <w:qFormat/>
    <w:locked/>
    <w:uiPriority w:val="9"/>
    <w:rPr>
      <w:b/>
      <w:bCs/>
      <w:kern w:val="2"/>
      <w:sz w:val="24"/>
      <w:szCs w:val="24"/>
    </w:rPr>
  </w:style>
  <w:style w:type="character" w:customStyle="1" w:styleId="91">
    <w:name w:val="标题 4 Char"/>
    <w:basedOn w:val="46"/>
    <w:link w:val="5"/>
    <w:qFormat/>
    <w:locked/>
    <w:uiPriority w:val="99"/>
    <w:rPr>
      <w:rFonts w:ascii="Arial" w:hAnsi="Arial" w:cs="Arial"/>
      <w:b/>
      <w:bCs/>
      <w:kern w:val="2"/>
      <w:sz w:val="24"/>
      <w:szCs w:val="24"/>
    </w:rPr>
  </w:style>
  <w:style w:type="character" w:customStyle="1" w:styleId="92">
    <w:name w:val="ca-2"/>
    <w:basedOn w:val="46"/>
    <w:qFormat/>
    <w:uiPriority w:val="99"/>
  </w:style>
  <w:style w:type="character" w:customStyle="1" w:styleId="93">
    <w:name w:val="表哥标题居左 Char Char"/>
    <w:link w:val="94"/>
    <w:qFormat/>
    <w:locked/>
    <w:uiPriority w:val="99"/>
    <w:rPr>
      <w:b/>
      <w:bCs/>
      <w:sz w:val="21"/>
      <w:szCs w:val="21"/>
    </w:rPr>
  </w:style>
  <w:style w:type="paragraph" w:customStyle="1" w:styleId="94">
    <w:name w:val="表哥标题居左"/>
    <w:basedOn w:val="95"/>
    <w:link w:val="93"/>
    <w:qFormat/>
    <w:uiPriority w:val="99"/>
    <w:pPr>
      <w:jc w:val="left"/>
    </w:pPr>
    <w:rPr>
      <w:rFonts w:ascii="Calibri" w:hAnsi="Calibri"/>
      <w:sz w:val="21"/>
      <w:szCs w:val="21"/>
    </w:rPr>
  </w:style>
  <w:style w:type="paragraph" w:customStyle="1" w:styleId="95">
    <w:name w:val="表格标题"/>
    <w:link w:val="96"/>
    <w:qFormat/>
    <w:uiPriority w:val="99"/>
    <w:pPr>
      <w:jc w:val="center"/>
    </w:pPr>
    <w:rPr>
      <w:rFonts w:ascii="Times New Roman" w:hAnsi="Times New Roman" w:eastAsia="宋体" w:cs="Times New Roman"/>
      <w:b/>
      <w:bCs/>
      <w:sz w:val="22"/>
      <w:szCs w:val="22"/>
      <w:lang w:val="en-US" w:eastAsia="zh-CN" w:bidi="ar-SA"/>
    </w:rPr>
  </w:style>
  <w:style w:type="character" w:customStyle="1" w:styleId="96">
    <w:name w:val="表格标题 Char Char"/>
    <w:link w:val="95"/>
    <w:qFormat/>
    <w:locked/>
    <w:uiPriority w:val="99"/>
    <w:rPr>
      <w:rFonts w:ascii="Times New Roman" w:hAnsi="Times New Roman"/>
      <w:b/>
      <w:bCs/>
      <w:sz w:val="22"/>
      <w:szCs w:val="22"/>
      <w:lang w:bidi="ar-SA"/>
    </w:rPr>
  </w:style>
  <w:style w:type="character" w:customStyle="1" w:styleId="97">
    <w:name w:val="f12"/>
    <w:basedOn w:val="46"/>
    <w:qFormat/>
    <w:uiPriority w:val="99"/>
  </w:style>
  <w:style w:type="character" w:customStyle="1" w:styleId="98">
    <w:name w:val="Char Char13"/>
    <w:basedOn w:val="46"/>
    <w:qFormat/>
    <w:uiPriority w:val="99"/>
    <w:rPr>
      <w:rFonts w:eastAsia="仿宋"/>
      <w:b/>
      <w:bCs/>
      <w:kern w:val="44"/>
      <w:sz w:val="32"/>
      <w:szCs w:val="32"/>
      <w:lang w:val="en-US" w:eastAsia="zh-CN"/>
    </w:rPr>
  </w:style>
  <w:style w:type="character" w:customStyle="1" w:styleId="99">
    <w:name w:val="clh15"/>
    <w:basedOn w:val="46"/>
    <w:qFormat/>
    <w:uiPriority w:val="99"/>
  </w:style>
  <w:style w:type="character" w:customStyle="1" w:styleId="100">
    <w:name w:val="!我的正文 Ctr+Q Char Char"/>
    <w:link w:val="101"/>
    <w:qFormat/>
    <w:locked/>
    <w:uiPriority w:val="99"/>
    <w:rPr>
      <w:rFonts w:ascii="Arial" w:hAnsi="Arial" w:cs="Arial"/>
      <w:sz w:val="21"/>
      <w:szCs w:val="21"/>
    </w:rPr>
  </w:style>
  <w:style w:type="paragraph" w:customStyle="1" w:styleId="101">
    <w:name w:val="!我的正文 Ctr+Q"/>
    <w:basedOn w:val="1"/>
    <w:link w:val="100"/>
    <w:qFormat/>
    <w:uiPriority w:val="99"/>
    <w:pPr>
      <w:adjustRightInd w:val="0"/>
      <w:snapToGrid w:val="0"/>
      <w:spacing w:line="360" w:lineRule="auto"/>
      <w:ind w:firstLine="480" w:firstLineChars="200"/>
    </w:pPr>
    <w:rPr>
      <w:rFonts w:ascii="Arial" w:hAnsi="Arial" w:cs="Times New Roman"/>
      <w:kern w:val="0"/>
    </w:rPr>
  </w:style>
  <w:style w:type="character" w:customStyle="1" w:styleId="102">
    <w:name w:val="正文缩进 Char"/>
    <w:basedOn w:val="46"/>
    <w:link w:val="12"/>
    <w:qFormat/>
    <w:locked/>
    <w:uiPriority w:val="99"/>
    <w:rPr>
      <w:rFonts w:ascii="宋体" w:cs="宋体"/>
    </w:rPr>
  </w:style>
  <w:style w:type="character" w:customStyle="1" w:styleId="103">
    <w:name w:val="Char Char14"/>
    <w:basedOn w:val="46"/>
    <w:qFormat/>
    <w:uiPriority w:val="99"/>
    <w:rPr>
      <w:rFonts w:eastAsia="仿宋"/>
      <w:b/>
      <w:bCs/>
      <w:kern w:val="44"/>
      <w:sz w:val="32"/>
      <w:szCs w:val="32"/>
      <w:lang w:val="en-US" w:eastAsia="zh-CN"/>
    </w:rPr>
  </w:style>
  <w:style w:type="character" w:customStyle="1" w:styleId="104">
    <w:name w:val="Char Char12"/>
    <w:basedOn w:val="46"/>
    <w:qFormat/>
    <w:uiPriority w:val="99"/>
    <w:rPr>
      <w:rFonts w:eastAsia="仿宋"/>
      <w:b/>
      <w:bCs/>
      <w:kern w:val="44"/>
      <w:sz w:val="32"/>
      <w:szCs w:val="32"/>
      <w:lang w:val="en-US" w:eastAsia="zh-CN"/>
    </w:rPr>
  </w:style>
  <w:style w:type="character" w:customStyle="1" w:styleId="105">
    <w:name w:val="!标题3 Ctrl+3 Char Char"/>
    <w:link w:val="106"/>
    <w:qFormat/>
    <w:locked/>
    <w:uiPriority w:val="99"/>
    <w:rPr>
      <w:rFonts w:ascii="宋体" w:hAnsi="Calibri"/>
      <w:b/>
      <w:bCs/>
      <w:sz w:val="28"/>
      <w:szCs w:val="28"/>
    </w:rPr>
  </w:style>
  <w:style w:type="paragraph" w:customStyle="1" w:styleId="106">
    <w:name w:val="!标题3 Ctrl+3"/>
    <w:basedOn w:val="4"/>
    <w:next w:val="1"/>
    <w:link w:val="105"/>
    <w:qFormat/>
    <w:uiPriority w:val="99"/>
    <w:pPr>
      <w:keepNext w:val="0"/>
      <w:keepLines w:val="0"/>
      <w:tabs>
        <w:tab w:val="left" w:pos="1028"/>
      </w:tabs>
      <w:adjustRightInd w:val="0"/>
      <w:snapToGrid w:val="0"/>
      <w:spacing w:beforeLines="50" w:line="360" w:lineRule="auto"/>
      <w:ind w:left="720" w:hanging="720"/>
    </w:pPr>
    <w:rPr>
      <w:rFonts w:ascii="宋体" w:hAnsi="Calibri"/>
      <w:kern w:val="0"/>
      <w:sz w:val="28"/>
      <w:szCs w:val="28"/>
    </w:rPr>
  </w:style>
  <w:style w:type="character" w:customStyle="1" w:styleId="107">
    <w:name w:val="Char Char16"/>
    <w:basedOn w:val="46"/>
    <w:qFormat/>
    <w:uiPriority w:val="99"/>
    <w:rPr>
      <w:rFonts w:eastAsia="仿宋"/>
      <w:b/>
      <w:bCs/>
      <w:kern w:val="44"/>
      <w:sz w:val="32"/>
      <w:szCs w:val="32"/>
      <w:lang w:val="en-US" w:eastAsia="zh-CN"/>
    </w:rPr>
  </w:style>
  <w:style w:type="character" w:customStyle="1" w:styleId="108">
    <w:name w:val="表格字 Char Char"/>
    <w:link w:val="109"/>
    <w:qFormat/>
    <w:locked/>
    <w:uiPriority w:val="99"/>
    <w:rPr>
      <w:rFonts w:cs="Calibri"/>
      <w:kern w:val="2"/>
      <w:sz w:val="21"/>
      <w:szCs w:val="21"/>
      <w:lang w:val="en-US" w:eastAsia="zh-CN" w:bidi="ar-SA"/>
    </w:rPr>
  </w:style>
  <w:style w:type="paragraph" w:customStyle="1" w:styleId="109">
    <w:name w:val="表格字"/>
    <w:link w:val="108"/>
    <w:qFormat/>
    <w:uiPriority w:val="99"/>
    <w:rPr>
      <w:rFonts w:ascii="Calibri" w:hAnsi="Calibri" w:eastAsia="宋体" w:cs="Calibri"/>
      <w:kern w:val="2"/>
      <w:sz w:val="21"/>
      <w:szCs w:val="21"/>
      <w:lang w:val="en-US" w:eastAsia="zh-CN" w:bidi="ar-SA"/>
    </w:rPr>
  </w:style>
  <w:style w:type="character" w:customStyle="1" w:styleId="110">
    <w:name w:val="表格字居中 Char Char"/>
    <w:basedOn w:val="108"/>
    <w:link w:val="111"/>
    <w:qFormat/>
    <w:locked/>
    <w:uiPriority w:val="99"/>
    <w:rPr>
      <w:rFonts w:cs="Calibri"/>
      <w:kern w:val="2"/>
      <w:sz w:val="24"/>
      <w:szCs w:val="24"/>
      <w:lang w:val="en-US" w:eastAsia="zh-CN" w:bidi="ar-SA"/>
    </w:rPr>
  </w:style>
  <w:style w:type="paragraph" w:customStyle="1" w:styleId="111">
    <w:name w:val="表格字居中"/>
    <w:basedOn w:val="109"/>
    <w:link w:val="110"/>
    <w:qFormat/>
    <w:uiPriority w:val="99"/>
    <w:pPr>
      <w:jc w:val="center"/>
    </w:pPr>
    <w:rPr>
      <w:sz w:val="24"/>
      <w:szCs w:val="24"/>
    </w:rPr>
  </w:style>
  <w:style w:type="character" w:customStyle="1" w:styleId="112">
    <w:name w:val="Char Char11"/>
    <w:basedOn w:val="46"/>
    <w:qFormat/>
    <w:uiPriority w:val="99"/>
    <w:rPr>
      <w:rFonts w:eastAsia="宋体"/>
      <w:b/>
      <w:bCs/>
      <w:kern w:val="2"/>
      <w:sz w:val="24"/>
      <w:szCs w:val="24"/>
      <w:lang w:val="en-US" w:eastAsia="zh-CN"/>
    </w:rPr>
  </w:style>
  <w:style w:type="character" w:customStyle="1" w:styleId="113">
    <w:name w:val="Normal Indent Char Char"/>
    <w:basedOn w:val="46"/>
    <w:qFormat/>
    <w:uiPriority w:val="99"/>
    <w:rPr>
      <w:rFonts w:eastAsia="宋体"/>
      <w:sz w:val="24"/>
      <w:szCs w:val="24"/>
      <w:lang w:val="en-US" w:eastAsia="zh-CN"/>
    </w:rPr>
  </w:style>
  <w:style w:type="character" w:customStyle="1" w:styleId="114">
    <w:name w:val="Message Header Label"/>
    <w:qFormat/>
    <w:uiPriority w:val="99"/>
    <w:rPr>
      <w:rFonts w:ascii="Arial Black" w:hAnsi="Arial Black" w:eastAsia="宋体" w:cs="Arial Black"/>
      <w:sz w:val="18"/>
      <w:szCs w:val="18"/>
    </w:rPr>
  </w:style>
  <w:style w:type="character" w:customStyle="1" w:styleId="115">
    <w:name w:val="页眉 Char1"/>
    <w:basedOn w:val="46"/>
    <w:semiHidden/>
    <w:qFormat/>
    <w:uiPriority w:val="99"/>
    <w:rPr>
      <w:sz w:val="18"/>
      <w:szCs w:val="18"/>
    </w:rPr>
  </w:style>
  <w:style w:type="character" w:customStyle="1" w:styleId="116">
    <w:name w:val="批注主题 Char"/>
    <w:basedOn w:val="61"/>
    <w:link w:val="42"/>
    <w:qFormat/>
    <w:locked/>
    <w:uiPriority w:val="99"/>
    <w:rPr>
      <w:rFonts w:eastAsia="仿宋"/>
      <w:b/>
      <w:bCs/>
      <w:sz w:val="32"/>
      <w:szCs w:val="32"/>
    </w:rPr>
  </w:style>
  <w:style w:type="character" w:customStyle="1" w:styleId="117">
    <w:name w:val="页脚 Char1"/>
    <w:basedOn w:val="46"/>
    <w:semiHidden/>
    <w:qFormat/>
    <w:uiPriority w:val="99"/>
    <w:rPr>
      <w:sz w:val="18"/>
      <w:szCs w:val="18"/>
    </w:rPr>
  </w:style>
  <w:style w:type="character" w:customStyle="1" w:styleId="118">
    <w:name w:val="Emphasis1"/>
    <w:qFormat/>
    <w:uiPriority w:val="99"/>
    <w:rPr>
      <w:rFonts w:ascii="Arial Black" w:hAnsi="Arial Black" w:eastAsia="宋体" w:cs="Arial Black"/>
      <w:sz w:val="18"/>
      <w:szCs w:val="18"/>
    </w:rPr>
  </w:style>
  <w:style w:type="character" w:customStyle="1" w:styleId="119">
    <w:name w:val="样式 (符号) 宋体 加粗 下划线"/>
    <w:basedOn w:val="46"/>
    <w:qFormat/>
    <w:uiPriority w:val="99"/>
    <w:rPr>
      <w:b/>
      <w:bCs/>
      <w:u w:val="single"/>
    </w:rPr>
  </w:style>
  <w:style w:type="character" w:customStyle="1" w:styleId="120">
    <w:name w:val="抬头 Char Char"/>
    <w:link w:val="121"/>
    <w:qFormat/>
    <w:locked/>
    <w:uiPriority w:val="99"/>
    <w:rPr>
      <w:rFonts w:eastAsia="楷体" w:cs="Calibri"/>
      <w:b/>
      <w:bCs/>
      <w:kern w:val="2"/>
      <w:sz w:val="24"/>
      <w:szCs w:val="24"/>
      <w:lang w:val="en-US" w:eastAsia="zh-CN" w:bidi="ar-SA"/>
    </w:rPr>
  </w:style>
  <w:style w:type="paragraph" w:customStyle="1" w:styleId="121">
    <w:name w:val="抬头"/>
    <w:link w:val="120"/>
    <w:qFormat/>
    <w:uiPriority w:val="99"/>
    <w:rPr>
      <w:rFonts w:ascii="Calibri" w:hAnsi="Calibri" w:eastAsia="楷体" w:cs="Calibri"/>
      <w:b/>
      <w:bCs/>
      <w:kern w:val="2"/>
      <w:sz w:val="24"/>
      <w:szCs w:val="24"/>
      <w:lang w:val="en-US" w:eastAsia="zh-CN" w:bidi="ar-SA"/>
    </w:rPr>
  </w:style>
  <w:style w:type="character" w:customStyle="1" w:styleId="122">
    <w:name w:val="正文粗体 Char Char"/>
    <w:link w:val="123"/>
    <w:qFormat/>
    <w:locked/>
    <w:uiPriority w:val="99"/>
    <w:rPr>
      <w:rFonts w:eastAsia="仿宋"/>
      <w:b/>
      <w:bCs/>
      <w:sz w:val="32"/>
      <w:szCs w:val="32"/>
    </w:rPr>
  </w:style>
  <w:style w:type="paragraph" w:customStyle="1" w:styleId="123">
    <w:name w:val="正文粗体"/>
    <w:basedOn w:val="1"/>
    <w:link w:val="122"/>
    <w:qFormat/>
    <w:uiPriority w:val="99"/>
    <w:pPr>
      <w:spacing w:line="360" w:lineRule="auto"/>
      <w:ind w:firstLine="560" w:firstLineChars="200"/>
      <w:jc w:val="left"/>
    </w:pPr>
    <w:rPr>
      <w:rFonts w:eastAsia="仿宋" w:cs="Times New Roman"/>
      <w:b/>
      <w:bCs/>
      <w:kern w:val="0"/>
      <w:sz w:val="32"/>
      <w:szCs w:val="32"/>
    </w:rPr>
  </w:style>
  <w:style w:type="character" w:customStyle="1" w:styleId="124">
    <w:name w:val="Char Char15"/>
    <w:basedOn w:val="46"/>
    <w:qFormat/>
    <w:uiPriority w:val="99"/>
    <w:rPr>
      <w:rFonts w:eastAsia="仿宋"/>
      <w:b/>
      <w:bCs/>
      <w:kern w:val="44"/>
      <w:sz w:val="32"/>
      <w:szCs w:val="32"/>
      <w:lang w:val="en-US" w:eastAsia="zh-CN"/>
    </w:rPr>
  </w:style>
  <w:style w:type="character" w:customStyle="1" w:styleId="125">
    <w:name w:val="样式 宋体 小四"/>
    <w:basedOn w:val="46"/>
    <w:qFormat/>
    <w:uiPriority w:val="99"/>
    <w:rPr>
      <w:rFonts w:ascii="宋体" w:eastAsia="宋体" w:cs="宋体"/>
      <w:sz w:val="24"/>
      <w:szCs w:val="24"/>
    </w:rPr>
  </w:style>
  <w:style w:type="character" w:customStyle="1" w:styleId="126">
    <w:name w:val="bord3"/>
    <w:basedOn w:val="46"/>
    <w:qFormat/>
    <w:uiPriority w:val="99"/>
  </w:style>
  <w:style w:type="paragraph" w:customStyle="1" w:styleId="127">
    <w:name w:val="表格"/>
    <w:basedOn w:val="1"/>
    <w:qFormat/>
    <w:uiPriority w:val="99"/>
    <w:rPr>
      <w:rFonts w:ascii="Times New Roman" w:hAnsi="Times New Roman" w:cs="Times New Roman"/>
    </w:rPr>
  </w:style>
  <w:style w:type="paragraph" w:customStyle="1" w:styleId="128">
    <w:name w:val="列出段落1"/>
    <w:basedOn w:val="1"/>
    <w:qFormat/>
    <w:uiPriority w:val="99"/>
    <w:pPr>
      <w:ind w:firstLine="420" w:firstLineChars="200"/>
    </w:pPr>
    <w:rPr>
      <w:rFonts w:ascii="Times New Roman" w:hAnsi="Times New Roman" w:cs="Times New Roman"/>
    </w:rPr>
  </w:style>
  <w:style w:type="paragraph" w:customStyle="1" w:styleId="129">
    <w:name w:val="前面加点"/>
    <w:basedOn w:val="1"/>
    <w:qFormat/>
    <w:uiPriority w:val="99"/>
    <w:pPr>
      <w:tabs>
        <w:tab w:val="left" w:pos="720"/>
      </w:tabs>
      <w:ind w:left="760" w:firstLine="200"/>
    </w:pPr>
    <w:rPr>
      <w:rFonts w:ascii="Times New Roman" w:hAnsi="Times New Roman" w:cs="Times New Roman"/>
    </w:rPr>
  </w:style>
  <w:style w:type="paragraph" w:customStyle="1" w:styleId="130">
    <w:name w:val="正文加黑"/>
    <w:basedOn w:val="1"/>
    <w:qFormat/>
    <w:uiPriority w:val="99"/>
    <w:rPr>
      <w:rFonts w:ascii="Times New Roman" w:hAnsi="Times New Roman" w:cs="Times New Roman"/>
      <w:b/>
      <w:bCs/>
    </w:rPr>
  </w:style>
  <w:style w:type="paragraph" w:customStyle="1" w:styleId="131">
    <w:name w:val="默认段落字体 Para Char Char Char Char Char Char Char"/>
    <w:basedOn w:val="1"/>
    <w:qFormat/>
    <w:uiPriority w:val="99"/>
    <w:rPr>
      <w:rFonts w:ascii="Times New Roman" w:hAnsi="Times New Roman" w:eastAsia="仿宋_GB2312" w:cs="Times New Roman"/>
      <w:sz w:val="28"/>
      <w:szCs w:val="28"/>
    </w:rPr>
  </w:style>
  <w:style w:type="paragraph" w:customStyle="1" w:styleId="132">
    <w:name w:val="表格注释"/>
    <w:basedOn w:val="1"/>
    <w:qFormat/>
    <w:uiPriority w:val="99"/>
    <w:rPr>
      <w:rFonts w:ascii="Times New Roman" w:hAnsi="Times New Roman" w:cs="Times New Roman"/>
    </w:rPr>
  </w:style>
  <w:style w:type="paragraph" w:customStyle="1" w:styleId="133">
    <w:name w:val="--规划正文"/>
    <w:basedOn w:val="1"/>
    <w:qFormat/>
    <w:uiPriority w:val="99"/>
    <w:pPr>
      <w:spacing w:line="360" w:lineRule="auto"/>
      <w:ind w:firstLine="200" w:firstLineChars="200"/>
    </w:pPr>
    <w:rPr>
      <w:rFonts w:ascii="Times New Roman" w:hAnsi="Times New Roman" w:cs="Times New Roman"/>
    </w:rPr>
  </w:style>
  <w:style w:type="paragraph" w:customStyle="1" w:styleId="134">
    <w:name w:val="Message Header First"/>
    <w:basedOn w:val="38"/>
    <w:next w:val="38"/>
    <w:qFormat/>
    <w:uiPriority w:val="99"/>
  </w:style>
  <w:style w:type="paragraph" w:customStyle="1" w:styleId="135">
    <w:name w:val="样式2"/>
    <w:basedOn w:val="1"/>
    <w:qFormat/>
    <w:uiPriority w:val="99"/>
    <w:pPr>
      <w:tabs>
        <w:tab w:val="left" w:pos="720"/>
      </w:tabs>
      <w:ind w:left="760" w:firstLine="200"/>
    </w:pPr>
    <w:rPr>
      <w:rFonts w:ascii="Times New Roman" w:hAnsi="Times New Roman" w:cs="Times New Roman"/>
    </w:rPr>
  </w:style>
  <w:style w:type="paragraph" w:customStyle="1" w:styleId="136">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7">
    <w:name w:val="Char1 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8">
    <w:name w:val="Char Char Char"/>
    <w:basedOn w:val="1"/>
    <w:qFormat/>
    <w:uiPriority w:val="99"/>
    <w:pPr>
      <w:widowControl/>
      <w:spacing w:after="160" w:line="240" w:lineRule="exact"/>
      <w:jc w:val="left"/>
    </w:pPr>
    <w:rPr>
      <w:rFonts w:ascii="Verdana" w:hAnsi="Verdana" w:cs="Verdana"/>
      <w:kern w:val="0"/>
      <w:lang w:eastAsia="en-US"/>
    </w:rPr>
  </w:style>
  <w:style w:type="paragraph" w:customStyle="1" w:styleId="139">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0">
    <w:name w:val="黑体标题"/>
    <w:basedOn w:val="1"/>
    <w:qFormat/>
    <w:uiPriority w:val="99"/>
    <w:pPr>
      <w:ind w:firstLine="200" w:firstLineChars="200"/>
    </w:pPr>
    <w:rPr>
      <w:rFonts w:ascii="Times New Roman" w:hAnsi="Times New Roman" w:eastAsia="黑体" w:cs="Times New Roman"/>
      <w:b/>
      <w:bCs/>
    </w:rPr>
  </w:style>
  <w:style w:type="paragraph" w:customStyle="1" w:styleId="141">
    <w:name w:val="样式 左侧:  2 字符"/>
    <w:basedOn w:val="1"/>
    <w:qFormat/>
    <w:uiPriority w:val="99"/>
    <w:pPr>
      <w:ind w:firstLine="200" w:firstLineChars="200"/>
    </w:pPr>
    <w:rPr>
      <w:rFonts w:ascii="Times New Roman" w:hAnsi="Times New Roman" w:cs="Times New Roman"/>
    </w:rPr>
  </w:style>
  <w:style w:type="paragraph" w:customStyle="1" w:styleId="142">
    <w:name w:val="样式1"/>
    <w:basedOn w:val="1"/>
    <w:qFormat/>
    <w:uiPriority w:val="99"/>
    <w:pPr>
      <w:tabs>
        <w:tab w:val="left" w:pos="709"/>
      </w:tabs>
      <w:adjustRightInd w:val="0"/>
      <w:ind w:left="709" w:hanging="709"/>
      <w:textAlignment w:val="baseline"/>
    </w:pPr>
    <w:rPr>
      <w:rFonts w:ascii="宋体" w:hAnsi="宋体" w:cs="宋体"/>
      <w:kern w:val="0"/>
    </w:rPr>
  </w:style>
  <w:style w:type="paragraph" w:customStyle="1" w:styleId="143">
    <w:name w:val="封面标题"/>
    <w:qFormat/>
    <w:uiPriority w:val="99"/>
    <w:pPr>
      <w:spacing w:line="360" w:lineRule="auto"/>
      <w:jc w:val="center"/>
    </w:pPr>
    <w:rPr>
      <w:rFonts w:ascii="Times New Roman" w:hAnsi="Times New Roman" w:eastAsia="幼圆" w:cs="Times New Roman"/>
      <w:b/>
      <w:bCs/>
      <w:kern w:val="2"/>
      <w:sz w:val="48"/>
      <w:szCs w:val="48"/>
      <w:lang w:val="en-US" w:eastAsia="zh-CN" w:bidi="ar-SA"/>
    </w:rPr>
  </w:style>
  <w:style w:type="paragraph" w:customStyle="1" w:styleId="144">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45">
    <w:name w:val="2册标题4"/>
    <w:basedOn w:val="1"/>
    <w:next w:val="1"/>
    <w:qFormat/>
    <w:uiPriority w:val="99"/>
    <w:pPr>
      <w:spacing w:beforeLines="50" w:afterLines="50" w:line="300" w:lineRule="auto"/>
      <w:ind w:left="420" w:leftChars="200"/>
      <w:outlineLvl w:val="3"/>
    </w:pPr>
    <w:rPr>
      <w:rFonts w:ascii="Arial" w:hAnsi="Arial" w:eastAsia="幼圆" w:cs="Arial"/>
      <w:b/>
      <w:bCs/>
      <w:sz w:val="24"/>
      <w:szCs w:val="24"/>
    </w:rPr>
  </w:style>
  <w:style w:type="paragraph" w:customStyle="1" w:styleId="146">
    <w:name w:val="列出段落11"/>
    <w:basedOn w:val="1"/>
    <w:qFormat/>
    <w:uiPriority w:val="99"/>
    <w:pPr>
      <w:ind w:firstLine="420" w:firstLineChars="200"/>
    </w:pPr>
  </w:style>
  <w:style w:type="paragraph" w:customStyle="1" w:styleId="147">
    <w:name w:val="样式 样式 样式 小四 行距: 1.5 倍行距 + 加粗 + 首行缩进:  2 字符"/>
    <w:basedOn w:val="1"/>
    <w:qFormat/>
    <w:uiPriority w:val="99"/>
    <w:pPr>
      <w:ind w:firstLine="482"/>
    </w:pPr>
    <w:rPr>
      <w:rFonts w:ascii="Times New Roman" w:hAnsi="Times New Roman" w:cs="Times New Roman"/>
      <w:b/>
      <w:bCs/>
      <w:sz w:val="24"/>
      <w:szCs w:val="24"/>
    </w:rPr>
  </w:style>
  <w:style w:type="paragraph" w:customStyle="1" w:styleId="148">
    <w:name w:val="列项——（一级）"/>
    <w:qFormat/>
    <w:uiPriority w:val="99"/>
    <w:pPr>
      <w:widowControl w:val="0"/>
      <w:tabs>
        <w:tab w:val="left" w:pos="854"/>
      </w:tabs>
      <w:ind w:left="200" w:leftChars="200" w:hanging="200" w:hangingChars="200"/>
      <w:jc w:val="both"/>
    </w:pPr>
    <w:rPr>
      <w:rFonts w:ascii="宋体" w:hAnsi="Times New Roman" w:eastAsia="宋体" w:cs="宋体"/>
      <w:sz w:val="21"/>
      <w:szCs w:val="21"/>
      <w:lang w:val="en-US" w:eastAsia="zh-CN" w:bidi="ar-SA"/>
    </w:rPr>
  </w:style>
  <w:style w:type="paragraph" w:customStyle="1" w:styleId="149">
    <w:name w:val="Char Char Char Char Char Char Char"/>
    <w:basedOn w:val="14"/>
    <w:qFormat/>
    <w:uiPriority w:val="99"/>
    <w:pPr>
      <w:widowControl w:val="0"/>
      <w:jc w:val="both"/>
    </w:pPr>
    <w:rPr>
      <w:rFonts w:ascii="Tahoma" w:hAnsi="Tahoma" w:cs="Tahoma"/>
      <w:sz w:val="24"/>
      <w:szCs w:val="24"/>
    </w:rPr>
  </w:style>
  <w:style w:type="paragraph" w:customStyle="1" w:styleId="150">
    <w:name w:val="此正文"/>
    <w:basedOn w:val="1"/>
    <w:qFormat/>
    <w:uiPriority w:val="99"/>
    <w:pPr>
      <w:spacing w:line="360" w:lineRule="auto"/>
      <w:ind w:firstLine="200" w:firstLineChars="200"/>
    </w:pPr>
    <w:rPr>
      <w:rFonts w:ascii="Times New Roman" w:hAnsi="Times New Roman" w:cs="Times New Roman"/>
      <w:sz w:val="24"/>
      <w:szCs w:val="24"/>
    </w:rPr>
  </w:style>
  <w:style w:type="paragraph" w:customStyle="1" w:styleId="151">
    <w:name w:val="正文图标题"/>
    <w:next w:val="139"/>
    <w:qFormat/>
    <w:uiPriority w:val="99"/>
    <w:pPr>
      <w:jc w:val="center"/>
    </w:pPr>
    <w:rPr>
      <w:rFonts w:ascii="黑体" w:hAnsi="Times New Roman" w:eastAsia="黑体" w:cs="黑体"/>
      <w:sz w:val="21"/>
      <w:szCs w:val="21"/>
      <w:lang w:val="en-US" w:eastAsia="zh-CN" w:bidi="ar-SA"/>
    </w:rPr>
  </w:style>
  <w:style w:type="paragraph" w:customStyle="1" w:styleId="152">
    <w:name w:val="正文 A A"/>
    <w:qFormat/>
    <w:uiPriority w:val="99"/>
    <w:pPr>
      <w:spacing w:line="360" w:lineRule="auto"/>
      <w:ind w:firstLine="480"/>
      <w:jc w:val="both"/>
    </w:pPr>
    <w:rPr>
      <w:rFonts w:ascii="Calibri" w:hAnsi="Calibri" w:eastAsia="宋体" w:cs="Times New Roman"/>
      <w:color w:val="000000"/>
      <w:sz w:val="24"/>
      <w:szCs w:val="24"/>
      <w:lang w:val="en-US" w:eastAsia="zh-CN" w:bidi="ar-SA"/>
    </w:rPr>
  </w:style>
  <w:style w:type="paragraph" w:customStyle="1" w:styleId="153">
    <w:name w:val="p0"/>
    <w:basedOn w:val="1"/>
    <w:qFormat/>
    <w:uiPriority w:val="0"/>
    <w:pPr>
      <w:widowControl/>
    </w:pPr>
    <w:rPr>
      <w:rFonts w:ascii="Times New Roman" w:hAnsi="Times New Roman" w:cs="Times New Roman"/>
      <w:kern w:val="0"/>
    </w:rPr>
  </w:style>
  <w:style w:type="paragraph" w:customStyle="1" w:styleId="154">
    <w:name w:val="reader-word-layer reader-word-s3-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5">
    <w:name w:val="样式 (西文) 宋体 小四 首行缩进:  0.95 厘米 段前: 5 磅 段后: 5 磅 行距: 1.5 倍行距"/>
    <w:basedOn w:val="1"/>
    <w:qFormat/>
    <w:uiPriority w:val="99"/>
    <w:pPr>
      <w:widowControl/>
      <w:spacing w:before="100" w:after="100" w:line="360" w:lineRule="auto"/>
      <w:ind w:firstLine="540"/>
      <w:jc w:val="left"/>
    </w:pPr>
    <w:rPr>
      <w:rFonts w:ascii="宋体" w:hAnsi="宋体" w:cs="宋体"/>
      <w:kern w:val="0"/>
      <w:sz w:val="24"/>
      <w:szCs w:val="24"/>
    </w:rPr>
  </w:style>
  <w:style w:type="paragraph" w:customStyle="1" w:styleId="156">
    <w:name w:val="reader-word-layer reader-word-s3-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7">
    <w:name w:val="reader-word-layer reader-word-s3-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8">
    <w:name w:val="reader-word-layer reader-word-s3-4"/>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59">
    <w:name w:val="apple-converted-space"/>
    <w:basedOn w:val="46"/>
    <w:qFormat/>
    <w:uiPriority w:val="0"/>
  </w:style>
  <w:style w:type="paragraph" w:customStyle="1" w:styleId="160">
    <w:name w:val="正文1"/>
    <w:qFormat/>
    <w:uiPriority w:val="0"/>
    <w:pPr>
      <w:widowControl w:val="0"/>
      <w:adjustRightInd w:val="0"/>
      <w:spacing w:line="312" w:lineRule="atLeast"/>
      <w:jc w:val="both"/>
    </w:pPr>
    <w:rPr>
      <w:rFonts w:ascii="宋体" w:hAnsi="Times New Roman" w:eastAsia="宋体" w:cs="宋体"/>
      <w:sz w:val="34"/>
      <w:szCs w:val="34"/>
      <w:lang w:val="en-US" w:eastAsia="zh-CN" w:bidi="ar-SA"/>
    </w:rPr>
  </w:style>
  <w:style w:type="character" w:customStyle="1" w:styleId="161">
    <w:name w:val="标题 3 Char2"/>
    <w:qFormat/>
    <w:uiPriority w:val="99"/>
    <w:rPr>
      <w:b/>
      <w:bCs/>
      <w:kern w:val="2"/>
      <w:sz w:val="32"/>
      <w:szCs w:val="32"/>
    </w:rPr>
  </w:style>
  <w:style w:type="character" w:customStyle="1" w:styleId="162">
    <w:name w:val="题注 Char"/>
    <w:link w:val="13"/>
    <w:qFormat/>
    <w:locked/>
    <w:uiPriority w:val="99"/>
    <w:rPr>
      <w:rFonts w:ascii="华文彩云" w:hAnsi="Century Gothic" w:eastAsia="宋体" w:cs="华文彩云"/>
      <w:b/>
      <w:bCs/>
      <w:sz w:val="72"/>
      <w:szCs w:val="72"/>
    </w:rPr>
  </w:style>
  <w:style w:type="paragraph" w:customStyle="1" w:styleId="163">
    <w:name w:val="列出段落2"/>
    <w:basedOn w:val="1"/>
    <w:qFormat/>
    <w:uiPriority w:val="99"/>
    <w:pPr>
      <w:ind w:firstLine="420" w:firstLineChars="200"/>
    </w:pPr>
  </w:style>
  <w:style w:type="paragraph" w:customStyle="1" w:styleId="164">
    <w:name w:val="正文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65">
    <w:name w:val="_Style 1"/>
    <w:basedOn w:val="1"/>
    <w:qFormat/>
    <w:uiPriority w:val="99"/>
    <w:pPr>
      <w:ind w:firstLine="420" w:firstLineChars="200"/>
    </w:pPr>
  </w:style>
  <w:style w:type="paragraph" w:customStyle="1" w:styleId="166">
    <w:name w:val="正文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67">
    <w:name w:val="font"/>
    <w:basedOn w:val="46"/>
    <w:qFormat/>
    <w:uiPriority w:val="99"/>
    <w:rPr>
      <w:rFonts w:ascii="Times New Roman" w:cs="Times New Roman"/>
    </w:rPr>
  </w:style>
  <w:style w:type="paragraph" w:customStyle="1" w:styleId="168">
    <w:name w:val="样式 正文（首行缩进两字） + 宋体 小四"/>
    <w:basedOn w:val="12"/>
    <w:qFormat/>
    <w:uiPriority w:val="99"/>
  </w:style>
  <w:style w:type="paragraph" w:customStyle="1" w:styleId="169">
    <w:name w:val="列出段落21"/>
    <w:basedOn w:val="1"/>
    <w:qFormat/>
    <w:uiPriority w:val="99"/>
    <w:pPr>
      <w:ind w:firstLine="420" w:firstLineChars="200"/>
    </w:pPr>
  </w:style>
  <w:style w:type="paragraph" w:customStyle="1" w:styleId="170">
    <w:name w:val="正文缩进2字符"/>
    <w:basedOn w:val="1"/>
    <w:qFormat/>
    <w:uiPriority w:val="99"/>
    <w:pPr>
      <w:spacing w:line="360" w:lineRule="auto"/>
      <w:ind w:firstLine="200" w:firstLineChars="200"/>
    </w:pPr>
    <w:rPr>
      <w:rFonts w:ascii="Times New Roman" w:hAnsi="Times New Roman" w:cs="Times New Roman"/>
      <w:sz w:val="24"/>
      <w:szCs w:val="24"/>
    </w:rPr>
  </w:style>
  <w:style w:type="character" w:customStyle="1" w:styleId="171">
    <w:name w:val="一级条标题 Char"/>
    <w:link w:val="172"/>
    <w:qFormat/>
    <w:locked/>
    <w:uiPriority w:val="99"/>
    <w:rPr>
      <w:rFonts w:ascii="黑体" w:eastAsia="黑体" w:cs="黑体"/>
    </w:rPr>
  </w:style>
  <w:style w:type="paragraph" w:customStyle="1" w:styleId="172">
    <w:name w:val="一级条标题"/>
    <w:basedOn w:val="173"/>
    <w:next w:val="139"/>
    <w:link w:val="171"/>
    <w:qFormat/>
    <w:uiPriority w:val="99"/>
    <w:pPr>
      <w:outlineLvl w:val="2"/>
    </w:pPr>
    <w:rPr>
      <w:rFonts w:hAnsi="Calibri"/>
      <w:sz w:val="20"/>
      <w:szCs w:val="20"/>
    </w:rPr>
  </w:style>
  <w:style w:type="paragraph" w:customStyle="1" w:styleId="173">
    <w:name w:val="章标题"/>
    <w:next w:val="139"/>
    <w:link w:val="174"/>
    <w:qFormat/>
    <w:uiPriority w:val="99"/>
    <w:pPr>
      <w:spacing w:beforeLines="50" w:afterLines="50"/>
      <w:jc w:val="both"/>
      <w:outlineLvl w:val="1"/>
    </w:pPr>
    <w:rPr>
      <w:rFonts w:ascii="黑体" w:hAnsi="Times New Roman" w:eastAsia="黑体" w:cs="Times New Roman"/>
      <w:sz w:val="21"/>
      <w:szCs w:val="21"/>
      <w:lang w:val="en-US" w:eastAsia="zh-CN" w:bidi="ar-SA"/>
    </w:rPr>
  </w:style>
  <w:style w:type="character" w:customStyle="1" w:styleId="174">
    <w:name w:val="章标题 Char"/>
    <w:link w:val="173"/>
    <w:qFormat/>
    <w:locked/>
    <w:uiPriority w:val="99"/>
    <w:rPr>
      <w:rFonts w:ascii="黑体" w:hAnsi="Times New Roman" w:eastAsia="黑体"/>
      <w:sz w:val="21"/>
      <w:szCs w:val="21"/>
      <w:lang w:bidi="ar-SA"/>
    </w:rPr>
  </w:style>
  <w:style w:type="character" w:customStyle="1" w:styleId="175">
    <w:name w:val="表内居两端对齐 Char"/>
    <w:basedOn w:val="176"/>
    <w:link w:val="178"/>
    <w:qFormat/>
    <w:locked/>
    <w:uiPriority w:val="99"/>
    <w:rPr>
      <w:sz w:val="18"/>
      <w:szCs w:val="18"/>
    </w:rPr>
  </w:style>
  <w:style w:type="character" w:customStyle="1" w:styleId="176">
    <w:name w:val="表内居中小五 Char"/>
    <w:link w:val="177"/>
    <w:qFormat/>
    <w:locked/>
    <w:uiPriority w:val="99"/>
    <w:rPr>
      <w:sz w:val="18"/>
      <w:szCs w:val="18"/>
    </w:rPr>
  </w:style>
  <w:style w:type="paragraph" w:customStyle="1" w:styleId="177">
    <w:name w:val="表内居中小五"/>
    <w:basedOn w:val="1"/>
    <w:link w:val="176"/>
    <w:qFormat/>
    <w:uiPriority w:val="99"/>
    <w:pPr>
      <w:jc w:val="center"/>
    </w:pPr>
    <w:rPr>
      <w:rFonts w:cs="Times New Roman"/>
      <w:kern w:val="0"/>
      <w:sz w:val="18"/>
      <w:szCs w:val="18"/>
    </w:rPr>
  </w:style>
  <w:style w:type="paragraph" w:customStyle="1" w:styleId="178">
    <w:name w:val="表内居两端对齐"/>
    <w:basedOn w:val="177"/>
    <w:link w:val="175"/>
    <w:qFormat/>
    <w:uiPriority w:val="99"/>
    <w:pPr>
      <w:jc w:val="both"/>
    </w:pPr>
  </w:style>
  <w:style w:type="character" w:customStyle="1" w:styleId="179">
    <w:name w:val="样式 标题 4 + (符号) 宋体 Char"/>
    <w:basedOn w:val="91"/>
    <w:link w:val="180"/>
    <w:qFormat/>
    <w:locked/>
    <w:uiPriority w:val="99"/>
    <w:rPr>
      <w:rFonts w:ascii="宋体" w:hAnsi="Arial" w:eastAsia="宋体" w:cs="宋体"/>
      <w:kern w:val="2"/>
      <w:sz w:val="21"/>
      <w:szCs w:val="21"/>
    </w:rPr>
  </w:style>
  <w:style w:type="paragraph" w:customStyle="1" w:styleId="180">
    <w:name w:val="样式 标题 4 + (符号) 宋体"/>
    <w:basedOn w:val="5"/>
    <w:link w:val="179"/>
    <w:qFormat/>
    <w:uiPriority w:val="99"/>
    <w:pPr>
      <w:keepNext w:val="0"/>
      <w:keepLines w:val="0"/>
      <w:numPr>
        <w:ilvl w:val="0"/>
        <w:numId w:val="0"/>
      </w:numPr>
      <w:adjustRightInd w:val="0"/>
      <w:snapToGrid w:val="0"/>
      <w:spacing w:before="0" w:after="0"/>
    </w:pPr>
    <w:rPr>
      <w:rFonts w:ascii="宋体" w:hAnsi="Calibri" w:cs="宋体"/>
      <w:b w:val="0"/>
      <w:bCs w:val="0"/>
      <w:kern w:val="0"/>
      <w:sz w:val="20"/>
      <w:szCs w:val="20"/>
    </w:rPr>
  </w:style>
  <w:style w:type="character" w:customStyle="1" w:styleId="181">
    <w:name w:val="HTML 预设格式 Char"/>
    <w:qFormat/>
    <w:uiPriority w:val="99"/>
    <w:rPr>
      <w:rFonts w:ascii="Courier New" w:hAnsi="Courier New" w:cs="Courier New"/>
    </w:rPr>
  </w:style>
  <w:style w:type="character" w:customStyle="1" w:styleId="182">
    <w:name w:val="二级条标题 Char"/>
    <w:link w:val="183"/>
    <w:qFormat/>
    <w:locked/>
    <w:uiPriority w:val="99"/>
    <w:rPr>
      <w:rFonts w:ascii="黑体" w:eastAsia="黑体" w:cs="黑体"/>
    </w:rPr>
  </w:style>
  <w:style w:type="paragraph" w:customStyle="1" w:styleId="183">
    <w:name w:val="二级条标题"/>
    <w:basedOn w:val="1"/>
    <w:next w:val="139"/>
    <w:link w:val="182"/>
    <w:qFormat/>
    <w:uiPriority w:val="99"/>
    <w:pPr>
      <w:widowControl/>
      <w:outlineLvl w:val="3"/>
    </w:pPr>
    <w:rPr>
      <w:rFonts w:ascii="黑体" w:eastAsia="黑体" w:cs="Times New Roman"/>
      <w:kern w:val="0"/>
      <w:sz w:val="20"/>
      <w:szCs w:val="20"/>
    </w:rPr>
  </w:style>
  <w:style w:type="character" w:customStyle="1" w:styleId="184">
    <w:name w:val="样式 标题 3 + 宋体 Char"/>
    <w:link w:val="185"/>
    <w:qFormat/>
    <w:locked/>
    <w:uiPriority w:val="99"/>
    <w:rPr>
      <w:rFonts w:ascii="宋体" w:eastAsia="宋体" w:cs="宋体"/>
      <w:kern w:val="2"/>
      <w:sz w:val="21"/>
      <w:szCs w:val="21"/>
    </w:rPr>
  </w:style>
  <w:style w:type="paragraph" w:customStyle="1" w:styleId="185">
    <w:name w:val="样式 标题 3 + 宋体"/>
    <w:basedOn w:val="4"/>
    <w:link w:val="184"/>
    <w:qFormat/>
    <w:uiPriority w:val="99"/>
    <w:pPr>
      <w:keepNext w:val="0"/>
      <w:keepLines w:val="0"/>
      <w:numPr>
        <w:numId w:val="0"/>
      </w:numPr>
      <w:tabs>
        <w:tab w:val="left" w:pos="1560"/>
      </w:tabs>
      <w:snapToGrid w:val="0"/>
      <w:spacing w:afterLines="0" w:line="360" w:lineRule="auto"/>
      <w:ind w:left="360"/>
    </w:pPr>
    <w:rPr>
      <w:rFonts w:ascii="宋体" w:hAnsi="Calibri"/>
      <w:b w:val="0"/>
      <w:bCs w:val="0"/>
      <w:sz w:val="21"/>
      <w:szCs w:val="21"/>
    </w:rPr>
  </w:style>
  <w:style w:type="character" w:customStyle="1" w:styleId="186">
    <w:name w:val="HTML 地址 Char"/>
    <w:qFormat/>
    <w:uiPriority w:val="99"/>
    <w:rPr>
      <w:i/>
      <w:iCs/>
      <w:sz w:val="24"/>
      <w:szCs w:val="24"/>
    </w:rPr>
  </w:style>
  <w:style w:type="character" w:customStyle="1" w:styleId="187">
    <w:name w:val="三级条标题 Char"/>
    <w:basedOn w:val="182"/>
    <w:link w:val="188"/>
    <w:qFormat/>
    <w:locked/>
    <w:uiPriority w:val="99"/>
    <w:rPr>
      <w:rFonts w:ascii="黑体" w:eastAsia="黑体" w:cs="黑体"/>
    </w:rPr>
  </w:style>
  <w:style w:type="paragraph" w:customStyle="1" w:styleId="188">
    <w:name w:val="三级条标题"/>
    <w:basedOn w:val="183"/>
    <w:next w:val="139"/>
    <w:link w:val="187"/>
    <w:qFormat/>
    <w:uiPriority w:val="99"/>
    <w:pPr>
      <w:tabs>
        <w:tab w:val="left" w:pos="360"/>
      </w:tabs>
      <w:ind w:left="-180"/>
      <w:outlineLvl w:val="4"/>
    </w:pPr>
  </w:style>
  <w:style w:type="character" w:customStyle="1" w:styleId="189">
    <w:name w:val="首行缩进 Char"/>
    <w:link w:val="190"/>
    <w:qFormat/>
    <w:locked/>
    <w:uiPriority w:val="99"/>
    <w:rPr>
      <w:rFonts w:eastAsia="方正书宋简体"/>
    </w:rPr>
  </w:style>
  <w:style w:type="paragraph" w:customStyle="1" w:styleId="190">
    <w:name w:val="首行缩进"/>
    <w:basedOn w:val="1"/>
    <w:link w:val="189"/>
    <w:qFormat/>
    <w:uiPriority w:val="99"/>
    <w:pPr>
      <w:spacing w:line="300" w:lineRule="auto"/>
      <w:ind w:firstLine="420" w:firstLineChars="200"/>
    </w:pPr>
    <w:rPr>
      <w:rFonts w:eastAsia="方正书宋简体" w:cs="Times New Roman"/>
      <w:kern w:val="0"/>
      <w:sz w:val="20"/>
      <w:szCs w:val="20"/>
    </w:rPr>
  </w:style>
  <w:style w:type="paragraph" w:customStyle="1" w:styleId="191">
    <w:name w:val="附录标识"/>
    <w:basedOn w:val="192"/>
    <w:qFormat/>
    <w:uiPriority w:val="99"/>
  </w:style>
  <w:style w:type="paragraph" w:customStyle="1" w:styleId="192">
    <w:name w:val="前言、引言标题"/>
    <w:next w:val="1"/>
    <w:qFormat/>
    <w:uiPriority w:val="99"/>
    <w:pPr>
      <w:shd w:val="clear" w:color="FFFFFF" w:fill="FFFFFF"/>
      <w:spacing w:before="640" w:after="560"/>
      <w:ind w:left="720" w:hanging="720"/>
      <w:jc w:val="center"/>
      <w:outlineLvl w:val="0"/>
    </w:pPr>
    <w:rPr>
      <w:rFonts w:ascii="黑体" w:hAnsi="Times New Roman" w:eastAsia="黑体" w:cs="黑体"/>
      <w:sz w:val="32"/>
      <w:szCs w:val="32"/>
      <w:lang w:val="en-US" w:eastAsia="zh-CN" w:bidi="ar-SA"/>
    </w:rPr>
  </w:style>
  <w:style w:type="paragraph" w:customStyle="1" w:styleId="193">
    <w:name w:val="一级无标题条"/>
    <w:basedOn w:val="1"/>
    <w:qFormat/>
    <w:uiPriority w:val="99"/>
    <w:pPr>
      <w:ind w:left="851" w:hanging="397"/>
    </w:pPr>
    <w:rPr>
      <w:rFonts w:ascii="Times New Roman" w:hAnsi="Times New Roman" w:cs="Times New Roman"/>
    </w:rPr>
  </w:style>
  <w:style w:type="paragraph" w:customStyle="1" w:styleId="194">
    <w:name w:val="注×："/>
    <w:qFormat/>
    <w:uiPriority w:val="99"/>
    <w:pPr>
      <w:widowControl w:val="0"/>
      <w:tabs>
        <w:tab w:val="left" w:pos="360"/>
        <w:tab w:val="left" w:pos="630"/>
      </w:tabs>
      <w:autoSpaceDE w:val="0"/>
      <w:autoSpaceDN w:val="0"/>
      <w:jc w:val="both"/>
    </w:pPr>
    <w:rPr>
      <w:rFonts w:ascii="宋体" w:hAnsi="Times New Roman" w:eastAsia="宋体" w:cs="宋体"/>
      <w:sz w:val="18"/>
      <w:szCs w:val="18"/>
      <w:lang w:val="en-US" w:eastAsia="zh-CN" w:bidi="ar-SA"/>
    </w:rPr>
  </w:style>
  <w:style w:type="paragraph" w:customStyle="1" w:styleId="195">
    <w:name w:val="二级无标题条"/>
    <w:basedOn w:val="1"/>
    <w:qFormat/>
    <w:uiPriority w:val="99"/>
    <w:pPr>
      <w:ind w:left="1418" w:hanging="709"/>
    </w:pPr>
    <w:rPr>
      <w:rFonts w:ascii="Times New Roman" w:hAnsi="Times New Roman" w:cs="Times New Roman"/>
    </w:rPr>
  </w:style>
  <w:style w:type="paragraph" w:customStyle="1" w:styleId="196">
    <w:name w:val="附录三级条标题"/>
    <w:basedOn w:val="197"/>
    <w:next w:val="139"/>
    <w:qFormat/>
    <w:uiPriority w:val="99"/>
    <w:pPr>
      <w:ind w:left="2551" w:hanging="850"/>
      <w:outlineLvl w:val="4"/>
    </w:pPr>
  </w:style>
  <w:style w:type="paragraph" w:customStyle="1" w:styleId="197">
    <w:name w:val="附录二级条标题"/>
    <w:basedOn w:val="198"/>
    <w:next w:val="139"/>
    <w:qFormat/>
    <w:uiPriority w:val="99"/>
    <w:pPr>
      <w:autoSpaceDN w:val="0"/>
      <w:ind w:left="1984" w:hanging="708"/>
      <w:outlineLvl w:val="3"/>
    </w:pPr>
  </w:style>
  <w:style w:type="paragraph" w:customStyle="1" w:styleId="198">
    <w:name w:val="附录一级条标题"/>
    <w:basedOn w:val="199"/>
    <w:next w:val="139"/>
    <w:qFormat/>
    <w:uiPriority w:val="99"/>
    <w:pPr>
      <w:ind w:left="1418"/>
    </w:pPr>
  </w:style>
  <w:style w:type="paragraph" w:customStyle="1" w:styleId="199">
    <w:name w:val="附录章标题"/>
    <w:next w:val="139"/>
    <w:qFormat/>
    <w:uiPriority w:val="99"/>
    <w:pPr>
      <w:wordWrap w:val="0"/>
      <w:overflowPunct w:val="0"/>
      <w:autoSpaceDE w:val="0"/>
      <w:spacing w:beforeLines="50" w:afterLines="50"/>
      <w:ind w:left="794" w:hanging="567"/>
      <w:jc w:val="both"/>
      <w:textAlignment w:val="baseline"/>
      <w:outlineLvl w:val="1"/>
    </w:pPr>
    <w:rPr>
      <w:rFonts w:ascii="黑体" w:hAnsi="Times New Roman" w:eastAsia="黑体" w:cs="黑体"/>
      <w:kern w:val="21"/>
      <w:sz w:val="21"/>
      <w:szCs w:val="21"/>
      <w:lang w:val="en-US" w:eastAsia="zh-CN" w:bidi="ar-SA"/>
    </w:rPr>
  </w:style>
  <w:style w:type="paragraph" w:customStyle="1" w:styleId="200">
    <w:name w:val="附录四级条标题"/>
    <w:basedOn w:val="196"/>
    <w:next w:val="139"/>
    <w:qFormat/>
    <w:uiPriority w:val="99"/>
    <w:pPr>
      <w:outlineLvl w:val="5"/>
    </w:pPr>
  </w:style>
  <w:style w:type="paragraph" w:customStyle="1" w:styleId="201">
    <w:name w:val="示例"/>
    <w:next w:val="139"/>
    <w:qFormat/>
    <w:uiPriority w:val="99"/>
    <w:pPr>
      <w:tabs>
        <w:tab w:val="left" w:pos="360"/>
        <w:tab w:val="left" w:pos="420"/>
      </w:tabs>
      <w:ind w:left="420"/>
      <w:jc w:val="both"/>
    </w:pPr>
    <w:rPr>
      <w:rFonts w:ascii="宋体" w:hAnsi="Times New Roman" w:eastAsia="宋体" w:cs="宋体"/>
      <w:sz w:val="18"/>
      <w:szCs w:val="18"/>
      <w:lang w:val="en-US" w:eastAsia="zh-CN" w:bidi="ar-SA"/>
    </w:rPr>
  </w:style>
  <w:style w:type="paragraph" w:customStyle="1" w:styleId="202">
    <w:name w:val="三级无标题条"/>
    <w:basedOn w:val="1"/>
    <w:qFormat/>
    <w:uiPriority w:val="99"/>
    <w:pPr>
      <w:ind w:left="1418" w:hanging="567"/>
    </w:pPr>
    <w:rPr>
      <w:rFonts w:ascii="Times New Roman" w:hAnsi="Times New Roman" w:cs="Times New Roman"/>
    </w:rPr>
  </w:style>
  <w:style w:type="paragraph" w:customStyle="1" w:styleId="203">
    <w:name w:val="五级无标题条"/>
    <w:basedOn w:val="1"/>
    <w:qFormat/>
    <w:uiPriority w:val="99"/>
    <w:pPr>
      <w:ind w:left="3827" w:hanging="1276"/>
    </w:pPr>
    <w:rPr>
      <w:rFonts w:ascii="Times New Roman" w:hAnsi="Times New Roman" w:cs="Times New Roman"/>
    </w:rPr>
  </w:style>
  <w:style w:type="paragraph" w:customStyle="1" w:styleId="204">
    <w:name w:val="样式 标题 5 + 右侧:  1 字符"/>
    <w:basedOn w:val="6"/>
    <w:qFormat/>
    <w:uiPriority w:val="99"/>
    <w:pPr>
      <w:tabs>
        <w:tab w:val="clear" w:pos="2520"/>
      </w:tabs>
      <w:adjustRightInd w:val="0"/>
      <w:spacing w:before="0"/>
      <w:ind w:left="0" w:right="210" w:rightChars="100" w:firstLine="0"/>
      <w:textAlignment w:val="baseline"/>
    </w:pPr>
    <w:rPr>
      <w:kern w:val="0"/>
    </w:rPr>
  </w:style>
  <w:style w:type="paragraph" w:customStyle="1" w:styleId="205">
    <w:name w:val="附录五级条标题"/>
    <w:basedOn w:val="200"/>
    <w:next w:val="139"/>
    <w:qFormat/>
    <w:uiPriority w:val="99"/>
    <w:pPr>
      <w:outlineLvl w:val="6"/>
    </w:pPr>
  </w:style>
  <w:style w:type="paragraph" w:customStyle="1" w:styleId="206">
    <w:name w:val="四级条标题"/>
    <w:basedOn w:val="188"/>
    <w:next w:val="139"/>
    <w:qFormat/>
    <w:uiPriority w:val="99"/>
    <w:pPr>
      <w:tabs>
        <w:tab w:val="clear" w:pos="360"/>
      </w:tabs>
      <w:ind w:left="0"/>
      <w:outlineLvl w:val="5"/>
    </w:pPr>
  </w:style>
  <w:style w:type="paragraph" w:customStyle="1" w:styleId="207">
    <w:name w:val="四级无标题条"/>
    <w:basedOn w:val="1"/>
    <w:qFormat/>
    <w:uiPriority w:val="99"/>
    <w:pPr>
      <w:ind w:left="3260" w:hanging="1134"/>
    </w:pPr>
    <w:rPr>
      <w:rFonts w:ascii="Times New Roman" w:hAnsi="Times New Roman" w:cs="Times New Roman"/>
    </w:rPr>
  </w:style>
  <w:style w:type="paragraph" w:customStyle="1" w:styleId="208">
    <w:name w:val="列项——"/>
    <w:qFormat/>
    <w:uiPriority w:val="99"/>
    <w:pPr>
      <w:widowControl w:val="0"/>
      <w:numPr>
        <w:ilvl w:val="0"/>
        <w:numId w:val="4"/>
      </w:numPr>
      <w:tabs>
        <w:tab w:val="left" w:pos="360"/>
      </w:tabs>
      <w:jc w:val="both"/>
    </w:pPr>
    <w:rPr>
      <w:rFonts w:ascii="宋体" w:hAnsi="Times New Roman" w:eastAsia="宋体" w:cs="宋体"/>
      <w:sz w:val="21"/>
      <w:szCs w:val="21"/>
      <w:lang w:val="en-US" w:eastAsia="zh-CN" w:bidi="ar-SA"/>
    </w:rPr>
  </w:style>
  <w:style w:type="paragraph" w:customStyle="1" w:styleId="209">
    <w:name w:val="列项·"/>
    <w:qFormat/>
    <w:uiPriority w:val="99"/>
    <w:pPr>
      <w:tabs>
        <w:tab w:val="left" w:pos="360"/>
        <w:tab w:val="left" w:pos="840"/>
      </w:tabs>
      <w:jc w:val="both"/>
    </w:pPr>
    <w:rPr>
      <w:rFonts w:ascii="宋体" w:hAnsi="Times New Roman" w:eastAsia="宋体" w:cs="宋体"/>
      <w:sz w:val="21"/>
      <w:szCs w:val="21"/>
      <w:lang w:val="en-US" w:eastAsia="zh-CN" w:bidi="ar-SA"/>
    </w:rPr>
  </w:style>
  <w:style w:type="paragraph" w:customStyle="1" w:styleId="210">
    <w:name w:val="样式 标题 2 + Times New Roman 四号 非加粗 段前: 5 磅 段后: 0 磅 行距: 固定值 20..."/>
    <w:basedOn w:val="2"/>
    <w:qFormat/>
    <w:uiPriority w:val="99"/>
    <w:pPr>
      <w:numPr>
        <w:ilvl w:val="0"/>
        <w:numId w:val="0"/>
      </w:numPr>
      <w:spacing w:before="100" w:line="400" w:lineRule="exact"/>
    </w:pPr>
    <w:rPr>
      <w:rFonts w:ascii="Times New Roman" w:hAnsi="Times New Roman" w:eastAsia="黑体" w:cs="Times New Roman"/>
      <w:b w:val="0"/>
      <w:bCs w:val="0"/>
    </w:rPr>
  </w:style>
  <w:style w:type="paragraph" w:customStyle="1" w:styleId="211">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12">
    <w:name w:val="标题 2（网御星云）"/>
    <w:basedOn w:val="2"/>
    <w:next w:val="1"/>
    <w:qFormat/>
    <w:uiPriority w:val="99"/>
    <w:pPr>
      <w:numPr>
        <w:ilvl w:val="0"/>
        <w:numId w:val="0"/>
      </w:numPr>
      <w:spacing w:before="260" w:after="260" w:line="413" w:lineRule="auto"/>
      <w:ind w:left="794" w:hanging="794"/>
      <w:jc w:val="left"/>
    </w:pPr>
    <w:rPr>
      <w:rFonts w:eastAsia="黑体"/>
      <w:sz w:val="32"/>
      <w:szCs w:val="32"/>
    </w:rPr>
  </w:style>
  <w:style w:type="paragraph" w:customStyle="1" w:styleId="213">
    <w:name w:val="表内"/>
    <w:basedOn w:val="1"/>
    <w:qFormat/>
    <w:uiPriority w:val="0"/>
    <w:pPr>
      <w:spacing w:line="300" w:lineRule="auto"/>
    </w:pPr>
    <w:rPr>
      <w:rFonts w:ascii="Times New Roman" w:hAnsi="Times New Roman" w:cs="Times New Roman"/>
      <w:color w:val="000000"/>
      <w:kern w:val="0"/>
      <w:lang w:eastAsia="zh-TW"/>
    </w:rPr>
  </w:style>
  <w:style w:type="paragraph" w:customStyle="1" w:styleId="214">
    <w:name w:val="列出段落3"/>
    <w:basedOn w:val="1"/>
    <w:unhideWhenUsed/>
    <w:qFormat/>
    <w:uiPriority w:val="99"/>
    <w:pPr>
      <w:ind w:firstLine="420" w:firstLineChars="200"/>
    </w:pPr>
  </w:style>
  <w:style w:type="character" w:customStyle="1" w:styleId="215">
    <w:name w:val="Unresolved Mention"/>
    <w:basedOn w:val="46"/>
    <w:unhideWhenUsed/>
    <w:qFormat/>
    <w:uiPriority w:val="99"/>
    <w:rPr>
      <w:color w:val="808080"/>
      <w:shd w:val="clear" w:color="auto" w:fill="E6E6E6"/>
    </w:rPr>
  </w:style>
  <w:style w:type="paragraph" w:customStyle="1" w:styleId="216">
    <w:name w:val="样式 标题 1章节h1L1bocH1标书1第*部分第A章Level 1 Topic HeadingH11H..."/>
    <w:basedOn w:val="3"/>
    <w:next w:val="127"/>
    <w:qFormat/>
    <w:uiPriority w:val="0"/>
    <w:pPr>
      <w:tabs>
        <w:tab w:val="left" w:pos="960"/>
        <w:tab w:val="left" w:pos="1181"/>
      </w:tabs>
      <w:spacing w:before="60" w:after="60" w:line="360" w:lineRule="auto"/>
      <w:ind w:left="1181" w:hanging="420"/>
    </w:pPr>
    <w:rPr>
      <w:bCs w:val="0"/>
      <w:sz w:val="44"/>
      <w:szCs w:val="20"/>
    </w:rPr>
  </w:style>
  <w:style w:type="paragraph" w:customStyle="1" w:styleId="217">
    <w:name w:val="Table Paragraph"/>
    <w:basedOn w:val="1"/>
    <w:qFormat/>
    <w:uiPriority w:val="1"/>
    <w:rPr>
      <w:rFonts w:ascii="Arial Unicode MS" w:hAnsi="Arial Unicode MS" w:eastAsia="Arial Unicode MS" w:cs="Arial Unicode MS"/>
      <w:lang w:val="zh-CN" w:bidi="zh-CN"/>
    </w:rPr>
  </w:style>
  <w:style w:type="paragraph" w:customStyle="1" w:styleId="218">
    <w:name w:val="修订1"/>
    <w:hidden/>
    <w:semiHidden/>
    <w:unhideWhenUsed/>
    <w:qFormat/>
    <w:uiPriority w:val="99"/>
    <w:rPr>
      <w:rFonts w:ascii="Calibri" w:hAnsi="Calibri" w:eastAsia="宋体" w:cs="Calibri"/>
      <w:kern w:val="2"/>
      <w:sz w:val="21"/>
      <w:szCs w:val="21"/>
      <w:lang w:val="en-US" w:eastAsia="zh-CN" w:bidi="ar-SA"/>
    </w:rPr>
  </w:style>
  <w:style w:type="character" w:customStyle="1" w:styleId="219">
    <w:name w:val="*正文 Char"/>
    <w:link w:val="220"/>
    <w:locked/>
    <w:uiPriority w:val="0"/>
    <w:rPr>
      <w:rFonts w:ascii="仿宋_GB2312" w:hAnsi="宋体" w:eastAsia="仿宋"/>
      <w:color w:val="000000"/>
      <w:sz w:val="28"/>
      <w:szCs w:val="28"/>
    </w:rPr>
  </w:style>
  <w:style w:type="paragraph" w:customStyle="1" w:styleId="220">
    <w:name w:val="*正文"/>
    <w:basedOn w:val="1"/>
    <w:link w:val="219"/>
    <w:qFormat/>
    <w:uiPriority w:val="0"/>
    <w:pPr>
      <w:widowControl/>
      <w:spacing w:line="360" w:lineRule="auto"/>
      <w:ind w:firstLine="200" w:firstLineChars="200"/>
    </w:pPr>
    <w:rPr>
      <w:rFonts w:ascii="仿宋_GB2312" w:hAnsi="宋体" w:eastAsia="仿宋" w:cs="Times New Roman"/>
      <w:color w:val="000000"/>
      <w:kern w:val="0"/>
      <w:sz w:val="28"/>
      <w:szCs w:val="28"/>
    </w:rPr>
  </w:style>
  <w:style w:type="paragraph" w:styleId="221">
    <w:name w:val="List Paragraph"/>
    <w:basedOn w:val="1"/>
    <w:qFormat/>
    <w:uiPriority w:val="1"/>
    <w:pPr>
      <w:ind w:firstLine="420" w:firstLineChars="200"/>
    </w:pPr>
    <w:rPr>
      <w:rFonts w:ascii="Times New Roman" w:hAnsi="Times New Roman" w:cs="Times New Roman"/>
      <w:szCs w:val="24"/>
    </w:rPr>
  </w:style>
  <w:style w:type="paragraph" w:customStyle="1" w:styleId="222">
    <w:name w:val="my正文"/>
    <w:basedOn w:val="1"/>
    <w:link w:val="223"/>
    <w:qFormat/>
    <w:uiPriority w:val="0"/>
    <w:pPr>
      <w:spacing w:line="360" w:lineRule="auto"/>
      <w:ind w:firstLine="480" w:firstLineChars="200"/>
    </w:pPr>
    <w:rPr>
      <w:rFonts w:ascii="Times New Roman" w:hAnsi="Times New Roman" w:cs="Times New Roman"/>
      <w:sz w:val="24"/>
      <w:szCs w:val="24"/>
    </w:rPr>
  </w:style>
  <w:style w:type="character" w:customStyle="1" w:styleId="223">
    <w:name w:val="my正文 Char"/>
    <w:link w:val="222"/>
    <w:uiPriority w:val="0"/>
    <w:rPr>
      <w:kern w:val="2"/>
      <w:sz w:val="24"/>
      <w:szCs w:val="24"/>
    </w:rPr>
  </w:style>
  <w:style w:type="paragraph" w:customStyle="1" w:styleId="224">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styleId="225">
    <w:name w:val="No Spacing"/>
    <w:link w:val="226"/>
    <w:qFormat/>
    <w:uiPriority w:val="1"/>
    <w:rPr>
      <w:rFonts w:asciiTheme="minorHAnsi" w:hAnsiTheme="minorHAnsi" w:eastAsiaTheme="minorEastAsia" w:cstheme="minorBidi"/>
      <w:sz w:val="22"/>
      <w:szCs w:val="22"/>
      <w:lang w:val="en-US" w:eastAsia="zh-CN" w:bidi="ar-SA"/>
    </w:rPr>
  </w:style>
  <w:style w:type="character" w:customStyle="1" w:styleId="226">
    <w:name w:val="无间隔 Char"/>
    <w:basedOn w:val="46"/>
    <w:link w:val="225"/>
    <w:uiPriority w:val="1"/>
    <w:rPr>
      <w:rFonts w:asciiTheme="minorHAnsi" w:hAnsiTheme="minorHAnsi" w:eastAsiaTheme="minorEastAsia" w:cstheme="minorBidi"/>
      <w:sz w:val="22"/>
      <w:szCs w:val="22"/>
    </w:rPr>
  </w:style>
  <w:style w:type="character" w:customStyle="1" w:styleId="227">
    <w:name w:val="fontstyle01"/>
    <w:basedOn w:val="46"/>
    <w:uiPriority w:val="0"/>
    <w:rPr>
      <w:rFonts w:hint="eastAsia" w:ascii="宋体" w:hAnsi="宋体" w:eastAsia="宋体"/>
      <w:color w:val="000000"/>
      <w:sz w:val="24"/>
      <w:szCs w:val="24"/>
    </w:rPr>
  </w:style>
  <w:style w:type="character" w:customStyle="1" w:styleId="228">
    <w:name w:val="bord"/>
    <w:basedOn w:val="4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3" textRotate="1"/>
    <customShpInfo spid="_x0000_s1034" textRotate="1"/>
    <customShpInfo spid="_x0000_s1035" textRotate="1"/>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37BFBF-7662-4110-B797-4ACA129099C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4799</Words>
  <Characters>27355</Characters>
  <Lines>227</Lines>
  <Paragraphs>64</Paragraphs>
  <TotalTime>31</TotalTime>
  <ScaleCrop>false</ScaleCrop>
  <LinksUpToDate>false</LinksUpToDate>
  <CharactersWithSpaces>32090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2018-12-18T09:35:00Z</dcterms:created>
  <dc:creator>微软用户</dc:creator>
  <cp:lastModifiedBy>仁亮</cp:lastModifiedBy>
  <cp:lastPrinted>2019-06-06T08:43:00Z</cp:lastPrinted>
  <dcterms:modified xsi:type="dcterms:W3CDTF">2019-06-25T08:45:46Z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