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6"/>
          <w:szCs w:val="96"/>
          <w:lang w:val="en-US" w:eastAsia="zh-CN"/>
        </w:rPr>
      </w:pPr>
      <w:r>
        <w:rPr>
          <w:rFonts w:hint="eastAsia"/>
          <w:b/>
          <w:bCs/>
          <w:sz w:val="56"/>
          <w:szCs w:val="96"/>
          <w:lang w:val="en-US" w:eastAsia="zh-CN"/>
        </w:rPr>
        <w:t>采购需求</w:t>
      </w: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tbl>
      <w:tblPr>
        <w:tblStyle w:val="3"/>
        <w:tblW w:w="9760" w:type="dxa"/>
        <w:tblInd w:w="-2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834"/>
        <w:gridCol w:w="1835"/>
        <w:gridCol w:w="1518"/>
        <w:gridCol w:w="1518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0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669" w:type="dxa"/>
            <w:gridSpan w:val="2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采购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eastAsia="zh-CN"/>
              </w:rPr>
              <w:t>品目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518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518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2295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7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3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橡胶生产销售管理服务平台及终端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采集终端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208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套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电子秤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208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台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拼接屏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台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6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橡胶生产销售管理服务平台开发及系统集成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套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E1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木易木又</cp:lastModifiedBy>
  <dcterms:modified xsi:type="dcterms:W3CDTF">2019-04-25T08:30:56Z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