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3" w:rsidRDefault="004A0BBA">
      <w:pPr>
        <w:pStyle w:val="2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Toc6056605"/>
      <w:r>
        <w:rPr>
          <w:rFonts w:asciiTheme="minorEastAsia" w:eastAsiaTheme="minorEastAsia" w:hAnsiTheme="minorEastAsia" w:hint="eastAsia"/>
          <w:color w:val="000000" w:themeColor="text1"/>
        </w:rPr>
        <w:t>附件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：常规教室明细表</w:t>
      </w:r>
      <w:bookmarkEnd w:id="0"/>
    </w:p>
    <w:tbl>
      <w:tblPr>
        <w:tblW w:w="14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222"/>
        <w:gridCol w:w="1896"/>
        <w:gridCol w:w="5682"/>
        <w:gridCol w:w="740"/>
        <w:gridCol w:w="733"/>
        <w:gridCol w:w="1203"/>
        <w:gridCol w:w="1416"/>
        <w:gridCol w:w="752"/>
      </w:tblGrid>
      <w:tr w:rsidR="00E75763">
        <w:trPr>
          <w:trHeight w:val="48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品名名称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品牌型号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规格及技术参数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单项总价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75763">
        <w:trPr>
          <w:trHeight w:val="48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多媒体设备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配置清单如下：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75763">
        <w:trPr>
          <w:trHeight w:val="480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1--2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多媒体控制电脑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jc w:val="both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惠普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HP 288 Pro G3 MT Business PC-H2010000059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CPU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Intel Core G4400 3.3G 3M 2133 2C CPU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、主板：英特尔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H110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芯片组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、内存：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4GB DDR4-2133 SDRAM 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DIMM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插槽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最大支持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32GB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、硬盘：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500GB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自带相当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NCQ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SmartIV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技术，提升读盘速度，有效硬盘保护数据，减震橡胶垫圈设计，延长硬盘寿命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支持与固态硬盘混插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、显卡：集成高清显卡；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、网卡：集成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10/100/1000M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自适应网卡；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I/O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端口及扩展槽：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PCI Express x1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PCIExpress x16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PCI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插槽；前部：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USB3.0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个耳机和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个麦克风接口；后部：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USB3.0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串口，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串口（可选），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并口，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DVI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1VGA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1RJ-45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以太网，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个音频输入，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个麦克风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、键盘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鼠标：原厂标配。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、音频：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DTS Sound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音频管理技术，带有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Realtek ALC221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编解码器的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HD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音频。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、机箱及电源要求：立式机箱，可选能效高达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85%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180W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300W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电源，主动式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PFC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，内置扬声器。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、▲产品具有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3C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认证、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MTBF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（平均无故障运行时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间）≥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万小时国家电子计算机质量监督检验中心出具认证文件（复印件加盖厂家公章）。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、▲显示器：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(18.5"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宽屏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16:9 LED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背光液晶显示器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,VGA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接口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,200nits,600:1,5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百万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:1(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动态对比度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), 5ms,1600x900,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可视角度为水平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垂直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，显示器具有优化寿命功能，提供国家权威机构证明文件（复印件加盖厂家公章）。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、▲噪音要求：噪声声功率级：不能高于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1.76Bel(A),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噪声声压级：不高于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10.3dB(A)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，提供国家级检验证明文件（复印件加盖厂家公章）。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、出厂自带网络同传：配置网络同传，支持从网络安装保护系统和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OS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，同一硬盘上支持同时安装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个操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作系统，在同一硬盘上同时支持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个分区，备份还原所有操作系统，局域网传输速度千兆：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700MB-4GB/Min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百兆：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400-650MB/Min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，支持多种情况的断点续传功，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、计算机名自动分配，网络故障定位，可以从底层控制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盘和光盘的使用，防止病毒的带入。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、保修期限：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3/3/3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保修，原厂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小时免费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800/400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技术电话支持。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、▲所投产品通过高温试验，提供国家认可委员会认可的第三方检测机构出具的检验报告（复印件加盖厂家公章）；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、所投产品通过低温试验，提供国家认可委员会认可的第三方检测机构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18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、所投产品通过冲击试验，提供国家认可委员会认可的第三方检测机构出具的检验报告（复印件加盖厂家公章）；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、所投产品通过颠震试验，提供国家认可委员会认可的第三方检测机构出具的检验报告（复印件加盖厂家公章）；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20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、所投产品通过振动试验，提供国家认可委员会认可的第三方检测机构出具的检验报告（复印件加盖厂家公章）；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21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、所投产品通过湿热试验，提供国家认可委员会认可的第三方检测机构出具的检验报告（复印件加盖厂家公章）；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22.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▲为确保售后服务及供货渠道的合法性，提供生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产厂家针对本项目的授权书及售后服务承诺函原件并加盖公章。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23.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★所投产品是中国政府采购网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(http://www.ccgp.gov.cn)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、中华人民共和国财政部网站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(http://www.mof.gov.cn)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、国家发展改革委网站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(http://www.ndrc.gov.cn)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、中华人民共和国环境保护部网站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(http://www.zhb.gov.cn)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等向社会公布的最新一期节能环保绿色产品政府采购清单内产品，且产品型号与最新一期节能环保绿色产品政府采购清单内完全一致（提供与最新一期节能环保绿色产品政府采购清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单内产品型号一致的截图及与该产品对应的有效的“节字标志认证证书”复印件加盖厂家公章）；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3990.00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119700.00 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E75763" w:rsidRDefault="004A0BBA">
      <w:pPr>
        <w:pStyle w:val="2"/>
        <w:rPr>
          <w:rFonts w:asciiTheme="minorEastAsia" w:eastAsiaTheme="minorEastAsia" w:hAnsiTheme="minorEastAsia"/>
          <w:color w:val="000000" w:themeColor="text1"/>
        </w:rPr>
      </w:pPr>
      <w:bookmarkStart w:id="1" w:name="_Toc6056620"/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附件</w:t>
      </w:r>
      <w:r>
        <w:rPr>
          <w:rFonts w:asciiTheme="minorEastAsia" w:eastAsiaTheme="minorEastAsia" w:hAnsiTheme="minorEastAsia" w:hint="eastAsia"/>
          <w:color w:val="000000" w:themeColor="text1"/>
        </w:rPr>
        <w:t>14</w:t>
      </w:r>
      <w:r>
        <w:rPr>
          <w:rFonts w:asciiTheme="minorEastAsia" w:eastAsiaTheme="minorEastAsia" w:hAnsiTheme="minorEastAsia" w:hint="eastAsia"/>
          <w:color w:val="000000" w:themeColor="text1"/>
        </w:rPr>
        <w:t>：学生宿舍明细表</w:t>
      </w:r>
      <w:bookmarkEnd w:id="1"/>
    </w:p>
    <w:p w:rsidR="00E75763" w:rsidRDefault="004A0BBA">
      <w:pPr>
        <w:tabs>
          <w:tab w:val="left" w:pos="900"/>
        </w:tabs>
        <w:snapToGrid w:val="0"/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项目名称：三亚寰岛实验小学校园设施设备</w:t>
      </w:r>
    </w:p>
    <w:p w:rsidR="00E75763" w:rsidRDefault="004A0BBA">
      <w:pPr>
        <w:tabs>
          <w:tab w:val="left" w:pos="900"/>
        </w:tabs>
        <w:snapToGrid w:val="0"/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项目编号：</w:t>
      </w:r>
      <w:r>
        <w:rPr>
          <w:rFonts w:asciiTheme="minorEastAsia" w:eastAsiaTheme="minorEastAsia" w:hAnsiTheme="minorEastAsia"/>
          <w:color w:val="000000" w:themeColor="text1"/>
          <w:sz w:val="24"/>
        </w:rPr>
        <w:t>HNMY2019-019</w:t>
      </w:r>
    </w:p>
    <w:tbl>
      <w:tblPr>
        <w:tblW w:w="14749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843"/>
        <w:gridCol w:w="6192"/>
        <w:gridCol w:w="765"/>
        <w:gridCol w:w="750"/>
        <w:gridCol w:w="1098"/>
        <w:gridCol w:w="1296"/>
        <w:gridCol w:w="820"/>
      </w:tblGrid>
      <w:tr w:rsidR="00E75763">
        <w:trPr>
          <w:trHeight w:val="4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品牌型号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规格及技术参数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单项总价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75763">
        <w:trPr>
          <w:trHeight w:val="81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空调大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格力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KF-26GW/</w:t>
            </w:r>
          </w:p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(26392)NhAa-3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，挂机，单冷、定频，产品：通过节能、环保认证，能效等级：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2940.00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176400.00 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E75763" w:rsidRDefault="00E75763">
      <w:pPr>
        <w:spacing w:line="500" w:lineRule="exact"/>
        <w:ind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E75763" w:rsidRDefault="004A0BBA">
      <w:pPr>
        <w:pStyle w:val="2"/>
        <w:rPr>
          <w:rFonts w:asciiTheme="minorEastAsia" w:eastAsiaTheme="minorEastAsia" w:hAnsiTheme="minorEastAsia"/>
          <w:color w:val="000000" w:themeColor="text1"/>
        </w:rPr>
      </w:pPr>
      <w:bookmarkStart w:id="2" w:name="_Toc6056621"/>
      <w:r>
        <w:rPr>
          <w:rFonts w:asciiTheme="minorEastAsia" w:eastAsiaTheme="minorEastAsia" w:hAnsiTheme="minorEastAsia" w:hint="eastAsia"/>
          <w:color w:val="000000" w:themeColor="text1"/>
        </w:rPr>
        <w:t>附件</w:t>
      </w:r>
      <w:r>
        <w:rPr>
          <w:rFonts w:asciiTheme="minorEastAsia" w:eastAsiaTheme="minorEastAsia" w:hAnsiTheme="minorEastAsia" w:hint="eastAsia"/>
          <w:color w:val="000000" w:themeColor="text1"/>
        </w:rPr>
        <w:t>15</w:t>
      </w:r>
      <w:r>
        <w:rPr>
          <w:rFonts w:asciiTheme="minorEastAsia" w:eastAsiaTheme="minorEastAsia" w:hAnsiTheme="minorEastAsia" w:hint="eastAsia"/>
          <w:color w:val="000000" w:themeColor="text1"/>
        </w:rPr>
        <w:t>：教师公寓明细表</w:t>
      </w:r>
      <w:bookmarkEnd w:id="2"/>
    </w:p>
    <w:p w:rsidR="00E75763" w:rsidRDefault="004A0BBA">
      <w:pPr>
        <w:tabs>
          <w:tab w:val="left" w:pos="900"/>
        </w:tabs>
        <w:snapToGrid w:val="0"/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项目名称：三亚寰岛实验小学校园设施设备</w:t>
      </w:r>
    </w:p>
    <w:p w:rsidR="00E75763" w:rsidRDefault="004A0BBA">
      <w:pPr>
        <w:tabs>
          <w:tab w:val="left" w:pos="900"/>
        </w:tabs>
        <w:snapToGrid w:val="0"/>
        <w:spacing w:line="360" w:lineRule="auto"/>
        <w:rPr>
          <w:rFonts w:asciiTheme="minorEastAsia" w:eastAsiaTheme="minorEastAsia" w:hAnsiTheme="minorEastAsia" w:cs="宋体"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项目编号：</w:t>
      </w:r>
      <w:r>
        <w:rPr>
          <w:rFonts w:asciiTheme="minorEastAsia" w:eastAsiaTheme="minorEastAsia" w:hAnsiTheme="minorEastAsia"/>
          <w:color w:val="000000" w:themeColor="text1"/>
          <w:sz w:val="24"/>
        </w:rPr>
        <w:t>HNMY2019-019</w:t>
      </w:r>
    </w:p>
    <w:tbl>
      <w:tblPr>
        <w:tblW w:w="14846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806"/>
        <w:gridCol w:w="1776"/>
        <w:gridCol w:w="6041"/>
        <w:gridCol w:w="817"/>
        <w:gridCol w:w="817"/>
        <w:gridCol w:w="1056"/>
        <w:gridCol w:w="1257"/>
        <w:gridCol w:w="757"/>
      </w:tblGrid>
      <w:tr w:rsidR="00E75763">
        <w:trPr>
          <w:trHeight w:val="4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品名名称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品牌型号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规格及技术参数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单项总价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75763">
        <w:trPr>
          <w:trHeight w:val="4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空调大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1P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格力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KF-26GW/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(26392)NhAa-3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，挂机，单冷、定频，产品：通过节能、环保认证，能效等级：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2940.00 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147000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75763">
        <w:trPr>
          <w:trHeight w:val="48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041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小计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521050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E75763" w:rsidRDefault="004A0BBA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E75763" w:rsidRDefault="00E75763">
      <w:pPr>
        <w:pStyle w:val="2"/>
        <w:rPr>
          <w:rFonts w:asciiTheme="minorEastAsia" w:eastAsiaTheme="minorEastAsia" w:hAnsiTheme="minorEastAsia"/>
          <w:color w:val="000000" w:themeColor="text1"/>
        </w:rPr>
      </w:pPr>
      <w:bookmarkStart w:id="3" w:name="_Toc6056622"/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  <w:bookmarkStart w:id="4" w:name="_GoBack"/>
      <w:bookmarkStart w:id="5" w:name="_Toc6056626"/>
      <w:bookmarkEnd w:id="3"/>
      <w:bookmarkEnd w:id="4"/>
    </w:p>
    <w:p w:rsidR="00E75763" w:rsidRDefault="004A0BBA">
      <w:pPr>
        <w:pStyle w:val="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附件</w:t>
      </w:r>
      <w:r>
        <w:rPr>
          <w:rFonts w:asciiTheme="minorEastAsia" w:eastAsiaTheme="minorEastAsia" w:hAnsiTheme="minorEastAsia" w:hint="eastAsia"/>
          <w:color w:val="000000" w:themeColor="text1"/>
        </w:rPr>
        <w:t>20</w:t>
      </w:r>
      <w:r>
        <w:rPr>
          <w:rFonts w:asciiTheme="minorEastAsia" w:eastAsiaTheme="minorEastAsia" w:hAnsiTheme="minorEastAsia" w:hint="eastAsia"/>
          <w:color w:val="000000" w:themeColor="text1"/>
        </w:rPr>
        <w:t>：校园广播系统明细表</w:t>
      </w:r>
      <w:bookmarkEnd w:id="5"/>
    </w:p>
    <w:tbl>
      <w:tblPr>
        <w:tblW w:w="1492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896"/>
        <w:gridCol w:w="1416"/>
        <w:gridCol w:w="6276"/>
        <w:gridCol w:w="746"/>
        <w:gridCol w:w="736"/>
        <w:gridCol w:w="1176"/>
        <w:gridCol w:w="1296"/>
        <w:gridCol w:w="717"/>
      </w:tblGrid>
      <w:tr w:rsidR="00E75763">
        <w:trPr>
          <w:trHeight w:val="48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品名名称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品牌型号　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规格及技术参数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单项总价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75763">
        <w:trPr>
          <w:trHeight w:val="480"/>
          <w:jc w:val="center"/>
        </w:trPr>
        <w:tc>
          <w:tcPr>
            <w:tcW w:w="2566" w:type="dxa"/>
            <w:gridSpan w:val="2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 w:val="24"/>
                <w:szCs w:val="24"/>
              </w:rPr>
              <w:t>主控机房设备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276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75763">
        <w:trPr>
          <w:trHeight w:val="480"/>
          <w:jc w:val="center"/>
        </w:trPr>
        <w:tc>
          <w:tcPr>
            <w:tcW w:w="670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前置放大器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佳比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Jusbe GE-7003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功能特点：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寸标准机柜式设计，人性化的设计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10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路输入（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路话筒，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路线路，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路紧急输入）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话筒（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MIC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）输入通道和线路（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AUX)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输入通道均可独立调校音量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设有高音（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TREBLE)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和低音（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BASS)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独立调节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开关机缓冲，延时输出保护功能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具有三级优先权设计：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MIC1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为最高级，紧急音频信号（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EMC)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为第二级，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MIC2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和线路（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AUX1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AUX2AUX3)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为第三级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紧急音频信号输入无音量调节，自动默认至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30dB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技术参数：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输入：话筒输入（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MIC)600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5mV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不平衡，紧急输入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(EMC)10k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330mV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不平衡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线路输入（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AUX)10k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330mV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不平衡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输出：线路输出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1.0V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频率响应：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20Hz-20kHz(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3dB)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功耗：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30W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电源：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AC220-240V 50/60Hz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9980.00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9980.00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75763">
        <w:trPr>
          <w:trHeight w:val="480"/>
          <w:jc w:val="center"/>
        </w:trPr>
        <w:tc>
          <w:tcPr>
            <w:tcW w:w="670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网络消防矩阵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佳比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Jusbe GH-6003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产品概述：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采集消防中心消防报警信号，实现与消防系统进行联动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报警功能；基于网络的传输控制形式，直接接入网络中，无需其它转换设备，能实现消防邻层、全区报警功能。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功能特点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标准机柜式设计（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2U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），黑色氧化铝拉丝面板，人性化的抽手，考究的工艺，尽显高档气质；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  <w:t>32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路消防报警采集接口，可任意扩展路数；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自动发送报警信息到服务器，执行播放任务，可任意设置进行邻层报警、全区报警；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报警语音文件预存储在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网络广播服务器中，无需再配置报警语音发生器，能对报警音乐任意设定，报警矩阵具有地址拨码功能，一套系统中可以任意添加多台报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警矩阵；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各路具有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LED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报警指示；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具有两种报警采集触发方式，高、低电平方式以供用户选择；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标配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10/100M  RJ45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网络交换机接口，接口无输入输出之分，直接接入网络中，能接受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广播控制软件的控制；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有以太网口地方即可接入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支持跨网段和路由。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待机功率小于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2W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，满足国家环保节能认证的标准；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一键本机全区报警功能；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支持协议：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TCP/IP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UPP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IGMP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（组播）；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9975.00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75763" w:rsidRDefault="004A0BB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9975.00 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E75763" w:rsidRDefault="004A0BBA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  <w:bookmarkStart w:id="6" w:name="_Toc6056628"/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bookmarkEnd w:id="6"/>
    <w:p w:rsidR="00E75763" w:rsidRDefault="00E75763">
      <w:pPr>
        <w:rPr>
          <w:rFonts w:asciiTheme="minorEastAsia" w:eastAsiaTheme="minorEastAsia" w:hAnsiTheme="minorEastAsia"/>
          <w:color w:val="000000" w:themeColor="text1"/>
        </w:rPr>
      </w:pPr>
    </w:p>
    <w:sectPr w:rsidR="00E75763" w:rsidSect="00E7576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BA" w:rsidRDefault="004A0BBA" w:rsidP="00E75763">
      <w:r>
        <w:separator/>
      </w:r>
    </w:p>
  </w:endnote>
  <w:endnote w:type="continuationSeparator" w:id="1">
    <w:p w:rsidR="004A0BBA" w:rsidRDefault="004A0BBA" w:rsidP="00E7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34650085"/>
    </w:sdtPr>
    <w:sdtContent>
      <w:p w:rsidR="00E75763" w:rsidRDefault="004A0BBA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CN"/>
          </w:rPr>
          <w:t xml:space="preserve">~ </w:t>
        </w:r>
        <w:r w:rsidR="00E75763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 w:rsidR="00E75763">
          <w:rPr>
            <w:sz w:val="24"/>
            <w:szCs w:val="24"/>
          </w:rPr>
          <w:fldChar w:fldCharType="separate"/>
        </w:r>
        <w:r w:rsidR="005237B9" w:rsidRPr="005237B9">
          <w:rPr>
            <w:rFonts w:asciiTheme="majorHAnsi" w:hAnsiTheme="majorHAnsi"/>
            <w:noProof/>
            <w:sz w:val="24"/>
            <w:szCs w:val="24"/>
            <w:lang w:val="zh-CN"/>
          </w:rPr>
          <w:t>6</w:t>
        </w:r>
        <w:r w:rsidR="00E75763"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8"/>
            <w:szCs w:val="28"/>
            <w:lang w:val="zh-CN"/>
          </w:rPr>
          <w:t xml:space="preserve"> ~</w:t>
        </w:r>
      </w:p>
    </w:sdtContent>
  </w:sdt>
  <w:p w:rsidR="00E75763" w:rsidRDefault="00E757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BA" w:rsidRDefault="004A0BBA" w:rsidP="00E75763">
      <w:r>
        <w:separator/>
      </w:r>
    </w:p>
  </w:footnote>
  <w:footnote w:type="continuationSeparator" w:id="1">
    <w:p w:rsidR="004A0BBA" w:rsidRDefault="004A0BBA" w:rsidP="00E7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63" w:rsidRDefault="004A0BBA">
    <w:pPr>
      <w:pStyle w:val="a8"/>
      <w:jc w:val="left"/>
    </w:pPr>
    <w:r>
      <w:rPr>
        <w:rFonts w:hint="eastAsia"/>
      </w:rPr>
      <w:t xml:space="preserve">             </w:t>
    </w:r>
    <w:r>
      <w:rPr>
        <w:rFonts w:hint="eastAsia"/>
      </w:rPr>
      <w:t>三亚寰岛实验小学校园设施设备</w:t>
    </w:r>
    <w:r>
      <w:rPr>
        <w:rFonts w:hint="eastAsia"/>
      </w:rPr>
      <w:t>(</w:t>
    </w:r>
    <w:r>
      <w:rPr>
        <w:rFonts w:hint="eastAsia"/>
      </w:rPr>
      <w:t>项目编号：</w:t>
    </w:r>
    <w:r>
      <w:rPr>
        <w:rFonts w:hint="eastAsia"/>
      </w:rPr>
      <w:t>HNMY2019-019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F2D"/>
    <w:rsid w:val="000059CE"/>
    <w:rsid w:val="00013A3B"/>
    <w:rsid w:val="00014F8D"/>
    <w:rsid w:val="000173AB"/>
    <w:rsid w:val="00023E89"/>
    <w:rsid w:val="00036364"/>
    <w:rsid w:val="00040A64"/>
    <w:rsid w:val="00040C93"/>
    <w:rsid w:val="00051CA0"/>
    <w:rsid w:val="00062721"/>
    <w:rsid w:val="00067709"/>
    <w:rsid w:val="00084559"/>
    <w:rsid w:val="00094F1D"/>
    <w:rsid w:val="00095395"/>
    <w:rsid w:val="000A0A4C"/>
    <w:rsid w:val="000A668D"/>
    <w:rsid w:val="000B02A6"/>
    <w:rsid w:val="000B703A"/>
    <w:rsid w:val="000D0A29"/>
    <w:rsid w:val="000D6077"/>
    <w:rsid w:val="000E4723"/>
    <w:rsid w:val="000F2924"/>
    <w:rsid w:val="000F6479"/>
    <w:rsid w:val="0010002C"/>
    <w:rsid w:val="001101F2"/>
    <w:rsid w:val="00117B53"/>
    <w:rsid w:val="00132626"/>
    <w:rsid w:val="00136C75"/>
    <w:rsid w:val="00141160"/>
    <w:rsid w:val="001556BB"/>
    <w:rsid w:val="00160AFC"/>
    <w:rsid w:val="00163BAC"/>
    <w:rsid w:val="00181330"/>
    <w:rsid w:val="001834E3"/>
    <w:rsid w:val="00184AE5"/>
    <w:rsid w:val="00197446"/>
    <w:rsid w:val="001A56FE"/>
    <w:rsid w:val="001B012E"/>
    <w:rsid w:val="001C6096"/>
    <w:rsid w:val="001D09D7"/>
    <w:rsid w:val="001E58A4"/>
    <w:rsid w:val="001F2962"/>
    <w:rsid w:val="001F50CF"/>
    <w:rsid w:val="0020371B"/>
    <w:rsid w:val="00210A80"/>
    <w:rsid w:val="002234F7"/>
    <w:rsid w:val="00234F63"/>
    <w:rsid w:val="00240802"/>
    <w:rsid w:val="002807B6"/>
    <w:rsid w:val="0028357A"/>
    <w:rsid w:val="00291C34"/>
    <w:rsid w:val="00296DA0"/>
    <w:rsid w:val="002A188A"/>
    <w:rsid w:val="002A3C4C"/>
    <w:rsid w:val="002B0A9F"/>
    <w:rsid w:val="002C73AA"/>
    <w:rsid w:val="002E12B8"/>
    <w:rsid w:val="002F0148"/>
    <w:rsid w:val="002F0EDE"/>
    <w:rsid w:val="002F45D3"/>
    <w:rsid w:val="00300FC6"/>
    <w:rsid w:val="003026DB"/>
    <w:rsid w:val="00306B3F"/>
    <w:rsid w:val="00316682"/>
    <w:rsid w:val="003212B3"/>
    <w:rsid w:val="00356B76"/>
    <w:rsid w:val="003854D9"/>
    <w:rsid w:val="003875AE"/>
    <w:rsid w:val="00394CCA"/>
    <w:rsid w:val="00395209"/>
    <w:rsid w:val="00396E0B"/>
    <w:rsid w:val="003A0953"/>
    <w:rsid w:val="003B7F49"/>
    <w:rsid w:val="003E3DB9"/>
    <w:rsid w:val="003F2074"/>
    <w:rsid w:val="004020BF"/>
    <w:rsid w:val="00406FFF"/>
    <w:rsid w:val="0042105F"/>
    <w:rsid w:val="00422F4F"/>
    <w:rsid w:val="004250D8"/>
    <w:rsid w:val="00427DD0"/>
    <w:rsid w:val="00431A8D"/>
    <w:rsid w:val="0044075E"/>
    <w:rsid w:val="00471025"/>
    <w:rsid w:val="00471DDD"/>
    <w:rsid w:val="00474BC1"/>
    <w:rsid w:val="00480649"/>
    <w:rsid w:val="00482959"/>
    <w:rsid w:val="00482B6B"/>
    <w:rsid w:val="004A0BBA"/>
    <w:rsid w:val="004A790A"/>
    <w:rsid w:val="004F67B7"/>
    <w:rsid w:val="005005A1"/>
    <w:rsid w:val="00511C3A"/>
    <w:rsid w:val="00517C45"/>
    <w:rsid w:val="005226CA"/>
    <w:rsid w:val="005237B9"/>
    <w:rsid w:val="00531DD0"/>
    <w:rsid w:val="0053235D"/>
    <w:rsid w:val="005407B9"/>
    <w:rsid w:val="00542E11"/>
    <w:rsid w:val="0054743B"/>
    <w:rsid w:val="00556EC2"/>
    <w:rsid w:val="005706AF"/>
    <w:rsid w:val="005735BE"/>
    <w:rsid w:val="0057440E"/>
    <w:rsid w:val="00574886"/>
    <w:rsid w:val="005754D0"/>
    <w:rsid w:val="005836FE"/>
    <w:rsid w:val="005A0437"/>
    <w:rsid w:val="005A0563"/>
    <w:rsid w:val="005C3B32"/>
    <w:rsid w:val="005D2E7B"/>
    <w:rsid w:val="005F502B"/>
    <w:rsid w:val="006030E9"/>
    <w:rsid w:val="00603936"/>
    <w:rsid w:val="0060726C"/>
    <w:rsid w:val="00617094"/>
    <w:rsid w:val="00627461"/>
    <w:rsid w:val="00627517"/>
    <w:rsid w:val="0064507A"/>
    <w:rsid w:val="00646EB6"/>
    <w:rsid w:val="00647A8F"/>
    <w:rsid w:val="00663549"/>
    <w:rsid w:val="00665049"/>
    <w:rsid w:val="006800E0"/>
    <w:rsid w:val="00687E6E"/>
    <w:rsid w:val="00690FFA"/>
    <w:rsid w:val="006917CE"/>
    <w:rsid w:val="006A2EA6"/>
    <w:rsid w:val="006B1BE1"/>
    <w:rsid w:val="006C11F8"/>
    <w:rsid w:val="006C361E"/>
    <w:rsid w:val="006C5F53"/>
    <w:rsid w:val="006E01B4"/>
    <w:rsid w:val="006F1AC3"/>
    <w:rsid w:val="007148FA"/>
    <w:rsid w:val="00721BBC"/>
    <w:rsid w:val="00722765"/>
    <w:rsid w:val="007373AA"/>
    <w:rsid w:val="00746BD0"/>
    <w:rsid w:val="00756BE3"/>
    <w:rsid w:val="0076207A"/>
    <w:rsid w:val="00765B34"/>
    <w:rsid w:val="00772F82"/>
    <w:rsid w:val="0077710C"/>
    <w:rsid w:val="00781C53"/>
    <w:rsid w:val="007826C5"/>
    <w:rsid w:val="007A1ADB"/>
    <w:rsid w:val="007B7527"/>
    <w:rsid w:val="007C785E"/>
    <w:rsid w:val="007D4C39"/>
    <w:rsid w:val="007E131B"/>
    <w:rsid w:val="007E15FE"/>
    <w:rsid w:val="007E5C12"/>
    <w:rsid w:val="007E6D07"/>
    <w:rsid w:val="007F3A9C"/>
    <w:rsid w:val="007F45A4"/>
    <w:rsid w:val="00802637"/>
    <w:rsid w:val="00817E2B"/>
    <w:rsid w:val="0082392C"/>
    <w:rsid w:val="00857020"/>
    <w:rsid w:val="00857565"/>
    <w:rsid w:val="008673C9"/>
    <w:rsid w:val="00872D7B"/>
    <w:rsid w:val="0088338E"/>
    <w:rsid w:val="008C2F2D"/>
    <w:rsid w:val="008D35EC"/>
    <w:rsid w:val="008D3CA9"/>
    <w:rsid w:val="008E57EA"/>
    <w:rsid w:val="008F002E"/>
    <w:rsid w:val="008F3727"/>
    <w:rsid w:val="008F77C8"/>
    <w:rsid w:val="00907C86"/>
    <w:rsid w:val="00911FCC"/>
    <w:rsid w:val="0091379A"/>
    <w:rsid w:val="00914C15"/>
    <w:rsid w:val="0093648A"/>
    <w:rsid w:val="00937A36"/>
    <w:rsid w:val="009432B0"/>
    <w:rsid w:val="00950D2D"/>
    <w:rsid w:val="00963124"/>
    <w:rsid w:val="00984849"/>
    <w:rsid w:val="00985E4B"/>
    <w:rsid w:val="0099152F"/>
    <w:rsid w:val="009A01FF"/>
    <w:rsid w:val="009A12EE"/>
    <w:rsid w:val="009B56D5"/>
    <w:rsid w:val="009C133B"/>
    <w:rsid w:val="009D5E8C"/>
    <w:rsid w:val="009E3F63"/>
    <w:rsid w:val="009F20F0"/>
    <w:rsid w:val="00A0639E"/>
    <w:rsid w:val="00A304A2"/>
    <w:rsid w:val="00A403FB"/>
    <w:rsid w:val="00A46BEB"/>
    <w:rsid w:val="00A47347"/>
    <w:rsid w:val="00A50375"/>
    <w:rsid w:val="00A54EDB"/>
    <w:rsid w:val="00A5717B"/>
    <w:rsid w:val="00A57D0C"/>
    <w:rsid w:val="00A60C3A"/>
    <w:rsid w:val="00A6537B"/>
    <w:rsid w:val="00A74890"/>
    <w:rsid w:val="00A8734B"/>
    <w:rsid w:val="00AA63C5"/>
    <w:rsid w:val="00AB047A"/>
    <w:rsid w:val="00AB32A4"/>
    <w:rsid w:val="00AD5B8A"/>
    <w:rsid w:val="00AE71DE"/>
    <w:rsid w:val="00AF15DB"/>
    <w:rsid w:val="00AF35A8"/>
    <w:rsid w:val="00B1471D"/>
    <w:rsid w:val="00B33719"/>
    <w:rsid w:val="00B361C2"/>
    <w:rsid w:val="00B41B22"/>
    <w:rsid w:val="00B46140"/>
    <w:rsid w:val="00B47D34"/>
    <w:rsid w:val="00B5141E"/>
    <w:rsid w:val="00B5624C"/>
    <w:rsid w:val="00B7275B"/>
    <w:rsid w:val="00B74410"/>
    <w:rsid w:val="00B75828"/>
    <w:rsid w:val="00B77C23"/>
    <w:rsid w:val="00B80916"/>
    <w:rsid w:val="00B94310"/>
    <w:rsid w:val="00B9519E"/>
    <w:rsid w:val="00BA2B8A"/>
    <w:rsid w:val="00BB0E88"/>
    <w:rsid w:val="00BB3DB0"/>
    <w:rsid w:val="00BC47FD"/>
    <w:rsid w:val="00BC5130"/>
    <w:rsid w:val="00BF0B86"/>
    <w:rsid w:val="00BF24F7"/>
    <w:rsid w:val="00C07920"/>
    <w:rsid w:val="00C11A70"/>
    <w:rsid w:val="00C12E02"/>
    <w:rsid w:val="00C32B53"/>
    <w:rsid w:val="00C41BDD"/>
    <w:rsid w:val="00C66E0C"/>
    <w:rsid w:val="00C67B41"/>
    <w:rsid w:val="00C7346E"/>
    <w:rsid w:val="00C92F45"/>
    <w:rsid w:val="00CA516D"/>
    <w:rsid w:val="00CB30D9"/>
    <w:rsid w:val="00CB4B2C"/>
    <w:rsid w:val="00CC7866"/>
    <w:rsid w:val="00D00496"/>
    <w:rsid w:val="00D012C9"/>
    <w:rsid w:val="00D01D76"/>
    <w:rsid w:val="00D02304"/>
    <w:rsid w:val="00D02BCA"/>
    <w:rsid w:val="00D3167E"/>
    <w:rsid w:val="00D46DD9"/>
    <w:rsid w:val="00D5133C"/>
    <w:rsid w:val="00D55E4E"/>
    <w:rsid w:val="00D70B23"/>
    <w:rsid w:val="00D837FD"/>
    <w:rsid w:val="00DA2017"/>
    <w:rsid w:val="00DB5988"/>
    <w:rsid w:val="00DB5B9D"/>
    <w:rsid w:val="00DC0A9B"/>
    <w:rsid w:val="00DD55AF"/>
    <w:rsid w:val="00DF2FDD"/>
    <w:rsid w:val="00E07C43"/>
    <w:rsid w:val="00E373B6"/>
    <w:rsid w:val="00E44883"/>
    <w:rsid w:val="00E61E20"/>
    <w:rsid w:val="00E664DC"/>
    <w:rsid w:val="00E70869"/>
    <w:rsid w:val="00E75763"/>
    <w:rsid w:val="00E861A4"/>
    <w:rsid w:val="00E937FD"/>
    <w:rsid w:val="00E95354"/>
    <w:rsid w:val="00E95F51"/>
    <w:rsid w:val="00EA5CCC"/>
    <w:rsid w:val="00EA66A8"/>
    <w:rsid w:val="00EA6FF4"/>
    <w:rsid w:val="00EB54A1"/>
    <w:rsid w:val="00ED2E25"/>
    <w:rsid w:val="00EF5FAE"/>
    <w:rsid w:val="00F16226"/>
    <w:rsid w:val="00F169D6"/>
    <w:rsid w:val="00F21B90"/>
    <w:rsid w:val="00F25560"/>
    <w:rsid w:val="00F3714F"/>
    <w:rsid w:val="00F47A09"/>
    <w:rsid w:val="00F51D62"/>
    <w:rsid w:val="00F51FAB"/>
    <w:rsid w:val="00F65845"/>
    <w:rsid w:val="00F66DB9"/>
    <w:rsid w:val="00F70962"/>
    <w:rsid w:val="00F71042"/>
    <w:rsid w:val="00F728CC"/>
    <w:rsid w:val="00F74C71"/>
    <w:rsid w:val="00F85887"/>
    <w:rsid w:val="00F90157"/>
    <w:rsid w:val="00F94412"/>
    <w:rsid w:val="00FA076B"/>
    <w:rsid w:val="00FC35A9"/>
    <w:rsid w:val="00FC6BFC"/>
    <w:rsid w:val="00FC7D87"/>
    <w:rsid w:val="00FE7780"/>
    <w:rsid w:val="00FF0AE1"/>
    <w:rsid w:val="00FF0E0C"/>
    <w:rsid w:val="00FF3202"/>
    <w:rsid w:val="034968A6"/>
    <w:rsid w:val="242E73D1"/>
    <w:rsid w:val="6A49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semiHidden="0" w:uiPriority="0" w:unhideWhenUsed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63"/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75763"/>
    <w:pPr>
      <w:keepNext/>
      <w:keepLines/>
      <w:jc w:val="center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5763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5763"/>
    <w:pPr>
      <w:keepNext/>
      <w:keepLines/>
      <w:spacing w:line="360" w:lineRule="auto"/>
      <w:outlineLvl w:val="2"/>
    </w:pPr>
    <w:rPr>
      <w:rFonts w:asciiTheme="minorHAnsi" w:eastAsiaTheme="minorEastAsia" w:hAnsiTheme="minorHAnsi"/>
      <w:bCs/>
      <w:sz w:val="24"/>
      <w:szCs w:val="32"/>
    </w:rPr>
  </w:style>
  <w:style w:type="paragraph" w:styleId="4">
    <w:name w:val="heading 4"/>
    <w:basedOn w:val="a"/>
    <w:next w:val="a"/>
    <w:link w:val="4Char"/>
    <w:unhideWhenUsed/>
    <w:qFormat/>
    <w:rsid w:val="00E7576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7576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E75763"/>
    <w:pPr>
      <w:widowControl w:val="0"/>
      <w:ind w:leftChars="1200" w:left="252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3">
    <w:name w:val="Normal Indent"/>
    <w:basedOn w:val="a"/>
    <w:link w:val="Char"/>
    <w:rsid w:val="00E75763"/>
    <w:pPr>
      <w:widowControl w:val="0"/>
      <w:ind w:firstLine="420"/>
      <w:jc w:val="both"/>
    </w:pPr>
    <w:rPr>
      <w:rFonts w:asciiTheme="minorHAnsi" w:hAnsiTheme="minorHAnsi" w:cstheme="minorBidi"/>
      <w:kern w:val="2"/>
      <w:szCs w:val="22"/>
    </w:rPr>
  </w:style>
  <w:style w:type="paragraph" w:styleId="a4">
    <w:name w:val="Document Map"/>
    <w:basedOn w:val="a"/>
    <w:link w:val="Char0"/>
    <w:uiPriority w:val="99"/>
    <w:semiHidden/>
    <w:unhideWhenUsed/>
    <w:qFormat/>
    <w:rsid w:val="00E75763"/>
    <w:rPr>
      <w:rFonts w:ascii="宋体"/>
      <w:sz w:val="18"/>
      <w:szCs w:val="18"/>
    </w:rPr>
  </w:style>
  <w:style w:type="paragraph" w:styleId="50">
    <w:name w:val="toc 5"/>
    <w:basedOn w:val="a"/>
    <w:next w:val="a"/>
    <w:uiPriority w:val="39"/>
    <w:unhideWhenUsed/>
    <w:rsid w:val="00E75763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30">
    <w:name w:val="toc 3"/>
    <w:basedOn w:val="a"/>
    <w:next w:val="a"/>
    <w:uiPriority w:val="39"/>
    <w:unhideWhenUsed/>
    <w:rsid w:val="00E75763"/>
    <w:pPr>
      <w:spacing w:line="360" w:lineRule="auto"/>
      <w:ind w:leftChars="200" w:left="200"/>
    </w:pPr>
  </w:style>
  <w:style w:type="paragraph" w:styleId="a5">
    <w:name w:val="Plain Text"/>
    <w:basedOn w:val="a"/>
    <w:link w:val="Char1"/>
    <w:uiPriority w:val="99"/>
    <w:qFormat/>
    <w:rsid w:val="00E75763"/>
    <w:pPr>
      <w:widowControl w:val="0"/>
      <w:spacing w:line="360" w:lineRule="auto"/>
      <w:jc w:val="both"/>
    </w:pPr>
    <w:rPr>
      <w:rFonts w:ascii="宋体" w:hAnsi="Courier New" w:cstheme="minorBidi"/>
      <w:spacing w:val="-8"/>
      <w:kern w:val="2"/>
      <w:sz w:val="24"/>
      <w:szCs w:val="22"/>
    </w:rPr>
  </w:style>
  <w:style w:type="paragraph" w:styleId="8">
    <w:name w:val="toc 8"/>
    <w:basedOn w:val="a"/>
    <w:next w:val="a"/>
    <w:uiPriority w:val="39"/>
    <w:unhideWhenUsed/>
    <w:qFormat/>
    <w:rsid w:val="00E75763"/>
    <w:pPr>
      <w:widowControl w:val="0"/>
      <w:ind w:leftChars="1400" w:left="29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Char2"/>
    <w:uiPriority w:val="99"/>
    <w:semiHidden/>
    <w:unhideWhenUsed/>
    <w:qFormat/>
    <w:rsid w:val="00E75763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E757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75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75763"/>
    <w:pPr>
      <w:tabs>
        <w:tab w:val="right" w:leader="dot" w:pos="8296"/>
      </w:tabs>
      <w:spacing w:line="360" w:lineRule="auto"/>
      <w:ind w:leftChars="-100" w:left="-100" w:rightChars="-100" w:right="-100"/>
    </w:pPr>
    <w:rPr>
      <w:b/>
      <w:sz w:val="24"/>
    </w:rPr>
  </w:style>
  <w:style w:type="paragraph" w:styleId="40">
    <w:name w:val="toc 4"/>
    <w:basedOn w:val="a"/>
    <w:next w:val="a"/>
    <w:uiPriority w:val="39"/>
    <w:unhideWhenUsed/>
    <w:qFormat/>
    <w:rsid w:val="00E75763"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rsid w:val="00E75763"/>
    <w:pPr>
      <w:widowControl w:val="0"/>
      <w:ind w:leftChars="1000" w:left="210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20">
    <w:name w:val="toc 2"/>
    <w:basedOn w:val="a"/>
    <w:next w:val="a"/>
    <w:uiPriority w:val="39"/>
    <w:unhideWhenUsed/>
    <w:qFormat/>
    <w:rsid w:val="00E75763"/>
    <w:pPr>
      <w:spacing w:line="360" w:lineRule="auto"/>
      <w:ind w:leftChars="50" w:left="50"/>
    </w:pPr>
    <w:rPr>
      <w:sz w:val="24"/>
    </w:rPr>
  </w:style>
  <w:style w:type="paragraph" w:styleId="9">
    <w:name w:val="toc 9"/>
    <w:basedOn w:val="a"/>
    <w:next w:val="a"/>
    <w:uiPriority w:val="39"/>
    <w:unhideWhenUsed/>
    <w:qFormat/>
    <w:rsid w:val="00E75763"/>
    <w:pPr>
      <w:widowControl w:val="0"/>
      <w:ind w:leftChars="1600" w:left="336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Normal (Web)"/>
    <w:basedOn w:val="a"/>
    <w:qFormat/>
    <w:rsid w:val="00E75763"/>
    <w:pPr>
      <w:spacing w:before="100" w:beforeAutospacing="1" w:after="100" w:afterAutospacing="1"/>
    </w:pPr>
    <w:rPr>
      <w:rFonts w:ascii="宋体" w:hAnsi="宋体" w:hint="eastAsia"/>
      <w:sz w:val="24"/>
      <w:szCs w:val="24"/>
    </w:rPr>
  </w:style>
  <w:style w:type="table" w:styleId="aa">
    <w:name w:val="Table Grid"/>
    <w:basedOn w:val="a1"/>
    <w:uiPriority w:val="59"/>
    <w:qFormat/>
    <w:rsid w:val="00E7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E75763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E7576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75763"/>
    <w:rPr>
      <w:rFonts w:ascii="Times New Roman" w:eastAsiaTheme="majorEastAsia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75763"/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E75763"/>
    <w:rPr>
      <w:rFonts w:cs="Times New Roman"/>
      <w:bCs/>
      <w:kern w:val="0"/>
      <w:sz w:val="24"/>
      <w:szCs w:val="32"/>
    </w:rPr>
  </w:style>
  <w:style w:type="character" w:customStyle="1" w:styleId="4Char">
    <w:name w:val="标题 4 Char"/>
    <w:basedOn w:val="a0"/>
    <w:link w:val="4"/>
    <w:rsid w:val="00E75763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E75763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E75763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rsid w:val="00E7576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31">
    <w:name w:val="样式3"/>
    <w:basedOn w:val="30"/>
    <w:rsid w:val="00E75763"/>
    <w:pPr>
      <w:widowControl w:val="0"/>
      <w:tabs>
        <w:tab w:val="right" w:leader="dot" w:pos="9458"/>
      </w:tabs>
      <w:ind w:leftChars="0" w:left="420"/>
    </w:pPr>
    <w:rPr>
      <w:rFonts w:ascii="Calibri" w:hAnsi="Calibri"/>
      <w:i/>
      <w:iCs/>
      <w:kern w:val="2"/>
      <w:sz w:val="20"/>
    </w:rPr>
  </w:style>
  <w:style w:type="character" w:customStyle="1" w:styleId="Char">
    <w:name w:val="正文缩进 Char"/>
    <w:link w:val="a3"/>
    <w:rsid w:val="00E75763"/>
    <w:rPr>
      <w:rFonts w:eastAsia="宋体"/>
    </w:rPr>
  </w:style>
  <w:style w:type="character" w:customStyle="1" w:styleId="Char5">
    <w:name w:val="纯文本 Char"/>
    <w:link w:val="a5"/>
    <w:uiPriority w:val="99"/>
    <w:qFormat/>
    <w:rsid w:val="00E75763"/>
    <w:rPr>
      <w:rFonts w:ascii="宋体" w:eastAsia="宋体" w:hAnsi="Courier New"/>
      <w:spacing w:val="-8"/>
      <w:sz w:val="24"/>
    </w:rPr>
  </w:style>
  <w:style w:type="character" w:customStyle="1" w:styleId="Char1">
    <w:name w:val="纯文本 Char1"/>
    <w:basedOn w:val="a0"/>
    <w:link w:val="a5"/>
    <w:uiPriority w:val="99"/>
    <w:semiHidden/>
    <w:rsid w:val="00E75763"/>
    <w:rPr>
      <w:rFonts w:ascii="宋体" w:eastAsia="宋体" w:hAnsi="Courier New" w:cs="Courier New"/>
      <w:kern w:val="0"/>
      <w:szCs w:val="21"/>
    </w:rPr>
  </w:style>
  <w:style w:type="character" w:customStyle="1" w:styleId="Char0">
    <w:name w:val="文档结构图 Char"/>
    <w:basedOn w:val="a0"/>
    <w:link w:val="a4"/>
    <w:uiPriority w:val="99"/>
    <w:semiHidden/>
    <w:rsid w:val="00E75763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E75763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E7576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5">
    <w:name w:val="font5"/>
    <w:basedOn w:val="a"/>
    <w:rsid w:val="00E75763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E75763"/>
    <w:pP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font7">
    <w:name w:val="font7"/>
    <w:basedOn w:val="a"/>
    <w:rsid w:val="00E75763"/>
    <w:pP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xl78">
    <w:name w:val="xl78"/>
    <w:basedOn w:val="a"/>
    <w:rsid w:val="00E7576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79">
    <w:name w:val="xl79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xl80">
    <w:name w:val="xl80"/>
    <w:basedOn w:val="a"/>
    <w:rsid w:val="00E7576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81">
    <w:name w:val="xl81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82">
    <w:name w:val="xl82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83">
    <w:name w:val="xl83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84">
    <w:name w:val="xl84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85">
    <w:name w:val="xl85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86">
    <w:name w:val="xl86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87">
    <w:name w:val="xl87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xl88">
    <w:name w:val="xl88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xl89">
    <w:name w:val="xl89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sz w:val="24"/>
      <w:szCs w:val="24"/>
    </w:rPr>
  </w:style>
  <w:style w:type="paragraph" w:customStyle="1" w:styleId="xl90">
    <w:name w:val="xl90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91">
    <w:name w:val="xl91"/>
    <w:basedOn w:val="a"/>
    <w:rsid w:val="00E7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92">
    <w:name w:val="xl92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93">
    <w:name w:val="xl93"/>
    <w:basedOn w:val="a"/>
    <w:rsid w:val="00E7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94">
    <w:name w:val="xl94"/>
    <w:basedOn w:val="a"/>
    <w:rsid w:val="00E75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95">
    <w:name w:val="xl95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96">
    <w:name w:val="xl96"/>
    <w:basedOn w:val="a"/>
    <w:rsid w:val="00E7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97">
    <w:name w:val="xl97"/>
    <w:basedOn w:val="a"/>
    <w:rsid w:val="00E75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05">
    <w:name w:val="xl17505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xl17506">
    <w:name w:val="xl17506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07">
    <w:name w:val="xl17507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08">
    <w:name w:val="xl17508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09">
    <w:name w:val="xl17509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10">
    <w:name w:val="xl17510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11">
    <w:name w:val="xl17511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12">
    <w:name w:val="xl17512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13">
    <w:name w:val="xl17513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sz w:val="24"/>
      <w:szCs w:val="24"/>
    </w:rPr>
  </w:style>
  <w:style w:type="paragraph" w:customStyle="1" w:styleId="xl17514">
    <w:name w:val="xl17514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15">
    <w:name w:val="xl17515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16">
    <w:name w:val="xl17516"/>
    <w:basedOn w:val="a"/>
    <w:rsid w:val="00E75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17">
    <w:name w:val="xl17517"/>
    <w:basedOn w:val="a"/>
    <w:rsid w:val="00E75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18">
    <w:name w:val="xl17518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19">
    <w:name w:val="xl17519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20">
    <w:name w:val="xl17520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17521">
    <w:name w:val="xl17521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sz w:val="24"/>
      <w:szCs w:val="24"/>
    </w:rPr>
  </w:style>
  <w:style w:type="paragraph" w:customStyle="1" w:styleId="xl17522">
    <w:name w:val="xl17522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23">
    <w:name w:val="xl17523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sz w:val="24"/>
      <w:szCs w:val="24"/>
    </w:rPr>
  </w:style>
  <w:style w:type="paragraph" w:customStyle="1" w:styleId="xl17524">
    <w:name w:val="xl17524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25">
    <w:name w:val="xl17525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sz w:val="24"/>
      <w:szCs w:val="24"/>
    </w:rPr>
  </w:style>
  <w:style w:type="paragraph" w:customStyle="1" w:styleId="xl17526">
    <w:name w:val="xl17526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sz w:val="24"/>
      <w:szCs w:val="24"/>
    </w:rPr>
  </w:style>
  <w:style w:type="paragraph" w:customStyle="1" w:styleId="xl17527">
    <w:name w:val="xl17527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sz w:val="24"/>
      <w:szCs w:val="24"/>
    </w:rPr>
  </w:style>
  <w:style w:type="paragraph" w:customStyle="1" w:styleId="xl17528">
    <w:name w:val="xl17528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29">
    <w:name w:val="xl17529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sz w:val="24"/>
      <w:szCs w:val="24"/>
    </w:rPr>
  </w:style>
  <w:style w:type="paragraph" w:customStyle="1" w:styleId="xl17530">
    <w:name w:val="xl17530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xl17531">
    <w:name w:val="xl17531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customStyle="1" w:styleId="xl17532">
    <w:name w:val="xl17532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33">
    <w:name w:val="xl17533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宋体" w:hAnsi="宋体" w:cs="宋体"/>
      <w:color w:val="FF0000"/>
      <w:sz w:val="24"/>
      <w:szCs w:val="24"/>
    </w:rPr>
  </w:style>
  <w:style w:type="paragraph" w:customStyle="1" w:styleId="xl17534">
    <w:name w:val="xl17534"/>
    <w:basedOn w:val="a"/>
    <w:rsid w:val="00E75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17535">
    <w:name w:val="xl17535"/>
    <w:basedOn w:val="a"/>
    <w:rsid w:val="00E7576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36">
    <w:name w:val="xl17536"/>
    <w:basedOn w:val="a"/>
    <w:rsid w:val="00E7576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17537">
    <w:name w:val="xl17537"/>
    <w:basedOn w:val="a"/>
    <w:rsid w:val="00E7576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C3A14C-E348-41BC-9DA4-10FCB6035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211</cp:revision>
  <cp:lastPrinted>2019-04-16T02:24:00Z</cp:lastPrinted>
  <dcterms:created xsi:type="dcterms:W3CDTF">2019-04-01T03:28:00Z</dcterms:created>
  <dcterms:modified xsi:type="dcterms:W3CDTF">2019-04-22T03:13:00Z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