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7"/>
        <w:spacing w:beforeLines="100"/>
        <w:rPr>
          <w:rFonts w:ascii="宋体" w:hAnsi="宋体" w:eastAsia="宋体" w:cs="宋体"/>
          <w:color w:val="auto"/>
          <w:spacing w:val="20"/>
          <w:szCs w:val="72"/>
        </w:rPr>
      </w:pPr>
      <w:bookmarkStart w:id="0" w:name="_Toc532481321"/>
      <w:bookmarkStart w:id="1" w:name="_Toc532458082"/>
      <w:r>
        <w:rPr>
          <w:rFonts w:hint="eastAsia" w:ascii="宋体" w:hAnsi="宋体" w:eastAsia="宋体" w:cs="宋体"/>
          <w:bCs/>
          <w:color w:val="auto"/>
          <w:kern w:val="0"/>
          <w:szCs w:val="72"/>
          <w:lang w:val="en-GB"/>
        </w:rPr>
        <w:t>海南省政府</w:t>
      </w:r>
      <w:r>
        <w:rPr>
          <w:rFonts w:hint="eastAsia" w:ascii="宋体" w:hAnsi="宋体" w:eastAsia="宋体" w:cs="宋体"/>
          <w:color w:val="auto"/>
          <w:spacing w:val="20"/>
          <w:szCs w:val="72"/>
        </w:rPr>
        <w:t>招标文件</w:t>
      </w:r>
    </w:p>
    <w:p>
      <w:pPr>
        <w:adjustRightInd w:val="0"/>
        <w:snapToGrid w:val="0"/>
        <w:spacing w:line="360" w:lineRule="auto"/>
        <w:ind w:firstLine="723" w:firstLineChars="100"/>
        <w:jc w:val="center"/>
        <w:rPr>
          <w:rStyle w:val="325"/>
          <w:rFonts w:hAnsi="宋体" w:cs="宋体"/>
          <w:color w:val="auto"/>
          <w:sz w:val="30"/>
          <w:szCs w:val="30"/>
        </w:rPr>
      </w:pPr>
      <w:r>
        <w:rPr>
          <w:rFonts w:hint="eastAsia" w:ascii="宋体" w:hAnsi="宋体" w:cs="宋体"/>
          <w:b/>
          <w:bCs/>
          <w:color w:val="auto"/>
          <w:kern w:val="0"/>
          <w:sz w:val="72"/>
          <w:szCs w:val="72"/>
        </w:rPr>
        <w:drawing>
          <wp:inline distT="0" distB="0" distL="114300" distR="114300">
            <wp:extent cx="2618740" cy="2618740"/>
            <wp:effectExtent l="0" t="0" r="0" b="0"/>
            <wp:docPr id="3" name="图片 2" descr="@中联华夏LOGO (最终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中联华夏LOGO (最终版)"/>
                    <pic:cNvPicPr>
                      <a:picLocks noChangeAspect="1"/>
                    </pic:cNvPicPr>
                  </pic:nvPicPr>
                  <pic:blipFill>
                    <a:blip r:embed="rId13"/>
                    <a:stretch>
                      <a:fillRect/>
                    </a:stretch>
                  </pic:blipFill>
                  <pic:spPr>
                    <a:xfrm>
                      <a:off x="0" y="0"/>
                      <a:ext cx="2618740" cy="2618740"/>
                    </a:xfrm>
                    <a:prstGeom prst="rect">
                      <a:avLst/>
                    </a:prstGeom>
                    <a:noFill/>
                    <a:ln w="9525">
                      <a:noFill/>
                    </a:ln>
                  </pic:spPr>
                </pic:pic>
              </a:graphicData>
            </a:graphic>
          </wp:inline>
        </w:drawing>
      </w:r>
    </w:p>
    <w:p>
      <w:pPr>
        <w:adjustRightInd w:val="0"/>
        <w:snapToGrid w:val="0"/>
        <w:spacing w:line="360" w:lineRule="auto"/>
        <w:ind w:firstLine="301" w:firstLineChars="100"/>
        <w:rPr>
          <w:rStyle w:val="325"/>
          <w:rFonts w:hAnsi="宋体" w:cs="宋体"/>
          <w:color w:val="auto"/>
          <w:sz w:val="30"/>
          <w:szCs w:val="30"/>
        </w:rPr>
      </w:pPr>
    </w:p>
    <w:p>
      <w:pPr>
        <w:adjustRightInd w:val="0"/>
        <w:snapToGrid w:val="0"/>
        <w:spacing w:line="360" w:lineRule="auto"/>
        <w:ind w:firstLine="301" w:firstLineChars="100"/>
        <w:rPr>
          <w:rStyle w:val="325"/>
          <w:rFonts w:hAnsi="宋体" w:cs="宋体"/>
          <w:color w:val="auto"/>
          <w:sz w:val="30"/>
          <w:szCs w:val="30"/>
        </w:rPr>
      </w:pPr>
    </w:p>
    <w:p>
      <w:pPr>
        <w:adjustRightInd w:val="0"/>
        <w:snapToGrid w:val="0"/>
        <w:spacing w:line="360" w:lineRule="auto"/>
        <w:ind w:firstLine="2409" w:firstLineChars="800"/>
        <w:rPr>
          <w:rStyle w:val="325"/>
          <w:rFonts w:hAnsi="宋体" w:cs="宋体"/>
          <w:color w:val="auto"/>
          <w:sz w:val="30"/>
          <w:szCs w:val="30"/>
        </w:rPr>
      </w:pPr>
      <w:r>
        <w:rPr>
          <w:rStyle w:val="325"/>
          <w:rFonts w:hint="eastAsia" w:hAnsi="宋体" w:cs="宋体"/>
          <w:color w:val="auto"/>
          <w:sz w:val="30"/>
          <w:szCs w:val="30"/>
        </w:rPr>
        <w:t>采购方式：公开招标</w:t>
      </w:r>
    </w:p>
    <w:p>
      <w:pPr>
        <w:adjustRightInd w:val="0"/>
        <w:snapToGrid w:val="0"/>
        <w:spacing w:line="360" w:lineRule="auto"/>
        <w:rPr>
          <w:rFonts w:hint="eastAsia" w:ascii="宋体" w:hAnsi="宋体" w:eastAsia="宋体" w:cs="宋体"/>
          <w:b/>
          <w:bCs/>
          <w:color w:val="auto"/>
          <w:kern w:val="0"/>
          <w:sz w:val="30"/>
          <w:szCs w:val="30"/>
          <w:lang w:eastAsia="zh-CN"/>
        </w:rPr>
      </w:pPr>
      <w:r>
        <w:rPr>
          <w:rStyle w:val="325"/>
          <w:rFonts w:hint="eastAsia" w:hAnsi="宋体" w:cs="宋体"/>
          <w:color w:val="auto"/>
          <w:sz w:val="30"/>
          <w:szCs w:val="30"/>
        </w:rPr>
        <w:t xml:space="preserve">                项目编号：</w:t>
      </w:r>
      <w:r>
        <w:rPr>
          <w:rFonts w:hint="eastAsia" w:ascii="宋体" w:hAnsi="宋体" w:cs="宋体"/>
          <w:b/>
          <w:bCs/>
          <w:color w:val="auto"/>
          <w:kern w:val="0"/>
          <w:sz w:val="30"/>
          <w:szCs w:val="30"/>
          <w:lang w:eastAsia="zh-CN"/>
        </w:rPr>
        <w:t>ZLHX2019-008</w:t>
      </w:r>
    </w:p>
    <w:p>
      <w:pPr>
        <w:adjustRightInd w:val="0"/>
        <w:snapToGrid w:val="0"/>
        <w:spacing w:line="360" w:lineRule="auto"/>
        <w:rPr>
          <w:rStyle w:val="325"/>
          <w:rFonts w:hAnsi="宋体" w:cs="宋体"/>
          <w:color w:val="auto"/>
          <w:sz w:val="30"/>
          <w:szCs w:val="30"/>
        </w:rPr>
      </w:pPr>
      <w:r>
        <w:rPr>
          <w:rStyle w:val="325"/>
          <w:rFonts w:hint="eastAsia" w:hAnsi="宋体" w:cs="宋体"/>
          <w:color w:val="auto"/>
          <w:sz w:val="30"/>
          <w:szCs w:val="30"/>
        </w:rPr>
        <w:t xml:space="preserve">                项目名称：海口市房地楼幢测绘</w:t>
      </w:r>
    </w:p>
    <w:p>
      <w:pPr>
        <w:adjustRightInd w:val="0"/>
        <w:snapToGrid w:val="0"/>
        <w:spacing w:line="360" w:lineRule="auto"/>
        <w:ind w:firstLine="3915" w:firstLineChars="1300"/>
        <w:rPr>
          <w:rStyle w:val="325"/>
          <w:rFonts w:hAnsi="宋体" w:cs="宋体"/>
          <w:color w:val="auto"/>
          <w:sz w:val="30"/>
          <w:szCs w:val="30"/>
        </w:rPr>
      </w:pPr>
      <w:r>
        <w:rPr>
          <w:rStyle w:val="325"/>
          <w:rFonts w:hint="eastAsia" w:hAnsi="宋体" w:cs="宋体"/>
          <w:color w:val="auto"/>
          <w:sz w:val="30"/>
          <w:szCs w:val="30"/>
        </w:rPr>
        <w:t>及编制不动产单元编码项目</w:t>
      </w:r>
    </w:p>
    <w:p>
      <w:pPr>
        <w:adjustRightInd w:val="0"/>
        <w:snapToGrid w:val="0"/>
        <w:spacing w:line="360" w:lineRule="auto"/>
        <w:rPr>
          <w:rFonts w:ascii="宋体" w:hAnsi="宋体" w:cs="宋体"/>
          <w:b/>
          <w:bCs/>
          <w:color w:val="auto"/>
          <w:kern w:val="0"/>
          <w:sz w:val="30"/>
          <w:szCs w:val="30"/>
          <w:lang w:val="en-GB"/>
        </w:rPr>
      </w:pPr>
      <w:r>
        <w:rPr>
          <w:rStyle w:val="325"/>
          <w:rFonts w:hint="eastAsia" w:hAnsi="宋体" w:cs="宋体"/>
          <w:color w:val="auto"/>
          <w:sz w:val="30"/>
          <w:szCs w:val="30"/>
        </w:rPr>
        <w:t xml:space="preserve"> </w:t>
      </w:r>
      <w:r>
        <w:rPr>
          <w:rStyle w:val="325"/>
          <w:rFonts w:hint="eastAsia" w:hAnsi="宋体" w:cs="宋体"/>
          <w:color w:val="auto"/>
          <w:sz w:val="30"/>
          <w:szCs w:val="30"/>
          <w:lang w:val="en-US"/>
        </w:rPr>
        <w:t xml:space="preserve">               </w:t>
      </w:r>
      <w:r>
        <w:rPr>
          <w:rStyle w:val="325"/>
          <w:rFonts w:hint="eastAsia" w:hAnsi="宋体" w:cs="宋体"/>
          <w:color w:val="auto"/>
          <w:sz w:val="30"/>
          <w:szCs w:val="30"/>
        </w:rPr>
        <w:t>采购单位：</w:t>
      </w:r>
      <w:r>
        <w:rPr>
          <w:rFonts w:hint="eastAsia" w:ascii="宋体" w:hAnsi="宋体" w:cs="宋体"/>
          <w:b/>
          <w:color w:val="auto"/>
          <w:sz w:val="28"/>
          <w:szCs w:val="28"/>
        </w:rPr>
        <w:t xml:space="preserve">海口市不动产登记中心 </w:t>
      </w:r>
    </w:p>
    <w:p>
      <w:pPr>
        <w:pStyle w:val="308"/>
        <w:rPr>
          <w:rFonts w:asciiTheme="minorEastAsia" w:hAnsiTheme="minorEastAsia" w:eastAsiaTheme="minorEastAsia"/>
          <w:color w:val="auto"/>
        </w:rPr>
      </w:pPr>
    </w:p>
    <w:p>
      <w:pPr>
        <w:pStyle w:val="308"/>
        <w:rPr>
          <w:rFonts w:asciiTheme="minorEastAsia" w:hAnsiTheme="minorEastAsia" w:eastAsiaTheme="minorEastAsia"/>
          <w:color w:val="auto"/>
        </w:rPr>
      </w:pPr>
    </w:p>
    <w:p>
      <w:pPr>
        <w:pStyle w:val="308"/>
        <w:rPr>
          <w:rFonts w:asciiTheme="minorEastAsia" w:hAnsiTheme="minorEastAsia" w:eastAsiaTheme="minorEastAsia"/>
          <w:color w:val="auto"/>
        </w:rPr>
      </w:pPr>
    </w:p>
    <w:p>
      <w:pPr>
        <w:pStyle w:val="308"/>
        <w:rPr>
          <w:rFonts w:asciiTheme="minorEastAsia" w:hAnsiTheme="minorEastAsia" w:eastAsiaTheme="minorEastAsia"/>
          <w:color w:val="auto"/>
        </w:rPr>
      </w:pPr>
    </w:p>
    <w:p>
      <w:pPr>
        <w:adjustRightInd w:val="0"/>
        <w:snapToGrid w:val="0"/>
        <w:spacing w:line="360" w:lineRule="auto"/>
        <w:jc w:val="center"/>
        <w:rPr>
          <w:rStyle w:val="325"/>
          <w:rFonts w:hAnsi="宋体" w:cs="宋体"/>
          <w:color w:val="auto"/>
          <w:sz w:val="28"/>
          <w:szCs w:val="28"/>
        </w:rPr>
      </w:pPr>
      <w:r>
        <w:rPr>
          <w:rStyle w:val="325"/>
          <w:rFonts w:hint="eastAsia" w:hAnsi="宋体" w:cs="宋体"/>
          <w:color w:val="auto"/>
          <w:sz w:val="28"/>
          <w:szCs w:val="28"/>
        </w:rPr>
        <w:t>海南中联华夏项目管理有限公司编制</w:t>
      </w:r>
    </w:p>
    <w:p>
      <w:pPr>
        <w:spacing w:line="360" w:lineRule="auto"/>
        <w:ind w:firstLine="3387" w:firstLineChars="1205"/>
        <w:rPr>
          <w:rFonts w:asciiTheme="minorEastAsia" w:hAnsiTheme="minorEastAsia" w:eastAsiaTheme="minorEastAsia"/>
          <w:b/>
          <w:color w:val="auto"/>
          <w:sz w:val="32"/>
        </w:rPr>
      </w:pPr>
      <w:r>
        <w:rPr>
          <w:rFonts w:hint="eastAsia" w:ascii="宋体" w:hAnsi="宋体" w:cs="宋体"/>
          <w:b/>
          <w:bCs/>
          <w:color w:val="auto"/>
          <w:sz w:val="28"/>
          <w:szCs w:val="28"/>
        </w:rPr>
        <w:t>二○一</w:t>
      </w:r>
      <w:r>
        <w:rPr>
          <w:rFonts w:hint="eastAsia" w:ascii="宋体" w:hAnsi="宋体" w:cs="宋体"/>
          <w:b/>
          <w:bCs/>
          <w:color w:val="auto"/>
          <w:sz w:val="28"/>
          <w:szCs w:val="28"/>
          <w:lang w:eastAsia="zh-CN"/>
        </w:rPr>
        <w:t>九</w:t>
      </w:r>
      <w:r>
        <w:rPr>
          <w:rFonts w:hint="eastAsia" w:ascii="宋体" w:hAnsi="宋体" w:cs="宋体"/>
          <w:b/>
          <w:bCs/>
          <w:color w:val="auto"/>
          <w:sz w:val="28"/>
          <w:szCs w:val="28"/>
        </w:rPr>
        <w:t>年</w:t>
      </w:r>
      <w:r>
        <w:rPr>
          <w:rFonts w:hint="eastAsia" w:ascii="宋体" w:hAnsi="宋体" w:cs="宋体"/>
          <w:b/>
          <w:bCs/>
          <w:color w:val="auto"/>
          <w:sz w:val="28"/>
          <w:szCs w:val="28"/>
          <w:lang w:eastAsia="zh-CN"/>
        </w:rPr>
        <w:t>一</w:t>
      </w:r>
      <w:r>
        <w:rPr>
          <w:rFonts w:hint="eastAsia" w:ascii="宋体" w:hAnsi="宋体" w:cs="宋体"/>
          <w:b/>
          <w:bCs/>
          <w:color w:val="auto"/>
          <w:sz w:val="28"/>
          <w:szCs w:val="28"/>
        </w:rPr>
        <w:t>月</w:t>
      </w:r>
    </w:p>
    <w:p>
      <w:pPr>
        <w:spacing w:line="360" w:lineRule="auto"/>
        <w:rPr>
          <w:rFonts w:asciiTheme="minorEastAsia" w:hAnsiTheme="minorEastAsia" w:eastAsiaTheme="minorEastAsia"/>
          <w:b/>
          <w:color w:val="auto"/>
          <w:sz w:val="36"/>
          <w:szCs w:val="36"/>
        </w:rPr>
      </w:pPr>
    </w:p>
    <w:p>
      <w:pPr>
        <w:spacing w:line="360" w:lineRule="auto"/>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目  录</w:t>
      </w:r>
    </w:p>
    <w:p>
      <w:pPr>
        <w:pStyle w:val="42"/>
        <w:tabs>
          <w:tab w:val="right" w:leader="dot" w:pos="8778"/>
        </w:tabs>
        <w:spacing w:line="360" w:lineRule="auto"/>
        <w:rPr>
          <w:rFonts w:ascii="宋体" w:hAnsi="宋体" w:cs="宋体"/>
          <w:color w:val="auto"/>
          <w:sz w:val="28"/>
          <w:szCs w:val="28"/>
        </w:rPr>
      </w:pPr>
      <w:r>
        <w:rPr>
          <w:rFonts w:hint="eastAsia" w:ascii="宋体" w:hAnsi="宋体" w:cs="宋体"/>
          <w:color w:val="auto"/>
          <w:sz w:val="28"/>
          <w:szCs w:val="28"/>
        </w:rPr>
        <w:t>第一章 投标邀请函</w:t>
      </w:r>
      <w:r>
        <w:rPr>
          <w:rFonts w:hint="eastAsia" w:ascii="宋体" w:hAnsi="宋体" w:cs="宋体"/>
          <w:color w:val="auto"/>
          <w:sz w:val="28"/>
          <w:szCs w:val="28"/>
        </w:rPr>
        <w:tab/>
      </w:r>
      <w:r>
        <w:rPr>
          <w:rFonts w:hint="eastAsia" w:ascii="宋体" w:hAnsi="宋体" w:cs="宋体"/>
          <w:color w:val="auto"/>
          <w:sz w:val="28"/>
          <w:szCs w:val="28"/>
        </w:rPr>
        <w:t>1</w:t>
      </w:r>
    </w:p>
    <w:p>
      <w:pPr>
        <w:pStyle w:val="42"/>
        <w:tabs>
          <w:tab w:val="right" w:leader="dot" w:pos="8778"/>
        </w:tabs>
        <w:spacing w:line="360" w:lineRule="auto"/>
        <w:rPr>
          <w:rFonts w:asciiTheme="minorEastAsia" w:hAnsiTheme="minorEastAsia" w:eastAsiaTheme="minorEastAsia" w:cstheme="minorBidi"/>
          <w:color w:val="auto"/>
          <w:sz w:val="28"/>
          <w:szCs w:val="28"/>
        </w:rPr>
      </w:pPr>
      <w:r>
        <w:rPr>
          <w:rFonts w:hint="eastAsia" w:ascii="宋体" w:hAnsi="宋体" w:cs="宋体"/>
          <w:color w:val="auto"/>
          <w:sz w:val="28"/>
          <w:szCs w:val="28"/>
        </w:rPr>
        <w:t>第二章</w:t>
      </w:r>
      <w:r>
        <w:rPr>
          <w:rStyle w:val="62"/>
          <w:rFonts w:hint="eastAsia" w:asciiTheme="minorEastAsia" w:hAnsiTheme="minorEastAsia" w:eastAsiaTheme="minorEastAsia"/>
          <w:color w:val="auto"/>
          <w:sz w:val="28"/>
          <w:szCs w:val="28"/>
          <w:u w:val="none"/>
        </w:rPr>
        <w:t>投标人须知</w:t>
      </w:r>
      <w:r>
        <w:rPr>
          <w:rFonts w:asciiTheme="minorEastAsia" w:hAnsiTheme="minorEastAsia" w:eastAsiaTheme="minorEastAsia"/>
          <w:color w:val="auto"/>
          <w:sz w:val="28"/>
          <w:szCs w:val="28"/>
        </w:rPr>
        <w:fldChar w:fldCharType="begin"/>
      </w:r>
      <w:r>
        <w:rPr>
          <w:rFonts w:asciiTheme="minorEastAsia" w:hAnsiTheme="minorEastAsia" w:eastAsiaTheme="minorEastAsia"/>
          <w:color w:val="auto"/>
          <w:sz w:val="28"/>
          <w:szCs w:val="28"/>
        </w:rPr>
        <w:instrText xml:space="preserve"> TOC \o "1-2" \h \z \u </w:instrText>
      </w:r>
      <w:r>
        <w:rPr>
          <w:rFonts w:asciiTheme="minorEastAsia" w:hAnsiTheme="minorEastAsia" w:eastAsiaTheme="minorEastAsia"/>
          <w:color w:val="auto"/>
          <w:sz w:val="28"/>
          <w:szCs w:val="28"/>
        </w:rPr>
        <w:fldChar w:fldCharType="separate"/>
      </w:r>
      <w:r>
        <w:rPr>
          <w:color w:val="auto"/>
        </w:rPr>
        <w:fldChar w:fldCharType="begin"/>
      </w:r>
      <w:r>
        <w:rPr>
          <w:color w:val="auto"/>
        </w:rPr>
        <w:instrText xml:space="preserve"> HYPERLINK \l "_Toc507692308" </w:instrText>
      </w:r>
      <w:r>
        <w:rPr>
          <w:color w:val="auto"/>
        </w:rPr>
        <w:fldChar w:fldCharType="separate"/>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4</w:t>
      </w:r>
      <w:r>
        <w:rPr>
          <w:rFonts w:hint="eastAsia" w:asciiTheme="minorEastAsia" w:hAnsiTheme="minorEastAsia" w:eastAsiaTheme="minorEastAsia"/>
          <w:color w:val="auto"/>
          <w:sz w:val="28"/>
          <w:szCs w:val="28"/>
        </w:rPr>
        <w:fldChar w:fldCharType="end"/>
      </w:r>
    </w:p>
    <w:p>
      <w:pPr>
        <w:pStyle w:val="4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"_Toc507692309" </w:instrText>
      </w:r>
      <w:r>
        <w:rPr>
          <w:color w:val="auto"/>
        </w:rPr>
        <w:fldChar w:fldCharType="separate"/>
      </w:r>
      <w:r>
        <w:rPr>
          <w:rStyle w:val="62"/>
          <w:rFonts w:hint="eastAsia" w:asciiTheme="minorEastAsia" w:hAnsiTheme="minorEastAsia" w:eastAsiaTheme="minorEastAsia"/>
          <w:color w:val="auto"/>
          <w:sz w:val="28"/>
          <w:szCs w:val="28"/>
        </w:rPr>
        <w:t>投标须知</w:t>
      </w:r>
      <w:r>
        <w:rPr>
          <w:rFonts w:hint="eastAsia" w:ascii="宋体" w:hAnsi="宋体" w:cs="宋体"/>
          <w:color w:val="auto"/>
          <w:sz w:val="28"/>
          <w:szCs w:val="28"/>
        </w:rPr>
        <w:t>前</w:t>
      </w:r>
      <w:r>
        <w:rPr>
          <w:rStyle w:val="62"/>
          <w:rFonts w:hint="eastAsia" w:asciiTheme="minorEastAsia" w:hAnsiTheme="minorEastAsia" w:eastAsiaTheme="minorEastAsia"/>
          <w:color w:val="auto"/>
          <w:sz w:val="28"/>
          <w:szCs w:val="28"/>
        </w:rPr>
        <w:t>附表</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4</w:t>
      </w:r>
      <w:r>
        <w:rPr>
          <w:rFonts w:hint="eastAsia" w:asciiTheme="minorEastAsia" w:hAnsiTheme="minorEastAsia" w:eastAsiaTheme="minorEastAsia"/>
          <w:color w:val="auto"/>
          <w:sz w:val="28"/>
          <w:szCs w:val="28"/>
        </w:rPr>
        <w:fldChar w:fldCharType="end"/>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"_Toc507692310" </w:instrText>
      </w:r>
      <w:r>
        <w:rPr>
          <w:color w:val="auto"/>
        </w:rPr>
        <w:fldChar w:fldCharType="separate"/>
      </w:r>
      <w:r>
        <w:rPr>
          <w:rStyle w:val="62"/>
          <w:rFonts w:asciiTheme="minorEastAsia" w:hAnsiTheme="minorEastAsia" w:eastAsiaTheme="minorEastAsia"/>
          <w:color w:val="auto"/>
          <w:sz w:val="28"/>
          <w:szCs w:val="28"/>
        </w:rPr>
        <w:t>1</w:t>
      </w:r>
      <w:r>
        <w:rPr>
          <w:rStyle w:val="62"/>
          <w:rFonts w:hint="eastAsia" w:asciiTheme="minorEastAsia" w:hAnsiTheme="minorEastAsia" w:eastAsiaTheme="minorEastAsia"/>
          <w:color w:val="auto"/>
          <w:sz w:val="28"/>
          <w:szCs w:val="28"/>
        </w:rPr>
        <w:t>总则</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7</w:t>
      </w:r>
      <w:r>
        <w:rPr>
          <w:rFonts w:hint="eastAsia" w:asciiTheme="minorEastAsia" w:hAnsiTheme="minorEastAsia" w:eastAsiaTheme="minorEastAsia"/>
          <w:color w:val="auto"/>
          <w:sz w:val="28"/>
          <w:szCs w:val="28"/>
        </w:rPr>
        <w:fldChar w:fldCharType="end"/>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"_Toc507692311" </w:instrText>
      </w:r>
      <w:r>
        <w:rPr>
          <w:color w:val="auto"/>
        </w:rPr>
        <w:fldChar w:fldCharType="separate"/>
      </w:r>
      <w:r>
        <w:rPr>
          <w:rStyle w:val="62"/>
          <w:rFonts w:asciiTheme="minorEastAsia" w:hAnsiTheme="minorEastAsia" w:eastAsiaTheme="minorEastAsia"/>
          <w:color w:val="auto"/>
          <w:sz w:val="28"/>
          <w:szCs w:val="28"/>
        </w:rPr>
        <w:t>2</w:t>
      </w:r>
      <w:r>
        <w:rPr>
          <w:rStyle w:val="62"/>
          <w:rFonts w:hint="eastAsia" w:asciiTheme="minorEastAsia" w:hAnsiTheme="minorEastAsia" w:eastAsiaTheme="minorEastAsia"/>
          <w:color w:val="auto"/>
          <w:sz w:val="28"/>
          <w:szCs w:val="28"/>
        </w:rPr>
        <w:t>招标文件</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8</w:t>
      </w:r>
      <w:r>
        <w:rPr>
          <w:rFonts w:hint="eastAsia" w:asciiTheme="minorEastAsia" w:hAnsiTheme="minorEastAsia" w:eastAsiaTheme="minorEastAsia"/>
          <w:color w:val="auto"/>
          <w:sz w:val="28"/>
          <w:szCs w:val="28"/>
        </w:rPr>
        <w:fldChar w:fldCharType="end"/>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"_Toc507692312" </w:instrText>
      </w:r>
      <w:r>
        <w:rPr>
          <w:color w:val="auto"/>
        </w:rPr>
        <w:fldChar w:fldCharType="separate"/>
      </w:r>
      <w:r>
        <w:rPr>
          <w:rStyle w:val="62"/>
          <w:rFonts w:asciiTheme="minorEastAsia" w:hAnsiTheme="minorEastAsia" w:eastAsiaTheme="minorEastAsia"/>
          <w:color w:val="auto"/>
          <w:sz w:val="28"/>
          <w:szCs w:val="28"/>
        </w:rPr>
        <w:t>3</w:t>
      </w:r>
      <w:r>
        <w:rPr>
          <w:rStyle w:val="62"/>
          <w:rFonts w:hint="eastAsia" w:asciiTheme="minorEastAsia" w:hAnsiTheme="minorEastAsia" w:eastAsiaTheme="minorEastAsia"/>
          <w:color w:val="auto"/>
          <w:sz w:val="28"/>
          <w:szCs w:val="28"/>
        </w:rPr>
        <w:t>投标文件</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9</w:t>
      </w:r>
      <w:r>
        <w:rPr>
          <w:rFonts w:hint="eastAsia" w:asciiTheme="minorEastAsia" w:hAnsiTheme="minorEastAsia" w:eastAsiaTheme="minorEastAsia"/>
          <w:color w:val="auto"/>
          <w:sz w:val="28"/>
          <w:szCs w:val="28"/>
        </w:rPr>
        <w:fldChar w:fldCharType="end"/>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"_Toc507692313" </w:instrText>
      </w:r>
      <w:r>
        <w:rPr>
          <w:color w:val="auto"/>
        </w:rPr>
        <w:fldChar w:fldCharType="separate"/>
      </w:r>
      <w:r>
        <w:rPr>
          <w:rStyle w:val="62"/>
          <w:rFonts w:asciiTheme="minorEastAsia" w:hAnsiTheme="minorEastAsia" w:eastAsiaTheme="minorEastAsia"/>
          <w:color w:val="auto"/>
          <w:sz w:val="28"/>
          <w:szCs w:val="28"/>
        </w:rPr>
        <w:t>4</w:t>
      </w:r>
      <w:r>
        <w:rPr>
          <w:rStyle w:val="62"/>
          <w:rFonts w:hint="eastAsia" w:asciiTheme="minorEastAsia" w:hAnsiTheme="minorEastAsia" w:eastAsiaTheme="minorEastAsia"/>
          <w:color w:val="auto"/>
          <w:sz w:val="28"/>
          <w:szCs w:val="28"/>
        </w:rPr>
        <w:t>标前答疑</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1</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1</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"_Toc507692314" </w:instrText>
      </w:r>
      <w:r>
        <w:rPr>
          <w:color w:val="auto"/>
        </w:rPr>
        <w:fldChar w:fldCharType="separate"/>
      </w:r>
      <w:r>
        <w:rPr>
          <w:rStyle w:val="62"/>
          <w:rFonts w:asciiTheme="minorEastAsia" w:hAnsiTheme="minorEastAsia" w:eastAsiaTheme="minorEastAsia"/>
          <w:color w:val="auto"/>
          <w:sz w:val="28"/>
          <w:szCs w:val="28"/>
        </w:rPr>
        <w:t>5</w:t>
      </w:r>
      <w:r>
        <w:rPr>
          <w:rStyle w:val="62"/>
          <w:rFonts w:hint="eastAsia" w:asciiTheme="minorEastAsia" w:hAnsiTheme="minorEastAsia" w:eastAsiaTheme="minorEastAsia"/>
          <w:color w:val="auto"/>
          <w:sz w:val="28"/>
          <w:szCs w:val="28"/>
        </w:rPr>
        <w:t>开标</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1</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2</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"_Toc507692315" </w:instrText>
      </w:r>
      <w:r>
        <w:rPr>
          <w:color w:val="auto"/>
        </w:rPr>
        <w:fldChar w:fldCharType="separate"/>
      </w:r>
      <w:r>
        <w:rPr>
          <w:rStyle w:val="62"/>
          <w:rFonts w:asciiTheme="minorEastAsia" w:hAnsiTheme="minorEastAsia" w:eastAsiaTheme="minorEastAsia"/>
          <w:color w:val="auto"/>
          <w:sz w:val="28"/>
          <w:szCs w:val="28"/>
        </w:rPr>
        <w:t>6</w:t>
      </w:r>
      <w:r>
        <w:rPr>
          <w:rStyle w:val="62"/>
          <w:rFonts w:hint="eastAsia" w:asciiTheme="minorEastAsia" w:hAnsiTheme="minorEastAsia" w:eastAsiaTheme="minorEastAsia"/>
          <w:color w:val="auto"/>
          <w:sz w:val="28"/>
          <w:szCs w:val="28"/>
        </w:rPr>
        <w:t>评标</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1</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2</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"_Toc507692316" </w:instrText>
      </w:r>
      <w:r>
        <w:rPr>
          <w:color w:val="auto"/>
        </w:rPr>
        <w:fldChar w:fldCharType="separate"/>
      </w:r>
      <w:r>
        <w:rPr>
          <w:rStyle w:val="62"/>
          <w:rFonts w:asciiTheme="minorEastAsia" w:hAnsiTheme="minorEastAsia" w:eastAsiaTheme="minorEastAsia"/>
          <w:color w:val="auto"/>
          <w:sz w:val="28"/>
          <w:szCs w:val="28"/>
        </w:rPr>
        <w:t>7</w:t>
      </w:r>
      <w:r>
        <w:rPr>
          <w:rStyle w:val="62"/>
          <w:rFonts w:hint="eastAsia" w:asciiTheme="minorEastAsia" w:hAnsiTheme="minorEastAsia" w:eastAsiaTheme="minorEastAsia"/>
          <w:color w:val="auto"/>
          <w:sz w:val="28"/>
          <w:szCs w:val="28"/>
        </w:rPr>
        <w:t>授予合同</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0</w:t>
      </w:r>
    </w:p>
    <w:p>
      <w:pPr>
        <w:pStyle w:val="4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"_Toc507692317" </w:instrText>
      </w:r>
      <w:r>
        <w:rPr>
          <w:color w:val="auto"/>
        </w:rPr>
        <w:fldChar w:fldCharType="separate"/>
      </w:r>
      <w:r>
        <w:rPr>
          <w:rStyle w:val="62"/>
          <w:rFonts w:hint="eastAsia" w:asciiTheme="minorEastAsia" w:hAnsiTheme="minorEastAsia" w:eastAsiaTheme="minorEastAsia"/>
          <w:color w:val="auto"/>
          <w:sz w:val="28"/>
          <w:szCs w:val="28"/>
        </w:rPr>
        <w:t>第三章工作内容及相关说明</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4</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"_Toc507692318" </w:instrText>
      </w:r>
      <w:r>
        <w:rPr>
          <w:color w:val="auto"/>
        </w:rPr>
        <w:fldChar w:fldCharType="separate"/>
      </w:r>
      <w:r>
        <w:rPr>
          <w:rStyle w:val="62"/>
          <w:rFonts w:asciiTheme="minorEastAsia" w:hAnsiTheme="minorEastAsia" w:eastAsiaTheme="minorEastAsia"/>
          <w:color w:val="auto"/>
          <w:sz w:val="28"/>
          <w:szCs w:val="28"/>
        </w:rPr>
        <w:t xml:space="preserve">1 </w:t>
      </w:r>
      <w:r>
        <w:rPr>
          <w:rStyle w:val="62"/>
          <w:rFonts w:hint="eastAsia" w:asciiTheme="minorEastAsia" w:hAnsiTheme="minorEastAsia" w:eastAsiaTheme="minorEastAsia"/>
          <w:color w:val="auto"/>
          <w:sz w:val="28"/>
          <w:szCs w:val="28"/>
        </w:rPr>
        <w:t>概述</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4</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"_Toc507692319" </w:instrText>
      </w:r>
      <w:r>
        <w:rPr>
          <w:color w:val="auto"/>
        </w:rPr>
        <w:fldChar w:fldCharType="separate"/>
      </w:r>
      <w:r>
        <w:rPr>
          <w:rStyle w:val="62"/>
          <w:rFonts w:asciiTheme="minorEastAsia" w:hAnsiTheme="minorEastAsia" w:eastAsiaTheme="minorEastAsia"/>
          <w:color w:val="auto"/>
          <w:sz w:val="28"/>
          <w:szCs w:val="28"/>
        </w:rPr>
        <w:t xml:space="preserve">2 </w:t>
      </w:r>
      <w:r>
        <w:rPr>
          <w:rStyle w:val="62"/>
          <w:rFonts w:hint="eastAsia" w:asciiTheme="minorEastAsia" w:hAnsiTheme="minorEastAsia" w:eastAsiaTheme="minorEastAsia"/>
          <w:color w:val="auto"/>
          <w:sz w:val="28"/>
          <w:szCs w:val="28"/>
        </w:rPr>
        <w:t>招标内容及要求</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4</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"_Toc507692320" </w:instrText>
      </w:r>
      <w:r>
        <w:rPr>
          <w:color w:val="auto"/>
        </w:rPr>
        <w:fldChar w:fldCharType="separate"/>
      </w:r>
      <w:r>
        <w:rPr>
          <w:rStyle w:val="62"/>
          <w:rFonts w:asciiTheme="minorEastAsia" w:hAnsiTheme="minorEastAsia" w:eastAsiaTheme="minorEastAsia"/>
          <w:color w:val="auto"/>
          <w:sz w:val="28"/>
          <w:szCs w:val="28"/>
        </w:rPr>
        <w:t xml:space="preserve">3 </w:t>
      </w:r>
      <w:r>
        <w:rPr>
          <w:rStyle w:val="62"/>
          <w:rFonts w:hint="eastAsia" w:asciiTheme="minorEastAsia" w:hAnsiTheme="minorEastAsia" w:eastAsiaTheme="minorEastAsia"/>
          <w:color w:val="auto"/>
          <w:sz w:val="28"/>
          <w:szCs w:val="28"/>
        </w:rPr>
        <w:t>技术要求</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5</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"_Toc507692321" </w:instrText>
      </w:r>
      <w:r>
        <w:rPr>
          <w:color w:val="auto"/>
        </w:rPr>
        <w:fldChar w:fldCharType="separate"/>
      </w:r>
      <w:r>
        <w:rPr>
          <w:rStyle w:val="62"/>
          <w:rFonts w:asciiTheme="minorEastAsia" w:hAnsiTheme="minorEastAsia" w:eastAsiaTheme="minorEastAsia"/>
          <w:color w:val="auto"/>
          <w:sz w:val="28"/>
          <w:szCs w:val="28"/>
        </w:rPr>
        <w:t>4 QHSE</w:t>
      </w:r>
      <w:r>
        <w:rPr>
          <w:rStyle w:val="62"/>
          <w:rFonts w:hint="eastAsia" w:asciiTheme="minorEastAsia" w:hAnsiTheme="minorEastAsia" w:eastAsiaTheme="minorEastAsia"/>
          <w:color w:val="auto"/>
          <w:sz w:val="28"/>
          <w:szCs w:val="28"/>
        </w:rPr>
        <w:t>管理要求</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5</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"_Toc507692322" </w:instrText>
      </w:r>
      <w:r>
        <w:rPr>
          <w:color w:val="auto"/>
        </w:rPr>
        <w:fldChar w:fldCharType="separate"/>
      </w:r>
      <w:r>
        <w:rPr>
          <w:rStyle w:val="62"/>
          <w:rFonts w:asciiTheme="minorEastAsia" w:hAnsiTheme="minorEastAsia" w:eastAsiaTheme="minorEastAsia"/>
          <w:color w:val="auto"/>
          <w:sz w:val="28"/>
          <w:szCs w:val="28"/>
        </w:rPr>
        <w:t xml:space="preserve">5 </w:t>
      </w:r>
      <w:r>
        <w:rPr>
          <w:rStyle w:val="62"/>
          <w:rFonts w:hint="eastAsia" w:asciiTheme="minorEastAsia" w:hAnsiTheme="minorEastAsia" w:eastAsiaTheme="minorEastAsia"/>
          <w:color w:val="auto"/>
          <w:sz w:val="28"/>
          <w:szCs w:val="28"/>
        </w:rPr>
        <w:t>进度要求</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5</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"_Toc507692323" </w:instrText>
      </w:r>
      <w:r>
        <w:rPr>
          <w:color w:val="auto"/>
        </w:rPr>
        <w:fldChar w:fldCharType="separate"/>
      </w:r>
      <w:r>
        <w:rPr>
          <w:rStyle w:val="62"/>
          <w:rFonts w:asciiTheme="minorEastAsia" w:hAnsiTheme="minorEastAsia" w:eastAsiaTheme="minorEastAsia"/>
          <w:color w:val="auto"/>
          <w:sz w:val="28"/>
          <w:szCs w:val="28"/>
        </w:rPr>
        <w:t xml:space="preserve">6 </w:t>
      </w:r>
      <w:r>
        <w:rPr>
          <w:rStyle w:val="62"/>
          <w:rFonts w:hint="eastAsia" w:asciiTheme="minorEastAsia" w:hAnsiTheme="minorEastAsia" w:eastAsiaTheme="minorEastAsia"/>
          <w:color w:val="auto"/>
          <w:sz w:val="28"/>
          <w:szCs w:val="28"/>
        </w:rPr>
        <w:t>成果要求</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6</w:t>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"_Toc507692324" </w:instrText>
      </w:r>
      <w:r>
        <w:rPr>
          <w:color w:val="auto"/>
        </w:rPr>
        <w:fldChar w:fldCharType="separate"/>
      </w:r>
      <w:r>
        <w:rPr>
          <w:rStyle w:val="62"/>
          <w:rFonts w:asciiTheme="minorEastAsia" w:hAnsiTheme="minorEastAsia" w:eastAsiaTheme="minorEastAsia"/>
          <w:color w:val="auto"/>
          <w:sz w:val="28"/>
          <w:szCs w:val="28"/>
        </w:rPr>
        <w:t xml:space="preserve">7 </w:t>
      </w:r>
      <w:r>
        <w:rPr>
          <w:rStyle w:val="62"/>
          <w:rFonts w:hint="eastAsia" w:asciiTheme="minorEastAsia" w:hAnsiTheme="minorEastAsia" w:eastAsiaTheme="minorEastAsia"/>
          <w:color w:val="auto"/>
          <w:sz w:val="28"/>
          <w:szCs w:val="28"/>
        </w:rPr>
        <w:t>承包方式</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7</w:t>
      </w:r>
    </w:p>
    <w:p>
      <w:pPr>
        <w:pStyle w:val="4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"_Toc507692325" </w:instrText>
      </w:r>
      <w:r>
        <w:rPr>
          <w:color w:val="auto"/>
        </w:rPr>
        <w:fldChar w:fldCharType="separate"/>
      </w:r>
      <w:r>
        <w:rPr>
          <w:rStyle w:val="62"/>
          <w:rFonts w:hint="eastAsia" w:asciiTheme="minorEastAsia" w:hAnsiTheme="minorEastAsia" w:eastAsiaTheme="minorEastAsia"/>
          <w:color w:val="auto"/>
          <w:sz w:val="28"/>
          <w:szCs w:val="28"/>
        </w:rPr>
        <w:t>第四章投标文件要求</w:t>
      </w:r>
      <w:r>
        <w:rPr>
          <w:rFonts w:asciiTheme="minorEastAsia" w:hAnsiTheme="minorEastAsia" w:eastAsiaTheme="minorEastAsia"/>
          <w:color w:val="auto"/>
          <w:sz w:val="28"/>
          <w:szCs w:val="28"/>
        </w:rPr>
        <w:tab/>
      </w:r>
      <w:r>
        <w:rPr>
          <w:rFonts w:asciiTheme="minorEastAsia" w:hAnsiTheme="minorEastAsia" w:eastAsiaTheme="minorEastAsia"/>
          <w:color w:val="auto"/>
          <w:sz w:val="28"/>
          <w:szCs w:val="28"/>
        </w:rPr>
        <w:fldChar w:fldCharType="begin"/>
      </w:r>
      <w:r>
        <w:rPr>
          <w:rFonts w:asciiTheme="minorEastAsia" w:hAnsiTheme="minorEastAsia" w:eastAsiaTheme="minorEastAsia"/>
          <w:color w:val="auto"/>
          <w:sz w:val="28"/>
          <w:szCs w:val="28"/>
        </w:rPr>
        <w:instrText xml:space="preserve"> PAGEREF _Toc507692325 \h </w:instrText>
      </w:r>
      <w:r>
        <w:rPr>
          <w:rFonts w:asciiTheme="minorEastAsia" w:hAnsiTheme="minorEastAsia" w:eastAsiaTheme="minorEastAsia"/>
          <w:color w:val="auto"/>
          <w:sz w:val="28"/>
          <w:szCs w:val="28"/>
        </w:rPr>
        <w:fldChar w:fldCharType="separate"/>
      </w:r>
      <w:r>
        <w:rPr>
          <w:rFonts w:asciiTheme="minorEastAsia" w:hAnsiTheme="minorEastAsia" w:eastAsiaTheme="minorEastAsia"/>
          <w:color w:val="auto"/>
          <w:sz w:val="28"/>
          <w:szCs w:val="28"/>
        </w:rPr>
        <w:t>32</w:t>
      </w:r>
      <w:r>
        <w:rPr>
          <w:rFonts w:asciiTheme="minorEastAsia" w:hAnsiTheme="minorEastAsia" w:eastAsiaTheme="minorEastAsia"/>
          <w:color w:val="auto"/>
          <w:sz w:val="28"/>
          <w:szCs w:val="28"/>
        </w:rPr>
        <w:fldChar w:fldCharType="end"/>
      </w:r>
      <w:r>
        <w:rPr>
          <w:rFonts w:asciiTheme="minorEastAsia" w:hAnsiTheme="minorEastAsia" w:eastAsiaTheme="minorEastAsia"/>
          <w:color w:val="auto"/>
          <w:sz w:val="28"/>
          <w:szCs w:val="28"/>
        </w:rPr>
        <w:fldChar w:fldCharType="end"/>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"_Toc507692326" </w:instrText>
      </w:r>
      <w:r>
        <w:rPr>
          <w:color w:val="auto"/>
        </w:rPr>
        <w:fldChar w:fldCharType="separate"/>
      </w:r>
      <w:r>
        <w:rPr>
          <w:rStyle w:val="62"/>
          <w:rFonts w:asciiTheme="minorEastAsia" w:hAnsiTheme="minorEastAsia" w:eastAsiaTheme="minorEastAsia"/>
          <w:color w:val="auto"/>
          <w:sz w:val="28"/>
          <w:szCs w:val="28"/>
        </w:rPr>
        <w:t>1</w:t>
      </w:r>
      <w:r>
        <w:rPr>
          <w:rStyle w:val="62"/>
          <w:rFonts w:hint="eastAsia" w:asciiTheme="minorEastAsia" w:hAnsiTheme="minorEastAsia" w:eastAsiaTheme="minorEastAsia"/>
          <w:color w:val="auto"/>
          <w:sz w:val="28"/>
          <w:szCs w:val="28"/>
        </w:rPr>
        <w:t>投标文件的编制</w:t>
      </w:r>
      <w:r>
        <w:rPr>
          <w:rFonts w:asciiTheme="minorEastAsia" w:hAnsiTheme="minorEastAsia" w:eastAsiaTheme="minorEastAsia"/>
          <w:color w:val="auto"/>
          <w:sz w:val="28"/>
          <w:szCs w:val="28"/>
        </w:rPr>
        <w:tab/>
      </w:r>
      <w:r>
        <w:rPr>
          <w:rFonts w:asciiTheme="minorEastAsia" w:hAnsiTheme="minorEastAsia" w:eastAsiaTheme="minorEastAsia"/>
          <w:color w:val="auto"/>
          <w:sz w:val="28"/>
          <w:szCs w:val="28"/>
        </w:rPr>
        <w:fldChar w:fldCharType="begin"/>
      </w:r>
      <w:r>
        <w:rPr>
          <w:rFonts w:asciiTheme="minorEastAsia" w:hAnsiTheme="minorEastAsia" w:eastAsiaTheme="minorEastAsia"/>
          <w:color w:val="auto"/>
          <w:sz w:val="28"/>
          <w:szCs w:val="28"/>
        </w:rPr>
        <w:instrText xml:space="preserve"> PAGEREF _Toc507692326 \h </w:instrText>
      </w:r>
      <w:r>
        <w:rPr>
          <w:rFonts w:asciiTheme="minorEastAsia" w:hAnsiTheme="minorEastAsia" w:eastAsiaTheme="minorEastAsia"/>
          <w:color w:val="auto"/>
          <w:sz w:val="28"/>
          <w:szCs w:val="28"/>
        </w:rPr>
        <w:fldChar w:fldCharType="separate"/>
      </w:r>
      <w:r>
        <w:rPr>
          <w:b/>
        </w:rPr>
        <w:t>错误！未定义书签。</w:t>
      </w:r>
      <w:r>
        <w:rPr>
          <w:rFonts w:asciiTheme="minorEastAsia" w:hAnsiTheme="minorEastAsia" w:eastAsiaTheme="minorEastAsia"/>
          <w:color w:val="auto"/>
          <w:sz w:val="28"/>
          <w:szCs w:val="28"/>
        </w:rPr>
        <w:fldChar w:fldCharType="end"/>
      </w:r>
      <w:r>
        <w:rPr>
          <w:rFonts w:asciiTheme="minorEastAsia" w:hAnsiTheme="minorEastAsia" w:eastAsiaTheme="minorEastAsia"/>
          <w:color w:val="auto"/>
          <w:sz w:val="28"/>
          <w:szCs w:val="28"/>
        </w:rPr>
        <w:fldChar w:fldCharType="end"/>
      </w:r>
    </w:p>
    <w:p>
      <w:pPr>
        <w:pStyle w:val="5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"_Toc507692327" </w:instrText>
      </w:r>
      <w:r>
        <w:rPr>
          <w:color w:val="auto"/>
        </w:rPr>
        <w:fldChar w:fldCharType="separate"/>
      </w:r>
      <w:r>
        <w:rPr>
          <w:rStyle w:val="62"/>
          <w:rFonts w:asciiTheme="minorEastAsia" w:hAnsiTheme="minorEastAsia" w:eastAsiaTheme="minorEastAsia"/>
          <w:color w:val="auto"/>
          <w:sz w:val="28"/>
          <w:szCs w:val="28"/>
        </w:rPr>
        <w:t>2</w:t>
      </w:r>
      <w:r>
        <w:rPr>
          <w:rStyle w:val="62"/>
          <w:rFonts w:hint="eastAsia" w:asciiTheme="minorEastAsia" w:hAnsiTheme="minorEastAsia" w:eastAsiaTheme="minorEastAsia"/>
          <w:color w:val="auto"/>
          <w:sz w:val="28"/>
          <w:szCs w:val="28"/>
        </w:rPr>
        <w:t>投标文件的内容及格式</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3</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2</w:t>
      </w:r>
    </w:p>
    <w:p>
      <w:pPr>
        <w:pStyle w:val="42"/>
        <w:tabs>
          <w:tab w:val="right" w:leader="dot" w:pos="8778"/>
        </w:tabs>
        <w:spacing w:line="360" w:lineRule="auto"/>
        <w:rPr>
          <w:rFonts w:asciiTheme="minorEastAsia" w:hAnsiTheme="minorEastAsia" w:eastAsiaTheme="minorEastAsia" w:cstheme="minorBidi"/>
          <w:color w:val="auto"/>
          <w:sz w:val="28"/>
          <w:szCs w:val="28"/>
        </w:rPr>
      </w:pPr>
      <w:r>
        <w:rPr>
          <w:color w:val="auto"/>
        </w:rPr>
        <w:fldChar w:fldCharType="begin"/>
      </w:r>
      <w:r>
        <w:rPr>
          <w:color w:val="auto"/>
        </w:rPr>
        <w:instrText xml:space="preserve"> HYPERLINK \l "_Toc507692328" </w:instrText>
      </w:r>
      <w:r>
        <w:rPr>
          <w:color w:val="auto"/>
        </w:rPr>
        <w:fldChar w:fldCharType="separate"/>
      </w:r>
      <w:r>
        <w:rPr>
          <w:rStyle w:val="62"/>
          <w:rFonts w:hint="eastAsia" w:asciiTheme="minorEastAsia" w:hAnsiTheme="minorEastAsia" w:eastAsiaTheme="minorEastAsia"/>
          <w:color w:val="auto"/>
          <w:sz w:val="28"/>
          <w:szCs w:val="28"/>
        </w:rPr>
        <w:t>第五章拟签订合同主要条款和格式</w:t>
      </w:r>
      <w:r>
        <w:rPr>
          <w:rFonts w:asciiTheme="minorEastAsia" w:hAnsiTheme="minorEastAsia" w:eastAsiaTheme="minorEastAsia"/>
          <w:color w:val="auto"/>
          <w:sz w:val="28"/>
          <w:szCs w:val="28"/>
        </w:rPr>
        <w:tab/>
      </w:r>
      <w:r>
        <w:rPr>
          <w:rFonts w:asciiTheme="minorEastAsia" w:hAnsiTheme="minorEastAsia" w:eastAsiaTheme="minorEastAsia"/>
          <w:color w:val="auto"/>
          <w:sz w:val="28"/>
          <w:szCs w:val="28"/>
        </w:rPr>
        <w:fldChar w:fldCharType="begin"/>
      </w:r>
      <w:r>
        <w:rPr>
          <w:rFonts w:asciiTheme="minorEastAsia" w:hAnsiTheme="minorEastAsia" w:eastAsiaTheme="minorEastAsia"/>
          <w:color w:val="auto"/>
          <w:sz w:val="28"/>
          <w:szCs w:val="28"/>
        </w:rPr>
        <w:instrText xml:space="preserve"> PAGEREF _Toc507692328 \h </w:instrText>
      </w:r>
      <w:r>
        <w:rPr>
          <w:rFonts w:asciiTheme="minorEastAsia" w:hAnsiTheme="minorEastAsia" w:eastAsiaTheme="minorEastAsia"/>
          <w:color w:val="auto"/>
          <w:sz w:val="28"/>
          <w:szCs w:val="28"/>
        </w:rPr>
        <w:fldChar w:fldCharType="separate"/>
      </w:r>
      <w:r>
        <w:rPr>
          <w:rFonts w:asciiTheme="minorEastAsia" w:hAnsiTheme="minorEastAsia" w:eastAsiaTheme="minorEastAsia"/>
          <w:color w:val="auto"/>
          <w:sz w:val="28"/>
          <w:szCs w:val="28"/>
        </w:rPr>
        <w:t>63</w:t>
      </w:r>
      <w:r>
        <w:rPr>
          <w:rFonts w:asciiTheme="minorEastAsia" w:hAnsiTheme="minorEastAsia" w:eastAsiaTheme="minorEastAsia"/>
          <w:color w:val="auto"/>
          <w:sz w:val="28"/>
          <w:szCs w:val="28"/>
        </w:rPr>
        <w:fldChar w:fldCharType="end"/>
      </w:r>
      <w:r>
        <w:rPr>
          <w:rFonts w:asciiTheme="minorEastAsia" w:hAnsiTheme="minorEastAsia" w:eastAsiaTheme="minorEastAsia"/>
          <w:color w:val="auto"/>
          <w:sz w:val="28"/>
          <w:szCs w:val="28"/>
        </w:rPr>
        <w:fldChar w:fldCharType="end"/>
      </w:r>
    </w:p>
    <w:p>
      <w:pPr>
        <w:pStyle w:val="42"/>
        <w:tabs>
          <w:tab w:val="right" w:leader="dot" w:pos="8778"/>
        </w:tabs>
        <w:spacing w:line="360" w:lineRule="auto"/>
        <w:rPr>
          <w:rFonts w:asciiTheme="minorHAnsi" w:hAnsiTheme="minorHAnsi" w:eastAsiaTheme="minorEastAsia" w:cstheme="minorBidi"/>
          <w:color w:val="auto"/>
          <w:sz w:val="28"/>
          <w:szCs w:val="28"/>
        </w:rPr>
      </w:pPr>
      <w:r>
        <w:rPr>
          <w:color w:val="auto"/>
        </w:rPr>
        <w:fldChar w:fldCharType="begin"/>
      </w:r>
      <w:r>
        <w:rPr>
          <w:color w:val="auto"/>
        </w:rPr>
        <w:instrText xml:space="preserve"> HYPERLINK \l "_Toc507692329" </w:instrText>
      </w:r>
      <w:r>
        <w:rPr>
          <w:color w:val="auto"/>
        </w:rPr>
        <w:fldChar w:fldCharType="separate"/>
      </w:r>
      <w:r>
        <w:rPr>
          <w:rStyle w:val="62"/>
          <w:rFonts w:hint="eastAsia" w:asciiTheme="minorEastAsia" w:hAnsiTheme="minorEastAsia" w:eastAsiaTheme="minorEastAsia"/>
          <w:color w:val="auto"/>
          <w:sz w:val="28"/>
          <w:szCs w:val="28"/>
        </w:rPr>
        <w:t>附件</w:t>
      </w:r>
      <w:r>
        <w:rPr>
          <w:rFonts w:asciiTheme="minorEastAsia" w:hAnsiTheme="minorEastAsia" w:eastAsiaTheme="minorEastAsia"/>
          <w:color w:val="auto"/>
          <w:sz w:val="28"/>
          <w:szCs w:val="28"/>
        </w:rPr>
        <w:tab/>
      </w:r>
      <w:r>
        <w:rPr>
          <w:rFonts w:hint="eastAsia" w:asciiTheme="minorEastAsia" w:hAnsiTheme="minorEastAsia" w:eastAsiaTheme="minorEastAsia"/>
          <w:color w:val="auto"/>
          <w:sz w:val="28"/>
          <w:szCs w:val="28"/>
        </w:rPr>
        <w:t>4</w:t>
      </w:r>
      <w:r>
        <w:rPr>
          <w:rFonts w:hint="eastAsia"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9</w:t>
      </w:r>
    </w:p>
    <w:p>
      <w:pPr>
        <w:spacing w:line="360" w:lineRule="auto"/>
        <w:ind w:firstLine="4505" w:firstLineChars="1609"/>
        <w:rPr>
          <w:rFonts w:asciiTheme="minorEastAsia" w:hAnsiTheme="minorEastAsia" w:eastAsiaTheme="minorEastAsia"/>
          <w:color w:val="auto"/>
          <w:szCs w:val="21"/>
        </w:rPr>
        <w:sectPr>
          <w:headerReference r:id="rId3" w:type="default"/>
          <w:pgSz w:w="11907" w:h="16840"/>
          <w:pgMar w:top="1474" w:right="1531" w:bottom="1531" w:left="1588" w:header="1247" w:footer="851" w:gutter="0"/>
          <w:pgNumType w:start="1"/>
          <w:cols w:space="720" w:num="1"/>
          <w:titlePg/>
          <w:docGrid w:linePitch="285" w:charSpace="0"/>
        </w:sectPr>
      </w:pPr>
      <w:r>
        <w:rPr>
          <w:rFonts w:asciiTheme="minorEastAsia" w:hAnsiTheme="minorEastAsia" w:eastAsiaTheme="minorEastAsia"/>
          <w:color w:val="auto"/>
          <w:sz w:val="28"/>
          <w:szCs w:val="28"/>
        </w:rPr>
        <w:fldChar w:fldCharType="end"/>
      </w:r>
    </w:p>
    <w:bookmarkEnd w:id="0"/>
    <w:bookmarkEnd w:id="1"/>
    <w:p>
      <w:pPr>
        <w:spacing w:beforeLines="50" w:afterLines="50" w:line="360" w:lineRule="auto"/>
        <w:jc w:val="center"/>
        <w:outlineLvl w:val="0"/>
        <w:rPr>
          <w:rStyle w:val="325"/>
          <w:rFonts w:hAnsi="宋体" w:cs="宋体"/>
          <w:color w:val="auto"/>
          <w:sz w:val="44"/>
          <w:szCs w:val="44"/>
        </w:rPr>
      </w:pPr>
      <w:bookmarkStart w:id="2" w:name="投标须知前附表"/>
      <w:bookmarkEnd w:id="2"/>
      <w:bookmarkStart w:id="3" w:name="_Toc507692308"/>
      <w:bookmarkStart w:id="4" w:name="_Toc152822554"/>
      <w:bookmarkStart w:id="5" w:name="_Toc61233462"/>
      <w:bookmarkStart w:id="6" w:name="_Toc62987582"/>
      <w:bookmarkStart w:id="7" w:name="_Toc152821118"/>
      <w:bookmarkStart w:id="8" w:name="_Toc152820388"/>
      <w:bookmarkStart w:id="9" w:name="_Toc532443991"/>
      <w:bookmarkStart w:id="10" w:name="_Toc152822947"/>
      <w:r>
        <w:rPr>
          <w:rStyle w:val="325"/>
          <w:rFonts w:hint="eastAsia" w:hAnsi="宋体" w:cs="宋体"/>
          <w:color w:val="auto"/>
          <w:sz w:val="44"/>
          <w:szCs w:val="44"/>
        </w:rPr>
        <w:t>第一章  投标邀请函</w:t>
      </w:r>
    </w:p>
    <w:p>
      <w:pPr>
        <w:snapToGrid w:val="0"/>
        <w:spacing w:line="440" w:lineRule="exact"/>
        <w:ind w:firstLine="480" w:firstLineChars="200"/>
        <w:rPr>
          <w:rFonts w:ascii="宋体" w:hAnsi="宋体" w:cs="宋体"/>
          <w:color w:val="auto"/>
          <w:sz w:val="24"/>
          <w:lang w:val="en-GB"/>
        </w:rPr>
      </w:pPr>
      <w:r>
        <w:rPr>
          <w:rFonts w:hint="eastAsia" w:ascii="宋体" w:hAnsi="宋体" w:cs="宋体"/>
          <w:color w:val="auto"/>
          <w:sz w:val="24"/>
          <w:lang w:val="en-GB"/>
        </w:rPr>
        <w:t>受海口市不动产登记中心（以下简称“采购人”）的委托，海南中联华夏项目管理有限公司（以下简称“招标代理机构”）拟对海口市房地楼幢测绘及编制不动产单元编码项目招标（项目编号：</w:t>
      </w:r>
      <w:r>
        <w:rPr>
          <w:rFonts w:hint="eastAsia" w:ascii="宋体" w:hAnsi="宋体" w:cs="宋体"/>
          <w:color w:val="auto"/>
          <w:sz w:val="24"/>
          <w:lang w:eastAsia="zh-CN"/>
        </w:rPr>
        <w:t>ZLHX2019-008</w:t>
      </w:r>
      <w:r>
        <w:rPr>
          <w:rFonts w:hint="eastAsia" w:ascii="宋体" w:hAnsi="宋体" w:cs="宋体"/>
          <w:color w:val="auto"/>
          <w:sz w:val="24"/>
          <w:lang w:val="en-GB"/>
        </w:rPr>
        <w:t>）所需的货物及服务组织公开招标采购工作，兹邀请符合本次公开招标采购要求的投标人进行密封投标，有关事项如下：</w:t>
      </w:r>
    </w:p>
    <w:p>
      <w:pPr>
        <w:autoSpaceDE w:val="0"/>
        <w:autoSpaceDN w:val="0"/>
        <w:adjustRightInd w:val="0"/>
        <w:snapToGrid w:val="0"/>
        <w:spacing w:beforeLines="50" w:afterLines="50" w:line="440" w:lineRule="exact"/>
        <w:rPr>
          <w:rFonts w:ascii="宋体" w:hAnsi="宋体" w:cs="宋体"/>
          <w:color w:val="auto"/>
          <w:sz w:val="28"/>
          <w:szCs w:val="28"/>
          <w:lang w:val="zh-CN"/>
        </w:rPr>
      </w:pPr>
      <w:r>
        <w:rPr>
          <w:rFonts w:hint="eastAsia" w:ascii="宋体" w:hAnsi="宋体" w:cs="宋体"/>
          <w:b/>
          <w:bCs/>
          <w:color w:val="auto"/>
          <w:sz w:val="28"/>
          <w:szCs w:val="28"/>
          <w:lang w:val="zh-CN"/>
        </w:rPr>
        <w:t>一、招标项目的名称、用途、数量、资金来源及简要技术要求或招标性质：</w:t>
      </w:r>
    </w:p>
    <w:p>
      <w:pPr>
        <w:autoSpaceDE w:val="0"/>
        <w:autoSpaceDN w:val="0"/>
        <w:adjustRightInd w:val="0"/>
        <w:snapToGrid w:val="0"/>
        <w:spacing w:line="440" w:lineRule="exact"/>
        <w:ind w:firstLine="480" w:firstLineChars="200"/>
        <w:rPr>
          <w:rFonts w:ascii="宋体" w:hAnsi="宋体" w:cs="宋体"/>
          <w:color w:val="auto"/>
          <w:sz w:val="24"/>
          <w:lang w:val="en-GB"/>
        </w:rPr>
      </w:pPr>
      <w:r>
        <w:rPr>
          <w:rFonts w:hint="eastAsia" w:ascii="宋体" w:hAnsi="宋体" w:cs="宋体"/>
          <w:color w:val="auto"/>
          <w:sz w:val="24"/>
          <w:lang w:val="en-GB"/>
        </w:rPr>
        <w:t>1、项目名称：海口市房地楼幢测绘及编制不动产单元编码项目</w:t>
      </w:r>
    </w:p>
    <w:p>
      <w:pPr>
        <w:autoSpaceDE w:val="0"/>
        <w:autoSpaceDN w:val="0"/>
        <w:adjustRightInd w:val="0"/>
        <w:snapToGrid w:val="0"/>
        <w:spacing w:line="440" w:lineRule="exact"/>
        <w:ind w:firstLine="480" w:firstLineChars="200"/>
        <w:rPr>
          <w:rFonts w:ascii="宋体" w:hAnsi="宋体" w:cs="宋体"/>
          <w:color w:val="auto"/>
          <w:sz w:val="24"/>
          <w:lang w:val="en-GB"/>
        </w:rPr>
      </w:pPr>
      <w:r>
        <w:rPr>
          <w:rFonts w:hint="eastAsia" w:ascii="宋体" w:hAnsi="宋体" w:cs="宋体"/>
          <w:color w:val="auto"/>
          <w:sz w:val="24"/>
          <w:lang w:val="en-GB"/>
        </w:rPr>
        <w:t>2、采购预算：¥</w:t>
      </w:r>
      <w:r>
        <w:rPr>
          <w:rFonts w:hint="eastAsia" w:ascii="宋体" w:hAnsi="宋体" w:cs="宋体"/>
          <w:color w:val="auto"/>
          <w:sz w:val="24"/>
        </w:rPr>
        <w:t>10</w:t>
      </w:r>
      <w:r>
        <w:rPr>
          <w:rFonts w:hint="eastAsia" w:ascii="宋体" w:hAnsi="宋体" w:cs="宋体"/>
          <w:color w:val="auto"/>
          <w:sz w:val="24"/>
          <w:lang w:val="en-US" w:eastAsia="zh-CN"/>
        </w:rPr>
        <w:t>1611437</w:t>
      </w:r>
      <w:r>
        <w:rPr>
          <w:rFonts w:hint="eastAsia" w:ascii="宋体" w:hAnsi="宋体" w:cs="宋体"/>
          <w:color w:val="auto"/>
          <w:sz w:val="24"/>
          <w:lang w:val="en-GB"/>
        </w:rPr>
        <w:t>.00元 ；</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3、招标内容：详见《工作内容及相关要求》</w:t>
      </w:r>
    </w:p>
    <w:p>
      <w:pPr>
        <w:autoSpaceDE w:val="0"/>
        <w:autoSpaceDN w:val="0"/>
        <w:adjustRightInd w:val="0"/>
        <w:snapToGrid w:val="0"/>
        <w:spacing w:line="440" w:lineRule="exact"/>
        <w:ind w:firstLine="480" w:firstLineChars="200"/>
        <w:rPr>
          <w:rFonts w:ascii="宋体" w:hAnsi="宋体" w:cs="宋体"/>
          <w:color w:val="auto"/>
          <w:sz w:val="24"/>
          <w:lang w:val="en-GB"/>
        </w:rPr>
      </w:pPr>
      <w:r>
        <w:rPr>
          <w:rFonts w:hint="eastAsia" w:ascii="宋体" w:hAnsi="宋体" w:cs="宋体"/>
          <w:color w:val="auto"/>
          <w:sz w:val="24"/>
          <w:lang w:val="en-GB"/>
        </w:rPr>
        <w:t>4、数量：一批</w:t>
      </w:r>
    </w:p>
    <w:p>
      <w:pPr>
        <w:autoSpaceDE w:val="0"/>
        <w:autoSpaceDN w:val="0"/>
        <w:adjustRightInd w:val="0"/>
        <w:snapToGrid w:val="0"/>
        <w:spacing w:line="440" w:lineRule="exact"/>
        <w:ind w:firstLine="480" w:firstLineChars="200"/>
        <w:rPr>
          <w:rFonts w:ascii="宋体" w:hAnsi="宋体" w:cs="宋体"/>
          <w:color w:val="auto"/>
          <w:sz w:val="24"/>
          <w:lang w:val="en-GB"/>
        </w:rPr>
      </w:pPr>
      <w:r>
        <w:rPr>
          <w:rFonts w:hint="eastAsia" w:ascii="宋体" w:hAnsi="宋体" w:cs="宋体"/>
          <w:color w:val="auto"/>
          <w:sz w:val="24"/>
          <w:lang w:val="en-GB"/>
        </w:rPr>
        <w:t>5、简要技术要求或招标性质：详见《工作内容及相关要求》</w:t>
      </w:r>
    </w:p>
    <w:p>
      <w:pPr>
        <w:autoSpaceDE w:val="0"/>
        <w:autoSpaceDN w:val="0"/>
        <w:adjustRightInd w:val="0"/>
        <w:snapToGrid w:val="0"/>
        <w:spacing w:beforeLines="50" w:afterLines="50" w:line="440" w:lineRule="exact"/>
        <w:rPr>
          <w:rFonts w:ascii="宋体" w:hAnsi="宋体" w:cs="宋体"/>
          <w:b/>
          <w:bCs/>
          <w:color w:val="auto"/>
          <w:sz w:val="28"/>
          <w:szCs w:val="28"/>
          <w:lang w:val="zh-CN"/>
        </w:rPr>
      </w:pPr>
      <w:r>
        <w:rPr>
          <w:rFonts w:hint="eastAsia" w:ascii="宋体" w:hAnsi="宋体" w:cs="宋体"/>
          <w:b/>
          <w:bCs/>
          <w:color w:val="auto"/>
          <w:sz w:val="28"/>
          <w:szCs w:val="28"/>
          <w:lang w:val="zh-CN"/>
        </w:rPr>
        <w:t xml:space="preserve">二、投标人资格要求：（投标人必须具备以下条件并提交相关证明资料） </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1、在中华人民共和国境内注册、具有独立承担民事责任能力的法人（需提供企业有效的营业执照、组织机构代码证、税务登记证副本；如为“三证合一”企业，提供有效的营业执照副本；如为事业单位，提供有效的事业单位法人证书副本，以上证书提供复印件并加盖公章，原件现场核查）。</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 xml:space="preserve">2、投标人应具有良好的商业信誉和健全的财务会计制度（须提供2016年度-2017年度财务报告；新注册公司须提供注册时间起至今每月或每季度的财务报表（须含资产负债表、利润表））。 </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3、投标人应具有依法缴纳税收的良好记录 (需提供2017-2018年两年的企业纳税凭证)。</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4、投标人应具有社会保障资金的良好记录（需提供2018年连续三个月依法缴纳社会保障资金的凭证）。</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5、投标人必须为未被列入信用中国网站(www.creditchina.gov.cn)的“失信被执行人”、“重大税收违法案件当事人名单”、“政府采购严重违法失信名单”和中国政府采购网(www.ccgp.gov.cn) 的“政府采购严重违法失信行为记录名单”的供应商，且投标人必须在测绘地理信息行业信用管理平台(http://zwfw.nasg.gov.cn/app/credit/index）上无任何不良信息（提供开标前7天内的查询结果网页截图并加盖单位公章）。</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6、1包—4包投标人应同时具有行政主管部门颁发的不动产测绘(须包含地籍测绘)及工程测量专业甲级测绘资质；5包投标人应同时具有行政主管部门颁发的测绘航空摄影、摄影测量与遥感专业甲级测绘资质；6包投标人应具有ISO9001质量管理体系认证资质（近三年内具有地理信息系统的开发成果案例）；7包投标人应同时具有行政主管部门颁发的不动产测绘、工程测量、摄影测量与遥感、地理信息系统工程专业甲级测绘资质。提供资质证书复印件并加盖公章，原件现场核查。</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7、1包—4包</w:t>
      </w:r>
      <w:r>
        <w:rPr>
          <w:rFonts w:hint="eastAsia" w:ascii="宋体" w:hAnsi="宋体" w:cs="宋体"/>
          <w:color w:val="auto"/>
          <w:sz w:val="24"/>
          <w:lang w:val="en-GB" w:eastAsia="zh-CN"/>
        </w:rPr>
        <w:t>是</w:t>
      </w:r>
      <w:r>
        <w:rPr>
          <w:rFonts w:hint="eastAsia" w:ascii="宋体" w:hAnsi="宋体" w:cs="宋体"/>
          <w:color w:val="auto"/>
          <w:sz w:val="24"/>
          <w:lang w:val="en-GB"/>
        </w:rPr>
        <w:t>省外投标人还须持有海南省测绘地理信息行政主管部门颁发的《海南省省外测绘地理信息单位验证登记证》，提供复印件并加盖公章，原件现场核查。</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8、投标人在参加政府采购活动前三年内（注册成立时间不足三年的，从注册时间起算），在经营活动中没有重大违法记录（提供声明函）。</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9、投标人应承诺按投标方案投入相应的技术人员和售后服务人员，并保持相对稳定，变更人员须经采购人同意，替换的人员要与投标方案人员资格及水平一致或优于。否则采购人有权要求中标人进行整改，整改不到位可按违约处理。</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10、本项目不接受联合体投标，不得转包。</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11、投标人参与投标前必须到现场进行勘察调研，明确具体的工作内容和要求，并完善《现场勘察调研报告》，投标文件不提供《现场勘察调研报告》视为无效投标文件。（须提供经招标人盖章确认的《现场勘察调研报告》，并将相关原件放入响应文件正本中）。</w:t>
      </w:r>
    </w:p>
    <w:p>
      <w:pPr>
        <w:autoSpaceDE w:val="0"/>
        <w:autoSpaceDN w:val="0"/>
        <w:adjustRightInd w:val="0"/>
        <w:snapToGrid w:val="0"/>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12、同一投标人可参与1包—4包中任意两个包次的竞标, 并同时可以参与5包、6包及7包的竞标，但投标人只允许中标其中一个包次，其优先顺序为5包、6包、7包、1包、2包、3包、4包（例如：同时参与1包、2包、5包、6包及7包的竞标并同时中得，则其只有5包的中标有效，1包、2包、6包及7包中标无效，由排名其后的中标候选人依次递补）。</w:t>
      </w:r>
    </w:p>
    <w:p>
      <w:pPr>
        <w:autoSpaceDE w:val="0"/>
        <w:autoSpaceDN w:val="0"/>
        <w:adjustRightInd w:val="0"/>
        <w:snapToGrid w:val="0"/>
        <w:spacing w:beforeLines="50" w:afterLines="50" w:line="440" w:lineRule="exact"/>
        <w:rPr>
          <w:rFonts w:ascii="宋体" w:hAnsi="宋体" w:cs="宋体"/>
          <w:b/>
          <w:bCs/>
          <w:color w:val="auto"/>
          <w:sz w:val="24"/>
          <w:lang w:val="en-GB"/>
        </w:rPr>
      </w:pPr>
      <w:r>
        <w:rPr>
          <w:rFonts w:hint="eastAsia" w:ascii="宋体" w:hAnsi="宋体" w:cs="宋体"/>
          <w:b/>
          <w:bCs/>
          <w:color w:val="auto"/>
          <w:sz w:val="24"/>
          <w:lang w:val="en-GB"/>
        </w:rPr>
        <w:t>三、获取招标文件：</w:t>
      </w:r>
    </w:p>
    <w:p>
      <w:pPr>
        <w:spacing w:line="440" w:lineRule="exact"/>
        <w:ind w:firstLine="480" w:firstLineChars="200"/>
        <w:rPr>
          <w:rFonts w:ascii="宋体" w:hAnsi="宋体" w:cs="宋体"/>
          <w:bCs/>
          <w:color w:val="auto"/>
          <w:kern w:val="0"/>
          <w:sz w:val="24"/>
          <w:lang w:val="en-GB"/>
        </w:rPr>
      </w:pPr>
      <w:r>
        <w:rPr>
          <w:rFonts w:hint="eastAsia" w:ascii="宋体" w:hAnsi="宋体" w:cs="宋体"/>
          <w:bCs/>
          <w:color w:val="auto"/>
          <w:kern w:val="0"/>
          <w:sz w:val="24"/>
          <w:lang w:val="en-GB"/>
        </w:rPr>
        <w:t>1、</w:t>
      </w:r>
      <w:r>
        <w:rPr>
          <w:rFonts w:hint="eastAsia" w:ascii="宋体" w:hAnsi="宋体" w:cs="宋体"/>
          <w:bCs/>
          <w:color w:val="auto"/>
          <w:sz w:val="24"/>
          <w:lang w:val="en-GB"/>
        </w:rPr>
        <w:t>时间</w:t>
      </w:r>
      <w:r>
        <w:rPr>
          <w:rFonts w:hint="eastAsia" w:ascii="宋体" w:hAnsi="宋体" w:cs="宋体"/>
          <w:bCs/>
          <w:color w:val="auto"/>
          <w:sz w:val="24"/>
        </w:rPr>
        <w:t>：</w:t>
      </w:r>
      <w:r>
        <w:rPr>
          <w:rFonts w:hint="eastAsia" w:ascii="宋体" w:hAnsi="宋体" w:cs="宋体"/>
          <w:bCs/>
          <w:color w:val="auto"/>
          <w:sz w:val="24"/>
          <w:lang w:eastAsia="zh-CN"/>
        </w:rPr>
        <w:t>2019年3月1日至2019年3月8日</w:t>
      </w:r>
      <w:r>
        <w:rPr>
          <w:rFonts w:hint="eastAsia" w:ascii="宋体" w:hAnsi="宋体" w:cs="宋体"/>
          <w:bCs/>
          <w:color w:val="auto"/>
          <w:sz w:val="24"/>
          <w:lang w:val="en-GB"/>
        </w:rPr>
        <w:t>（上午</w:t>
      </w:r>
      <w:r>
        <w:rPr>
          <w:rFonts w:hint="eastAsia" w:ascii="宋体" w:hAnsi="宋体" w:cs="宋体"/>
          <w:bCs/>
          <w:color w:val="auto"/>
          <w:sz w:val="24"/>
        </w:rPr>
        <w:t>08</w:t>
      </w:r>
      <w:r>
        <w:rPr>
          <w:rFonts w:hint="eastAsia" w:ascii="宋体" w:hAnsi="宋体" w:cs="宋体"/>
          <w:bCs/>
          <w:color w:val="auto"/>
          <w:sz w:val="24"/>
          <w:lang w:val="en-GB"/>
        </w:rPr>
        <w:t>:</w:t>
      </w:r>
      <w:r>
        <w:rPr>
          <w:rFonts w:hint="eastAsia" w:ascii="宋体" w:hAnsi="宋体" w:cs="宋体"/>
          <w:bCs/>
          <w:color w:val="auto"/>
          <w:sz w:val="24"/>
        </w:rPr>
        <w:t>3</w:t>
      </w:r>
      <w:r>
        <w:rPr>
          <w:rFonts w:hint="eastAsia" w:ascii="宋体" w:hAnsi="宋体" w:cs="宋体"/>
          <w:bCs/>
          <w:color w:val="auto"/>
          <w:sz w:val="24"/>
          <w:lang w:val="en-GB"/>
        </w:rPr>
        <w:t>0－1</w:t>
      </w:r>
      <w:r>
        <w:rPr>
          <w:rFonts w:hint="eastAsia" w:ascii="宋体" w:hAnsi="宋体" w:cs="宋体"/>
          <w:bCs/>
          <w:color w:val="auto"/>
          <w:sz w:val="24"/>
        </w:rPr>
        <w:t>1</w:t>
      </w:r>
      <w:r>
        <w:rPr>
          <w:rFonts w:hint="eastAsia" w:ascii="宋体" w:hAnsi="宋体" w:cs="宋体"/>
          <w:bCs/>
          <w:color w:val="auto"/>
          <w:sz w:val="24"/>
          <w:lang w:val="en-GB"/>
        </w:rPr>
        <w:t>:</w:t>
      </w:r>
      <w:r>
        <w:rPr>
          <w:rFonts w:hint="eastAsia" w:ascii="宋体" w:hAnsi="宋体" w:cs="宋体"/>
          <w:bCs/>
          <w:color w:val="auto"/>
          <w:sz w:val="24"/>
        </w:rPr>
        <w:t>3</w:t>
      </w:r>
      <w:r>
        <w:rPr>
          <w:rFonts w:hint="eastAsia" w:ascii="宋体" w:hAnsi="宋体" w:cs="宋体"/>
          <w:bCs/>
          <w:color w:val="auto"/>
          <w:sz w:val="24"/>
          <w:lang w:val="en-GB"/>
        </w:rPr>
        <w:t>0，下午14:30－17:00，北京时间），节假日除外；</w:t>
      </w:r>
    </w:p>
    <w:p>
      <w:pPr>
        <w:spacing w:line="440" w:lineRule="exact"/>
        <w:ind w:firstLine="480" w:firstLineChars="200"/>
        <w:rPr>
          <w:rFonts w:ascii="宋体" w:hAnsi="宋体" w:cs="宋体"/>
          <w:bCs/>
          <w:color w:val="auto"/>
          <w:kern w:val="0"/>
          <w:sz w:val="24"/>
          <w:lang w:val="en-GB"/>
        </w:rPr>
      </w:pPr>
      <w:r>
        <w:rPr>
          <w:rFonts w:hint="eastAsia" w:ascii="宋体" w:hAnsi="宋体" w:cs="宋体"/>
          <w:bCs/>
          <w:color w:val="auto"/>
          <w:kern w:val="0"/>
          <w:sz w:val="24"/>
        </w:rPr>
        <w:t>2、标书发售地点：登录海口市公共资源交易网（http://www.hkcein.com）网站主页, 在“欢迎进入网上交易服务大厅”下面双击交易信息，选择“交易公告”，点击政府采购，下载采购文件</w:t>
      </w:r>
      <w:r>
        <w:rPr>
          <w:rFonts w:hint="eastAsia" w:ascii="宋体" w:hAnsi="宋体" w:cs="宋体"/>
          <w:bCs/>
          <w:color w:val="auto"/>
          <w:kern w:val="0"/>
          <w:sz w:val="24"/>
          <w:lang w:val="en-GB"/>
        </w:rPr>
        <w:t>；</w:t>
      </w:r>
    </w:p>
    <w:p>
      <w:pPr>
        <w:spacing w:line="440" w:lineRule="exact"/>
        <w:ind w:firstLine="480" w:firstLineChars="200"/>
        <w:rPr>
          <w:rFonts w:hint="eastAsia" w:ascii="宋体" w:hAnsi="宋体" w:eastAsia="宋体" w:cs="宋体"/>
          <w:bCs/>
          <w:color w:val="auto"/>
          <w:kern w:val="0"/>
          <w:sz w:val="24"/>
          <w:lang w:val="en-US" w:eastAsia="zh-CN"/>
        </w:rPr>
      </w:pPr>
      <w:r>
        <w:rPr>
          <w:rFonts w:hint="eastAsia" w:ascii="宋体" w:hAnsi="宋体" w:cs="宋体"/>
          <w:bCs/>
          <w:color w:val="auto"/>
          <w:kern w:val="0"/>
          <w:sz w:val="24"/>
        </w:rPr>
        <w:t>3</w:t>
      </w:r>
      <w:r>
        <w:rPr>
          <w:rFonts w:hint="eastAsia" w:ascii="宋体" w:hAnsi="宋体" w:cs="宋体"/>
          <w:bCs/>
          <w:color w:val="auto"/>
          <w:kern w:val="0"/>
          <w:sz w:val="24"/>
          <w:lang w:val="en-GB"/>
        </w:rPr>
        <w:t>、售价</w:t>
      </w:r>
      <w:r>
        <w:rPr>
          <w:rFonts w:hint="eastAsia" w:ascii="宋体" w:hAnsi="宋体" w:cs="宋体"/>
          <w:bCs/>
          <w:color w:val="auto"/>
          <w:kern w:val="0"/>
          <w:sz w:val="24"/>
        </w:rPr>
        <w:t>：</w:t>
      </w:r>
      <w:r>
        <w:rPr>
          <w:rFonts w:hint="eastAsia" w:ascii="宋体" w:hAnsi="宋体" w:cs="宋体"/>
          <w:bCs/>
          <w:color w:val="auto"/>
          <w:kern w:val="0"/>
          <w:sz w:val="24"/>
          <w:lang w:val="en-GB"/>
        </w:rPr>
        <w:t>人民币￥</w:t>
      </w:r>
      <w:r>
        <w:rPr>
          <w:rFonts w:hint="eastAsia" w:ascii="宋体" w:hAnsi="宋体" w:cs="宋体"/>
          <w:bCs/>
          <w:color w:val="auto"/>
          <w:kern w:val="0"/>
          <w:sz w:val="24"/>
        </w:rPr>
        <w:t>5</w:t>
      </w:r>
      <w:r>
        <w:rPr>
          <w:rFonts w:hint="eastAsia" w:ascii="宋体" w:hAnsi="宋体" w:cs="宋体"/>
          <w:bCs/>
          <w:color w:val="auto"/>
          <w:kern w:val="0"/>
          <w:sz w:val="24"/>
          <w:lang w:val="en-GB"/>
        </w:rPr>
        <w:t>00</w:t>
      </w:r>
      <w:r>
        <w:rPr>
          <w:rFonts w:hint="eastAsia" w:ascii="宋体" w:hAnsi="宋体" w:cs="宋体"/>
          <w:bCs/>
          <w:color w:val="auto"/>
          <w:kern w:val="0"/>
          <w:sz w:val="24"/>
        </w:rPr>
        <w:t>.00</w:t>
      </w:r>
      <w:r>
        <w:rPr>
          <w:rFonts w:hint="eastAsia" w:ascii="宋体" w:hAnsi="宋体" w:cs="宋体"/>
          <w:bCs/>
          <w:color w:val="auto"/>
          <w:kern w:val="0"/>
          <w:sz w:val="24"/>
          <w:lang w:val="en-GB"/>
        </w:rPr>
        <w:t>元/份（开标现场缴纳,未缴纳标书费用的企业不得参加本次投标），投标保证金为</w:t>
      </w:r>
      <w:r>
        <w:rPr>
          <w:rFonts w:hint="eastAsia" w:ascii="宋体" w:hAnsi="宋体" w:cs="宋体"/>
          <w:bCs/>
          <w:color w:val="auto"/>
          <w:kern w:val="0"/>
          <w:sz w:val="24"/>
          <w:lang w:val="en-GB" w:eastAsia="zh-CN"/>
        </w:rPr>
        <w:t>：</w:t>
      </w:r>
      <w:r>
        <w:rPr>
          <w:rFonts w:hint="eastAsia" w:ascii="宋体" w:hAnsi="宋体" w:cs="宋体"/>
          <w:bCs/>
          <w:color w:val="auto"/>
          <w:kern w:val="0"/>
          <w:sz w:val="24"/>
          <w:lang w:val="en-US" w:eastAsia="zh-CN"/>
        </w:rPr>
        <w:t>1包人民币￥25万元</w:t>
      </w:r>
      <w:r>
        <w:rPr>
          <w:rFonts w:hint="eastAsia" w:ascii="宋体" w:hAnsi="宋体" w:cs="宋体"/>
          <w:bCs/>
          <w:color w:val="auto"/>
          <w:kern w:val="0"/>
          <w:sz w:val="24"/>
        </w:rPr>
        <w:t>；</w:t>
      </w:r>
      <w:r>
        <w:rPr>
          <w:rFonts w:hint="eastAsia" w:ascii="宋体" w:hAnsi="宋体" w:cs="宋体"/>
          <w:bCs/>
          <w:color w:val="auto"/>
          <w:kern w:val="0"/>
          <w:sz w:val="24"/>
          <w:lang w:val="en-US" w:eastAsia="zh-CN"/>
        </w:rPr>
        <w:t>2包人民币￥20万元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3包人民币￥23万元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4包人民币￥28万元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5包人民币￥37万元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6包人民币￥19万元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7包人民币￥6万元</w:t>
      </w:r>
      <w:r>
        <w:rPr>
          <w:rFonts w:hint="eastAsia" w:ascii="宋体" w:hAnsi="宋体" w:cs="宋体"/>
          <w:color w:val="auto"/>
          <w:kern w:val="0"/>
          <w:sz w:val="24"/>
          <w:lang w:eastAsia="zh-CN"/>
        </w:rPr>
        <w:t>。</w:t>
      </w:r>
    </w:p>
    <w:p>
      <w:pPr>
        <w:widowControl/>
        <w:spacing w:line="440" w:lineRule="exact"/>
        <w:ind w:firstLine="480" w:firstLineChars="200"/>
        <w:jc w:val="left"/>
        <w:rPr>
          <w:rFonts w:ascii="宋体" w:hAnsi="宋体" w:cs="宋体"/>
          <w:bCs/>
          <w:color w:val="auto"/>
          <w:sz w:val="24"/>
          <w:lang w:val="en-GB"/>
        </w:rPr>
      </w:pPr>
      <w:r>
        <w:rPr>
          <w:rFonts w:hint="eastAsia" w:ascii="宋体" w:hAnsi="宋体" w:cs="宋体"/>
          <w:color w:val="auto"/>
          <w:sz w:val="24"/>
        </w:rPr>
        <w:t>4、</w:t>
      </w:r>
      <w:r>
        <w:rPr>
          <w:rFonts w:hint="eastAsia" w:ascii="宋体" w:hAnsi="宋体" w:cs="宋体"/>
          <w:bCs/>
          <w:color w:val="auto"/>
          <w:sz w:val="24"/>
          <w:lang w:val="en-GB"/>
        </w:rPr>
        <w:t>投标文件递交的要求：</w:t>
      </w:r>
    </w:p>
    <w:p>
      <w:pPr>
        <w:widowControl/>
        <w:spacing w:line="440" w:lineRule="exact"/>
        <w:ind w:firstLine="480" w:firstLineChars="200"/>
        <w:jc w:val="left"/>
        <w:rPr>
          <w:rFonts w:ascii="宋体" w:hAnsi="宋体" w:cs="宋体"/>
          <w:bCs/>
          <w:color w:val="auto"/>
          <w:sz w:val="24"/>
          <w:lang w:val="en-GB"/>
        </w:rPr>
      </w:pPr>
      <w:r>
        <w:rPr>
          <w:rFonts w:hint="eastAsia" w:ascii="宋体" w:hAnsi="宋体" w:cs="宋体"/>
          <w:bCs/>
          <w:color w:val="auto"/>
          <w:sz w:val="24"/>
          <w:lang w:val="en-GB"/>
        </w:rPr>
        <w:t>（1）电子版投标文件（PDF格式）的递交：电子版投标文件（PDF格式）刻录光盘密封，随纸质版投标文件一起递交，否则视为无效投标；</w:t>
      </w:r>
    </w:p>
    <w:p>
      <w:pPr>
        <w:spacing w:line="440" w:lineRule="exact"/>
        <w:ind w:firstLine="480" w:firstLineChars="200"/>
        <w:rPr>
          <w:rFonts w:ascii="宋体" w:hAnsi="宋体" w:cs="宋体"/>
          <w:color w:val="auto"/>
          <w:sz w:val="24"/>
        </w:rPr>
      </w:pPr>
      <w:r>
        <w:rPr>
          <w:rFonts w:hint="eastAsia" w:ascii="宋体" w:hAnsi="宋体" w:cs="宋体"/>
          <w:bCs/>
          <w:color w:val="auto"/>
          <w:sz w:val="24"/>
          <w:lang w:val="en-GB"/>
        </w:rPr>
        <w:t>（2）投标人提供的电子版投标文件（PDF格式）必须与纸质版投标文件的正本保持一致，否则自行承担由此带来的一切风险。</w:t>
      </w:r>
    </w:p>
    <w:p>
      <w:pPr>
        <w:spacing w:line="440" w:lineRule="exact"/>
        <w:ind w:firstLine="480" w:firstLineChars="200"/>
        <w:rPr>
          <w:rFonts w:ascii="宋体" w:hAnsi="宋体"/>
          <w:color w:val="auto"/>
          <w:sz w:val="24"/>
        </w:rPr>
      </w:pPr>
      <w:r>
        <w:rPr>
          <w:rFonts w:hint="eastAsia" w:ascii="宋体" w:hAnsi="宋体" w:cs="宋体"/>
          <w:bCs/>
          <w:color w:val="auto"/>
          <w:sz w:val="24"/>
          <w:lang w:val="zh-CN"/>
        </w:rPr>
        <w:t>5、投标人提问截止时间：201</w:t>
      </w:r>
      <w:r>
        <w:rPr>
          <w:rFonts w:hint="eastAsia" w:ascii="宋体" w:hAnsi="宋体" w:cs="宋体"/>
          <w:bCs/>
          <w:color w:val="auto"/>
          <w:sz w:val="24"/>
          <w:lang w:val="en-US" w:eastAsia="zh-CN"/>
        </w:rPr>
        <w:t>9</w:t>
      </w:r>
      <w:r>
        <w:rPr>
          <w:rFonts w:hint="eastAsia" w:ascii="宋体" w:hAnsi="宋体" w:cs="宋体"/>
          <w:bCs/>
          <w:color w:val="auto"/>
          <w:sz w:val="24"/>
          <w:lang w:val="zh-CN"/>
        </w:rPr>
        <w:t>年</w:t>
      </w:r>
      <w:r>
        <w:rPr>
          <w:rFonts w:hint="eastAsia" w:ascii="宋体" w:hAnsi="宋体" w:cs="宋体"/>
          <w:bCs/>
          <w:color w:val="auto"/>
          <w:sz w:val="24"/>
          <w:lang w:val="en-US" w:eastAsia="zh-CN"/>
        </w:rPr>
        <w:t>3</w:t>
      </w:r>
      <w:r>
        <w:rPr>
          <w:rFonts w:hint="eastAsia" w:ascii="宋体" w:hAnsi="宋体" w:cs="宋体"/>
          <w:bCs/>
          <w:color w:val="auto"/>
          <w:sz w:val="24"/>
          <w:lang w:val="zh-CN"/>
        </w:rPr>
        <w:t>月</w:t>
      </w:r>
      <w:r>
        <w:rPr>
          <w:rFonts w:hint="eastAsia" w:ascii="宋体" w:hAnsi="宋体" w:cs="宋体"/>
          <w:bCs/>
          <w:color w:val="auto"/>
          <w:sz w:val="24"/>
          <w:lang w:val="en-US" w:eastAsia="zh-CN"/>
        </w:rPr>
        <w:t>11</w:t>
      </w:r>
      <w:r>
        <w:rPr>
          <w:rFonts w:hint="eastAsia" w:ascii="宋体" w:hAnsi="宋体" w:cs="宋体"/>
          <w:bCs/>
          <w:color w:val="auto"/>
          <w:sz w:val="24"/>
          <w:lang w:val="zh-CN"/>
        </w:rPr>
        <w:t>日</w:t>
      </w:r>
      <w:r>
        <w:rPr>
          <w:rFonts w:hint="eastAsia" w:ascii="宋体" w:hAnsi="宋体" w:cs="宋体"/>
          <w:bCs/>
          <w:color w:val="auto"/>
          <w:sz w:val="24"/>
        </w:rPr>
        <w:t>下午17:00</w:t>
      </w:r>
      <w:r>
        <w:rPr>
          <w:rFonts w:hint="eastAsia" w:ascii="宋体" w:hAnsi="宋体" w:cs="宋体"/>
          <w:bCs/>
          <w:color w:val="auto"/>
          <w:sz w:val="24"/>
          <w:lang w:val="zh-CN"/>
        </w:rPr>
        <w:t>（北京时间）</w:t>
      </w:r>
    </w:p>
    <w:p>
      <w:pPr>
        <w:spacing w:line="440" w:lineRule="exact"/>
        <w:ind w:firstLine="480" w:firstLineChars="200"/>
        <w:rPr>
          <w:rFonts w:ascii="宋体" w:hAnsi="宋体" w:cs="宋体"/>
          <w:color w:val="auto"/>
          <w:sz w:val="24"/>
        </w:rPr>
      </w:pPr>
      <w:r>
        <w:rPr>
          <w:rFonts w:hint="eastAsia" w:ascii="宋体" w:hAnsi="宋体"/>
          <w:color w:val="auto"/>
          <w:sz w:val="24"/>
        </w:rPr>
        <w:t>6、</w:t>
      </w:r>
      <w:r>
        <w:rPr>
          <w:rFonts w:ascii="宋体" w:hAnsi="宋体"/>
          <w:color w:val="auto"/>
          <w:sz w:val="24"/>
        </w:rPr>
        <w:t>保证金到账截止</w:t>
      </w:r>
      <w:r>
        <w:rPr>
          <w:rFonts w:hint="eastAsia" w:ascii="宋体" w:hAnsi="宋体"/>
          <w:color w:val="auto"/>
          <w:sz w:val="24"/>
        </w:rPr>
        <w:t>时间</w:t>
      </w:r>
      <w:r>
        <w:rPr>
          <w:rFonts w:ascii="宋体" w:hAnsi="宋体"/>
          <w:color w:val="auto"/>
          <w:sz w:val="24"/>
        </w:rPr>
        <w:t>：</w:t>
      </w:r>
      <w:r>
        <w:rPr>
          <w:rFonts w:hint="eastAsia" w:ascii="宋体" w:hAnsi="宋体" w:cs="宋体"/>
          <w:bCs/>
          <w:color w:val="auto"/>
          <w:kern w:val="0"/>
          <w:sz w:val="24"/>
          <w:lang w:val="en-GB"/>
        </w:rPr>
        <w:t>201</w:t>
      </w:r>
      <w:r>
        <w:rPr>
          <w:rFonts w:hint="eastAsia" w:ascii="宋体" w:hAnsi="宋体" w:cs="宋体"/>
          <w:bCs/>
          <w:color w:val="auto"/>
          <w:kern w:val="0"/>
          <w:sz w:val="24"/>
          <w:lang w:val="en-US" w:eastAsia="zh-CN"/>
        </w:rPr>
        <w:t>9</w:t>
      </w:r>
      <w:r>
        <w:rPr>
          <w:rFonts w:hint="eastAsia" w:ascii="宋体" w:hAnsi="宋体" w:cs="宋体"/>
          <w:bCs/>
          <w:color w:val="auto"/>
          <w:kern w:val="0"/>
          <w:sz w:val="24"/>
          <w:lang w:val="en-GB"/>
        </w:rPr>
        <w:t>年</w:t>
      </w:r>
      <w:r>
        <w:rPr>
          <w:rFonts w:hint="eastAsia" w:ascii="宋体" w:hAnsi="宋体" w:cs="宋体"/>
          <w:bCs/>
          <w:color w:val="auto"/>
          <w:kern w:val="0"/>
          <w:sz w:val="24"/>
          <w:lang w:val="en-US" w:eastAsia="zh-CN"/>
        </w:rPr>
        <w:t>3</w:t>
      </w:r>
      <w:r>
        <w:rPr>
          <w:rFonts w:hint="eastAsia" w:ascii="宋体" w:hAnsi="宋体" w:cs="宋体"/>
          <w:bCs/>
          <w:color w:val="auto"/>
          <w:kern w:val="0"/>
          <w:sz w:val="24"/>
          <w:lang w:val="en-GB"/>
        </w:rPr>
        <w:t>月</w:t>
      </w:r>
      <w:r>
        <w:rPr>
          <w:rFonts w:hint="eastAsia" w:ascii="宋体" w:hAnsi="宋体" w:cs="宋体"/>
          <w:bCs/>
          <w:color w:val="auto"/>
          <w:kern w:val="0"/>
          <w:sz w:val="24"/>
          <w:lang w:val="en-US" w:eastAsia="zh-CN"/>
        </w:rPr>
        <w:t>21</w:t>
      </w:r>
      <w:r>
        <w:rPr>
          <w:rFonts w:hint="eastAsia" w:ascii="宋体" w:hAnsi="宋体" w:cs="宋体"/>
          <w:bCs/>
          <w:color w:val="auto"/>
          <w:kern w:val="0"/>
          <w:sz w:val="24"/>
          <w:lang w:val="en-GB"/>
        </w:rPr>
        <w:t>日</w:t>
      </w:r>
      <w:r>
        <w:rPr>
          <w:rFonts w:hint="eastAsia" w:ascii="宋体" w:hAnsi="宋体" w:cs="宋体"/>
          <w:bCs/>
          <w:color w:val="auto"/>
          <w:kern w:val="0"/>
          <w:sz w:val="24"/>
        </w:rPr>
        <w:t>上</w:t>
      </w:r>
      <w:r>
        <w:rPr>
          <w:rFonts w:hint="eastAsia" w:ascii="宋体" w:hAnsi="宋体" w:cs="宋体"/>
          <w:bCs/>
          <w:color w:val="auto"/>
          <w:kern w:val="0"/>
          <w:sz w:val="24"/>
          <w:lang w:val="en-GB"/>
        </w:rPr>
        <w:t>午</w:t>
      </w:r>
      <w:r>
        <w:rPr>
          <w:rFonts w:hint="eastAsia" w:ascii="宋体" w:hAnsi="宋体" w:cs="宋体"/>
          <w:bCs/>
          <w:color w:val="auto"/>
          <w:kern w:val="0"/>
          <w:sz w:val="24"/>
        </w:rPr>
        <w:t>09</w:t>
      </w:r>
      <w:r>
        <w:rPr>
          <w:rFonts w:hint="eastAsia" w:ascii="宋体" w:hAnsi="宋体" w:cs="宋体"/>
          <w:bCs/>
          <w:color w:val="auto"/>
          <w:kern w:val="0"/>
          <w:sz w:val="24"/>
          <w:lang w:val="en-GB"/>
        </w:rPr>
        <w:t>:</w:t>
      </w:r>
      <w:r>
        <w:rPr>
          <w:rFonts w:hint="eastAsia" w:ascii="宋体" w:hAnsi="宋体" w:cs="宋体"/>
          <w:bCs/>
          <w:color w:val="auto"/>
          <w:kern w:val="0"/>
          <w:sz w:val="24"/>
          <w:lang w:val="en-US" w:eastAsia="zh-CN"/>
        </w:rPr>
        <w:t>3</w:t>
      </w:r>
      <w:r>
        <w:rPr>
          <w:rFonts w:hint="eastAsia" w:ascii="宋体" w:hAnsi="宋体" w:cs="宋体"/>
          <w:bCs/>
          <w:color w:val="auto"/>
          <w:kern w:val="0"/>
          <w:sz w:val="24"/>
        </w:rPr>
        <w:t>0（北京时间）</w:t>
      </w:r>
    </w:p>
    <w:p>
      <w:pPr>
        <w:tabs>
          <w:tab w:val="left" w:pos="540"/>
        </w:tabs>
        <w:spacing w:beforeLines="50" w:afterLines="50" w:line="440" w:lineRule="exact"/>
        <w:rPr>
          <w:rFonts w:ascii="宋体" w:hAnsi="宋体" w:cs="宋体"/>
          <w:b/>
          <w:bCs/>
          <w:color w:val="auto"/>
          <w:kern w:val="0"/>
          <w:sz w:val="24"/>
          <w:lang w:val="en-GB"/>
        </w:rPr>
      </w:pPr>
      <w:r>
        <w:rPr>
          <w:rFonts w:hint="eastAsia" w:ascii="宋体" w:hAnsi="宋体" w:cs="宋体"/>
          <w:b/>
          <w:color w:val="auto"/>
          <w:kern w:val="0"/>
          <w:sz w:val="24"/>
          <w:lang w:val="en-GB"/>
        </w:rPr>
        <w:t>四、投标文件递交截止时间、开标时间及地点：</w:t>
      </w:r>
    </w:p>
    <w:p>
      <w:pPr>
        <w:adjustRightInd w:val="0"/>
        <w:spacing w:line="440" w:lineRule="exact"/>
        <w:ind w:firstLine="480" w:firstLineChars="200"/>
        <w:jc w:val="left"/>
        <w:rPr>
          <w:rFonts w:ascii="宋体" w:hAnsi="宋体" w:cs="宋体"/>
          <w:bCs/>
          <w:color w:val="auto"/>
          <w:kern w:val="0"/>
          <w:sz w:val="24"/>
        </w:rPr>
      </w:pPr>
      <w:r>
        <w:rPr>
          <w:rFonts w:hint="eastAsia" w:ascii="宋体" w:hAnsi="宋体" w:cs="宋体"/>
          <w:bCs/>
          <w:color w:val="auto"/>
          <w:kern w:val="0"/>
          <w:sz w:val="24"/>
          <w:lang w:val="en-GB"/>
        </w:rPr>
        <w:t>1、递交投标文件截止时间</w:t>
      </w:r>
      <w:r>
        <w:rPr>
          <w:rFonts w:hint="eastAsia" w:ascii="宋体" w:hAnsi="宋体" w:cs="宋体"/>
          <w:bCs/>
          <w:color w:val="auto"/>
          <w:kern w:val="0"/>
          <w:sz w:val="24"/>
        </w:rPr>
        <w:t>：</w:t>
      </w:r>
      <w:r>
        <w:rPr>
          <w:rFonts w:hint="eastAsia" w:ascii="宋体" w:hAnsi="宋体" w:cs="宋体"/>
          <w:bCs/>
          <w:color w:val="auto"/>
          <w:kern w:val="0"/>
          <w:sz w:val="24"/>
          <w:lang w:val="en-GB"/>
        </w:rPr>
        <w:t>201</w:t>
      </w:r>
      <w:r>
        <w:rPr>
          <w:rFonts w:hint="eastAsia" w:ascii="宋体" w:hAnsi="宋体" w:cs="宋体"/>
          <w:bCs/>
          <w:color w:val="auto"/>
          <w:kern w:val="0"/>
          <w:sz w:val="24"/>
          <w:lang w:val="en-US" w:eastAsia="zh-CN"/>
        </w:rPr>
        <w:t>9</w:t>
      </w:r>
      <w:r>
        <w:rPr>
          <w:rFonts w:hint="eastAsia" w:ascii="宋体" w:hAnsi="宋体" w:cs="宋体"/>
          <w:bCs/>
          <w:color w:val="auto"/>
          <w:kern w:val="0"/>
          <w:sz w:val="24"/>
          <w:lang w:val="en-GB"/>
        </w:rPr>
        <w:t>年</w:t>
      </w:r>
      <w:r>
        <w:rPr>
          <w:rFonts w:hint="eastAsia" w:ascii="宋体" w:hAnsi="宋体" w:cs="宋体"/>
          <w:bCs/>
          <w:color w:val="auto"/>
          <w:kern w:val="0"/>
          <w:sz w:val="24"/>
          <w:lang w:val="en-US" w:eastAsia="zh-CN"/>
        </w:rPr>
        <w:t>3</w:t>
      </w:r>
      <w:r>
        <w:rPr>
          <w:rFonts w:hint="eastAsia" w:ascii="宋体" w:hAnsi="宋体" w:cs="宋体"/>
          <w:bCs/>
          <w:color w:val="auto"/>
          <w:kern w:val="0"/>
          <w:sz w:val="24"/>
          <w:lang w:val="en-GB"/>
        </w:rPr>
        <w:t>月</w:t>
      </w:r>
      <w:r>
        <w:rPr>
          <w:rFonts w:hint="eastAsia" w:ascii="宋体" w:hAnsi="宋体" w:cs="宋体"/>
          <w:bCs/>
          <w:color w:val="auto"/>
          <w:kern w:val="0"/>
          <w:sz w:val="24"/>
          <w:lang w:val="en-US" w:eastAsia="zh-CN"/>
        </w:rPr>
        <w:t>21</w:t>
      </w:r>
      <w:r>
        <w:rPr>
          <w:rFonts w:hint="eastAsia" w:ascii="宋体" w:hAnsi="宋体" w:cs="宋体"/>
          <w:bCs/>
          <w:color w:val="auto"/>
          <w:kern w:val="0"/>
          <w:sz w:val="24"/>
          <w:lang w:val="en-GB"/>
        </w:rPr>
        <w:t>日</w:t>
      </w:r>
      <w:r>
        <w:rPr>
          <w:rFonts w:hint="eastAsia" w:ascii="宋体" w:hAnsi="宋体" w:cs="宋体"/>
          <w:bCs/>
          <w:color w:val="auto"/>
          <w:kern w:val="0"/>
          <w:sz w:val="24"/>
        </w:rPr>
        <w:t>上午</w:t>
      </w:r>
      <w:r>
        <w:rPr>
          <w:rFonts w:hint="eastAsia" w:ascii="宋体" w:hAnsi="宋体" w:cs="宋体"/>
          <w:bCs/>
          <w:color w:val="auto"/>
          <w:kern w:val="0"/>
          <w:sz w:val="24"/>
          <w:lang w:val="en-US" w:eastAsia="zh-CN"/>
        </w:rPr>
        <w:t xml:space="preserve">09 </w:t>
      </w:r>
      <w:r>
        <w:rPr>
          <w:rFonts w:hint="eastAsia" w:ascii="宋体" w:hAnsi="宋体" w:cs="宋体"/>
          <w:bCs/>
          <w:color w:val="auto"/>
          <w:kern w:val="0"/>
          <w:sz w:val="24"/>
          <w:lang w:val="en-GB"/>
        </w:rPr>
        <w:t>:</w:t>
      </w:r>
      <w:r>
        <w:rPr>
          <w:rFonts w:hint="eastAsia" w:ascii="宋体" w:hAnsi="宋体" w:cs="宋体"/>
          <w:bCs/>
          <w:color w:val="auto"/>
          <w:kern w:val="0"/>
          <w:sz w:val="24"/>
          <w:lang w:val="en-US" w:eastAsia="zh-CN"/>
        </w:rPr>
        <w:t xml:space="preserve">30 </w:t>
      </w:r>
      <w:r>
        <w:rPr>
          <w:rFonts w:hint="eastAsia" w:ascii="宋体" w:hAnsi="宋体" w:cs="宋体"/>
          <w:bCs/>
          <w:color w:val="auto"/>
          <w:kern w:val="0"/>
          <w:sz w:val="24"/>
        </w:rPr>
        <w:t>（北京时间），逾期或不符合规定的投标文件恕不接收；</w:t>
      </w:r>
    </w:p>
    <w:p>
      <w:pPr>
        <w:adjustRightInd w:val="0"/>
        <w:spacing w:line="440" w:lineRule="exact"/>
        <w:ind w:firstLine="480" w:firstLineChars="200"/>
        <w:jc w:val="left"/>
        <w:rPr>
          <w:rFonts w:ascii="宋体" w:hAnsi="宋体" w:cs="宋体"/>
          <w:bCs/>
          <w:color w:val="auto"/>
          <w:kern w:val="0"/>
          <w:sz w:val="24"/>
          <w:lang w:val="en-GB"/>
        </w:rPr>
      </w:pPr>
      <w:r>
        <w:rPr>
          <w:rFonts w:hint="eastAsia" w:ascii="宋体" w:hAnsi="宋体" w:cs="宋体"/>
          <w:bCs/>
          <w:color w:val="auto"/>
          <w:kern w:val="0"/>
          <w:sz w:val="24"/>
        </w:rPr>
        <w:t>2</w:t>
      </w:r>
      <w:r>
        <w:rPr>
          <w:rFonts w:hint="eastAsia" w:ascii="宋体" w:hAnsi="宋体" w:cs="宋体"/>
          <w:bCs/>
          <w:color w:val="auto"/>
          <w:kern w:val="0"/>
          <w:sz w:val="24"/>
          <w:lang w:val="en-GB"/>
        </w:rPr>
        <w:t>、开标时间</w:t>
      </w:r>
      <w:r>
        <w:rPr>
          <w:rFonts w:hint="eastAsia" w:ascii="宋体" w:hAnsi="宋体" w:cs="宋体"/>
          <w:bCs/>
          <w:color w:val="auto"/>
          <w:kern w:val="0"/>
          <w:sz w:val="24"/>
        </w:rPr>
        <w:t>：与递交投标文件截止时间为同一时间</w:t>
      </w:r>
      <w:r>
        <w:rPr>
          <w:rFonts w:hint="eastAsia" w:ascii="宋体" w:hAnsi="宋体" w:cs="宋体"/>
          <w:bCs/>
          <w:color w:val="auto"/>
          <w:kern w:val="0"/>
          <w:sz w:val="24"/>
          <w:lang w:val="en-GB"/>
        </w:rPr>
        <w:t>；</w:t>
      </w:r>
    </w:p>
    <w:p>
      <w:pPr>
        <w:adjustRightInd w:val="0"/>
        <w:spacing w:line="440" w:lineRule="exact"/>
        <w:ind w:firstLine="480" w:firstLineChars="200"/>
        <w:jc w:val="left"/>
        <w:rPr>
          <w:rFonts w:ascii="宋体" w:hAnsi="宋体" w:cs="宋体"/>
          <w:bCs/>
          <w:color w:val="auto"/>
          <w:kern w:val="0"/>
          <w:sz w:val="24"/>
          <w:lang w:val="en-GB"/>
        </w:rPr>
      </w:pPr>
      <w:r>
        <w:rPr>
          <w:rFonts w:hint="eastAsia" w:ascii="宋体" w:hAnsi="宋体" w:cs="宋体"/>
          <w:bCs/>
          <w:color w:val="auto"/>
          <w:kern w:val="0"/>
          <w:sz w:val="24"/>
        </w:rPr>
        <w:t>3</w:t>
      </w:r>
      <w:r>
        <w:rPr>
          <w:rFonts w:hint="eastAsia" w:ascii="宋体" w:hAnsi="宋体" w:cs="宋体"/>
          <w:bCs/>
          <w:color w:val="auto"/>
          <w:kern w:val="0"/>
          <w:sz w:val="24"/>
          <w:lang w:val="en-GB"/>
        </w:rPr>
        <w:t>、开标地点：海口市公共资源交易中心开评标会议室（海口市海甸五西路28号建安大厦附楼开标室），详见会议室门前标识,如有变动另行通知；</w:t>
      </w:r>
    </w:p>
    <w:p>
      <w:pPr>
        <w:adjustRightInd w:val="0"/>
        <w:spacing w:line="440" w:lineRule="exact"/>
        <w:ind w:firstLine="480" w:firstLineChars="200"/>
        <w:jc w:val="left"/>
        <w:rPr>
          <w:rFonts w:ascii="宋体" w:hAnsi="宋体" w:cs="宋体"/>
          <w:bCs/>
          <w:color w:val="auto"/>
          <w:kern w:val="0"/>
          <w:sz w:val="24"/>
          <w:lang w:val="zh-CN"/>
        </w:rPr>
      </w:pPr>
      <w:r>
        <w:rPr>
          <w:rFonts w:hint="eastAsia" w:ascii="宋体" w:hAnsi="宋体" w:cs="宋体"/>
          <w:bCs/>
          <w:color w:val="auto"/>
          <w:kern w:val="0"/>
          <w:sz w:val="24"/>
        </w:rPr>
        <w:t>4、</w:t>
      </w:r>
      <w:r>
        <w:rPr>
          <w:rFonts w:hint="eastAsia" w:ascii="宋体" w:hAnsi="宋体" w:cs="宋体"/>
          <w:bCs/>
          <w:color w:val="auto"/>
          <w:kern w:val="0"/>
          <w:sz w:val="24"/>
          <w:lang w:val="zh-CN"/>
        </w:rPr>
        <w:t>投标人务必在开标前，开标时提交电子版和纸子版投标文件；</w:t>
      </w:r>
    </w:p>
    <w:p>
      <w:pPr>
        <w:adjustRightInd w:val="0"/>
        <w:spacing w:line="440" w:lineRule="exact"/>
        <w:ind w:firstLine="480" w:firstLineChars="200"/>
        <w:jc w:val="left"/>
        <w:rPr>
          <w:rFonts w:ascii="宋体" w:hAnsi="宋体" w:cs="宋体"/>
          <w:bCs/>
          <w:color w:val="auto"/>
          <w:kern w:val="0"/>
          <w:sz w:val="24"/>
          <w:lang w:val="en-GB"/>
        </w:rPr>
      </w:pPr>
      <w:r>
        <w:rPr>
          <w:rFonts w:hint="eastAsia" w:ascii="宋体" w:hAnsi="宋体" w:cs="宋体"/>
          <w:bCs/>
          <w:color w:val="auto"/>
          <w:kern w:val="0"/>
          <w:sz w:val="24"/>
        </w:rPr>
        <w:t>5、</w:t>
      </w:r>
      <w:r>
        <w:rPr>
          <w:rFonts w:hint="eastAsia" w:ascii="宋体" w:hAnsi="宋体" w:cs="宋体"/>
          <w:bCs/>
          <w:color w:val="auto"/>
          <w:kern w:val="0"/>
          <w:sz w:val="24"/>
          <w:lang w:val="zh-CN"/>
        </w:rPr>
        <w:t>招标结果请查询：</w:t>
      </w:r>
      <w:r>
        <w:rPr>
          <w:rFonts w:hint="eastAsia" w:ascii="宋体" w:hAnsi="宋体" w:cs="宋体"/>
          <w:bCs/>
          <w:color w:val="auto"/>
          <w:kern w:val="0"/>
          <w:sz w:val="24"/>
        </w:rPr>
        <w:t>本项目采购信息指定发布媒体为中国海南政府采购网（http://www.ccgp-hainan.gov.cn/）、</w:t>
      </w:r>
      <w:r>
        <w:rPr>
          <w:rFonts w:hint="eastAsia" w:ascii="宋体" w:hAnsi="宋体" w:cs="宋体"/>
          <w:bCs/>
          <w:color w:val="auto"/>
          <w:kern w:val="0"/>
          <w:sz w:val="24"/>
          <w:lang w:val="en-GB"/>
        </w:rPr>
        <w:t>和海口市公共资源交易网</w:t>
      </w:r>
      <w:r>
        <w:rPr>
          <w:rFonts w:hint="eastAsia" w:ascii="宋体" w:hAnsi="宋体" w:cs="宋体"/>
          <w:bCs/>
          <w:color w:val="auto"/>
          <w:kern w:val="0"/>
          <w:sz w:val="24"/>
        </w:rPr>
        <w:t xml:space="preserve">（http://www.hkcein.com） </w:t>
      </w:r>
      <w:r>
        <w:rPr>
          <w:rFonts w:hint="eastAsia" w:ascii="宋体" w:hAnsi="宋体" w:cs="宋体"/>
          <w:bCs/>
          <w:color w:val="auto"/>
          <w:kern w:val="0"/>
          <w:sz w:val="24"/>
          <w:lang w:val="zh-CN"/>
        </w:rPr>
        <w:t>。</w:t>
      </w:r>
    </w:p>
    <w:p>
      <w:pPr>
        <w:adjustRightInd w:val="0"/>
        <w:spacing w:line="440" w:lineRule="exact"/>
        <w:jc w:val="left"/>
        <w:rPr>
          <w:rFonts w:ascii="宋体" w:hAnsi="宋体" w:cs="宋体"/>
          <w:b/>
          <w:color w:val="auto"/>
          <w:kern w:val="0"/>
          <w:sz w:val="24"/>
        </w:rPr>
      </w:pPr>
      <w:r>
        <w:rPr>
          <w:rFonts w:hint="eastAsia" w:ascii="宋体" w:hAnsi="宋体" w:cs="宋体"/>
          <w:b/>
          <w:color w:val="auto"/>
          <w:kern w:val="0"/>
          <w:sz w:val="24"/>
          <w:lang w:val="en-GB"/>
        </w:rPr>
        <w:t>五、</w:t>
      </w:r>
      <w:r>
        <w:rPr>
          <w:rFonts w:hint="eastAsia" w:ascii="宋体" w:hAnsi="宋体" w:cs="宋体"/>
          <w:b/>
          <w:color w:val="auto"/>
          <w:kern w:val="0"/>
          <w:sz w:val="24"/>
        </w:rPr>
        <w:t>投标程序及采购文件获取办法</w:t>
      </w:r>
    </w:p>
    <w:p>
      <w:pPr>
        <w:adjustRightInd w:val="0"/>
        <w:spacing w:line="440" w:lineRule="exact"/>
        <w:ind w:firstLine="480" w:firstLineChars="200"/>
        <w:jc w:val="left"/>
        <w:rPr>
          <w:rFonts w:ascii="宋体" w:hAnsi="宋体" w:cs="宋体"/>
          <w:bCs/>
          <w:color w:val="auto"/>
          <w:kern w:val="0"/>
          <w:sz w:val="24"/>
        </w:rPr>
      </w:pPr>
      <w:r>
        <w:rPr>
          <w:rFonts w:hint="eastAsia" w:ascii="宋体" w:hAnsi="宋体" w:cs="宋体"/>
          <w:bCs/>
          <w:color w:val="auto"/>
          <w:kern w:val="0"/>
          <w:sz w:val="24"/>
        </w:rPr>
        <w:t>1、查看采购公告及下载采购文件。登录海口市公共资源交易网（</w:t>
      </w:r>
      <w:r>
        <w:rPr>
          <w:rFonts w:hint="eastAsia" w:ascii="宋体" w:hAnsi="宋体" w:cs="宋体"/>
          <w:bCs/>
          <w:color w:val="auto"/>
          <w:kern w:val="0"/>
          <w:sz w:val="24"/>
        </w:rPr>
        <w:fldChar w:fldCharType="begin"/>
      </w:r>
      <w:r>
        <w:rPr>
          <w:rFonts w:hint="eastAsia" w:ascii="宋体" w:hAnsi="宋体" w:cs="宋体"/>
          <w:bCs/>
          <w:color w:val="auto"/>
          <w:kern w:val="0"/>
          <w:sz w:val="24"/>
        </w:rPr>
        <w:instrText xml:space="preserve">INCLUDEPICTURE \d "C:\\Users\\ADMINI~1\\AppData\\Local\\Temp\\%W@GJ$ACOF(TYDYECOKVDYB.png" \* MERGEFORMATINET </w:instrText>
      </w:r>
      <w:r>
        <w:rPr>
          <w:rFonts w:hint="eastAsia" w:ascii="宋体" w:hAnsi="宋体" w:cs="宋体"/>
          <w:bCs/>
          <w:color w:val="auto"/>
          <w:kern w:val="0"/>
          <w:sz w:val="24"/>
        </w:rPr>
        <w:fldChar w:fldCharType="separate"/>
      </w:r>
      <w:r>
        <w:rPr>
          <w:rFonts w:hint="eastAsia" w:ascii="宋体" w:hAnsi="宋体" w:cs="宋体"/>
          <w:bCs/>
          <w:color w:val="auto"/>
          <w:kern w:val="0"/>
          <w:sz w:val="24"/>
        </w:rPr>
        <w:drawing>
          <wp:inline distT="0" distB="0" distL="114300" distR="114300">
            <wp:extent cx="190500" cy="142875"/>
            <wp:effectExtent l="0" t="0" r="0" b="952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4" cstate="print"/>
                    <a:stretch>
                      <a:fillRect/>
                    </a:stretch>
                  </pic:blipFill>
                  <pic:spPr>
                    <a:xfrm>
                      <a:off x="0" y="0"/>
                      <a:ext cx="190500" cy="142875"/>
                    </a:xfrm>
                    <a:prstGeom prst="rect">
                      <a:avLst/>
                    </a:prstGeom>
                    <a:noFill/>
                    <a:ln w="9525">
                      <a:noFill/>
                    </a:ln>
                  </pic:spPr>
                </pic:pic>
              </a:graphicData>
            </a:graphic>
          </wp:inline>
        </w:drawing>
      </w:r>
      <w:r>
        <w:rPr>
          <w:rFonts w:hint="eastAsia" w:ascii="宋体" w:hAnsi="宋体" w:cs="宋体"/>
          <w:bCs/>
          <w:color w:val="auto"/>
          <w:kern w:val="0"/>
          <w:sz w:val="24"/>
        </w:rPr>
        <w:fldChar w:fldCharType="end"/>
      </w:r>
      <w:r>
        <w:rPr>
          <w:rFonts w:hint="eastAsia" w:ascii="宋体" w:hAnsi="宋体" w:cs="宋体"/>
          <w:bCs/>
          <w:color w:val="auto"/>
          <w:kern w:val="0"/>
          <w:sz w:val="24"/>
        </w:rPr>
        <w:t>http://www.hkcein.com ）网站主页,选择“交易公告”专栏查看采购公告，免费下载项目采购文件。</w:t>
      </w:r>
      <w:r>
        <w:rPr>
          <w:rFonts w:hint="eastAsia" w:ascii="宋体" w:hAnsi="宋体" w:cs="宋体"/>
          <w:bCs/>
          <w:color w:val="auto"/>
          <w:kern w:val="0"/>
          <w:sz w:val="24"/>
        </w:rPr>
        <w:br w:type="textWrapping"/>
      </w:r>
      <w:r>
        <w:rPr>
          <w:rFonts w:hint="eastAsia" w:ascii="宋体" w:hAnsi="宋体" w:cs="宋体"/>
          <w:bCs/>
          <w:color w:val="auto"/>
          <w:kern w:val="0"/>
          <w:sz w:val="24"/>
        </w:rPr>
        <w:t xml:space="preserve">    2、市场主体登记。在海口市公共资源交易网主页,进入“登录区 → 投标人/供应商”专栏，按照要求登记信息，已经在海南省或海口市公共资源交易网登记过的，无须再登记。</w:t>
      </w:r>
      <w:r>
        <w:rPr>
          <w:rFonts w:hint="eastAsia" w:ascii="宋体" w:hAnsi="宋体" w:cs="宋体"/>
          <w:bCs/>
          <w:color w:val="auto"/>
          <w:kern w:val="0"/>
          <w:sz w:val="24"/>
        </w:rPr>
        <w:br w:type="textWrapping"/>
      </w:r>
      <w:r>
        <w:rPr>
          <w:rFonts w:hint="eastAsia" w:ascii="宋体" w:hAnsi="宋体" w:cs="宋体"/>
          <w:bCs/>
          <w:color w:val="auto"/>
          <w:kern w:val="0"/>
          <w:sz w:val="24"/>
        </w:rPr>
        <w:t xml:space="preserve">   3、投标申请并获取保证金账号。提交市场主体登记信息后，在海口市公共资源交易网主页,进入交易系统选择“我要投标”，提交项目投标申请，获取投标保证金账号，如未在规定时间内提交投标申请同时获取保证金账号者，视同放弃参与本项目采购活动。</w:t>
      </w:r>
    </w:p>
    <w:p>
      <w:pPr>
        <w:spacing w:line="440" w:lineRule="exact"/>
        <w:ind w:left="482" w:hanging="482" w:hangingChars="200"/>
        <w:jc w:val="left"/>
        <w:rPr>
          <w:rFonts w:ascii="宋体" w:hAnsi="宋体" w:cs="宋体"/>
          <w:b/>
          <w:color w:val="auto"/>
          <w:kern w:val="0"/>
          <w:sz w:val="24"/>
        </w:rPr>
      </w:pPr>
      <w:r>
        <w:rPr>
          <w:rFonts w:hint="eastAsia" w:ascii="宋体" w:hAnsi="宋体" w:cs="宋体"/>
          <w:b/>
          <w:color w:val="auto"/>
          <w:kern w:val="0"/>
          <w:sz w:val="24"/>
        </w:rPr>
        <w:t>六、公告期限及确认投标获取保证金账户期限</w:t>
      </w:r>
    </w:p>
    <w:p>
      <w:pPr>
        <w:kinsoku w:val="0"/>
        <w:overflowPunct w:val="0"/>
        <w:autoSpaceDE w:val="0"/>
        <w:autoSpaceDN w:val="0"/>
        <w:spacing w:line="440" w:lineRule="exact"/>
        <w:ind w:firstLine="480" w:firstLineChars="200"/>
        <w:jc w:val="left"/>
        <w:rPr>
          <w:rFonts w:ascii="宋体" w:hAnsi="宋体" w:cs="宋体"/>
          <w:color w:val="auto"/>
          <w:kern w:val="0"/>
          <w:sz w:val="24"/>
          <w:lang w:val="zh-CN"/>
        </w:rPr>
      </w:pPr>
      <w:r>
        <w:rPr>
          <w:rFonts w:hint="eastAsia" w:ascii="宋体" w:hAnsi="宋体" w:cs="宋体"/>
          <w:color w:val="auto"/>
          <w:kern w:val="0"/>
          <w:sz w:val="24"/>
        </w:rPr>
        <w:t>本项目采购公告及确认投标获取保证金账户期限不少于5个工作日，自201</w:t>
      </w:r>
      <w:r>
        <w:rPr>
          <w:rFonts w:hint="eastAsia" w:ascii="宋体" w:hAnsi="宋体" w:cs="宋体"/>
          <w:color w:val="auto"/>
          <w:kern w:val="0"/>
          <w:sz w:val="24"/>
          <w:lang w:val="en-US" w:eastAsia="zh-CN"/>
        </w:rPr>
        <w:t>9</w:t>
      </w:r>
      <w:r>
        <w:rPr>
          <w:rFonts w:hint="eastAsia" w:ascii="宋体" w:hAnsi="宋体" w:cs="宋体"/>
          <w:color w:val="auto"/>
          <w:kern w:val="0"/>
          <w:sz w:val="24"/>
        </w:rPr>
        <w:t>年</w:t>
      </w:r>
      <w:r>
        <w:rPr>
          <w:rFonts w:hint="eastAsia" w:ascii="宋体" w:hAnsi="宋体" w:cs="宋体"/>
          <w:color w:val="auto"/>
          <w:kern w:val="0"/>
          <w:sz w:val="24"/>
          <w:lang w:val="en-US" w:eastAsia="zh-CN"/>
        </w:rPr>
        <w:t>3</w:t>
      </w:r>
      <w:r>
        <w:rPr>
          <w:rFonts w:hint="eastAsia" w:ascii="宋体" w:hAnsi="宋体" w:cs="宋体"/>
          <w:color w:val="auto"/>
          <w:kern w:val="0"/>
          <w:sz w:val="24"/>
        </w:rPr>
        <w:t>月</w:t>
      </w:r>
      <w:r>
        <w:rPr>
          <w:rFonts w:hint="eastAsia" w:ascii="宋体" w:hAnsi="宋体" w:cs="宋体"/>
          <w:color w:val="auto"/>
          <w:kern w:val="0"/>
          <w:sz w:val="24"/>
          <w:lang w:val="en-US" w:eastAsia="zh-CN"/>
        </w:rPr>
        <w:t>1</w:t>
      </w:r>
      <w:r>
        <w:rPr>
          <w:rFonts w:hint="eastAsia" w:ascii="宋体" w:hAnsi="宋体" w:cs="宋体"/>
          <w:color w:val="auto"/>
          <w:kern w:val="0"/>
          <w:sz w:val="24"/>
        </w:rPr>
        <w:t>日零时至201</w:t>
      </w:r>
      <w:r>
        <w:rPr>
          <w:rFonts w:hint="eastAsia" w:ascii="宋体" w:hAnsi="宋体" w:cs="宋体"/>
          <w:color w:val="auto"/>
          <w:kern w:val="0"/>
          <w:sz w:val="24"/>
          <w:lang w:val="en-US" w:eastAsia="zh-CN"/>
        </w:rPr>
        <w:t>9</w:t>
      </w:r>
      <w:r>
        <w:rPr>
          <w:rFonts w:hint="eastAsia" w:ascii="宋体" w:hAnsi="宋体" w:cs="宋体"/>
          <w:color w:val="auto"/>
          <w:kern w:val="0"/>
          <w:sz w:val="24"/>
        </w:rPr>
        <w:t>年</w:t>
      </w:r>
      <w:r>
        <w:rPr>
          <w:rFonts w:hint="eastAsia" w:ascii="宋体" w:hAnsi="宋体" w:cs="宋体"/>
          <w:color w:val="auto"/>
          <w:kern w:val="0"/>
          <w:sz w:val="24"/>
          <w:lang w:val="en-US" w:eastAsia="zh-CN"/>
        </w:rPr>
        <w:t xml:space="preserve">3 </w:t>
      </w:r>
      <w:r>
        <w:rPr>
          <w:rFonts w:hint="eastAsia" w:ascii="宋体" w:hAnsi="宋体" w:cs="宋体"/>
          <w:color w:val="auto"/>
          <w:kern w:val="0"/>
          <w:sz w:val="24"/>
        </w:rPr>
        <w:t>月</w:t>
      </w:r>
      <w:r>
        <w:rPr>
          <w:rFonts w:hint="eastAsia" w:ascii="宋体" w:hAnsi="宋体" w:cs="宋体"/>
          <w:color w:val="auto"/>
          <w:kern w:val="0"/>
          <w:sz w:val="24"/>
          <w:lang w:val="en-US" w:eastAsia="zh-CN"/>
        </w:rPr>
        <w:t>8</w:t>
      </w:r>
      <w:r>
        <w:rPr>
          <w:rFonts w:hint="eastAsia" w:ascii="宋体" w:hAnsi="宋体" w:cs="宋体"/>
          <w:color w:val="auto"/>
          <w:kern w:val="0"/>
          <w:sz w:val="24"/>
        </w:rPr>
        <w:t>日24时止。 </w:t>
      </w:r>
    </w:p>
    <w:p>
      <w:pPr>
        <w:snapToGrid w:val="0"/>
        <w:spacing w:line="440" w:lineRule="exact"/>
        <w:rPr>
          <w:rFonts w:ascii="宋体" w:hAnsi="宋体"/>
          <w:color w:val="auto"/>
        </w:rPr>
      </w:pPr>
      <w:r>
        <w:rPr>
          <w:rFonts w:hint="eastAsia"/>
          <w:b/>
          <w:color w:val="auto"/>
          <w:lang w:val="en-GB"/>
        </w:rPr>
        <w:t>七、</w:t>
      </w:r>
      <w:r>
        <w:rPr>
          <w:rFonts w:hint="eastAsia" w:ascii="宋体" w:hAnsi="宋体" w:cs="宋体"/>
          <w:b/>
          <w:bCs/>
          <w:color w:val="auto"/>
          <w:sz w:val="24"/>
          <w:lang w:val="en-GB"/>
        </w:rPr>
        <w:t>投标文件制作份数要求：</w:t>
      </w:r>
    </w:p>
    <w:p>
      <w:pPr>
        <w:spacing w:line="440" w:lineRule="exact"/>
        <w:ind w:firstLine="480" w:firstLineChars="200"/>
        <w:rPr>
          <w:b/>
          <w:color w:val="auto"/>
          <w:lang w:val="en-GB"/>
        </w:rPr>
      </w:pPr>
      <w:r>
        <w:rPr>
          <w:rFonts w:hint="eastAsia" w:ascii="宋体" w:hAnsi="宋体" w:cs="宋体"/>
          <w:bCs/>
          <w:color w:val="auto"/>
          <w:sz w:val="24"/>
          <w:lang w:val="en-GB"/>
        </w:rPr>
        <w:t>响应文件</w:t>
      </w:r>
      <w:r>
        <w:rPr>
          <w:rFonts w:hint="eastAsia" w:ascii="宋体" w:hAnsi="宋体" w:cs="宋体"/>
          <w:bCs/>
          <w:color w:val="auto"/>
          <w:sz w:val="24"/>
        </w:rPr>
        <w:t>一式七份（正本：</w:t>
      </w:r>
      <w:r>
        <w:rPr>
          <w:rFonts w:hint="eastAsia" w:ascii="宋体" w:hAnsi="宋体" w:cs="宋体"/>
          <w:color w:val="auto"/>
          <w:sz w:val="24"/>
        </w:rPr>
        <w:t>1</w:t>
      </w:r>
      <w:r>
        <w:rPr>
          <w:rFonts w:hint="eastAsia" w:ascii="宋体" w:hAnsi="宋体" w:cs="宋体"/>
          <w:bCs/>
          <w:color w:val="auto"/>
          <w:sz w:val="24"/>
        </w:rPr>
        <w:t>份，副本：6份，电子版一份），固定装订（注：胶装）。</w:t>
      </w:r>
    </w:p>
    <w:p>
      <w:pPr>
        <w:pStyle w:val="407"/>
        <w:spacing w:line="440" w:lineRule="exact"/>
        <w:rPr>
          <w:b/>
          <w:color w:val="auto"/>
          <w:lang w:val="en-GB"/>
        </w:rPr>
      </w:pPr>
      <w:r>
        <w:rPr>
          <w:rFonts w:hint="eastAsia"/>
          <w:b/>
          <w:color w:val="auto"/>
          <w:lang w:val="en-GB"/>
        </w:rPr>
        <w:t>八、联系方式</w:t>
      </w:r>
    </w:p>
    <w:p>
      <w:pPr>
        <w:pStyle w:val="407"/>
        <w:spacing w:line="440" w:lineRule="exact"/>
        <w:ind w:firstLine="600" w:firstLineChars="250"/>
        <w:jc w:val="both"/>
        <w:rPr>
          <w:rFonts w:cs="Arial"/>
          <w:color w:val="auto"/>
        </w:rPr>
      </w:pPr>
      <w:r>
        <w:rPr>
          <w:rFonts w:hint="eastAsia" w:cs="Arial"/>
          <w:color w:val="auto"/>
        </w:rPr>
        <w:t>采购人：</w:t>
      </w:r>
      <w:r>
        <w:rPr>
          <w:rFonts w:asciiTheme="minorEastAsia" w:hAnsiTheme="minorEastAsia" w:eastAsiaTheme="minorEastAsia"/>
          <w:color w:val="auto"/>
          <w:szCs w:val="21"/>
        </w:rPr>
        <w:t>海口市不动产登记中心</w:t>
      </w:r>
    </w:p>
    <w:p>
      <w:pPr>
        <w:pStyle w:val="407"/>
        <w:spacing w:line="440" w:lineRule="exact"/>
        <w:ind w:firstLine="600" w:firstLineChars="250"/>
        <w:jc w:val="both"/>
        <w:rPr>
          <w:rFonts w:cs="Arial"/>
          <w:color w:val="auto"/>
        </w:rPr>
      </w:pPr>
      <w:r>
        <w:rPr>
          <w:rFonts w:hint="eastAsia" w:cs="Arial"/>
          <w:color w:val="auto"/>
        </w:rPr>
        <w:t>地 址：</w:t>
      </w:r>
      <w:r>
        <w:rPr>
          <w:rFonts w:asciiTheme="minorEastAsia" w:hAnsiTheme="minorEastAsia" w:eastAsiaTheme="minorEastAsia"/>
          <w:color w:val="auto"/>
          <w:szCs w:val="21"/>
        </w:rPr>
        <w:t>海口市龙华区国贸二横路国土大厦</w:t>
      </w:r>
      <w:r>
        <w:rPr>
          <w:rFonts w:hint="eastAsia" w:asciiTheme="minorEastAsia" w:hAnsiTheme="minorEastAsia" w:eastAsiaTheme="minorEastAsia"/>
          <w:color w:val="auto"/>
          <w:szCs w:val="21"/>
        </w:rPr>
        <w:t>1</w:t>
      </w:r>
      <w:r>
        <w:rPr>
          <w:rFonts w:asciiTheme="minorEastAsia" w:hAnsiTheme="minorEastAsia" w:eastAsiaTheme="minorEastAsia"/>
          <w:color w:val="auto"/>
          <w:szCs w:val="21"/>
        </w:rPr>
        <w:t>601房</w:t>
      </w:r>
    </w:p>
    <w:p>
      <w:pPr>
        <w:pStyle w:val="407"/>
        <w:spacing w:line="440" w:lineRule="exact"/>
        <w:ind w:firstLine="600" w:firstLineChars="250"/>
        <w:jc w:val="both"/>
        <w:rPr>
          <w:rFonts w:cs="Arial"/>
          <w:color w:val="auto"/>
        </w:rPr>
      </w:pPr>
      <w:r>
        <w:rPr>
          <w:rFonts w:hint="eastAsia" w:cs="Arial"/>
          <w:color w:val="auto"/>
        </w:rPr>
        <w:t>电 话：13005088939</w:t>
      </w:r>
    </w:p>
    <w:p>
      <w:pPr>
        <w:pStyle w:val="407"/>
        <w:spacing w:line="440" w:lineRule="exact"/>
        <w:ind w:firstLine="600" w:firstLineChars="250"/>
        <w:jc w:val="both"/>
        <w:rPr>
          <w:rFonts w:cs="Arial"/>
          <w:color w:val="auto"/>
        </w:rPr>
      </w:pPr>
      <w:r>
        <w:rPr>
          <w:rFonts w:hint="eastAsia" w:cs="Arial"/>
          <w:color w:val="auto"/>
        </w:rPr>
        <w:t>联系人：</w:t>
      </w:r>
      <w:r>
        <w:rPr>
          <w:rFonts w:hint="eastAsia" w:asciiTheme="minorEastAsia" w:hAnsiTheme="minorEastAsia" w:eastAsiaTheme="minorEastAsia"/>
          <w:color w:val="auto"/>
          <w:szCs w:val="21"/>
        </w:rPr>
        <w:t>凌仕文</w:t>
      </w:r>
    </w:p>
    <w:p>
      <w:pPr>
        <w:pStyle w:val="407"/>
        <w:spacing w:line="440" w:lineRule="exact"/>
        <w:ind w:firstLine="600" w:firstLineChars="250"/>
        <w:jc w:val="both"/>
        <w:rPr>
          <w:rFonts w:cs="Arial"/>
          <w:color w:val="auto"/>
        </w:rPr>
      </w:pPr>
      <w:r>
        <w:rPr>
          <w:rFonts w:hint="eastAsia" w:cs="Arial"/>
          <w:color w:val="auto"/>
        </w:rPr>
        <w:t>代理机构：海南中联华夏项目管理有限公司</w:t>
      </w:r>
    </w:p>
    <w:p>
      <w:pPr>
        <w:pStyle w:val="407"/>
        <w:spacing w:line="440" w:lineRule="exact"/>
        <w:ind w:firstLine="600" w:firstLineChars="250"/>
        <w:jc w:val="both"/>
        <w:rPr>
          <w:rFonts w:cs="Arial"/>
          <w:color w:val="auto"/>
        </w:rPr>
      </w:pPr>
      <w:r>
        <w:rPr>
          <w:rFonts w:hint="eastAsia" w:cs="Arial"/>
          <w:color w:val="auto"/>
        </w:rPr>
        <w:t>地 址：</w:t>
      </w:r>
      <w:r>
        <w:rPr>
          <w:rFonts w:hint="eastAsia"/>
          <w:bCs/>
          <w:color w:val="auto"/>
          <w:lang w:val="en-GB"/>
        </w:rPr>
        <w:t>海南省海口市蓝天路28号名门广场南区</w:t>
      </w:r>
      <w:r>
        <w:rPr>
          <w:rFonts w:hint="eastAsia"/>
          <w:bCs/>
          <w:color w:val="auto"/>
        </w:rPr>
        <w:t>D503</w:t>
      </w:r>
      <w:r>
        <w:rPr>
          <w:rFonts w:hint="eastAsia"/>
          <w:bCs/>
          <w:color w:val="auto"/>
          <w:lang w:val="en-GB"/>
        </w:rPr>
        <w:t>室</w:t>
      </w:r>
    </w:p>
    <w:p>
      <w:pPr>
        <w:pStyle w:val="407"/>
        <w:spacing w:line="440" w:lineRule="exact"/>
        <w:ind w:firstLine="600" w:firstLineChars="250"/>
        <w:jc w:val="both"/>
        <w:rPr>
          <w:rFonts w:cs="Arial"/>
          <w:color w:val="auto"/>
        </w:rPr>
      </w:pPr>
      <w:r>
        <w:rPr>
          <w:rFonts w:hint="eastAsia" w:cs="Arial"/>
          <w:color w:val="auto"/>
        </w:rPr>
        <w:t>邮 编：570310</w:t>
      </w:r>
    </w:p>
    <w:p>
      <w:pPr>
        <w:pStyle w:val="407"/>
        <w:spacing w:line="440" w:lineRule="exact"/>
        <w:ind w:firstLine="600" w:firstLineChars="250"/>
        <w:jc w:val="both"/>
        <w:rPr>
          <w:rFonts w:cs="Arial"/>
          <w:color w:val="auto"/>
        </w:rPr>
      </w:pPr>
      <w:r>
        <w:rPr>
          <w:rFonts w:hint="eastAsia" w:cs="Arial"/>
          <w:color w:val="auto"/>
        </w:rPr>
        <w:t>电 话：0898-65341140    传 真：0898-65304085</w:t>
      </w:r>
    </w:p>
    <w:p>
      <w:pPr>
        <w:pStyle w:val="407"/>
        <w:spacing w:line="440" w:lineRule="exact"/>
        <w:ind w:firstLine="600" w:firstLineChars="250"/>
        <w:jc w:val="both"/>
        <w:rPr>
          <w:rFonts w:cs="Arial"/>
          <w:color w:val="auto"/>
        </w:rPr>
      </w:pPr>
      <w:r>
        <w:rPr>
          <w:rFonts w:cs="Times New Roman"/>
          <w:color w:val="auto"/>
        </w:rPr>
        <w:t>联系人：</w:t>
      </w:r>
      <w:r>
        <w:rPr>
          <w:rFonts w:hint="eastAsia" w:cs="Times New Roman"/>
          <w:color w:val="auto"/>
        </w:rPr>
        <w:t>钟</w:t>
      </w:r>
      <w:r>
        <w:rPr>
          <w:rFonts w:hint="eastAsia" w:cs="Arial"/>
          <w:color w:val="auto"/>
        </w:rPr>
        <w:t>女士</w:t>
      </w: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407"/>
        <w:spacing w:line="440" w:lineRule="exact"/>
        <w:ind w:firstLine="600" w:firstLineChars="250"/>
        <w:jc w:val="both"/>
        <w:rPr>
          <w:rFonts w:cs="Arial"/>
          <w:color w:val="auto"/>
        </w:rPr>
      </w:pPr>
    </w:p>
    <w:p>
      <w:pPr>
        <w:pStyle w:val="3"/>
        <w:rPr>
          <w:rFonts w:asciiTheme="minorEastAsia" w:hAnsiTheme="minorEastAsia" w:eastAsiaTheme="minorEastAsia"/>
          <w:color w:val="auto"/>
        </w:rPr>
      </w:pPr>
    </w:p>
    <w:p>
      <w:pPr>
        <w:rPr>
          <w:rFonts w:asciiTheme="minorEastAsia" w:hAnsiTheme="minorEastAsia" w:eastAsiaTheme="minorEastAsia"/>
          <w:color w:val="auto"/>
        </w:rPr>
      </w:pPr>
    </w:p>
    <w:p>
      <w:pPr>
        <w:pStyle w:val="3"/>
        <w:jc w:val="center"/>
        <w:rPr>
          <w:rFonts w:asciiTheme="minorEastAsia" w:hAnsiTheme="minorEastAsia" w:eastAsiaTheme="minorEastAsia"/>
          <w:color w:val="auto"/>
        </w:rPr>
      </w:pPr>
      <w:r>
        <w:rPr>
          <w:rStyle w:val="325"/>
          <w:rFonts w:hint="eastAsia" w:hAnsi="宋体" w:cs="宋体"/>
          <w:b/>
          <w:color w:val="auto"/>
          <w:sz w:val="44"/>
          <w:szCs w:val="44"/>
        </w:rPr>
        <w:t>第二章  投标须知</w:t>
      </w:r>
    </w:p>
    <w:p>
      <w:pPr>
        <w:pStyle w:val="3"/>
        <w:jc w:val="center"/>
        <w:rPr>
          <w:rFonts w:asciiTheme="minorEastAsia" w:hAnsiTheme="minorEastAsia" w:eastAsiaTheme="minorEastAsia"/>
          <w:color w:val="auto"/>
        </w:rPr>
      </w:pPr>
      <w:r>
        <w:rPr>
          <w:rFonts w:hint="eastAsia" w:asciiTheme="minorEastAsia" w:hAnsiTheme="minorEastAsia" w:eastAsiaTheme="minorEastAsia"/>
          <w:color w:val="auto"/>
        </w:rPr>
        <w:t>投标须知前附表</w:t>
      </w:r>
      <w:bookmarkEnd w:id="3"/>
    </w:p>
    <w:tbl>
      <w:tblPr>
        <w:tblStyle w:val="65"/>
        <w:tblW w:w="10440" w:type="dxa"/>
        <w:jc w:val="center"/>
        <w:tblInd w:w="-39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3"/>
        <w:gridCol w:w="1260"/>
        <w:gridCol w:w="851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663" w:type="dxa"/>
            <w:shd w:val="clear" w:color="auto" w:fill="F3F3F3"/>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序号</w:t>
            </w:r>
          </w:p>
        </w:tc>
        <w:tc>
          <w:tcPr>
            <w:tcW w:w="1260" w:type="dxa"/>
            <w:shd w:val="clear" w:color="auto" w:fill="F3F3F3"/>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条款名称</w:t>
            </w:r>
          </w:p>
        </w:tc>
        <w:tc>
          <w:tcPr>
            <w:tcW w:w="8517" w:type="dxa"/>
            <w:shd w:val="clear" w:color="auto" w:fill="F3F3F3"/>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编列内容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8"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1</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项目名称</w:t>
            </w:r>
          </w:p>
        </w:tc>
        <w:tc>
          <w:tcPr>
            <w:tcW w:w="8517" w:type="dxa"/>
            <w:vAlign w:val="center"/>
          </w:tcPr>
          <w:p>
            <w:pPr>
              <w:keepNext w:val="0"/>
              <w:keepLines w:val="0"/>
              <w:pageBreakBefore w:val="0"/>
              <w:widowControl w:val="0"/>
              <w:tabs>
                <w:tab w:val="center" w:pos="4394"/>
              </w:tabs>
              <w:kinsoku/>
              <w:wordWrap/>
              <w:overflowPunct/>
              <w:topLinePunct w:val="0"/>
              <w:bidi w:val="0"/>
              <w:spacing w:line="360" w:lineRule="exact"/>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海口市房地楼幢测绘及编制不动产单元编码项目（项目编号：</w:t>
            </w:r>
            <w:r>
              <w:rPr>
                <w:rFonts w:hint="eastAsia" w:asciiTheme="minorEastAsia" w:hAnsiTheme="minorEastAsia" w:eastAsiaTheme="minorEastAsia"/>
                <w:color w:val="auto"/>
                <w:sz w:val="24"/>
                <w:lang w:eastAsia="zh-CN"/>
              </w:rPr>
              <w:t>ZLHX2019-008</w:t>
            </w:r>
            <w:r>
              <w:rPr>
                <w:rFonts w:hint="eastAsia" w:asciiTheme="minorEastAsia" w:hAnsiTheme="minorEastAsia" w:eastAsiaTheme="minorEastAsia"/>
                <w:color w:val="auto"/>
                <w:sz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95"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2</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采购人</w:t>
            </w:r>
          </w:p>
        </w:tc>
        <w:tc>
          <w:tcPr>
            <w:tcW w:w="8517" w:type="dxa"/>
            <w:vAlign w:val="center"/>
          </w:tcPr>
          <w:p>
            <w:pPr>
              <w:keepNext w:val="0"/>
              <w:keepLines w:val="0"/>
              <w:pageBreakBefore w:val="0"/>
              <w:widowControl w:val="0"/>
              <w:kinsoku/>
              <w:wordWrap/>
              <w:overflowPunct/>
              <w:topLinePunct w:val="0"/>
              <w:bidi w:val="0"/>
              <w:spacing w:line="360" w:lineRule="exact"/>
              <w:ind w:firstLine="120" w:firstLineChars="5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采购人</w:t>
            </w:r>
            <w:r>
              <w:rPr>
                <w:rFonts w:asciiTheme="minorEastAsia" w:hAnsiTheme="minorEastAsia" w:eastAsiaTheme="minorEastAsia"/>
                <w:color w:val="auto"/>
                <w:sz w:val="24"/>
              </w:rPr>
              <w:t>： 海口市不动产登记中心</w:t>
            </w:r>
          </w:p>
          <w:p>
            <w:pPr>
              <w:keepNext w:val="0"/>
              <w:keepLines w:val="0"/>
              <w:pageBreakBefore w:val="0"/>
              <w:widowControl w:val="0"/>
              <w:kinsoku/>
              <w:wordWrap/>
              <w:overflowPunct/>
              <w:topLinePunct w:val="0"/>
              <w:bidi w:val="0"/>
              <w:spacing w:line="360" w:lineRule="exact"/>
              <w:ind w:firstLine="120" w:firstLineChars="50"/>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地址</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海口市龙华区国贸二横路国土大厦</w:t>
            </w:r>
            <w:r>
              <w:rPr>
                <w:rFonts w:hint="eastAsia" w:asciiTheme="minorEastAsia" w:hAnsiTheme="minorEastAsia" w:eastAsiaTheme="minorEastAsia"/>
                <w:color w:val="auto"/>
                <w:sz w:val="24"/>
              </w:rPr>
              <w:t>1</w:t>
            </w:r>
            <w:r>
              <w:rPr>
                <w:rFonts w:asciiTheme="minorEastAsia" w:hAnsiTheme="minorEastAsia" w:eastAsiaTheme="minorEastAsia"/>
                <w:color w:val="auto"/>
                <w:sz w:val="24"/>
              </w:rPr>
              <w:t>601房</w:t>
            </w:r>
          </w:p>
          <w:p>
            <w:pPr>
              <w:keepNext w:val="0"/>
              <w:keepLines w:val="0"/>
              <w:pageBreakBefore w:val="0"/>
              <w:widowControl w:val="0"/>
              <w:kinsoku/>
              <w:wordWrap/>
              <w:overflowPunct/>
              <w:topLinePunct w:val="0"/>
              <w:bidi w:val="0"/>
              <w:spacing w:line="360" w:lineRule="exact"/>
              <w:ind w:firstLine="120" w:firstLineChars="50"/>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联系人：</w:t>
            </w:r>
            <w:r>
              <w:rPr>
                <w:rFonts w:hint="eastAsia" w:asciiTheme="minorEastAsia" w:hAnsiTheme="minorEastAsia" w:eastAsiaTheme="minorEastAsia"/>
                <w:color w:val="auto"/>
                <w:sz w:val="24"/>
              </w:rPr>
              <w:t xml:space="preserve">凌仕文 </w:t>
            </w:r>
            <w:r>
              <w:rPr>
                <w:rFonts w:asciiTheme="minorEastAsia" w:hAnsiTheme="minorEastAsia" w:eastAsiaTheme="minorEastAsia"/>
                <w:color w:val="auto"/>
                <w:sz w:val="24"/>
              </w:rPr>
              <w:t xml:space="preserve"> 电话：</w:t>
            </w:r>
            <w:r>
              <w:rPr>
                <w:rFonts w:hint="eastAsia" w:asciiTheme="minorEastAsia" w:hAnsiTheme="minorEastAsia" w:eastAsiaTheme="minorEastAsia"/>
                <w:color w:val="auto"/>
                <w:sz w:val="24"/>
              </w:rPr>
              <w:t>13005088939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3</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招标内容</w:t>
            </w:r>
          </w:p>
        </w:tc>
        <w:tc>
          <w:tcPr>
            <w:tcW w:w="8517" w:type="dxa"/>
            <w:vAlign w:val="center"/>
          </w:tcPr>
          <w:p>
            <w:pPr>
              <w:pStyle w:val="309"/>
              <w:keepNext w:val="0"/>
              <w:keepLines w:val="0"/>
              <w:pageBreakBefore w:val="0"/>
              <w:widowControl w:val="0"/>
              <w:kinsoku/>
              <w:wordWrap/>
              <w:overflowPunct/>
              <w:topLinePunct w:val="0"/>
              <w:bidi w:val="0"/>
              <w:spacing w:line="360" w:lineRule="exact"/>
              <w:ind w:firstLine="0" w:firstLineChars="0"/>
              <w:textAlignment w:val="auto"/>
              <w:rPr>
                <w:rFonts w:asciiTheme="minorEastAsia" w:hAnsiTheme="minorEastAsia" w:eastAsiaTheme="minorEastAsia"/>
                <w:color w:val="auto"/>
              </w:rPr>
            </w:pPr>
            <w:r>
              <w:rPr>
                <w:rFonts w:hint="eastAsia" w:asciiTheme="minorEastAsia" w:hAnsiTheme="minorEastAsia" w:eastAsiaTheme="minorEastAsia"/>
                <w:color w:val="auto"/>
              </w:rPr>
              <w:t>海口市不动产权籍调查房地楼幢测绘及编制不动产单元编码项目（详见工作内容及相关要求）。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4</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投标资格要求</w:t>
            </w:r>
          </w:p>
        </w:tc>
        <w:tc>
          <w:tcPr>
            <w:tcW w:w="8517"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1、在中华人民共和国境内注册、具有独立承担民事责任能力的法人（需提供企业有效的营业执照、组织机构代码证、税务登记证副本；如为“三证合一”企业，提供有效的营业执照副本；如为事业单位，提供有效的事业单位法人证书副本，以上证书提供复印件并加盖公章，原件现场核查）。</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 xml:space="preserve">2、投标人应具有良好的商业信誉和健全的财务会计制度（须提供2016年度-2017年度财务报告；新注册公司须提供注册时间起至今每月或每季度的财务报表（须含资产负债表、利润表））。 </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3、投标人应具有依法缴纳税收的良好记录 (需提供2017-2018年两年的企业纳税凭证)。</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4、投标人应具有社会保障资金的良好记录（需提供2018年连续三个月依法缴纳社会保障资金的凭证）。</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5、投标人必须为未被列入信用中国网站(www.creditchina.gov.cn)的“失信被执行人”、“重大税收违法案件当事人名单”、“政府采购严重违法失信名单”和中国政府采购网(www.ccgp.gov.cn) 的“政府采购严重违法失信行为记录名单”的供应商，且投标人必须在测绘地理信息行业信用管理平台(http://zwfw.nasg.gov.cn/app/credit/index）上无任何不良信息（提供开标前7天内的查询结果网页截图并加盖单位公章）。</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6、1包—4包投标人应同时具有行政主管部门颁发的不动产测绘(须包含地籍测绘)及工程测量专业甲级测绘资质；5包投标人应同时具有行政主管部门颁发的测绘航空摄影、摄影测量与遥感专业甲级测绘资质；6包投标人应具有ISO9001质量管理体系认证资质（近三年内具有地理信息系统的开发成果案例）；7包投标人应同时具有行政主管部门颁发的不动产测绘、工程测量、摄影测量与遥感、地理信息系统工程专业甲级测绘资质。提供资质证书复印件并加盖公章，原件现场核查。</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7、1包—4包</w:t>
            </w:r>
            <w:r>
              <w:rPr>
                <w:rFonts w:hint="eastAsia" w:ascii="宋体" w:hAnsi="宋体" w:cs="宋体"/>
                <w:color w:val="auto"/>
                <w:sz w:val="24"/>
                <w:lang w:val="en-GB" w:eastAsia="zh-CN"/>
              </w:rPr>
              <w:t>是</w:t>
            </w:r>
            <w:r>
              <w:rPr>
                <w:rFonts w:hint="eastAsia" w:ascii="宋体" w:hAnsi="宋体" w:cs="宋体"/>
                <w:color w:val="auto"/>
                <w:sz w:val="24"/>
                <w:lang w:val="en-GB"/>
              </w:rPr>
              <w:t>省外投标人还须持有海南省测绘地理信息行政主管部门颁发的《海南省省外测绘地理信息单位验证登记证》，提供复印件并加盖公章，原件现场核查。</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8、投标人在参加政府采购活动前三年内（注册成立时间不足三年的，从注册时间起算），在经营活动中没有重大违法记录（提供声明函）。</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9、投标人应承诺按投标方案投入相应的技术人员和售后服务人员，并保持相对稳定，变更人员须经采购人同意，替换的人员要与投标方案人员资格及水平一致或优于。否则采购人有权要求中标人进行整改，整改不到位可按违约处理。</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10、本项目不接受联合体投标，不得转包。</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color w:val="auto"/>
                <w:sz w:val="24"/>
                <w:lang w:val="en-GB"/>
              </w:rPr>
            </w:pPr>
            <w:r>
              <w:rPr>
                <w:rFonts w:hint="eastAsia" w:ascii="宋体" w:hAnsi="宋体" w:cs="宋体"/>
                <w:color w:val="auto"/>
                <w:sz w:val="24"/>
                <w:lang w:val="en-GB"/>
              </w:rPr>
              <w:t>11、投标人参与投标前必须到现场进行勘察调研，明确具体的工作内容和要求，并完善《现场勘察调研报告》，投标文件不提供《现场勘察调研报告》视为无效投标文件。（须提供经招标人盖章确认的《现场勘察调研报告》，并将相关原件放入响应文件正本中）。</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asciiTheme="minorEastAsia" w:hAnsiTheme="minorEastAsia" w:eastAsiaTheme="minorEastAsia"/>
                <w:color w:val="auto"/>
                <w:sz w:val="24"/>
              </w:rPr>
            </w:pPr>
            <w:r>
              <w:rPr>
                <w:rFonts w:hint="eastAsia" w:ascii="宋体" w:hAnsi="宋体" w:cs="宋体"/>
                <w:color w:val="auto"/>
                <w:sz w:val="24"/>
                <w:lang w:val="en-GB"/>
              </w:rPr>
              <w:t>12、同一投标人可参与1包—4包中任意两个包次的竞标, 并同时可以参与5包、6包及7包的竞标，但投标人只允许中标其中一个包次，其优先顺序为5包、6包、7包、1包、2包、3包、4包（例如：同时参与1包、2包、5包、6包及7包的竞标并同时中得，则其只有5包的中标有效，1包、2包、6包及7包中标无效，由排名其后的中标候选人依次递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5</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质量要求</w:t>
            </w:r>
          </w:p>
        </w:tc>
        <w:tc>
          <w:tcPr>
            <w:tcW w:w="8517" w:type="dxa"/>
            <w:vAlign w:val="center"/>
          </w:tcPr>
          <w:p>
            <w:pPr>
              <w:keepNext w:val="0"/>
              <w:keepLines w:val="0"/>
              <w:pageBreakBefore w:val="0"/>
              <w:widowControl w:val="0"/>
              <w:kinsoku/>
              <w:wordWrap/>
              <w:overflowPunct/>
              <w:topLinePunct w:val="0"/>
              <w:bidi w:val="0"/>
              <w:spacing w:line="360" w:lineRule="exact"/>
              <w:ind w:firstLine="120" w:firstLineChars="5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符合国家、行业规定及采购人要求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6</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工期要求</w:t>
            </w:r>
          </w:p>
        </w:tc>
        <w:tc>
          <w:tcPr>
            <w:tcW w:w="8517" w:type="dxa"/>
            <w:vAlign w:val="center"/>
          </w:tcPr>
          <w:p>
            <w:pPr>
              <w:keepNext w:val="0"/>
              <w:keepLines w:val="0"/>
              <w:pageBreakBefore w:val="0"/>
              <w:widowControl w:val="0"/>
              <w:kinsoku/>
              <w:wordWrap/>
              <w:overflowPunct/>
              <w:topLinePunct w:val="0"/>
              <w:bidi w:val="0"/>
              <w:spacing w:line="360" w:lineRule="exact"/>
              <w:ind w:firstLine="120" w:firstLineChars="5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按照项目委托要求执行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7</w:t>
            </w:r>
          </w:p>
        </w:tc>
        <w:tc>
          <w:tcPr>
            <w:tcW w:w="1260" w:type="dxa"/>
            <w:vAlign w:val="center"/>
          </w:tcPr>
          <w:p>
            <w:pPr>
              <w:keepNext w:val="0"/>
              <w:keepLines w:val="0"/>
              <w:pageBreakBefore w:val="0"/>
              <w:widowControl w:val="0"/>
              <w:kinsoku/>
              <w:wordWrap/>
              <w:overflowPunct/>
              <w:topLinePunct w:val="0"/>
              <w:bidi w:val="0"/>
              <w:spacing w:line="360" w:lineRule="exact"/>
              <w:ind w:firstLine="120" w:firstLineChars="50"/>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发售招标文件时间</w:t>
            </w:r>
          </w:p>
        </w:tc>
        <w:tc>
          <w:tcPr>
            <w:tcW w:w="8517" w:type="dxa"/>
            <w:vAlign w:val="center"/>
          </w:tcPr>
          <w:p>
            <w:pPr>
              <w:keepNext w:val="0"/>
              <w:keepLines w:val="0"/>
              <w:pageBreakBefore w:val="0"/>
              <w:widowControl w:val="0"/>
              <w:kinsoku/>
              <w:wordWrap/>
              <w:overflowPunct/>
              <w:topLinePunct w:val="0"/>
              <w:bidi w:val="0"/>
              <w:spacing w:line="360" w:lineRule="exact"/>
              <w:ind w:firstLine="120" w:firstLineChars="5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201</w:t>
            </w:r>
            <w:r>
              <w:rPr>
                <w:rFonts w:hint="eastAsia" w:asciiTheme="minorEastAsia" w:hAnsiTheme="minorEastAsia" w:eastAsiaTheme="minorEastAsia"/>
                <w:color w:val="auto"/>
                <w:sz w:val="24"/>
                <w:lang w:val="en-US" w:eastAsia="zh-CN"/>
              </w:rPr>
              <w:t>9</w:t>
            </w:r>
            <w:r>
              <w:rPr>
                <w:rFonts w:hint="eastAsia" w:asciiTheme="minorEastAsia" w:hAnsiTheme="minorEastAsia" w:eastAsiaTheme="minorEastAsia"/>
                <w:color w:val="auto"/>
                <w:sz w:val="24"/>
              </w:rPr>
              <w:t>年</w:t>
            </w:r>
            <w:r>
              <w:rPr>
                <w:rFonts w:hint="eastAsia" w:asciiTheme="minorEastAsia" w:hAnsiTheme="minorEastAsia" w:eastAsiaTheme="minorEastAsia"/>
                <w:color w:val="auto"/>
                <w:sz w:val="24"/>
                <w:lang w:val="en-US" w:eastAsia="zh-CN"/>
              </w:rPr>
              <w:t>3</w:t>
            </w:r>
            <w:r>
              <w:rPr>
                <w:rFonts w:hint="eastAsia" w:asciiTheme="minorEastAsia" w:hAnsiTheme="minorEastAsia" w:eastAsiaTheme="minorEastAsia"/>
                <w:color w:val="auto"/>
                <w:sz w:val="24"/>
              </w:rPr>
              <w:t>月</w:t>
            </w:r>
            <w:r>
              <w:rPr>
                <w:rFonts w:hint="eastAsia" w:asciiTheme="minorEastAsia" w:hAnsiTheme="minorEastAsia" w:eastAsiaTheme="minorEastAsia"/>
                <w:color w:val="auto"/>
                <w:sz w:val="24"/>
                <w:lang w:val="en-US" w:eastAsia="zh-CN"/>
              </w:rPr>
              <w:t>1</w:t>
            </w:r>
            <w:r>
              <w:rPr>
                <w:rFonts w:hint="eastAsia" w:asciiTheme="minorEastAsia" w:hAnsiTheme="minorEastAsia" w:eastAsiaTheme="minorEastAsia"/>
                <w:color w:val="auto"/>
                <w:sz w:val="24"/>
              </w:rPr>
              <w:t>日—</w:t>
            </w:r>
            <w:r>
              <w:rPr>
                <w:rFonts w:asciiTheme="minorEastAsia" w:hAnsiTheme="minorEastAsia" w:eastAsiaTheme="minorEastAsia"/>
                <w:color w:val="auto"/>
                <w:sz w:val="24"/>
              </w:rPr>
              <w:t xml:space="preserve"> 201</w:t>
            </w:r>
            <w:r>
              <w:rPr>
                <w:rFonts w:hint="eastAsia" w:asciiTheme="minorEastAsia" w:hAnsiTheme="minorEastAsia" w:eastAsiaTheme="minorEastAsia"/>
                <w:color w:val="auto"/>
                <w:sz w:val="24"/>
                <w:lang w:val="en-US" w:eastAsia="zh-CN"/>
              </w:rPr>
              <w:t xml:space="preserve">9 </w:t>
            </w:r>
            <w:r>
              <w:rPr>
                <w:rFonts w:asciiTheme="minorEastAsia" w:hAnsiTheme="minorEastAsia" w:eastAsiaTheme="minorEastAsia"/>
                <w:color w:val="auto"/>
                <w:sz w:val="24"/>
              </w:rPr>
              <w:t>年</w:t>
            </w:r>
            <w:r>
              <w:rPr>
                <w:rFonts w:hint="eastAsia" w:asciiTheme="minorEastAsia" w:hAnsiTheme="minorEastAsia" w:eastAsiaTheme="minorEastAsia"/>
                <w:color w:val="auto"/>
                <w:sz w:val="24"/>
                <w:lang w:val="en-US" w:eastAsia="zh-CN"/>
              </w:rPr>
              <w:t>3</w:t>
            </w:r>
            <w:r>
              <w:rPr>
                <w:rFonts w:hint="eastAsia" w:asciiTheme="minorEastAsia" w:hAnsiTheme="minorEastAsia" w:eastAsiaTheme="minorEastAsia"/>
                <w:color w:val="auto"/>
                <w:sz w:val="24"/>
              </w:rPr>
              <w:t>月</w:t>
            </w:r>
            <w:r>
              <w:rPr>
                <w:rFonts w:hint="eastAsia" w:asciiTheme="minorEastAsia" w:hAnsiTheme="minorEastAsia" w:eastAsiaTheme="minorEastAsia"/>
                <w:color w:val="auto"/>
                <w:sz w:val="24"/>
                <w:lang w:val="en-US" w:eastAsia="zh-CN"/>
              </w:rPr>
              <w:t>8</w:t>
            </w:r>
            <w:r>
              <w:rPr>
                <w:rFonts w:hint="eastAsia" w:asciiTheme="minorEastAsia" w:hAnsiTheme="minorEastAsia" w:eastAsiaTheme="minorEastAsia"/>
                <w:color w:val="auto"/>
                <w:sz w:val="24"/>
              </w:rPr>
              <w:t>日8:00-17:00（北京时间）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8</w:t>
            </w:r>
          </w:p>
        </w:tc>
        <w:tc>
          <w:tcPr>
            <w:tcW w:w="1260" w:type="dxa"/>
            <w:vAlign w:val="center"/>
          </w:tcPr>
          <w:p>
            <w:pPr>
              <w:keepNext w:val="0"/>
              <w:keepLines w:val="0"/>
              <w:pageBreakBefore w:val="0"/>
              <w:widowControl w:val="0"/>
              <w:kinsoku/>
              <w:wordWrap/>
              <w:overflowPunct/>
              <w:topLinePunct w:val="0"/>
              <w:bidi w:val="0"/>
              <w:spacing w:line="360" w:lineRule="exact"/>
              <w:ind w:firstLine="120" w:firstLineChars="50"/>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招标文件答疑</w:t>
            </w:r>
          </w:p>
        </w:tc>
        <w:tc>
          <w:tcPr>
            <w:tcW w:w="8517" w:type="dxa"/>
            <w:vAlign w:val="center"/>
          </w:tcPr>
          <w:p>
            <w:pPr>
              <w:keepNext w:val="0"/>
              <w:keepLines w:val="0"/>
              <w:pageBreakBefore w:val="0"/>
              <w:widowControl w:val="0"/>
              <w:kinsoku/>
              <w:wordWrap/>
              <w:overflowPunct/>
              <w:topLinePunct w:val="0"/>
              <w:bidi w:val="0"/>
              <w:spacing w:line="360" w:lineRule="exact"/>
              <w:ind w:firstLine="120" w:firstLineChars="5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以书面方式进行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9</w:t>
            </w:r>
          </w:p>
        </w:tc>
        <w:tc>
          <w:tcPr>
            <w:tcW w:w="1260" w:type="dxa"/>
            <w:vAlign w:val="center"/>
          </w:tcPr>
          <w:p>
            <w:pPr>
              <w:keepNext w:val="0"/>
              <w:keepLines w:val="0"/>
              <w:pageBreakBefore w:val="0"/>
              <w:widowControl w:val="0"/>
              <w:kinsoku/>
              <w:wordWrap/>
              <w:overflowPunct/>
              <w:topLinePunct w:val="0"/>
              <w:bidi w:val="0"/>
              <w:spacing w:line="360" w:lineRule="exact"/>
              <w:ind w:firstLine="120" w:firstLineChars="50"/>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投标截止时间</w:t>
            </w:r>
          </w:p>
        </w:tc>
        <w:tc>
          <w:tcPr>
            <w:tcW w:w="8517" w:type="dxa"/>
            <w:vAlign w:val="center"/>
          </w:tcPr>
          <w:p>
            <w:pPr>
              <w:keepNext w:val="0"/>
              <w:keepLines w:val="0"/>
              <w:pageBreakBefore w:val="0"/>
              <w:widowControl w:val="0"/>
              <w:kinsoku/>
              <w:wordWrap/>
              <w:overflowPunct/>
              <w:topLinePunct w:val="0"/>
              <w:bidi w:val="0"/>
              <w:spacing w:line="360" w:lineRule="exact"/>
              <w:ind w:firstLine="120" w:firstLineChars="5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201</w:t>
            </w:r>
            <w:r>
              <w:rPr>
                <w:rFonts w:hint="eastAsia" w:asciiTheme="minorEastAsia" w:hAnsiTheme="minorEastAsia" w:eastAsiaTheme="minorEastAsia"/>
                <w:color w:val="auto"/>
                <w:sz w:val="24"/>
                <w:lang w:val="en-US" w:eastAsia="zh-CN"/>
              </w:rPr>
              <w:t>9</w:t>
            </w:r>
            <w:r>
              <w:rPr>
                <w:rFonts w:hint="eastAsia" w:asciiTheme="minorEastAsia" w:hAnsiTheme="minorEastAsia" w:eastAsiaTheme="minorEastAsia"/>
                <w:color w:val="auto"/>
                <w:sz w:val="24"/>
              </w:rPr>
              <w:t>年</w:t>
            </w:r>
            <w:r>
              <w:rPr>
                <w:rFonts w:hint="eastAsia" w:asciiTheme="minorEastAsia" w:hAnsiTheme="minorEastAsia" w:eastAsiaTheme="minorEastAsia"/>
                <w:color w:val="auto"/>
                <w:sz w:val="24"/>
                <w:lang w:val="en-US" w:eastAsia="zh-CN"/>
              </w:rPr>
              <w:t>3</w:t>
            </w:r>
            <w:r>
              <w:rPr>
                <w:rFonts w:hint="eastAsia" w:asciiTheme="minorEastAsia" w:hAnsiTheme="minorEastAsia" w:eastAsiaTheme="minorEastAsia"/>
                <w:color w:val="auto"/>
                <w:sz w:val="24"/>
              </w:rPr>
              <w:t>月</w:t>
            </w:r>
            <w:r>
              <w:rPr>
                <w:rFonts w:hint="eastAsia" w:asciiTheme="minorEastAsia" w:hAnsiTheme="minorEastAsia" w:eastAsiaTheme="minorEastAsia"/>
                <w:color w:val="auto"/>
                <w:sz w:val="24"/>
                <w:lang w:val="en-US" w:eastAsia="zh-CN"/>
              </w:rPr>
              <w:t>21</w:t>
            </w:r>
            <w:r>
              <w:rPr>
                <w:rFonts w:hint="eastAsia" w:asciiTheme="minorEastAsia" w:hAnsiTheme="minorEastAsia" w:eastAsiaTheme="minorEastAsia"/>
                <w:color w:val="auto"/>
                <w:sz w:val="24"/>
              </w:rPr>
              <w:t>日</w:t>
            </w:r>
            <w:r>
              <w:rPr>
                <w:rFonts w:hint="eastAsia" w:asciiTheme="minorEastAsia" w:hAnsiTheme="minorEastAsia" w:eastAsiaTheme="minorEastAsia"/>
                <w:color w:val="auto"/>
                <w:sz w:val="24"/>
                <w:lang w:val="en-US" w:eastAsia="zh-CN"/>
              </w:rPr>
              <w:t>09</w:t>
            </w: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lang w:val="en-US" w:eastAsia="zh-CN"/>
              </w:rPr>
              <w:t>30</w:t>
            </w:r>
            <w:r>
              <w:rPr>
                <w:rFonts w:hint="eastAsia" w:asciiTheme="minorEastAsia" w:hAnsiTheme="minorEastAsia" w:eastAsiaTheme="minorEastAsia"/>
                <w:color w:val="auto"/>
                <w:sz w:val="24"/>
              </w:rPr>
              <w:t>时（北京时间）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8"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1</w:t>
            </w:r>
            <w:r>
              <w:rPr>
                <w:rFonts w:asciiTheme="minorEastAsia" w:hAnsiTheme="minorEastAsia" w:eastAsiaTheme="minorEastAsia"/>
                <w:color w:val="auto"/>
                <w:sz w:val="24"/>
              </w:rPr>
              <w:t>0</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投标保证金金额</w:t>
            </w:r>
          </w:p>
        </w:tc>
        <w:tc>
          <w:tcPr>
            <w:tcW w:w="8517" w:type="dxa"/>
            <w:vAlign w:val="center"/>
          </w:tcPr>
          <w:p>
            <w:pPr>
              <w:keepNext w:val="0"/>
              <w:keepLines w:val="0"/>
              <w:pageBreakBefore w:val="0"/>
              <w:widowControl w:val="0"/>
              <w:kinsoku/>
              <w:wordWrap/>
              <w:overflowPunct/>
              <w:topLinePunct w:val="0"/>
              <w:bidi w:val="0"/>
              <w:spacing w:line="360" w:lineRule="exact"/>
              <w:ind w:firstLine="240" w:firstLineChars="100"/>
              <w:textAlignment w:val="auto"/>
              <w:rPr>
                <w:rFonts w:asciiTheme="minorEastAsia" w:hAnsiTheme="minorEastAsia" w:eastAsiaTheme="minorEastAsia"/>
                <w:color w:val="auto"/>
                <w:sz w:val="24"/>
              </w:rPr>
            </w:pPr>
            <w:r>
              <w:rPr>
                <w:rFonts w:hint="eastAsia" w:ascii="宋体" w:hAnsi="宋体" w:cs="宋体"/>
                <w:bCs/>
                <w:color w:val="auto"/>
                <w:kern w:val="0"/>
                <w:sz w:val="24"/>
                <w:lang w:val="en-US" w:eastAsia="zh-CN"/>
              </w:rPr>
              <w:t>1包人民币￥25万元</w:t>
            </w:r>
            <w:r>
              <w:rPr>
                <w:rFonts w:hint="eastAsia" w:ascii="宋体" w:hAnsi="宋体" w:cs="宋体"/>
                <w:bCs/>
                <w:color w:val="auto"/>
                <w:kern w:val="0"/>
                <w:sz w:val="24"/>
              </w:rPr>
              <w:t>；</w:t>
            </w:r>
            <w:r>
              <w:rPr>
                <w:rFonts w:hint="eastAsia" w:ascii="宋体" w:hAnsi="宋体" w:cs="宋体"/>
                <w:bCs/>
                <w:color w:val="auto"/>
                <w:kern w:val="0"/>
                <w:sz w:val="24"/>
                <w:lang w:val="en-US" w:eastAsia="zh-CN"/>
              </w:rPr>
              <w:t>2包人民币￥20万元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3包人民币￥23万元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4包人民币￥28万元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5包人民币￥37万元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6包人民币￥19万元</w:t>
            </w:r>
            <w:r>
              <w:rPr>
                <w:rFonts w:hint="eastAsia" w:ascii="宋体" w:hAnsi="宋体" w:cs="宋体"/>
                <w:color w:val="auto"/>
                <w:kern w:val="0"/>
                <w:sz w:val="24"/>
                <w:lang w:eastAsia="zh-CN"/>
              </w:rPr>
              <w:t>；</w:t>
            </w:r>
            <w:r>
              <w:rPr>
                <w:rFonts w:hint="eastAsia" w:ascii="宋体" w:hAnsi="宋体" w:cs="宋体"/>
                <w:bCs/>
                <w:color w:val="auto"/>
                <w:kern w:val="0"/>
                <w:sz w:val="24"/>
                <w:lang w:val="en-US" w:eastAsia="zh-CN"/>
              </w:rPr>
              <w:t>7包人民币￥6万元</w:t>
            </w:r>
            <w:r>
              <w:rPr>
                <w:rFonts w:hint="eastAsia" w:ascii="宋体" w:hAnsi="宋体" w:cs="宋体"/>
                <w:color w:val="auto"/>
                <w:kern w:val="0"/>
                <w:sz w:val="24"/>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34"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1</w:t>
            </w:r>
            <w:r>
              <w:rPr>
                <w:rFonts w:asciiTheme="minorEastAsia" w:hAnsiTheme="minorEastAsia" w:eastAsiaTheme="minorEastAsia"/>
                <w:color w:val="auto"/>
                <w:sz w:val="24"/>
              </w:rPr>
              <w:t>1</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收取投标保证金账户</w:t>
            </w:r>
          </w:p>
        </w:tc>
        <w:tc>
          <w:tcPr>
            <w:tcW w:w="8517" w:type="dxa"/>
            <w:vAlign w:val="center"/>
          </w:tcPr>
          <w:p>
            <w:pPr>
              <w:keepNext w:val="0"/>
              <w:keepLines w:val="0"/>
              <w:pageBreakBefore w:val="0"/>
              <w:widowControl w:val="0"/>
              <w:kinsoku/>
              <w:wordWrap/>
              <w:overflowPunct/>
              <w:topLinePunct w:val="0"/>
              <w:bidi w:val="0"/>
              <w:spacing w:line="360" w:lineRule="exact"/>
              <w:ind w:firstLine="240" w:firstLineChars="10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投标申请并获取保证金账号。提交市场主体登记信息后，在海口市公共资源交易网主页,进入交易系统选择“我要投标”，提交项目投标申请，获取投标保证金账号，如未在规定时间内提交投标申请同时获取保证金账号者，视同放弃参与本项目采购活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1</w:t>
            </w:r>
            <w:r>
              <w:rPr>
                <w:rFonts w:asciiTheme="minorEastAsia" w:hAnsiTheme="minorEastAsia" w:eastAsiaTheme="minorEastAsia"/>
                <w:color w:val="auto"/>
                <w:sz w:val="24"/>
              </w:rPr>
              <w:t>2</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投标保证金有效时间</w:t>
            </w:r>
          </w:p>
        </w:tc>
        <w:tc>
          <w:tcPr>
            <w:tcW w:w="8517" w:type="dxa"/>
            <w:vAlign w:val="center"/>
          </w:tcPr>
          <w:p>
            <w:pPr>
              <w:keepNext w:val="0"/>
              <w:keepLines w:val="0"/>
              <w:pageBreakBefore w:val="0"/>
              <w:widowControl w:val="0"/>
              <w:kinsoku/>
              <w:wordWrap/>
              <w:overflowPunct/>
              <w:topLinePunct w:val="0"/>
              <w:bidi w:val="0"/>
              <w:spacing w:line="360" w:lineRule="exact"/>
              <w:ind w:left="99" w:leftChars="47" w:firstLine="240" w:firstLineChars="10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本项目采购公告及确认投标获取保证金账户期限不少于5个工作日，自201</w:t>
            </w:r>
            <w:r>
              <w:rPr>
                <w:rFonts w:hint="eastAsia" w:asciiTheme="minorEastAsia" w:hAnsiTheme="minorEastAsia" w:eastAsiaTheme="minorEastAsia"/>
                <w:color w:val="auto"/>
                <w:sz w:val="24"/>
                <w:lang w:val="en-US" w:eastAsia="zh-CN"/>
              </w:rPr>
              <w:t>9</w:t>
            </w:r>
            <w:r>
              <w:rPr>
                <w:rFonts w:hint="eastAsia" w:asciiTheme="minorEastAsia" w:hAnsiTheme="minorEastAsia" w:eastAsiaTheme="minorEastAsia"/>
                <w:color w:val="auto"/>
                <w:sz w:val="24"/>
              </w:rPr>
              <w:t>年</w:t>
            </w:r>
            <w:r>
              <w:rPr>
                <w:rFonts w:hint="eastAsia" w:asciiTheme="minorEastAsia" w:hAnsiTheme="minorEastAsia" w:eastAsiaTheme="minorEastAsia"/>
                <w:color w:val="auto"/>
                <w:sz w:val="24"/>
                <w:lang w:val="en-US" w:eastAsia="zh-CN"/>
              </w:rPr>
              <w:t xml:space="preserve"> 3</w:t>
            </w:r>
            <w:r>
              <w:rPr>
                <w:rFonts w:hint="eastAsia" w:asciiTheme="minorEastAsia" w:hAnsiTheme="minorEastAsia" w:eastAsiaTheme="minorEastAsia"/>
                <w:color w:val="auto"/>
                <w:sz w:val="24"/>
              </w:rPr>
              <w:t>月</w:t>
            </w:r>
            <w:r>
              <w:rPr>
                <w:rFonts w:hint="eastAsia" w:asciiTheme="minorEastAsia" w:hAnsiTheme="minorEastAsia" w:eastAsiaTheme="minorEastAsia"/>
                <w:color w:val="auto"/>
                <w:sz w:val="24"/>
                <w:lang w:val="en-US" w:eastAsia="zh-CN"/>
              </w:rPr>
              <w:t xml:space="preserve">1 </w:t>
            </w:r>
            <w:r>
              <w:rPr>
                <w:rFonts w:hint="eastAsia" w:asciiTheme="minorEastAsia" w:hAnsiTheme="minorEastAsia" w:eastAsiaTheme="minorEastAsia"/>
                <w:color w:val="auto"/>
                <w:sz w:val="24"/>
              </w:rPr>
              <w:t>日零时至201</w:t>
            </w:r>
            <w:r>
              <w:rPr>
                <w:rFonts w:hint="eastAsia" w:asciiTheme="minorEastAsia" w:hAnsiTheme="minorEastAsia" w:eastAsiaTheme="minorEastAsia"/>
                <w:color w:val="auto"/>
                <w:sz w:val="24"/>
                <w:lang w:val="en-US" w:eastAsia="zh-CN"/>
              </w:rPr>
              <w:t>9</w:t>
            </w:r>
            <w:r>
              <w:rPr>
                <w:rFonts w:hint="eastAsia" w:asciiTheme="minorEastAsia" w:hAnsiTheme="minorEastAsia" w:eastAsiaTheme="minorEastAsia"/>
                <w:color w:val="auto"/>
                <w:sz w:val="24"/>
              </w:rPr>
              <w:t>年</w:t>
            </w:r>
            <w:r>
              <w:rPr>
                <w:rFonts w:hint="eastAsia" w:asciiTheme="minorEastAsia" w:hAnsiTheme="minorEastAsia" w:eastAsiaTheme="minorEastAsia"/>
                <w:color w:val="auto"/>
                <w:sz w:val="24"/>
                <w:lang w:val="en-US" w:eastAsia="zh-CN"/>
              </w:rPr>
              <w:t xml:space="preserve"> 3</w:t>
            </w:r>
            <w:r>
              <w:rPr>
                <w:rFonts w:hint="eastAsia" w:asciiTheme="minorEastAsia" w:hAnsiTheme="minorEastAsia" w:eastAsiaTheme="minorEastAsia"/>
                <w:color w:val="auto"/>
                <w:sz w:val="24"/>
              </w:rPr>
              <w:t>月</w:t>
            </w:r>
            <w:r>
              <w:rPr>
                <w:rFonts w:hint="eastAsia" w:asciiTheme="minorEastAsia" w:hAnsiTheme="minorEastAsia" w:eastAsiaTheme="minorEastAsia"/>
                <w:color w:val="auto"/>
                <w:sz w:val="24"/>
                <w:lang w:val="en-US" w:eastAsia="zh-CN"/>
              </w:rPr>
              <w:t xml:space="preserve"> 8</w:t>
            </w:r>
            <w:r>
              <w:rPr>
                <w:rFonts w:hint="eastAsia" w:asciiTheme="minorEastAsia" w:hAnsiTheme="minorEastAsia" w:eastAsiaTheme="minorEastAsia"/>
                <w:color w:val="auto"/>
                <w:sz w:val="24"/>
              </w:rPr>
              <w:t>日24时止。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0"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1</w:t>
            </w:r>
            <w:r>
              <w:rPr>
                <w:rFonts w:asciiTheme="minorEastAsia" w:hAnsiTheme="minorEastAsia" w:eastAsiaTheme="minorEastAsia"/>
                <w:color w:val="auto"/>
                <w:sz w:val="24"/>
              </w:rPr>
              <w:t>3</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投标有效期</w:t>
            </w:r>
          </w:p>
        </w:tc>
        <w:tc>
          <w:tcPr>
            <w:tcW w:w="8517" w:type="dxa"/>
            <w:vAlign w:val="center"/>
          </w:tcPr>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（从投标截止之日算起）</w:t>
            </w:r>
            <w:r>
              <w:rPr>
                <w:rFonts w:asciiTheme="minorEastAsia" w:hAnsiTheme="minorEastAsia" w:eastAsiaTheme="minorEastAsia"/>
                <w:color w:val="auto"/>
                <w:sz w:val="24"/>
              </w:rPr>
              <w:t>60</w:t>
            </w:r>
            <w:r>
              <w:rPr>
                <w:rFonts w:hint="eastAsia" w:asciiTheme="minorEastAsia" w:hAnsiTheme="minorEastAsia" w:eastAsiaTheme="minorEastAsia"/>
                <w:color w:val="auto"/>
                <w:sz w:val="24"/>
              </w:rPr>
              <w:t>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1</w:t>
            </w:r>
            <w:r>
              <w:rPr>
                <w:rFonts w:asciiTheme="minorEastAsia" w:hAnsiTheme="minorEastAsia" w:eastAsiaTheme="minorEastAsia"/>
                <w:color w:val="auto"/>
                <w:sz w:val="24"/>
              </w:rPr>
              <w:t>4</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投标文件的数量</w:t>
            </w:r>
          </w:p>
        </w:tc>
        <w:tc>
          <w:tcPr>
            <w:tcW w:w="8517" w:type="dxa"/>
            <w:vAlign w:val="center"/>
          </w:tcPr>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正本一份；副本六份；电子版一份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15</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签字或盖章要求</w:t>
            </w:r>
          </w:p>
        </w:tc>
        <w:tc>
          <w:tcPr>
            <w:tcW w:w="8517" w:type="dxa"/>
            <w:vAlign w:val="center"/>
          </w:tcPr>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按招标文件要求，投标代表签字，加盖投标单位公章。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16</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投标文件递交地点</w:t>
            </w:r>
          </w:p>
        </w:tc>
        <w:tc>
          <w:tcPr>
            <w:tcW w:w="8517" w:type="dxa"/>
            <w:vAlign w:val="center"/>
          </w:tcPr>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地 址：海</w:t>
            </w:r>
            <w:r>
              <w:rPr>
                <w:rFonts w:hint="eastAsia" w:asciiTheme="minorEastAsia" w:hAnsiTheme="minorEastAsia" w:eastAsiaTheme="minorEastAsia"/>
                <w:color w:val="auto"/>
                <w:sz w:val="24"/>
                <w:lang w:val="en-GB"/>
              </w:rPr>
              <w:t>口市公共资源交易中心开评标会议室（海口市海甸五西路28号建安大厦附楼开标室），详见会议室门前标识,如有变动另行通知；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17</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装订要求</w:t>
            </w:r>
          </w:p>
        </w:tc>
        <w:tc>
          <w:tcPr>
            <w:tcW w:w="8517" w:type="dxa"/>
            <w:vAlign w:val="center"/>
          </w:tcPr>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投标文件均须左侧装订，胶装</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商务标、技术标单独装订成册，装订须软质封面，牢固不易拆散和换页，不得采用活页方式装订</w:t>
            </w:r>
            <w:r>
              <w:rPr>
                <w:rFonts w:hint="eastAsia" w:asciiTheme="minorEastAsia" w:hAnsiTheme="minorEastAsia" w:eastAsiaTheme="minorEastAsia"/>
                <w:color w:val="auto"/>
                <w:sz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18</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封套上写明</w:t>
            </w:r>
          </w:p>
        </w:tc>
        <w:tc>
          <w:tcPr>
            <w:tcW w:w="8517" w:type="dxa"/>
            <w:vAlign w:val="center"/>
          </w:tcPr>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采购人名称、项目名称、招标编号；</w:t>
            </w:r>
          </w:p>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投标人名称、地址、邮编、电话；</w:t>
            </w:r>
          </w:p>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密封条上应写明：“201</w:t>
            </w:r>
            <w:r>
              <w:rPr>
                <w:rFonts w:hint="eastAsia" w:asciiTheme="minorEastAsia" w:hAnsiTheme="minorEastAsia" w:eastAsiaTheme="minorEastAsia"/>
                <w:color w:val="auto"/>
                <w:sz w:val="24"/>
                <w:lang w:val="en-US" w:eastAsia="zh-CN"/>
              </w:rPr>
              <w:t>9</w:t>
            </w:r>
            <w:r>
              <w:rPr>
                <w:rFonts w:asciiTheme="minorEastAsia" w:hAnsiTheme="minorEastAsia" w:eastAsiaTheme="minorEastAsia"/>
                <w:color w:val="auto"/>
                <w:sz w:val="24"/>
              </w:rPr>
              <w:t>年</w:t>
            </w:r>
            <w:r>
              <w:rPr>
                <w:rFonts w:hint="eastAsia" w:asciiTheme="minorEastAsia" w:hAnsiTheme="minorEastAsia" w:eastAsiaTheme="minorEastAsia"/>
                <w:color w:val="auto"/>
                <w:sz w:val="24"/>
                <w:lang w:val="en-US" w:eastAsia="zh-CN"/>
              </w:rPr>
              <w:t xml:space="preserve"> 3</w:t>
            </w:r>
            <w:r>
              <w:rPr>
                <w:rFonts w:asciiTheme="minorEastAsia" w:hAnsiTheme="minorEastAsia" w:eastAsiaTheme="minorEastAsia"/>
                <w:color w:val="auto"/>
                <w:sz w:val="24"/>
              </w:rPr>
              <w:t>月</w:t>
            </w:r>
            <w:r>
              <w:rPr>
                <w:rFonts w:hint="eastAsia" w:asciiTheme="minorEastAsia" w:hAnsiTheme="minorEastAsia" w:eastAsiaTheme="minorEastAsia"/>
                <w:color w:val="auto"/>
                <w:sz w:val="24"/>
                <w:lang w:val="en-US" w:eastAsia="zh-CN"/>
              </w:rPr>
              <w:t xml:space="preserve"> 21</w:t>
            </w:r>
            <w:r>
              <w:rPr>
                <w:rFonts w:asciiTheme="minorEastAsia" w:hAnsiTheme="minorEastAsia" w:eastAsiaTheme="minorEastAsia"/>
                <w:color w:val="auto"/>
                <w:sz w:val="24"/>
              </w:rPr>
              <w:t>日</w:t>
            </w:r>
            <w:r>
              <w:rPr>
                <w:rFonts w:hint="eastAsia" w:asciiTheme="minorEastAsia" w:hAnsiTheme="minorEastAsia" w:eastAsiaTheme="minorEastAsia"/>
                <w:color w:val="auto"/>
                <w:sz w:val="24"/>
              </w:rPr>
              <w:t>上</w:t>
            </w:r>
            <w:r>
              <w:rPr>
                <w:rFonts w:asciiTheme="minorEastAsia" w:hAnsiTheme="minorEastAsia" w:eastAsiaTheme="minorEastAsia"/>
                <w:color w:val="auto"/>
                <w:sz w:val="24"/>
              </w:rPr>
              <w:t>午</w:t>
            </w:r>
            <w:r>
              <w:rPr>
                <w:rFonts w:hint="eastAsia" w:asciiTheme="minorEastAsia" w:hAnsiTheme="minorEastAsia" w:eastAsiaTheme="minorEastAsia"/>
                <w:color w:val="auto"/>
                <w:sz w:val="24"/>
                <w:lang w:val="en-US" w:eastAsia="zh-CN"/>
              </w:rPr>
              <w:t xml:space="preserve">09 </w:t>
            </w:r>
            <w:r>
              <w:rPr>
                <w:rFonts w:asciiTheme="minorEastAsia" w:hAnsiTheme="minorEastAsia" w:eastAsiaTheme="minorEastAsia"/>
                <w:color w:val="auto"/>
                <w:sz w:val="24"/>
              </w:rPr>
              <w:t>:</w:t>
            </w:r>
            <w:r>
              <w:rPr>
                <w:rFonts w:hint="eastAsia" w:asciiTheme="minorEastAsia" w:hAnsiTheme="minorEastAsia" w:eastAsiaTheme="minorEastAsia"/>
                <w:color w:val="auto"/>
                <w:sz w:val="24"/>
                <w:lang w:val="en-US" w:eastAsia="zh-CN"/>
              </w:rPr>
              <w:t xml:space="preserve">30 </w:t>
            </w:r>
            <w:r>
              <w:rPr>
                <w:rFonts w:asciiTheme="minorEastAsia" w:hAnsiTheme="minorEastAsia" w:eastAsiaTheme="minorEastAsia"/>
                <w:color w:val="auto"/>
                <w:sz w:val="24"/>
              </w:rPr>
              <w:t>前不得启封”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19</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开标的时间和地点</w:t>
            </w:r>
          </w:p>
        </w:tc>
        <w:tc>
          <w:tcPr>
            <w:tcW w:w="8517" w:type="dxa"/>
            <w:vAlign w:val="center"/>
          </w:tcPr>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201</w:t>
            </w:r>
            <w:r>
              <w:rPr>
                <w:rFonts w:hint="eastAsia" w:asciiTheme="minorEastAsia" w:hAnsiTheme="minorEastAsia" w:eastAsiaTheme="minorEastAsia"/>
                <w:color w:val="auto"/>
                <w:sz w:val="24"/>
                <w:lang w:val="en-US" w:eastAsia="zh-CN"/>
              </w:rPr>
              <w:t>9</w:t>
            </w:r>
            <w:r>
              <w:rPr>
                <w:rFonts w:hint="eastAsia" w:asciiTheme="minorEastAsia" w:hAnsiTheme="minorEastAsia" w:eastAsiaTheme="minorEastAsia"/>
                <w:color w:val="auto"/>
                <w:sz w:val="24"/>
              </w:rPr>
              <w:t>年</w:t>
            </w:r>
            <w:r>
              <w:rPr>
                <w:rFonts w:hint="eastAsia" w:asciiTheme="minorEastAsia" w:hAnsiTheme="minorEastAsia" w:eastAsiaTheme="minorEastAsia"/>
                <w:color w:val="auto"/>
                <w:sz w:val="24"/>
                <w:lang w:val="en-US" w:eastAsia="zh-CN"/>
              </w:rPr>
              <w:t xml:space="preserve">3 </w:t>
            </w:r>
            <w:r>
              <w:rPr>
                <w:rFonts w:hint="eastAsia" w:asciiTheme="minorEastAsia" w:hAnsiTheme="minorEastAsia" w:eastAsiaTheme="minorEastAsia"/>
                <w:color w:val="auto"/>
                <w:sz w:val="24"/>
              </w:rPr>
              <w:t>月</w:t>
            </w:r>
            <w:r>
              <w:rPr>
                <w:rFonts w:hint="eastAsia" w:asciiTheme="minorEastAsia" w:hAnsiTheme="minorEastAsia" w:eastAsiaTheme="minorEastAsia"/>
                <w:color w:val="auto"/>
                <w:sz w:val="24"/>
                <w:lang w:val="en-US" w:eastAsia="zh-CN"/>
              </w:rPr>
              <w:t xml:space="preserve"> 21</w:t>
            </w:r>
            <w:r>
              <w:rPr>
                <w:rFonts w:hint="eastAsia" w:asciiTheme="minorEastAsia" w:hAnsiTheme="minorEastAsia" w:eastAsiaTheme="minorEastAsia"/>
                <w:color w:val="auto"/>
                <w:sz w:val="24"/>
              </w:rPr>
              <w:t>日</w:t>
            </w:r>
            <w:r>
              <w:rPr>
                <w:rFonts w:hint="eastAsia" w:asciiTheme="minorEastAsia" w:hAnsiTheme="minorEastAsia" w:eastAsiaTheme="minorEastAsia"/>
                <w:color w:val="auto"/>
                <w:sz w:val="24"/>
                <w:lang w:val="en-US" w:eastAsia="zh-CN"/>
              </w:rPr>
              <w:t xml:space="preserve"> 09</w:t>
            </w: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lang w:val="en-US" w:eastAsia="zh-CN"/>
              </w:rPr>
              <w:t xml:space="preserve"> 30</w:t>
            </w:r>
            <w:r>
              <w:rPr>
                <w:rFonts w:hint="eastAsia" w:asciiTheme="minorEastAsia" w:hAnsiTheme="minorEastAsia" w:eastAsiaTheme="minorEastAsia"/>
                <w:color w:val="auto"/>
                <w:sz w:val="24"/>
              </w:rPr>
              <w:t>时（北京时间）</w:t>
            </w:r>
          </w:p>
          <w:p>
            <w:pPr>
              <w:keepNext w:val="0"/>
              <w:keepLines w:val="0"/>
              <w:pageBreakBefore w:val="0"/>
              <w:widowControl w:val="0"/>
              <w:kinsoku/>
              <w:wordWrap/>
              <w:overflowPunct/>
              <w:topLinePunct w:val="0"/>
              <w:bidi w:val="0"/>
              <w:spacing w:line="360" w:lineRule="exact"/>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海</w:t>
            </w:r>
            <w:r>
              <w:rPr>
                <w:rFonts w:hint="eastAsia" w:asciiTheme="minorEastAsia" w:hAnsiTheme="minorEastAsia" w:eastAsiaTheme="minorEastAsia"/>
                <w:color w:val="auto"/>
                <w:sz w:val="24"/>
                <w:lang w:val="en-GB"/>
              </w:rPr>
              <w:t>口市公共资源交易中心开评标会议室（海口市海甸五西路28号建安大厦附楼开标室），详见会议室门前标识,如有变动另行通知；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63"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asciiTheme="minorEastAsia" w:hAnsiTheme="minorEastAsia" w:eastAsiaTheme="minorEastAsia"/>
                <w:color w:val="auto"/>
                <w:sz w:val="24"/>
              </w:rPr>
              <w:t>20</w:t>
            </w:r>
          </w:p>
        </w:tc>
        <w:tc>
          <w:tcPr>
            <w:tcW w:w="1260" w:type="dxa"/>
            <w:vAlign w:val="center"/>
          </w:tcPr>
          <w:p>
            <w:pPr>
              <w:keepNext w:val="0"/>
              <w:keepLines w:val="0"/>
              <w:pageBreakBefore w:val="0"/>
              <w:widowControl w:val="0"/>
              <w:kinsoku/>
              <w:wordWrap/>
              <w:overflowPunct/>
              <w:topLinePunct w:val="0"/>
              <w:bidi w:val="0"/>
              <w:spacing w:line="360" w:lineRule="exact"/>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开标会</w:t>
            </w:r>
          </w:p>
        </w:tc>
        <w:tc>
          <w:tcPr>
            <w:tcW w:w="8517" w:type="dxa"/>
            <w:vAlign w:val="center"/>
          </w:tcPr>
          <w:p>
            <w:pPr>
              <w:keepNext w:val="0"/>
              <w:keepLines w:val="0"/>
              <w:pageBreakBefore w:val="0"/>
              <w:widowControl w:val="0"/>
              <w:kinsoku/>
              <w:wordWrap/>
              <w:overflowPunct/>
              <w:topLinePunct w:val="0"/>
              <w:bidi w:val="0"/>
              <w:spacing w:line="360" w:lineRule="exact"/>
              <w:ind w:left="99" w:leftChars="47"/>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投标法定代表人或者授权委托人必须携带法定代表人授权委托书（原件）、被授权人身份证（原件）、投标文件出席开标会，并在投标截止时间前递交到指定地点，否则其投标将被拒绝。</w:t>
            </w:r>
          </w:p>
        </w:tc>
      </w:tr>
    </w:tbl>
    <w:p>
      <w:pPr>
        <w:tabs>
          <w:tab w:val="left" w:pos="6900"/>
        </w:tabs>
        <w:spacing w:line="360" w:lineRule="auto"/>
        <w:rPr>
          <w:rFonts w:asciiTheme="minorEastAsia" w:hAnsiTheme="minorEastAsia" w:eastAsiaTheme="minorEastAsia"/>
          <w:b/>
          <w:color w:val="auto"/>
          <w:sz w:val="28"/>
          <w:szCs w:val="28"/>
        </w:rPr>
      </w:pPr>
    </w:p>
    <w:p>
      <w:pPr>
        <w:tabs>
          <w:tab w:val="left" w:pos="6900"/>
        </w:tabs>
        <w:spacing w:line="360" w:lineRule="auto"/>
        <w:rPr>
          <w:rFonts w:asciiTheme="minorEastAsia" w:hAnsiTheme="minorEastAsia" w:eastAsiaTheme="minorEastAsia"/>
          <w:b/>
          <w:color w:val="auto"/>
          <w:sz w:val="24"/>
        </w:rPr>
      </w:pPr>
      <w:r>
        <w:rPr>
          <w:rFonts w:asciiTheme="minorEastAsia" w:hAnsiTheme="minorEastAsia" w:eastAsiaTheme="minorEastAsia"/>
          <w:color w:val="auto"/>
          <w:sz w:val="24"/>
        </w:rPr>
        <w:t>注</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投标人资格要求</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如果有不满足</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则视为不满足该招标文件要求</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将不能参加该招标活动</w:t>
      </w:r>
      <w:r>
        <w:rPr>
          <w:rFonts w:hint="eastAsia" w:asciiTheme="minorEastAsia" w:hAnsiTheme="minorEastAsia" w:eastAsiaTheme="minorEastAsia"/>
          <w:color w:val="auto"/>
          <w:sz w:val="24"/>
        </w:rPr>
        <w:t>。</w:t>
      </w:r>
    </w:p>
    <w:p>
      <w:pPr>
        <w:pStyle w:val="2"/>
        <w:numPr>
          <w:ilvl w:val="2"/>
          <w:numId w:val="0"/>
        </w:numPr>
        <w:rPr>
          <w:color w:val="auto"/>
        </w:rPr>
      </w:pPr>
    </w:p>
    <w:p>
      <w:pPr>
        <w:rPr>
          <w:color w:val="auto"/>
        </w:rPr>
      </w:pPr>
    </w:p>
    <w:p>
      <w:pPr>
        <w:pStyle w:val="2"/>
        <w:numPr>
          <w:ilvl w:val="2"/>
          <w:numId w:val="0"/>
        </w:numPr>
        <w:rPr>
          <w:color w:val="auto"/>
        </w:rPr>
      </w:pPr>
    </w:p>
    <w:p>
      <w:pPr>
        <w:rPr>
          <w:color w:val="auto"/>
        </w:rPr>
      </w:pPr>
    </w:p>
    <w:p>
      <w:pPr>
        <w:pStyle w:val="2"/>
        <w:numPr>
          <w:ilvl w:val="2"/>
          <w:numId w:val="0"/>
        </w:numPr>
        <w:rPr>
          <w:color w:val="auto"/>
        </w:rPr>
      </w:pPr>
    </w:p>
    <w:p>
      <w:pPr>
        <w:rPr>
          <w:color w:val="auto"/>
        </w:rPr>
      </w:pPr>
    </w:p>
    <w:p>
      <w:pPr>
        <w:pStyle w:val="2"/>
        <w:numPr>
          <w:ilvl w:val="2"/>
          <w:numId w:val="0"/>
        </w:numPr>
        <w:rPr>
          <w:color w:val="auto"/>
        </w:rPr>
      </w:pPr>
    </w:p>
    <w:p>
      <w:pPr>
        <w:rPr>
          <w:color w:val="auto"/>
        </w:rPr>
      </w:pPr>
    </w:p>
    <w:p>
      <w:pPr>
        <w:rPr>
          <w:color w:val="auto"/>
        </w:rPr>
      </w:pPr>
    </w:p>
    <w:p>
      <w:pPr>
        <w:pStyle w:val="2"/>
        <w:numPr>
          <w:ilvl w:val="2"/>
          <w:numId w:val="0"/>
        </w:numPr>
        <w:rPr>
          <w:color w:val="auto"/>
        </w:rPr>
      </w:pPr>
    </w:p>
    <w:p>
      <w:pPr>
        <w:rPr>
          <w:color w:val="auto"/>
        </w:rPr>
      </w:pPr>
    </w:p>
    <w:p>
      <w:pPr>
        <w:pStyle w:val="2"/>
        <w:numPr>
          <w:ilvl w:val="2"/>
          <w:numId w:val="0"/>
        </w:numPr>
        <w:rPr>
          <w:color w:val="auto"/>
        </w:rPr>
      </w:pPr>
    </w:p>
    <w:p>
      <w:pPr>
        <w:rPr>
          <w:color w:val="auto"/>
        </w:rPr>
      </w:pPr>
    </w:p>
    <w:p>
      <w:pPr>
        <w:pStyle w:val="2"/>
        <w:numPr>
          <w:ilvl w:val="2"/>
          <w:numId w:val="0"/>
        </w:numPr>
        <w:rPr>
          <w:color w:val="auto"/>
        </w:rPr>
      </w:pPr>
    </w:p>
    <w:p>
      <w:pPr>
        <w:rPr>
          <w:color w:val="auto"/>
        </w:rPr>
      </w:pPr>
    </w:p>
    <w:p>
      <w:pPr>
        <w:pStyle w:val="2"/>
        <w:numPr>
          <w:ilvl w:val="2"/>
          <w:numId w:val="0"/>
        </w:numPr>
        <w:rPr>
          <w:color w:val="auto"/>
        </w:rPr>
      </w:pPr>
    </w:p>
    <w:p>
      <w:pPr>
        <w:pStyle w:val="3"/>
        <w:jc w:val="center"/>
        <w:rPr>
          <w:rFonts w:asciiTheme="minorEastAsia" w:hAnsiTheme="minorEastAsia" w:eastAsiaTheme="minorEastAsia"/>
          <w:color w:val="auto"/>
        </w:rPr>
      </w:pPr>
      <w:r>
        <w:rPr>
          <w:rFonts w:hint="eastAsia" w:ascii="新宋体" w:hAnsi="新宋体" w:eastAsia="新宋体" w:cs="宋体"/>
          <w:bCs/>
          <w:color w:val="auto"/>
          <w:kern w:val="0"/>
          <w:szCs w:val="32"/>
        </w:rPr>
        <w:t>投标人须知正文部分</w:t>
      </w:r>
    </w:p>
    <w:bookmarkEnd w:id="4"/>
    <w:bookmarkEnd w:id="5"/>
    <w:bookmarkEnd w:id="6"/>
    <w:bookmarkEnd w:id="7"/>
    <w:bookmarkEnd w:id="8"/>
    <w:bookmarkEnd w:id="9"/>
    <w:bookmarkEnd w:id="10"/>
    <w:p>
      <w:pPr>
        <w:pStyle w:val="4"/>
        <w:rPr>
          <w:rFonts w:asciiTheme="minorEastAsia" w:hAnsiTheme="minorEastAsia" w:eastAsiaTheme="minorEastAsia"/>
          <w:color w:val="auto"/>
          <w:sz w:val="24"/>
        </w:rPr>
      </w:pPr>
      <w:bookmarkStart w:id="11" w:name="_1．__总则"/>
      <w:bookmarkEnd w:id="11"/>
      <w:bookmarkStart w:id="12" w:name="_Toc152821119"/>
      <w:bookmarkStart w:id="13" w:name="_Toc532443992"/>
      <w:bookmarkStart w:id="14" w:name="_Toc61233463"/>
      <w:bookmarkStart w:id="15" w:name="_Toc13051"/>
      <w:bookmarkStart w:id="16" w:name="_Toc507692310"/>
      <w:bookmarkStart w:id="17" w:name="_Toc152820389"/>
      <w:bookmarkStart w:id="18" w:name="_Toc152822555"/>
      <w:bookmarkStart w:id="19" w:name="_Toc62987583"/>
      <w:bookmarkStart w:id="20" w:name="_Toc152822948"/>
      <w:bookmarkStart w:id="21" w:name="_Toc163111237"/>
      <w:r>
        <w:rPr>
          <w:rFonts w:asciiTheme="minorEastAsia" w:hAnsiTheme="minorEastAsia" w:eastAsiaTheme="minorEastAsia"/>
          <w:color w:val="auto"/>
        </w:rPr>
        <w:t>1</w:t>
      </w:r>
      <w:r>
        <w:rPr>
          <w:rFonts w:asciiTheme="minorEastAsia" w:hAnsiTheme="minorEastAsia" w:eastAsiaTheme="minorEastAsia"/>
          <w:color w:val="auto"/>
          <w:sz w:val="28"/>
          <w:szCs w:val="28"/>
        </w:rPr>
        <w:t>总则</w:t>
      </w:r>
      <w:bookmarkEnd w:id="12"/>
      <w:bookmarkEnd w:id="13"/>
      <w:bookmarkEnd w:id="14"/>
      <w:bookmarkEnd w:id="15"/>
      <w:bookmarkEnd w:id="16"/>
      <w:bookmarkEnd w:id="17"/>
      <w:bookmarkEnd w:id="18"/>
      <w:bookmarkEnd w:id="19"/>
      <w:bookmarkEnd w:id="20"/>
      <w:bookmarkEnd w:id="21"/>
    </w:p>
    <w:p>
      <w:pPr>
        <w:pStyle w:val="78"/>
        <w:rPr>
          <w:rFonts w:asciiTheme="minorEastAsia" w:hAnsiTheme="minorEastAsia" w:eastAsiaTheme="minorEastAsia"/>
          <w:color w:val="auto"/>
        </w:rPr>
      </w:pPr>
      <w:r>
        <w:rPr>
          <w:rFonts w:hint="eastAsia" w:asciiTheme="minorEastAsia" w:hAnsiTheme="minorEastAsia" w:eastAsiaTheme="minorEastAsia"/>
          <w:color w:val="auto"/>
        </w:rPr>
        <w:t>1.1项目名称：海口市房地楼幢测绘及编制不动产单元编码项目（</w:t>
      </w:r>
      <w:r>
        <w:rPr>
          <w:rFonts w:hint="eastAsia" w:asciiTheme="minorEastAsia" w:hAnsiTheme="minorEastAsia" w:eastAsiaTheme="minorEastAsia"/>
          <w:color w:val="auto"/>
          <w:szCs w:val="21"/>
        </w:rPr>
        <w:t>项目编号：</w:t>
      </w:r>
      <w:r>
        <w:rPr>
          <w:rFonts w:hint="eastAsia" w:asciiTheme="minorEastAsia" w:hAnsiTheme="minorEastAsia" w:eastAsiaTheme="minorEastAsia"/>
          <w:color w:val="auto"/>
          <w:szCs w:val="21"/>
          <w:lang w:eastAsia="zh-CN"/>
        </w:rPr>
        <w:t>ZLHX2019-008</w:t>
      </w:r>
      <w:r>
        <w:rPr>
          <w:rFonts w:hint="eastAsia" w:asciiTheme="minorEastAsia" w:hAnsiTheme="minorEastAsia" w:eastAsiaTheme="minorEastAsia"/>
          <w:color w:val="auto"/>
        </w:rPr>
        <w:t>）。</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2</w:t>
      </w:r>
      <w:r>
        <w:rPr>
          <w:rFonts w:hint="eastAsia" w:asciiTheme="minorEastAsia" w:hAnsiTheme="minorEastAsia" w:eastAsiaTheme="minorEastAsia"/>
          <w:color w:val="auto"/>
        </w:rPr>
        <w:t>采购人：</w:t>
      </w:r>
      <w:r>
        <w:rPr>
          <w:rFonts w:asciiTheme="minorEastAsia" w:hAnsiTheme="minorEastAsia" w:eastAsiaTheme="minorEastAsia"/>
          <w:color w:val="auto"/>
        </w:rPr>
        <w:t xml:space="preserve"> 海口市不动产登记中心</w:t>
      </w:r>
      <w:r>
        <w:rPr>
          <w:rFonts w:hint="eastAsia" w:asciiTheme="minorEastAsia" w:hAnsiTheme="minorEastAsia" w:eastAsiaTheme="minorEastAsia"/>
          <w:color w:val="auto"/>
        </w:rPr>
        <w:t>。</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3</w:t>
      </w:r>
      <w:r>
        <w:rPr>
          <w:rFonts w:hint="eastAsia" w:asciiTheme="minorEastAsia" w:hAnsiTheme="minorEastAsia" w:eastAsiaTheme="minorEastAsia"/>
          <w:color w:val="auto"/>
        </w:rPr>
        <w:t>资金来源：财政资金，按工作进度拨付，详见。</w:t>
      </w:r>
    </w:p>
    <w:tbl>
      <w:tblPr>
        <w:tblStyle w:val="65"/>
        <w:tblW w:w="10063" w:type="dxa"/>
        <w:jc w:val="center"/>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51"/>
        <w:gridCol w:w="2007"/>
        <w:gridCol w:w="3175"/>
        <w:gridCol w:w="1838"/>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序号</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服务内容</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服务范围</w:t>
            </w:r>
          </w:p>
        </w:tc>
        <w:tc>
          <w:tcPr>
            <w:tcW w:w="3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主要任务</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预算金额（元）</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2" w:hRule="atLeast"/>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秀英区房地楼幢测绘及编制不动产单元编码</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秀英区</w:t>
            </w:r>
          </w:p>
        </w:tc>
        <w:tc>
          <w:tcPr>
            <w:tcW w:w="3175" w:type="dxa"/>
            <w:noWrap w:val="0"/>
            <w:vAlign w:val="center"/>
          </w:tcPr>
          <w:p>
            <w:pPr>
              <w:keepNext w:val="0"/>
              <w:keepLines w:val="0"/>
              <w:pageBreakBefore w:val="0"/>
              <w:widowControl w:val="0"/>
              <w:tabs>
                <w:tab w:val="left" w:pos="315"/>
              </w:tabs>
              <w:kinsoku/>
              <w:wordWrap/>
              <w:overflowPunct/>
              <w:topLinePunct w:val="0"/>
              <w:autoSpaceDE/>
              <w:autoSpaceDN/>
              <w:bidi w:val="0"/>
              <w:adjustRightInd/>
              <w:snapToGrid/>
              <w:spacing w:line="360" w:lineRule="exact"/>
              <w:jc w:val="both"/>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1:500比例尺数字地形地籍图测量（DLG）、楼幢调查、宗地调查、编制不动产单元编码及其相关数据建库</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 xml:space="preserve">16,988,020.17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2</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龙华区房地楼幢测绘及编制不动产单元编码</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龙华区</w:t>
            </w:r>
          </w:p>
        </w:tc>
        <w:tc>
          <w:tcPr>
            <w:tcW w:w="3175" w:type="dxa"/>
            <w:noWrap w:val="0"/>
            <w:vAlign w:val="center"/>
          </w:tcPr>
          <w:p>
            <w:pPr>
              <w:keepNext w:val="0"/>
              <w:keepLines w:val="0"/>
              <w:pageBreakBefore w:val="0"/>
              <w:widowControl w:val="0"/>
              <w:tabs>
                <w:tab w:val="left" w:pos="315"/>
              </w:tabs>
              <w:kinsoku/>
              <w:wordWrap/>
              <w:overflowPunct/>
              <w:topLinePunct w:val="0"/>
              <w:autoSpaceDE/>
              <w:autoSpaceDN/>
              <w:bidi w:val="0"/>
              <w:adjustRightInd/>
              <w:snapToGrid/>
              <w:spacing w:line="360" w:lineRule="exact"/>
              <w:jc w:val="both"/>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1:500比例尺数字地形地籍图测量（DLG）、楼幢调查、宗地调查、编制不动产单元编码及其相关数据建库</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13,400,601.66</w:t>
            </w:r>
            <w:r>
              <w:rPr>
                <w:rFonts w:hint="eastAsia"/>
                <w:color w:val="auto"/>
                <w:sz w:val="24"/>
                <w:szCs w:val="24"/>
              </w:rPr>
              <w:t xml:space="preserve">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2包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3</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琼山区房地楼幢测绘及编制不动产单元编码</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琼山区</w:t>
            </w:r>
          </w:p>
        </w:tc>
        <w:tc>
          <w:tcPr>
            <w:tcW w:w="3175" w:type="dxa"/>
            <w:noWrap w:val="0"/>
            <w:vAlign w:val="center"/>
          </w:tcPr>
          <w:p>
            <w:pPr>
              <w:keepNext w:val="0"/>
              <w:keepLines w:val="0"/>
              <w:pageBreakBefore w:val="0"/>
              <w:widowControl w:val="0"/>
              <w:tabs>
                <w:tab w:val="left" w:pos="315"/>
              </w:tabs>
              <w:kinsoku/>
              <w:wordWrap/>
              <w:overflowPunct/>
              <w:topLinePunct w:val="0"/>
              <w:autoSpaceDE/>
              <w:autoSpaceDN/>
              <w:bidi w:val="0"/>
              <w:adjustRightInd/>
              <w:snapToGrid/>
              <w:spacing w:line="360" w:lineRule="exact"/>
              <w:jc w:val="both"/>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1:500比例尺数字地形地籍图测量（DLG）、楼幢调查、宗地调查、编制不动产单元编码及其相关数据建库</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 xml:space="preserve">15,376,113.81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3包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4</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美兰区房地楼幢测绘及编制不动产单元编码</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美兰区</w:t>
            </w:r>
          </w:p>
        </w:tc>
        <w:tc>
          <w:tcPr>
            <w:tcW w:w="3175" w:type="dxa"/>
            <w:noWrap w:val="0"/>
            <w:vAlign w:val="center"/>
          </w:tcPr>
          <w:p>
            <w:pPr>
              <w:keepNext w:val="0"/>
              <w:keepLines w:val="0"/>
              <w:pageBreakBefore w:val="0"/>
              <w:widowControl w:val="0"/>
              <w:tabs>
                <w:tab w:val="left" w:pos="315"/>
              </w:tabs>
              <w:kinsoku/>
              <w:wordWrap/>
              <w:overflowPunct/>
              <w:topLinePunct w:val="0"/>
              <w:autoSpaceDE/>
              <w:autoSpaceDN/>
              <w:bidi w:val="0"/>
              <w:adjustRightInd/>
              <w:snapToGrid/>
              <w:spacing w:line="360" w:lineRule="exact"/>
              <w:jc w:val="both"/>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1:500比例尺数字地形地籍图测量（DLG）、楼幢调查、宗地调查、编制不动产单元编码及其相关数据建库</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 xml:space="preserve">18,413,884.94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4包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5</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航空摄影测量及三维建模</w:t>
            </w:r>
          </w:p>
        </w:tc>
        <w:tc>
          <w:tcPr>
            <w:tcW w:w="2007"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影像获取范围 海口市行政区域2289平方千米，大场景三维模型（单体精细模型）制作范围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326.71平方公里</w:t>
            </w:r>
          </w:p>
        </w:tc>
        <w:tc>
          <w:tcPr>
            <w:tcW w:w="3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1、海口市地面分辨率最低点优于0.05米倾斜摄影测量（影像获取）</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2、全市建成区、集镇、农村居民点及居民点以外连片的建筑区像控点测量，建立大场景三维模型（单体精细模型）</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24,975,260.00</w:t>
            </w:r>
            <w:r>
              <w:rPr>
                <w:rFonts w:hint="eastAsia"/>
                <w:color w:val="auto"/>
                <w:sz w:val="24"/>
                <w:szCs w:val="24"/>
              </w:rPr>
              <w:t xml:space="preserve">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5包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6</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配套系统开发建库</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海口市</w:t>
            </w:r>
          </w:p>
        </w:tc>
        <w:tc>
          <w:tcPr>
            <w:tcW w:w="3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不动产楼幢测绘成果建库系统开发、不动产</w:t>
            </w:r>
            <w:r>
              <w:rPr>
                <w:rFonts w:ascii="宋体" w:hAnsi="宋体" w:cs="宋体"/>
                <w:color w:val="auto"/>
                <w:kern w:val="0"/>
                <w:sz w:val="24"/>
                <w:szCs w:val="24"/>
                <w:shd w:val="clear" w:color="auto" w:fill="FFFFFF"/>
              </w:rPr>
              <w:t>楼幢测绘</w:t>
            </w:r>
            <w:r>
              <w:rPr>
                <w:rFonts w:hint="eastAsia" w:ascii="宋体" w:hAnsi="宋体" w:cs="宋体"/>
                <w:color w:val="auto"/>
                <w:kern w:val="0"/>
                <w:sz w:val="24"/>
                <w:szCs w:val="24"/>
                <w:shd w:val="clear" w:color="auto" w:fill="FFFFFF"/>
              </w:rPr>
              <w:t>成果</w:t>
            </w:r>
            <w:r>
              <w:rPr>
                <w:rFonts w:ascii="宋体" w:hAnsi="宋体" w:cs="宋体"/>
                <w:color w:val="auto"/>
                <w:kern w:val="0"/>
                <w:sz w:val="24"/>
                <w:szCs w:val="24"/>
                <w:shd w:val="clear" w:color="auto" w:fill="FFFFFF"/>
              </w:rPr>
              <w:t>质检系统开发</w:t>
            </w:r>
            <w:r>
              <w:rPr>
                <w:rFonts w:hint="eastAsia" w:ascii="宋体" w:hAnsi="宋体" w:cs="宋体"/>
                <w:color w:val="auto"/>
                <w:kern w:val="0"/>
                <w:sz w:val="24"/>
                <w:szCs w:val="24"/>
                <w:shd w:val="clear" w:color="auto" w:fill="FFFFFF"/>
              </w:rPr>
              <w:t>；</w:t>
            </w:r>
            <w:r>
              <w:rPr>
                <w:rFonts w:ascii="宋体" w:hAnsi="宋体" w:cs="宋体"/>
                <w:color w:val="auto"/>
                <w:kern w:val="0"/>
                <w:sz w:val="24"/>
                <w:szCs w:val="24"/>
                <w:shd w:val="clear" w:color="auto" w:fill="FFFFFF"/>
              </w:rPr>
              <w:t>调查成果数据</w:t>
            </w:r>
            <w:r>
              <w:rPr>
                <w:rFonts w:hint="eastAsia" w:ascii="宋体" w:hAnsi="宋体" w:cs="宋体"/>
                <w:color w:val="auto"/>
                <w:kern w:val="0"/>
                <w:sz w:val="24"/>
                <w:szCs w:val="24"/>
                <w:shd w:val="clear" w:color="auto" w:fill="FFFFFF"/>
              </w:rPr>
              <w:t>、不动产单元编码逐宗</w:t>
            </w:r>
            <w:r>
              <w:rPr>
                <w:rFonts w:ascii="宋体" w:hAnsi="宋体" w:cs="宋体"/>
                <w:color w:val="auto"/>
                <w:kern w:val="0"/>
                <w:sz w:val="24"/>
                <w:szCs w:val="24"/>
                <w:shd w:val="clear" w:color="auto" w:fill="FFFFFF"/>
              </w:rPr>
              <w:t>质检入库</w:t>
            </w:r>
            <w:r>
              <w:rPr>
                <w:rFonts w:hint="eastAsia" w:ascii="宋体" w:hAnsi="宋体" w:cs="宋体"/>
                <w:color w:val="auto"/>
                <w:kern w:val="0"/>
                <w:sz w:val="24"/>
                <w:szCs w:val="24"/>
                <w:shd w:val="clear" w:color="auto" w:fill="FFFFFF"/>
              </w:rPr>
              <w:t>及档案扫描入库</w:t>
            </w:r>
            <w:r>
              <w:rPr>
                <w:rFonts w:ascii="宋体" w:hAnsi="宋体" w:cs="宋体"/>
                <w:color w:val="auto"/>
                <w:kern w:val="0"/>
                <w:sz w:val="24"/>
                <w:szCs w:val="24"/>
                <w:shd w:val="clear" w:color="auto" w:fill="FFFFFF"/>
              </w:rPr>
              <w:t>等工作</w:t>
            </w:r>
            <w:r>
              <w:rPr>
                <w:rFonts w:hint="eastAsia" w:ascii="宋体" w:hAnsi="宋体" w:cs="宋体"/>
                <w:color w:val="auto"/>
                <w:kern w:val="0"/>
                <w:sz w:val="24"/>
                <w:szCs w:val="24"/>
                <w:shd w:val="clear" w:color="auto" w:fill="FFFFFF"/>
              </w:rPr>
              <w:t>以及配套硬件采购。</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ascii="宋体" w:hAnsi="宋体" w:cs="宋体"/>
                <w:color w:val="auto"/>
                <w:kern w:val="0"/>
                <w:sz w:val="24"/>
                <w:szCs w:val="24"/>
                <w:shd w:val="clear" w:color="auto" w:fill="FFFFFF"/>
              </w:rPr>
              <w:t>9</w:t>
            </w:r>
            <w:r>
              <w:rPr>
                <w:rFonts w:hint="eastAsia" w:ascii="宋体" w:hAnsi="宋体" w:cs="宋体"/>
                <w:color w:val="auto"/>
                <w:kern w:val="0"/>
                <w:sz w:val="24"/>
                <w:szCs w:val="24"/>
                <w:shd w:val="clear" w:color="auto" w:fill="FFFFFF"/>
              </w:rPr>
              <w:t>,4</w:t>
            </w:r>
            <w:r>
              <w:rPr>
                <w:rFonts w:ascii="宋体" w:hAnsi="宋体" w:cs="宋体"/>
                <w:color w:val="auto"/>
                <w:kern w:val="0"/>
                <w:sz w:val="24"/>
                <w:szCs w:val="24"/>
                <w:shd w:val="clear" w:color="auto" w:fill="FFFFFF"/>
              </w:rPr>
              <w:t>98</w:t>
            </w:r>
            <w:r>
              <w:rPr>
                <w:rFonts w:hint="eastAsia" w:ascii="宋体" w:hAnsi="宋体" w:cs="宋体"/>
                <w:color w:val="auto"/>
                <w:kern w:val="0"/>
                <w:sz w:val="24"/>
                <w:szCs w:val="24"/>
                <w:shd w:val="clear" w:color="auto" w:fill="FFFFFF"/>
              </w:rPr>
              <w:t>,000.00（含项目前期工作专家评审费100,000.00元，由本包次中标人承担）</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6包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项目监理</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海口市</w:t>
            </w:r>
          </w:p>
        </w:tc>
        <w:tc>
          <w:tcPr>
            <w:tcW w:w="3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1包至6包所有工作的监理</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 xml:space="preserve">2,959,556.42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7包</w:t>
            </w:r>
          </w:p>
        </w:tc>
      </w:tr>
    </w:tbl>
    <w:p>
      <w:pPr>
        <w:pStyle w:val="78"/>
        <w:ind w:left="0" w:leftChars="0" w:firstLine="0" w:firstLineChars="0"/>
        <w:jc w:val="both"/>
        <w:rPr>
          <w:rFonts w:asciiTheme="minorEastAsia" w:hAnsiTheme="minorEastAsia" w:eastAsiaTheme="minorEastAsia"/>
          <w:color w:val="auto"/>
        </w:rPr>
      </w:pP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4</w:t>
      </w:r>
      <w:r>
        <w:rPr>
          <w:rFonts w:hint="eastAsia" w:asciiTheme="minorEastAsia" w:hAnsiTheme="minorEastAsia" w:eastAsiaTheme="minorEastAsia"/>
          <w:color w:val="auto"/>
        </w:rPr>
        <w:t>招标项目情况：项目位于海口市主城区。</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4</w:t>
      </w:r>
      <w:r>
        <w:rPr>
          <w:rFonts w:hint="eastAsia" w:asciiTheme="minorEastAsia" w:hAnsiTheme="minorEastAsia" w:eastAsiaTheme="minorEastAsia"/>
          <w:color w:val="auto"/>
        </w:rPr>
        <w:t>.1招标项目名称</w:t>
      </w:r>
      <w:r>
        <w:rPr>
          <w:rFonts w:asciiTheme="minorEastAsia" w:hAnsiTheme="minorEastAsia" w:eastAsiaTheme="minorEastAsia"/>
          <w:color w:val="auto"/>
        </w:rPr>
        <w:t>及编号：</w:t>
      </w:r>
      <w:r>
        <w:rPr>
          <w:rFonts w:hint="eastAsia" w:asciiTheme="minorEastAsia" w:hAnsiTheme="minorEastAsia" w:eastAsiaTheme="minorEastAsia"/>
          <w:color w:val="auto"/>
          <w:szCs w:val="24"/>
        </w:rPr>
        <w:t>海口市房地楼幢测绘及编制不动产单元编码项目</w:t>
      </w:r>
      <w:r>
        <w:rPr>
          <w:rFonts w:hint="eastAsia" w:asciiTheme="minorEastAsia" w:hAnsiTheme="minorEastAsia" w:eastAsiaTheme="minorEastAsia"/>
          <w:color w:val="auto"/>
        </w:rPr>
        <w:t>，编号：</w:t>
      </w:r>
      <w:r>
        <w:rPr>
          <w:rFonts w:hint="eastAsia" w:asciiTheme="minorEastAsia" w:hAnsiTheme="minorEastAsia" w:eastAsiaTheme="minorEastAsia"/>
          <w:color w:val="auto"/>
          <w:lang w:eastAsia="zh-CN"/>
        </w:rPr>
        <w:t>ZLHX2019-008</w:t>
      </w:r>
      <w:r>
        <w:rPr>
          <w:rFonts w:hint="eastAsia" w:asciiTheme="minorEastAsia" w:hAnsiTheme="minorEastAsia" w:eastAsiaTheme="minorEastAsia"/>
          <w:color w:val="auto"/>
        </w:rPr>
        <w:t>。</w:t>
      </w:r>
    </w:p>
    <w:p>
      <w:pPr>
        <w:pStyle w:val="78"/>
        <w:rPr>
          <w:rFonts w:hint="eastAsia" w:asciiTheme="minorEastAsia" w:hAnsiTheme="minorEastAsia" w:eastAsiaTheme="minorEastAsia"/>
          <w:color w:val="auto"/>
          <w:szCs w:val="24"/>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4</w:t>
      </w:r>
      <w:r>
        <w:rPr>
          <w:rFonts w:hint="eastAsia" w:asciiTheme="minorEastAsia" w:hAnsiTheme="minorEastAsia" w:eastAsiaTheme="minorEastAsia"/>
          <w:color w:val="auto"/>
        </w:rPr>
        <w:t>.2</w:t>
      </w:r>
      <w:r>
        <w:rPr>
          <w:rFonts w:asciiTheme="minorEastAsia" w:hAnsiTheme="minorEastAsia" w:eastAsiaTheme="minorEastAsia"/>
          <w:color w:val="auto"/>
        </w:rPr>
        <w:t>招标范围：</w:t>
      </w:r>
      <w:r>
        <w:rPr>
          <w:rFonts w:hint="eastAsia" w:asciiTheme="minorEastAsia" w:hAnsiTheme="minorEastAsia" w:eastAsiaTheme="minorEastAsia"/>
          <w:color w:val="auto"/>
        </w:rPr>
        <w:t>海口市不动产权籍调查房地楼幢测绘及编制不动产单元编码项目（详见工作内容及相关要求）</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4</w:t>
      </w:r>
      <w:r>
        <w:rPr>
          <w:rFonts w:hint="eastAsia" w:asciiTheme="minorEastAsia" w:hAnsiTheme="minorEastAsia" w:eastAsiaTheme="minorEastAsia"/>
          <w:color w:val="auto"/>
        </w:rPr>
        <w:t>.3招标项目计划工期</w:t>
      </w:r>
      <w:r>
        <w:rPr>
          <w:rFonts w:asciiTheme="minorEastAsia" w:hAnsiTheme="minorEastAsia" w:eastAsiaTheme="minorEastAsia"/>
          <w:color w:val="auto"/>
        </w:rPr>
        <w:t>：</w:t>
      </w:r>
      <w:r>
        <w:rPr>
          <w:rFonts w:hint="eastAsia" w:asciiTheme="minorEastAsia" w:hAnsiTheme="minorEastAsia" w:eastAsiaTheme="minorEastAsia"/>
          <w:color w:val="auto"/>
        </w:rPr>
        <w:t>201</w:t>
      </w:r>
      <w:r>
        <w:rPr>
          <w:rFonts w:hint="eastAsia" w:asciiTheme="minorEastAsia" w:hAnsiTheme="minorEastAsia" w:eastAsiaTheme="minorEastAsia"/>
          <w:color w:val="auto"/>
          <w:lang w:val="en-US" w:eastAsia="zh-CN"/>
        </w:rPr>
        <w:t>9</w:t>
      </w:r>
      <w:r>
        <w:rPr>
          <w:rFonts w:hint="eastAsia" w:asciiTheme="minorEastAsia" w:hAnsiTheme="minorEastAsia" w:eastAsiaTheme="minorEastAsia"/>
          <w:color w:val="auto"/>
        </w:rPr>
        <w:t>年月日-20</w:t>
      </w:r>
      <w:r>
        <w:rPr>
          <w:rFonts w:asciiTheme="minorEastAsia" w:hAnsiTheme="minorEastAsia" w:eastAsiaTheme="minorEastAsia"/>
          <w:color w:val="auto"/>
        </w:rPr>
        <w:t>20</w:t>
      </w:r>
      <w:r>
        <w:rPr>
          <w:rFonts w:hint="eastAsia" w:asciiTheme="minorEastAsia" w:hAnsiTheme="minorEastAsia" w:eastAsiaTheme="minorEastAsia"/>
          <w:color w:val="auto"/>
        </w:rPr>
        <w:t>年</w:t>
      </w:r>
      <w:r>
        <w:rPr>
          <w:rFonts w:asciiTheme="minorEastAsia" w:hAnsiTheme="minorEastAsia" w:eastAsiaTheme="minorEastAsia"/>
          <w:color w:val="auto"/>
          <w:lang w:val="en-US"/>
        </w:rPr>
        <w:t>12</w:t>
      </w:r>
      <w:r>
        <w:rPr>
          <w:rFonts w:hint="eastAsia" w:asciiTheme="minorEastAsia" w:hAnsiTheme="minorEastAsia" w:eastAsiaTheme="minorEastAsia"/>
          <w:color w:val="auto"/>
        </w:rPr>
        <w:t>月</w:t>
      </w:r>
      <w:r>
        <w:rPr>
          <w:rFonts w:asciiTheme="minorEastAsia" w:hAnsiTheme="minorEastAsia" w:eastAsiaTheme="minorEastAsia"/>
          <w:color w:val="auto"/>
        </w:rPr>
        <w:t>31</w:t>
      </w:r>
      <w:r>
        <w:rPr>
          <w:rFonts w:hint="eastAsia" w:asciiTheme="minorEastAsia" w:hAnsiTheme="minorEastAsia" w:eastAsiaTheme="minorEastAsia"/>
          <w:color w:val="auto"/>
        </w:rPr>
        <w:t>日</w:t>
      </w:r>
      <w:r>
        <w:rPr>
          <w:rFonts w:asciiTheme="minorEastAsia" w:hAnsiTheme="minorEastAsia" w:eastAsiaTheme="minorEastAsia"/>
          <w:color w:val="auto"/>
        </w:rPr>
        <w:t>。</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4</w:t>
      </w:r>
      <w:r>
        <w:rPr>
          <w:rFonts w:hint="eastAsia" w:asciiTheme="minorEastAsia" w:hAnsiTheme="minorEastAsia" w:eastAsiaTheme="minorEastAsia"/>
          <w:color w:val="auto"/>
        </w:rPr>
        <w:t>.4航测</w:t>
      </w:r>
      <w:r>
        <w:rPr>
          <w:rFonts w:asciiTheme="minorEastAsia" w:hAnsiTheme="minorEastAsia" w:eastAsiaTheme="minorEastAsia"/>
          <w:color w:val="auto"/>
        </w:rPr>
        <w:t>质量</w:t>
      </w:r>
      <w:r>
        <w:rPr>
          <w:rFonts w:hint="eastAsia" w:asciiTheme="minorEastAsia" w:hAnsiTheme="minorEastAsia" w:eastAsiaTheme="minorEastAsia"/>
          <w:color w:val="auto"/>
        </w:rPr>
        <w:t>要求</w:t>
      </w:r>
      <w:r>
        <w:rPr>
          <w:rFonts w:asciiTheme="minorEastAsia" w:hAnsiTheme="minorEastAsia" w:eastAsiaTheme="minorEastAsia"/>
          <w:color w:val="auto"/>
        </w:rPr>
        <w:t>：</w:t>
      </w:r>
      <w:r>
        <w:rPr>
          <w:rFonts w:hint="eastAsia" w:asciiTheme="minorEastAsia" w:hAnsiTheme="minorEastAsia" w:eastAsiaTheme="minorEastAsia"/>
          <w:color w:val="auto"/>
        </w:rPr>
        <w:t>符合国家、行业规定及采购人要求</w:t>
      </w:r>
      <w:r>
        <w:rPr>
          <w:rFonts w:asciiTheme="minorEastAsia" w:hAnsiTheme="minorEastAsia" w:eastAsiaTheme="minorEastAsia"/>
          <w:color w:val="auto"/>
        </w:rPr>
        <w:t>。</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4</w:t>
      </w:r>
      <w:r>
        <w:rPr>
          <w:rFonts w:hint="eastAsia" w:asciiTheme="minorEastAsia" w:hAnsiTheme="minorEastAsia" w:eastAsiaTheme="minorEastAsia"/>
          <w:color w:val="auto"/>
        </w:rPr>
        <w:t>.5</w:t>
      </w:r>
      <w:r>
        <w:rPr>
          <w:rFonts w:asciiTheme="minorEastAsia" w:hAnsiTheme="minorEastAsia" w:eastAsiaTheme="minorEastAsia"/>
          <w:color w:val="auto"/>
        </w:rPr>
        <w:t>招标</w:t>
      </w:r>
      <w:r>
        <w:rPr>
          <w:rFonts w:hint="eastAsia" w:asciiTheme="minorEastAsia" w:hAnsiTheme="minorEastAsia" w:eastAsiaTheme="minorEastAsia"/>
          <w:color w:val="auto"/>
        </w:rPr>
        <w:t>内容</w:t>
      </w:r>
      <w:r>
        <w:rPr>
          <w:rFonts w:asciiTheme="minorEastAsia" w:hAnsiTheme="minorEastAsia" w:eastAsiaTheme="minorEastAsia"/>
          <w:color w:val="auto"/>
        </w:rPr>
        <w:t>：</w:t>
      </w:r>
      <w:r>
        <w:rPr>
          <w:rFonts w:hint="eastAsia" w:asciiTheme="minorEastAsia" w:hAnsiTheme="minorEastAsia" w:eastAsiaTheme="minorEastAsia"/>
          <w:color w:val="auto"/>
        </w:rPr>
        <w:t xml:space="preserve">见第三章。 </w:t>
      </w:r>
    </w:p>
    <w:p>
      <w:pPr>
        <w:pStyle w:val="78"/>
        <w:rPr>
          <w:rFonts w:asciiTheme="minorEastAsia" w:hAnsiTheme="minorEastAsia" w:eastAsiaTheme="minorEastAsia"/>
          <w:color w:val="auto"/>
        </w:rPr>
      </w:pPr>
      <w:bookmarkStart w:id="22" w:name="_2．__招标文件"/>
      <w:bookmarkEnd w:id="22"/>
      <w:bookmarkStart w:id="23" w:name="_Toc163111238"/>
      <w:bookmarkStart w:id="24" w:name="_Toc152822949"/>
      <w:bookmarkStart w:id="25" w:name="_Toc152822556"/>
      <w:bookmarkStart w:id="26" w:name="_Toc62987584"/>
      <w:bookmarkStart w:id="27" w:name="_Toc61233464"/>
      <w:bookmarkStart w:id="28" w:name="_Toc152820390"/>
      <w:bookmarkStart w:id="29" w:name="_Toc152821120"/>
      <w:bookmarkStart w:id="30" w:name="_Toc532443993"/>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5</w:t>
      </w:r>
      <w:r>
        <w:rPr>
          <w:rFonts w:hint="eastAsia" w:asciiTheme="minorEastAsia" w:hAnsiTheme="minorEastAsia" w:eastAsiaTheme="minorEastAsia"/>
          <w:color w:val="auto"/>
        </w:rPr>
        <w:t>招标说明：</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5</w:t>
      </w:r>
      <w:r>
        <w:rPr>
          <w:rFonts w:hint="eastAsia" w:asciiTheme="minorEastAsia" w:hAnsiTheme="minorEastAsia" w:eastAsiaTheme="minorEastAsia"/>
          <w:color w:val="auto"/>
        </w:rPr>
        <w:t>.1 本项目采用公开招标方式进行招标。</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rPr>
        <w:t>5</w:t>
      </w:r>
      <w:r>
        <w:rPr>
          <w:rFonts w:hint="eastAsia" w:asciiTheme="minorEastAsia" w:hAnsiTheme="minorEastAsia" w:eastAsiaTheme="minorEastAsia"/>
          <w:color w:val="auto"/>
        </w:rPr>
        <w:t>.</w:t>
      </w:r>
      <w:r>
        <w:rPr>
          <w:rFonts w:asciiTheme="minorEastAsia" w:hAnsiTheme="minorEastAsia" w:eastAsiaTheme="minorEastAsia"/>
          <w:color w:val="auto"/>
        </w:rPr>
        <w:t>2</w:t>
      </w:r>
      <w:r>
        <w:rPr>
          <w:rFonts w:hint="eastAsia" w:asciiTheme="minorEastAsia" w:hAnsiTheme="minorEastAsia" w:eastAsiaTheme="minorEastAsia"/>
          <w:color w:val="auto"/>
        </w:rPr>
        <w:t>投标人必须是在中国工商行政管理机关注册登记的企业，具有有效的营业执照。</w:t>
      </w:r>
    </w:p>
    <w:p>
      <w:pPr>
        <w:pStyle w:val="78"/>
        <w:rPr>
          <w:rFonts w:asciiTheme="minorEastAsia" w:hAnsiTheme="minorEastAsia" w:eastAsiaTheme="minorEastAsia"/>
          <w:color w:val="auto"/>
        </w:rPr>
      </w:pPr>
      <w:r>
        <w:rPr>
          <w:rFonts w:hint="eastAsia" w:asciiTheme="minorEastAsia" w:hAnsiTheme="minorEastAsia" w:eastAsiaTheme="minorEastAsia"/>
          <w:color w:val="auto"/>
          <w:szCs w:val="24"/>
        </w:rPr>
        <w:t>1.</w:t>
      </w:r>
      <w:r>
        <w:rPr>
          <w:rFonts w:hint="eastAsia" w:asciiTheme="minorEastAsia" w:hAnsiTheme="minorEastAsia" w:eastAsiaTheme="minorEastAsia"/>
          <w:color w:val="auto"/>
          <w:szCs w:val="24"/>
          <w:lang w:val="en-US"/>
        </w:rPr>
        <w:t>5</w:t>
      </w:r>
      <w:r>
        <w:rPr>
          <w:rFonts w:hint="eastAsia" w:asciiTheme="minorEastAsia" w:hAnsiTheme="minorEastAsia" w:eastAsiaTheme="minorEastAsia"/>
          <w:color w:val="auto"/>
          <w:szCs w:val="24"/>
        </w:rPr>
        <w:t>.</w:t>
      </w:r>
      <w:r>
        <w:rPr>
          <w:rFonts w:asciiTheme="minorEastAsia" w:hAnsiTheme="minorEastAsia" w:eastAsiaTheme="minorEastAsia"/>
          <w:color w:val="auto"/>
        </w:rPr>
        <w:t>3</w:t>
      </w:r>
      <w:r>
        <w:rPr>
          <w:rFonts w:hint="eastAsia" w:asciiTheme="minorEastAsia" w:hAnsiTheme="minorEastAsia" w:eastAsiaTheme="minorEastAsia"/>
          <w:color w:val="auto"/>
          <w:szCs w:val="24"/>
        </w:rPr>
        <w:t>与投标工作相对应，投标人须具备测绘地理信息行政主管部门颁发的甲级测绘资质，业务范围包括甲级测绘航空摄影、甲级摄影测量与遥感、甲级地理信息系统工程、甲级不动产测绘、甲级工程测</w:t>
      </w:r>
      <w:r>
        <w:rPr>
          <w:rFonts w:hint="eastAsia" w:hAnsi="宋体" w:cs="宋体"/>
          <w:color w:val="auto"/>
          <w:lang w:val="en-GB"/>
        </w:rPr>
        <w:t>量</w:t>
      </w:r>
      <w:r>
        <w:rPr>
          <w:rFonts w:hint="eastAsia" w:asciiTheme="minorEastAsia" w:hAnsiTheme="minorEastAsia" w:eastAsiaTheme="minorEastAsia"/>
          <w:color w:val="auto"/>
          <w:szCs w:val="24"/>
        </w:rPr>
        <w:t>、甲级地籍测绘。</w:t>
      </w:r>
    </w:p>
    <w:p>
      <w:pPr>
        <w:pStyle w:val="78"/>
        <w:rPr>
          <w:rFonts w:asciiTheme="minorEastAsia" w:hAnsiTheme="minorEastAsia" w:eastAsiaTheme="minorEastAsia"/>
          <w:color w:val="auto"/>
        </w:rPr>
      </w:pPr>
      <w:r>
        <w:rPr>
          <w:rFonts w:asciiTheme="minorEastAsia" w:hAnsiTheme="minorEastAsia" w:eastAsiaTheme="minorEastAsia"/>
          <w:color w:val="auto"/>
        </w:rPr>
        <w:t>1.</w:t>
      </w:r>
      <w:r>
        <w:rPr>
          <w:rFonts w:asciiTheme="minorEastAsia" w:hAnsiTheme="minorEastAsia" w:eastAsiaTheme="minorEastAsia"/>
          <w:color w:val="auto"/>
          <w:lang w:val="en-US"/>
        </w:rPr>
        <w:t>6</w:t>
      </w:r>
      <w:r>
        <w:rPr>
          <w:rFonts w:hint="eastAsia" w:asciiTheme="minorEastAsia" w:hAnsiTheme="minorEastAsia" w:eastAsiaTheme="minorEastAsia"/>
          <w:color w:val="auto"/>
        </w:rPr>
        <w:t>投标费用：</w:t>
      </w:r>
    </w:p>
    <w:p>
      <w:pPr>
        <w:adjustRightInd w:val="0"/>
        <w:snapToGrid w:val="0"/>
        <w:spacing w:line="440" w:lineRule="exact"/>
        <w:ind w:firstLine="480" w:firstLineChars="200"/>
        <w:rPr>
          <w:rFonts w:ascii="宋体"/>
          <w:color w:val="auto"/>
          <w:sz w:val="24"/>
        </w:rPr>
      </w:pPr>
      <w:r>
        <w:rPr>
          <w:rFonts w:hint="eastAsia" w:ascii="宋体" w:hAnsi="宋体" w:cs="宋体"/>
          <w:color w:val="auto"/>
          <w:sz w:val="24"/>
        </w:rPr>
        <w:t>1.6.</w:t>
      </w:r>
      <w:r>
        <w:rPr>
          <w:rFonts w:ascii="宋体" w:hAnsi="宋体" w:cs="宋体"/>
          <w:color w:val="auto"/>
          <w:sz w:val="24"/>
        </w:rPr>
        <w:t>1</w:t>
      </w:r>
      <w:r>
        <w:rPr>
          <w:rFonts w:hint="eastAsia" w:ascii="宋体" w:hAnsi="宋体" w:cs="宋体"/>
          <w:color w:val="auto"/>
          <w:sz w:val="24"/>
        </w:rPr>
        <w:t>投标人应承担其编制投标文件与递交投标文件等投标过程中所涉及的一切费用，不论投标结果如何，招标人及采购代理机构将不予承担。</w:t>
      </w:r>
    </w:p>
    <w:p>
      <w:pPr>
        <w:adjustRightInd w:val="0"/>
        <w:snapToGrid w:val="0"/>
        <w:spacing w:line="440" w:lineRule="exact"/>
        <w:ind w:firstLine="480" w:firstLineChars="200"/>
        <w:rPr>
          <w:rFonts w:ascii="宋体"/>
          <w:color w:val="auto"/>
          <w:sz w:val="24"/>
        </w:rPr>
      </w:pPr>
      <w:r>
        <w:rPr>
          <w:rFonts w:hint="eastAsia" w:ascii="宋体" w:hAnsi="宋体" w:cs="宋体"/>
          <w:color w:val="auto"/>
          <w:sz w:val="24"/>
        </w:rPr>
        <w:t>1.6</w:t>
      </w:r>
      <w:r>
        <w:rPr>
          <w:rFonts w:ascii="宋体" w:hAnsi="宋体" w:cs="宋体"/>
          <w:color w:val="auto"/>
          <w:sz w:val="24"/>
        </w:rPr>
        <w:t xml:space="preserve">.2 </w:t>
      </w:r>
      <w:r>
        <w:rPr>
          <w:rFonts w:hint="eastAsia" w:ascii="宋体" w:hAnsi="宋体" w:cs="宋体"/>
          <w:color w:val="auto"/>
          <w:sz w:val="24"/>
        </w:rPr>
        <w:t>采购代理服务费按国家发展计划委员会文件《采购代理服务费收费管理暂行办法》文件中1%进行支付。支付时间：在签发中标通知书前；支付方式：采购代理费以转账或现金方式递交，否则采购代理机构有权利拒发中标通知书。</w:t>
      </w:r>
    </w:p>
    <w:p>
      <w:pPr>
        <w:tabs>
          <w:tab w:val="left" w:pos="1755"/>
        </w:tabs>
        <w:spacing w:line="440" w:lineRule="exact"/>
        <w:ind w:firstLine="542" w:firstLineChars="225"/>
        <w:rPr>
          <w:rFonts w:ascii="宋体" w:hAnsi="宋体" w:cs="宋体"/>
          <w:b/>
          <w:bCs/>
          <w:color w:val="auto"/>
          <w:sz w:val="24"/>
        </w:rPr>
      </w:pPr>
      <w:r>
        <w:rPr>
          <w:rFonts w:hint="eastAsia" w:ascii="宋体" w:hAnsi="宋体" w:cs="宋体"/>
          <w:b/>
          <w:bCs/>
          <w:color w:val="auto"/>
          <w:sz w:val="24"/>
        </w:rPr>
        <w:t>户    名：海南中联华夏项目管理有限公司</w:t>
      </w:r>
    </w:p>
    <w:p>
      <w:pPr>
        <w:tabs>
          <w:tab w:val="left" w:pos="1755"/>
        </w:tabs>
        <w:spacing w:line="440" w:lineRule="exact"/>
        <w:ind w:firstLine="542" w:firstLineChars="225"/>
        <w:rPr>
          <w:rFonts w:ascii="宋体" w:hAnsi="宋体" w:cs="宋体"/>
          <w:b/>
          <w:bCs/>
          <w:color w:val="auto"/>
          <w:sz w:val="24"/>
        </w:rPr>
      </w:pPr>
      <w:r>
        <w:rPr>
          <w:rFonts w:hint="eastAsia" w:ascii="宋体" w:hAnsi="宋体" w:cs="宋体"/>
          <w:b/>
          <w:bCs/>
          <w:color w:val="auto"/>
          <w:sz w:val="24"/>
        </w:rPr>
        <w:t>开户银行：</w:t>
      </w:r>
      <w:r>
        <w:rPr>
          <w:rFonts w:hint="eastAsia" w:ascii="宋体" w:hAnsi="宋体" w:cs="宋体"/>
          <w:b/>
          <w:bCs/>
          <w:color w:val="auto"/>
          <w:sz w:val="24"/>
          <w:lang w:val="en-GB"/>
        </w:rPr>
        <w:t>建行海口金盘支行</w:t>
      </w:r>
    </w:p>
    <w:p>
      <w:pPr>
        <w:tabs>
          <w:tab w:val="left" w:pos="1755"/>
        </w:tabs>
        <w:spacing w:line="440" w:lineRule="exact"/>
        <w:ind w:firstLine="542" w:firstLineChars="225"/>
        <w:rPr>
          <w:color w:val="auto"/>
        </w:rPr>
      </w:pPr>
      <w:r>
        <w:rPr>
          <w:rFonts w:hint="eastAsia" w:ascii="宋体" w:hAnsi="宋体" w:cs="宋体"/>
          <w:b/>
          <w:bCs/>
          <w:color w:val="auto"/>
          <w:sz w:val="24"/>
        </w:rPr>
        <w:t>帐    号：</w:t>
      </w:r>
      <w:r>
        <w:rPr>
          <w:rFonts w:hint="eastAsia" w:ascii="宋体" w:hAnsi="宋体" w:cs="宋体"/>
          <w:b/>
          <w:bCs/>
          <w:color w:val="auto"/>
          <w:sz w:val="24"/>
          <w:lang w:val="en-GB"/>
        </w:rPr>
        <w:t>4600 1002 3360 5301 0004</w:t>
      </w:r>
    </w:p>
    <w:p>
      <w:pPr>
        <w:pStyle w:val="78"/>
        <w:spacing w:line="440" w:lineRule="exact"/>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lang w:val="en-US"/>
        </w:rPr>
        <w:t>7</w:t>
      </w:r>
      <w:r>
        <w:rPr>
          <w:rFonts w:hint="eastAsia" w:asciiTheme="minorEastAsia" w:hAnsiTheme="minorEastAsia" w:eastAsiaTheme="minorEastAsia"/>
          <w:color w:val="auto"/>
        </w:rPr>
        <w:t>承包方式：按照合同约定承包。</w:t>
      </w:r>
    </w:p>
    <w:p>
      <w:pPr>
        <w:pStyle w:val="78"/>
        <w:spacing w:line="440" w:lineRule="exact"/>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lang w:val="en-US"/>
        </w:rPr>
        <w:t>8</w:t>
      </w:r>
      <w:r>
        <w:rPr>
          <w:rFonts w:hint="eastAsia" w:asciiTheme="minorEastAsia" w:hAnsiTheme="minorEastAsia" w:eastAsiaTheme="minorEastAsia"/>
          <w:color w:val="auto"/>
        </w:rPr>
        <w:t>采购人特别关注的问题：</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8</w:t>
      </w:r>
      <w:r>
        <w:rPr>
          <w:rFonts w:hint="eastAsia" w:asciiTheme="minorEastAsia" w:hAnsiTheme="minorEastAsia" w:eastAsiaTheme="minorEastAsia"/>
          <w:color w:val="auto"/>
        </w:rPr>
        <w:t>.1项目工期及质量；</w:t>
      </w:r>
    </w:p>
    <w:p>
      <w:pPr>
        <w:pStyle w:val="78"/>
        <w:rPr>
          <w:rFonts w:asciiTheme="minorEastAsia" w:hAnsiTheme="minorEastAsia" w:eastAsiaTheme="minorEastAsia"/>
          <w:color w:val="auto"/>
          <w:lang w:val="en-US"/>
        </w:rPr>
      </w:pPr>
      <w:r>
        <w:rPr>
          <w:rFonts w:hint="eastAsia" w:asciiTheme="minorEastAsia" w:hAnsiTheme="minorEastAsia" w:eastAsiaTheme="minorEastAsia"/>
          <w:color w:val="auto"/>
          <w:lang w:val="en-US"/>
        </w:rPr>
        <w:t>1.</w:t>
      </w:r>
      <w:r>
        <w:rPr>
          <w:rFonts w:asciiTheme="minorEastAsia" w:hAnsiTheme="minorEastAsia" w:eastAsiaTheme="minorEastAsia"/>
          <w:color w:val="auto"/>
          <w:lang w:val="en-US"/>
        </w:rPr>
        <w:t>8</w:t>
      </w:r>
      <w:r>
        <w:rPr>
          <w:rFonts w:hint="eastAsia" w:asciiTheme="minorEastAsia" w:hAnsiTheme="minorEastAsia" w:eastAsiaTheme="minorEastAsia"/>
          <w:color w:val="auto"/>
          <w:lang w:val="en-US"/>
        </w:rPr>
        <w:t>.2航测设备的型号及其技术参数；</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8</w:t>
      </w:r>
      <w:r>
        <w:rPr>
          <w:rFonts w:hint="eastAsia" w:asciiTheme="minorEastAsia" w:hAnsiTheme="minorEastAsia" w:eastAsiaTheme="minorEastAsia"/>
          <w:color w:val="auto"/>
        </w:rPr>
        <w:t>.</w:t>
      </w:r>
      <w:r>
        <w:rPr>
          <w:rFonts w:hint="eastAsia" w:asciiTheme="minorEastAsia" w:hAnsiTheme="minorEastAsia" w:eastAsiaTheme="minorEastAsia"/>
          <w:color w:val="auto"/>
          <w:lang w:val="en-US"/>
        </w:rPr>
        <w:t>3</w:t>
      </w:r>
      <w:r>
        <w:rPr>
          <w:rFonts w:hint="eastAsia" w:asciiTheme="minorEastAsia" w:hAnsiTheme="minorEastAsia" w:eastAsiaTheme="minorEastAsia"/>
          <w:color w:val="auto"/>
        </w:rPr>
        <w:t xml:space="preserve"> QHSE控制措施；</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8</w:t>
      </w:r>
      <w:r>
        <w:rPr>
          <w:rFonts w:hint="eastAsia" w:asciiTheme="minorEastAsia" w:hAnsiTheme="minorEastAsia" w:eastAsiaTheme="minorEastAsia"/>
          <w:color w:val="auto"/>
        </w:rPr>
        <w:t>.</w:t>
      </w:r>
      <w:r>
        <w:rPr>
          <w:rFonts w:hint="eastAsia" w:asciiTheme="minorEastAsia" w:hAnsiTheme="minorEastAsia" w:eastAsiaTheme="minorEastAsia"/>
          <w:color w:val="auto"/>
          <w:lang w:val="en-US"/>
        </w:rPr>
        <w:t>4</w:t>
      </w:r>
      <w:r>
        <w:rPr>
          <w:rFonts w:hint="eastAsia" w:asciiTheme="minorEastAsia" w:hAnsiTheme="minorEastAsia" w:eastAsiaTheme="minorEastAsia"/>
          <w:color w:val="auto"/>
        </w:rPr>
        <w:t>现场服务质量；</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8</w:t>
      </w:r>
      <w:r>
        <w:rPr>
          <w:rFonts w:hint="eastAsia" w:asciiTheme="minorEastAsia" w:hAnsiTheme="minorEastAsia" w:eastAsiaTheme="minorEastAsia"/>
          <w:color w:val="auto"/>
        </w:rPr>
        <w:t>.</w:t>
      </w:r>
      <w:r>
        <w:rPr>
          <w:rFonts w:hint="eastAsia" w:asciiTheme="minorEastAsia" w:hAnsiTheme="minorEastAsia" w:eastAsiaTheme="minorEastAsia"/>
          <w:color w:val="auto"/>
          <w:lang w:val="en-US"/>
        </w:rPr>
        <w:t>5</w:t>
      </w:r>
      <w:r>
        <w:rPr>
          <w:rFonts w:hint="eastAsia" w:asciiTheme="minorEastAsia" w:hAnsiTheme="minorEastAsia" w:eastAsiaTheme="minorEastAsia"/>
          <w:color w:val="auto"/>
        </w:rPr>
        <w:t>项目关键岗位与投标承诺人员的一致性</w:t>
      </w:r>
      <w:r>
        <w:rPr>
          <w:rFonts w:asciiTheme="minorEastAsia" w:hAnsiTheme="minorEastAsia" w:eastAsiaTheme="minorEastAsia"/>
          <w:color w:val="auto"/>
        </w:rPr>
        <w:t>；</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8</w:t>
      </w:r>
      <w:r>
        <w:rPr>
          <w:rFonts w:hint="eastAsia" w:asciiTheme="minorEastAsia" w:hAnsiTheme="minorEastAsia" w:eastAsiaTheme="minorEastAsia"/>
          <w:color w:val="auto"/>
        </w:rPr>
        <w:t>.</w:t>
      </w:r>
      <w:r>
        <w:rPr>
          <w:rFonts w:hint="eastAsia" w:asciiTheme="minorEastAsia" w:hAnsiTheme="minorEastAsia" w:eastAsiaTheme="minorEastAsia"/>
          <w:color w:val="auto"/>
          <w:lang w:val="en-US"/>
        </w:rPr>
        <w:t>6</w:t>
      </w:r>
      <w:r>
        <w:rPr>
          <w:rFonts w:asciiTheme="minorEastAsia" w:hAnsiTheme="minorEastAsia" w:eastAsiaTheme="minorEastAsia"/>
          <w:color w:val="auto"/>
        </w:rPr>
        <w:t>按照国家</w:t>
      </w:r>
      <w:r>
        <w:rPr>
          <w:rFonts w:hint="eastAsia" w:asciiTheme="minorEastAsia" w:hAnsiTheme="minorEastAsia" w:eastAsiaTheme="minorEastAsia"/>
          <w:color w:val="auto"/>
        </w:rPr>
        <w:t>、行业</w:t>
      </w:r>
      <w:r>
        <w:rPr>
          <w:rFonts w:asciiTheme="minorEastAsia" w:hAnsiTheme="minorEastAsia" w:eastAsiaTheme="minorEastAsia"/>
          <w:color w:val="auto"/>
        </w:rPr>
        <w:t>现行规范和合同规定，提交成果材料。</w:t>
      </w:r>
    </w:p>
    <w:p>
      <w:pPr>
        <w:pStyle w:val="32"/>
        <w:spacing w:line="360" w:lineRule="auto"/>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1.8.7对以上采购人关注的问题，投标人在投标文件中应详细说明相应的有效措施及方法。</w:t>
      </w:r>
    </w:p>
    <w:bookmarkEnd w:id="23"/>
    <w:bookmarkEnd w:id="24"/>
    <w:bookmarkEnd w:id="25"/>
    <w:bookmarkEnd w:id="26"/>
    <w:bookmarkEnd w:id="27"/>
    <w:bookmarkEnd w:id="28"/>
    <w:bookmarkEnd w:id="29"/>
    <w:bookmarkEnd w:id="30"/>
    <w:p>
      <w:pPr>
        <w:pStyle w:val="4"/>
        <w:rPr>
          <w:rFonts w:asciiTheme="minorEastAsia" w:hAnsiTheme="minorEastAsia" w:eastAsiaTheme="minorEastAsia"/>
          <w:color w:val="auto"/>
          <w:sz w:val="28"/>
          <w:szCs w:val="28"/>
        </w:rPr>
      </w:pPr>
      <w:bookmarkStart w:id="31" w:name="_Toc507692311"/>
      <w:bookmarkStart w:id="32" w:name="_Toc10743"/>
      <w:r>
        <w:rPr>
          <w:rFonts w:asciiTheme="minorEastAsia" w:hAnsiTheme="minorEastAsia" w:eastAsiaTheme="minorEastAsia"/>
          <w:color w:val="auto"/>
          <w:sz w:val="28"/>
          <w:szCs w:val="28"/>
        </w:rPr>
        <w:t>2招标文件</w:t>
      </w:r>
      <w:bookmarkEnd w:id="31"/>
      <w:bookmarkEnd w:id="32"/>
    </w:p>
    <w:p>
      <w:pPr>
        <w:pStyle w:val="78"/>
        <w:rPr>
          <w:rFonts w:asciiTheme="minorEastAsia" w:hAnsiTheme="minorEastAsia" w:eastAsiaTheme="minorEastAsia"/>
          <w:color w:val="auto"/>
        </w:rPr>
      </w:pPr>
      <w:r>
        <w:rPr>
          <w:rFonts w:asciiTheme="minorEastAsia" w:hAnsiTheme="minorEastAsia" w:eastAsiaTheme="minorEastAsia"/>
          <w:color w:val="auto"/>
        </w:rPr>
        <w:t>2.1</w:t>
      </w:r>
      <w:r>
        <w:rPr>
          <w:rFonts w:hint="eastAsia" w:asciiTheme="minorEastAsia" w:hAnsiTheme="minorEastAsia" w:eastAsiaTheme="minorEastAsia"/>
          <w:color w:val="auto"/>
        </w:rPr>
        <w:t>招标文件由下列文件以及在招标过程中发出的修正和补充文件组成：</w:t>
      </w:r>
    </w:p>
    <w:p>
      <w:pPr>
        <w:widowControl/>
        <w:numPr>
          <w:ilvl w:val="2"/>
          <w:numId w:val="9"/>
        </w:numPr>
        <w:tabs>
          <w:tab w:val="left" w:pos="709"/>
        </w:tabs>
        <w:autoSpaceDE w:val="0"/>
        <w:autoSpaceDN w:val="0"/>
        <w:adjustRightInd w:val="0"/>
        <w:spacing w:line="360" w:lineRule="auto"/>
        <w:ind w:left="540" w:hanging="114"/>
        <w:jc w:val="left"/>
        <w:rPr>
          <w:rFonts w:cs="宋体" w:asciiTheme="minorEastAsia" w:hAnsiTheme="minorEastAsia" w:eastAsiaTheme="minorEastAsia"/>
          <w:snapToGrid w:val="0"/>
          <w:color w:val="auto"/>
          <w:sz w:val="24"/>
          <w:lang w:val="zh-CN"/>
        </w:rPr>
      </w:pPr>
      <w:r>
        <w:rPr>
          <w:rFonts w:hint="eastAsia" w:cs="宋体" w:asciiTheme="minorEastAsia" w:hAnsiTheme="minorEastAsia" w:eastAsiaTheme="minorEastAsia"/>
          <w:snapToGrid w:val="0"/>
          <w:color w:val="auto"/>
          <w:sz w:val="24"/>
          <w:lang w:val="zh-CN"/>
        </w:rPr>
        <w:t xml:space="preserve"> 投标人须知前附表、投标人须知；</w:t>
      </w:r>
    </w:p>
    <w:p>
      <w:pPr>
        <w:widowControl/>
        <w:numPr>
          <w:ilvl w:val="2"/>
          <w:numId w:val="9"/>
        </w:numPr>
        <w:tabs>
          <w:tab w:val="left" w:pos="540"/>
        </w:tabs>
        <w:autoSpaceDE w:val="0"/>
        <w:autoSpaceDN w:val="0"/>
        <w:adjustRightInd w:val="0"/>
        <w:spacing w:line="360" w:lineRule="auto"/>
        <w:ind w:left="540" w:hanging="114"/>
        <w:jc w:val="left"/>
        <w:rPr>
          <w:rFonts w:cs="宋体" w:asciiTheme="minorEastAsia" w:hAnsiTheme="minorEastAsia" w:eastAsiaTheme="minorEastAsia"/>
          <w:snapToGrid w:val="0"/>
          <w:color w:val="auto"/>
          <w:sz w:val="24"/>
          <w:lang w:val="zh-CN"/>
        </w:rPr>
      </w:pPr>
      <w:r>
        <w:rPr>
          <w:rFonts w:hint="eastAsia" w:asciiTheme="minorEastAsia" w:hAnsiTheme="minorEastAsia" w:eastAsiaTheme="minorEastAsia"/>
          <w:color w:val="auto"/>
          <w:sz w:val="24"/>
        </w:rPr>
        <w:t>工作要求及相关说明；</w:t>
      </w:r>
    </w:p>
    <w:p>
      <w:pPr>
        <w:widowControl/>
        <w:numPr>
          <w:ilvl w:val="2"/>
          <w:numId w:val="9"/>
        </w:numPr>
        <w:tabs>
          <w:tab w:val="left" w:pos="540"/>
        </w:tabs>
        <w:autoSpaceDE w:val="0"/>
        <w:autoSpaceDN w:val="0"/>
        <w:adjustRightInd w:val="0"/>
        <w:spacing w:line="360" w:lineRule="auto"/>
        <w:ind w:left="540" w:hanging="114"/>
        <w:jc w:val="left"/>
        <w:rPr>
          <w:rFonts w:cs="宋体" w:asciiTheme="minorEastAsia" w:hAnsiTheme="minorEastAsia" w:eastAsiaTheme="minorEastAsia"/>
          <w:snapToGrid w:val="0"/>
          <w:color w:val="auto"/>
          <w:sz w:val="24"/>
          <w:lang w:val="zh-CN"/>
        </w:rPr>
      </w:pPr>
      <w:r>
        <w:rPr>
          <w:rFonts w:hint="eastAsia" w:cs="宋体" w:asciiTheme="minorEastAsia" w:hAnsiTheme="minorEastAsia" w:eastAsiaTheme="minorEastAsia"/>
          <w:snapToGrid w:val="0"/>
          <w:color w:val="auto"/>
          <w:sz w:val="24"/>
          <w:lang w:val="zh-CN"/>
        </w:rPr>
        <w:t>评标方法、步骤、标准；</w:t>
      </w:r>
    </w:p>
    <w:p>
      <w:pPr>
        <w:widowControl/>
        <w:numPr>
          <w:ilvl w:val="2"/>
          <w:numId w:val="9"/>
        </w:numPr>
        <w:tabs>
          <w:tab w:val="left" w:pos="540"/>
        </w:tabs>
        <w:autoSpaceDE w:val="0"/>
        <w:autoSpaceDN w:val="0"/>
        <w:adjustRightInd w:val="0"/>
        <w:spacing w:line="360" w:lineRule="auto"/>
        <w:ind w:left="540" w:hanging="114"/>
        <w:jc w:val="left"/>
        <w:rPr>
          <w:rFonts w:cs="宋体" w:asciiTheme="minorEastAsia" w:hAnsiTheme="minorEastAsia" w:eastAsiaTheme="minorEastAsia"/>
          <w:snapToGrid w:val="0"/>
          <w:color w:val="auto"/>
          <w:sz w:val="24"/>
          <w:lang w:val="zh-CN"/>
        </w:rPr>
      </w:pPr>
      <w:r>
        <w:rPr>
          <w:rFonts w:hint="eastAsia" w:cs="宋体" w:asciiTheme="minorEastAsia" w:hAnsiTheme="minorEastAsia" w:eastAsiaTheme="minorEastAsia"/>
          <w:snapToGrid w:val="0"/>
          <w:color w:val="auto"/>
          <w:sz w:val="24"/>
          <w:lang w:val="zh-CN"/>
        </w:rPr>
        <w:t>合同书格式；</w:t>
      </w:r>
    </w:p>
    <w:p>
      <w:pPr>
        <w:widowControl/>
        <w:numPr>
          <w:ilvl w:val="2"/>
          <w:numId w:val="9"/>
        </w:numPr>
        <w:tabs>
          <w:tab w:val="left" w:pos="540"/>
        </w:tabs>
        <w:autoSpaceDE w:val="0"/>
        <w:autoSpaceDN w:val="0"/>
        <w:adjustRightInd w:val="0"/>
        <w:spacing w:line="360" w:lineRule="auto"/>
        <w:ind w:left="540" w:hanging="114"/>
        <w:jc w:val="left"/>
        <w:rPr>
          <w:rFonts w:cs="宋体" w:asciiTheme="minorEastAsia" w:hAnsiTheme="minorEastAsia" w:eastAsiaTheme="minorEastAsia"/>
          <w:snapToGrid w:val="0"/>
          <w:color w:val="auto"/>
          <w:sz w:val="24"/>
          <w:lang w:val="zh-CN"/>
        </w:rPr>
      </w:pPr>
      <w:r>
        <w:rPr>
          <w:rFonts w:hint="eastAsia" w:cs="宋体" w:asciiTheme="minorEastAsia" w:hAnsiTheme="minorEastAsia" w:eastAsiaTheme="minorEastAsia"/>
          <w:snapToGrid w:val="0"/>
          <w:color w:val="auto"/>
          <w:sz w:val="24"/>
          <w:lang w:val="zh-CN"/>
        </w:rPr>
        <w:t>投标文件格式；</w:t>
      </w:r>
    </w:p>
    <w:p>
      <w:pPr>
        <w:widowControl/>
        <w:numPr>
          <w:ilvl w:val="2"/>
          <w:numId w:val="9"/>
        </w:numPr>
        <w:tabs>
          <w:tab w:val="left" w:pos="540"/>
        </w:tabs>
        <w:autoSpaceDE w:val="0"/>
        <w:autoSpaceDN w:val="0"/>
        <w:adjustRightInd w:val="0"/>
        <w:spacing w:line="360" w:lineRule="auto"/>
        <w:ind w:left="540" w:hanging="114"/>
        <w:jc w:val="left"/>
        <w:rPr>
          <w:rFonts w:cs="宋体" w:asciiTheme="minorEastAsia" w:hAnsiTheme="minorEastAsia" w:eastAsiaTheme="minorEastAsia"/>
          <w:snapToGrid w:val="0"/>
          <w:color w:val="auto"/>
          <w:sz w:val="24"/>
          <w:lang w:val="zh-CN"/>
        </w:rPr>
      </w:pPr>
      <w:r>
        <w:rPr>
          <w:rFonts w:hint="eastAsia" w:cs="宋体" w:asciiTheme="minorEastAsia" w:hAnsiTheme="minorEastAsia" w:eastAsiaTheme="minorEastAsia"/>
          <w:snapToGrid w:val="0"/>
          <w:color w:val="auto"/>
          <w:sz w:val="24"/>
          <w:lang w:val="zh-CN"/>
        </w:rPr>
        <w:t>在招标过程中由采购人发出的修正和补充文件等。</w:t>
      </w:r>
    </w:p>
    <w:p>
      <w:pPr>
        <w:pStyle w:val="78"/>
        <w:rPr>
          <w:rFonts w:asciiTheme="minorEastAsia" w:hAnsiTheme="minorEastAsia" w:eastAsiaTheme="minorEastAsia"/>
          <w:color w:val="auto"/>
        </w:rPr>
      </w:pPr>
      <w:r>
        <w:rPr>
          <w:rFonts w:asciiTheme="minorEastAsia" w:hAnsiTheme="minorEastAsia" w:eastAsiaTheme="minorEastAsia"/>
          <w:bCs/>
          <w:color w:val="auto"/>
        </w:rPr>
        <w:t>2.</w:t>
      </w:r>
      <w:r>
        <w:rPr>
          <w:rFonts w:hint="eastAsia" w:asciiTheme="minorEastAsia" w:hAnsiTheme="minorEastAsia" w:eastAsiaTheme="minorEastAsia"/>
          <w:bCs/>
          <w:color w:val="auto"/>
        </w:rPr>
        <w:t>2</w:t>
      </w:r>
      <w:r>
        <w:rPr>
          <w:rFonts w:hint="eastAsia" w:asciiTheme="minorEastAsia" w:hAnsiTheme="minorEastAsia" w:eastAsiaTheme="minorEastAsia"/>
          <w:color w:val="auto"/>
        </w:rPr>
        <w:t>投标人应认真阅读招标文件中所有的事项、格式、条款和技术规范、参数及要求等。投标人没有按照招标文件要求提交全部资料，或者投标人没有对招标文件在各方面都做出实质性响应是投标人的风险，有可能导致其投标被拒绝，或被认定为无效投标或被确定为投标无效。</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2.3招标文件的澄清</w:t>
      </w:r>
    </w:p>
    <w:p>
      <w:pPr>
        <w:pStyle w:val="32"/>
        <w:spacing w:line="360" w:lineRule="auto"/>
        <w:ind w:firstLine="480"/>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投标人对招标文件中需澄清的问题应以书面形式（“书面形式”包括打印、印刷、传真等形式，下同）按招标文件中要求及本条规定的地址通知采购人。采购人将对其在投标截止日期1</w:t>
      </w:r>
      <w:r>
        <w:rPr>
          <w:rFonts w:asciiTheme="minorEastAsia" w:hAnsiTheme="minorEastAsia" w:eastAsiaTheme="minorEastAsia"/>
          <w:bCs/>
          <w:color w:val="auto"/>
          <w:sz w:val="24"/>
        </w:rPr>
        <w:t>0</w:t>
      </w:r>
      <w:r>
        <w:rPr>
          <w:rFonts w:hint="eastAsia" w:asciiTheme="minorEastAsia" w:hAnsiTheme="minorEastAsia" w:eastAsiaTheme="minorEastAsia"/>
          <w:bCs/>
          <w:color w:val="auto"/>
          <w:sz w:val="24"/>
        </w:rPr>
        <w:t>个日历日以前收到的要求澄清的问题予以答复。采购人的答复（包括对要求澄清问题的说明，但不指明问题的来源）将发给所有投标人。投标人必须以书面形式通知采购人确认收到采购人的答复，答复将作为招标文件构成的一部分。</w:t>
      </w:r>
    </w:p>
    <w:p>
      <w:pPr>
        <w:pStyle w:val="78"/>
        <w:rPr>
          <w:rFonts w:asciiTheme="minorEastAsia" w:hAnsiTheme="minorEastAsia" w:eastAsiaTheme="minorEastAsia"/>
          <w:color w:val="auto"/>
        </w:rPr>
      </w:pPr>
      <w:bookmarkStart w:id="33" w:name="_3．__投标保函"/>
      <w:bookmarkEnd w:id="33"/>
      <w:bookmarkStart w:id="34" w:name="_Toc152820391"/>
      <w:bookmarkStart w:id="35" w:name="_Toc152822557"/>
      <w:bookmarkStart w:id="36" w:name="_Toc152821121"/>
      <w:bookmarkStart w:id="37" w:name="_Toc163111239"/>
      <w:bookmarkStart w:id="38" w:name="_Toc532443994"/>
      <w:bookmarkStart w:id="39" w:name="_Toc62987585"/>
      <w:bookmarkStart w:id="40" w:name="_Toc61233465"/>
      <w:bookmarkStart w:id="41" w:name="_Toc152822950"/>
      <w:r>
        <w:rPr>
          <w:rFonts w:hint="eastAsia" w:asciiTheme="minorEastAsia" w:hAnsiTheme="minorEastAsia" w:eastAsiaTheme="minorEastAsia"/>
          <w:color w:val="auto"/>
        </w:rPr>
        <w:t>2.4采购人的联系方式</w:t>
      </w:r>
    </w:p>
    <w:p>
      <w:pPr>
        <w:pStyle w:val="32"/>
        <w:spacing w:line="360" w:lineRule="auto"/>
        <w:ind w:firstLine="480"/>
        <w:rPr>
          <w:rFonts w:asciiTheme="minorEastAsia" w:hAnsiTheme="minorEastAsia" w:eastAsiaTheme="minorEastAsia"/>
          <w:bCs/>
          <w:color w:val="auto"/>
          <w:sz w:val="24"/>
        </w:rPr>
      </w:pPr>
      <w:r>
        <w:rPr>
          <w:rFonts w:hint="eastAsia" w:asciiTheme="minorEastAsia" w:hAnsiTheme="minorEastAsia" w:eastAsiaTheme="minorEastAsia"/>
          <w:color w:val="auto"/>
          <w:sz w:val="24"/>
          <w:szCs w:val="24"/>
        </w:rPr>
        <w:t>地址：</w:t>
      </w:r>
      <w:r>
        <w:rPr>
          <w:rFonts w:hint="eastAsia" w:asciiTheme="minorEastAsia" w:hAnsiTheme="minorEastAsia" w:eastAsiaTheme="minorEastAsia"/>
          <w:bCs/>
          <w:color w:val="auto"/>
          <w:sz w:val="24"/>
        </w:rPr>
        <w:t>海口市龙华区国贸二横路国土大厦1601房</w:t>
      </w:r>
    </w:p>
    <w:p>
      <w:pPr>
        <w:pStyle w:val="32"/>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联系人： 凌仕文</w:t>
      </w:r>
    </w:p>
    <w:p>
      <w:pPr>
        <w:pStyle w:val="32"/>
        <w:spacing w:line="360" w:lineRule="auto"/>
        <w:ind w:firstLine="48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电话：1</w:t>
      </w:r>
      <w:r>
        <w:rPr>
          <w:rFonts w:asciiTheme="minorEastAsia" w:hAnsiTheme="minorEastAsia" w:eastAsiaTheme="minorEastAsia"/>
          <w:color w:val="auto"/>
          <w:sz w:val="24"/>
          <w:szCs w:val="24"/>
        </w:rPr>
        <w:t>3</w:t>
      </w:r>
      <w:r>
        <w:rPr>
          <w:rFonts w:hint="eastAsia" w:asciiTheme="minorEastAsia" w:hAnsiTheme="minorEastAsia" w:eastAsiaTheme="minorEastAsia"/>
          <w:color w:val="auto"/>
          <w:sz w:val="24"/>
          <w:szCs w:val="24"/>
        </w:rPr>
        <w:t>005088939</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2.5招标文件的修正</w:t>
      </w:r>
    </w:p>
    <w:p>
      <w:pPr>
        <w:pStyle w:val="78"/>
        <w:rPr>
          <w:rFonts w:asciiTheme="minorEastAsia" w:hAnsiTheme="minorEastAsia" w:eastAsiaTheme="minorEastAsia"/>
          <w:color w:val="auto"/>
        </w:rPr>
      </w:pPr>
      <w:r>
        <w:rPr>
          <w:rFonts w:asciiTheme="minorEastAsia" w:hAnsiTheme="minorEastAsia" w:eastAsiaTheme="minorEastAsia"/>
          <w:color w:val="auto"/>
        </w:rPr>
        <w:t>2</w:t>
      </w:r>
      <w:r>
        <w:rPr>
          <w:rFonts w:hint="eastAsia" w:asciiTheme="minorEastAsia" w:hAnsiTheme="minorEastAsia" w:eastAsiaTheme="minorEastAsia"/>
          <w:color w:val="auto"/>
        </w:rPr>
        <w:t>.5</w:t>
      </w:r>
      <w:r>
        <w:rPr>
          <w:rFonts w:asciiTheme="minorEastAsia" w:hAnsiTheme="minorEastAsia" w:eastAsiaTheme="minorEastAsia"/>
          <w:color w:val="auto"/>
        </w:rPr>
        <w:t>.1</w:t>
      </w:r>
      <w:r>
        <w:rPr>
          <w:rFonts w:hint="eastAsia" w:asciiTheme="minorEastAsia" w:hAnsiTheme="minorEastAsia" w:eastAsiaTheme="minorEastAsia"/>
          <w:color w:val="auto"/>
        </w:rPr>
        <w:t>在投标截止日前1</w:t>
      </w:r>
      <w:r>
        <w:rPr>
          <w:rFonts w:asciiTheme="minorEastAsia" w:hAnsiTheme="minorEastAsia" w:eastAsiaTheme="minorEastAsia"/>
          <w:color w:val="auto"/>
        </w:rPr>
        <w:t>0</w:t>
      </w:r>
      <w:r>
        <w:rPr>
          <w:rFonts w:hint="eastAsia" w:asciiTheme="minorEastAsia" w:hAnsiTheme="minorEastAsia" w:eastAsiaTheme="minorEastAsia"/>
          <w:color w:val="auto"/>
        </w:rPr>
        <w:t>个日历日，采购人可以用补充的方式修改招标文件。若有特殊情况在7个日历日以内补充招标文件，导致招标文件发生重大调整，采购人可以适当后延投标截止日，随着投标截止时间的变更，采购人和投标人的缔约过程的权利和义务相应延长；投标人可不接受新的投标截止日期，对此采购人可以认为投标人自动弃标，采购人不承担违约责任。</w:t>
      </w:r>
    </w:p>
    <w:p>
      <w:pPr>
        <w:pStyle w:val="78"/>
        <w:rPr>
          <w:rFonts w:asciiTheme="minorEastAsia" w:hAnsiTheme="minorEastAsia" w:eastAsiaTheme="minorEastAsia"/>
          <w:color w:val="auto"/>
        </w:rPr>
      </w:pPr>
      <w:r>
        <w:rPr>
          <w:rFonts w:asciiTheme="minorEastAsia" w:hAnsiTheme="minorEastAsia" w:eastAsiaTheme="minorEastAsia"/>
          <w:color w:val="auto"/>
        </w:rPr>
        <w:t>2.</w:t>
      </w:r>
      <w:r>
        <w:rPr>
          <w:rFonts w:hint="eastAsia" w:asciiTheme="minorEastAsia" w:hAnsiTheme="minorEastAsia" w:eastAsiaTheme="minorEastAsia"/>
          <w:color w:val="auto"/>
        </w:rPr>
        <w:t>5</w:t>
      </w:r>
      <w:r>
        <w:rPr>
          <w:rFonts w:asciiTheme="minorEastAsia" w:hAnsiTheme="minorEastAsia" w:eastAsiaTheme="minorEastAsia"/>
          <w:color w:val="auto"/>
        </w:rPr>
        <w:t>.2</w:t>
      </w:r>
      <w:r>
        <w:rPr>
          <w:rFonts w:hint="eastAsia" w:asciiTheme="minorEastAsia" w:hAnsiTheme="minorEastAsia" w:eastAsiaTheme="minorEastAsia"/>
          <w:color w:val="auto"/>
        </w:rPr>
        <w:t>采购人的补充将构成招标文件的一部分。该补充将以书面形式发给所有投标人，投标人必须以书面方式通知采购人确认收到每一份补遗。</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2.6凡获得本招标文件者，无论投标与否，均应对本招标文件负有保密责任，不得向第三方转让，如因投标人泄密致使采购人的名誉、经济受到损失或受到国家有关部门追查、处罚，投标人应对此承担全部责任。</w:t>
      </w:r>
    </w:p>
    <w:p>
      <w:pPr>
        <w:pStyle w:val="4"/>
        <w:rPr>
          <w:rFonts w:asciiTheme="minorEastAsia" w:hAnsiTheme="minorEastAsia" w:eastAsiaTheme="minorEastAsia"/>
          <w:color w:val="auto"/>
          <w:sz w:val="28"/>
          <w:szCs w:val="28"/>
        </w:rPr>
      </w:pPr>
      <w:bookmarkStart w:id="42" w:name="_Toc507692312"/>
      <w:r>
        <w:rPr>
          <w:rFonts w:hint="eastAsia" w:asciiTheme="minorEastAsia" w:hAnsiTheme="minorEastAsia" w:eastAsiaTheme="minorEastAsia"/>
          <w:color w:val="auto"/>
          <w:sz w:val="28"/>
          <w:szCs w:val="28"/>
        </w:rPr>
        <w:t>3投标</w:t>
      </w:r>
      <w:r>
        <w:rPr>
          <w:rFonts w:asciiTheme="minorEastAsia" w:hAnsiTheme="minorEastAsia" w:eastAsiaTheme="minorEastAsia"/>
          <w:color w:val="auto"/>
          <w:sz w:val="28"/>
          <w:szCs w:val="28"/>
        </w:rPr>
        <w:t>文件</w:t>
      </w:r>
      <w:bookmarkEnd w:id="42"/>
    </w:p>
    <w:p>
      <w:pPr>
        <w:pStyle w:val="78"/>
        <w:rPr>
          <w:rFonts w:asciiTheme="minorEastAsia" w:hAnsiTheme="minorEastAsia" w:eastAsiaTheme="minorEastAsia"/>
          <w:color w:val="auto"/>
        </w:rPr>
      </w:pPr>
      <w:r>
        <w:rPr>
          <w:rFonts w:hint="eastAsia" w:asciiTheme="minorEastAsia" w:hAnsiTheme="minorEastAsia" w:eastAsiaTheme="minorEastAsia"/>
          <w:color w:val="auto"/>
        </w:rPr>
        <w:t>3.1</w:t>
      </w:r>
      <w:r>
        <w:rPr>
          <w:rFonts w:asciiTheme="minorEastAsia" w:hAnsiTheme="minorEastAsia" w:eastAsiaTheme="minorEastAsia"/>
          <w:color w:val="auto"/>
        </w:rPr>
        <w:t xml:space="preserve">投标文件的组成及内容 </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3</w:t>
      </w:r>
      <w:r>
        <w:rPr>
          <w:rFonts w:asciiTheme="minorEastAsia" w:hAnsiTheme="minorEastAsia" w:eastAsiaTheme="minorEastAsia"/>
          <w:color w:val="auto"/>
        </w:rPr>
        <w:t>.</w:t>
      </w:r>
      <w:r>
        <w:rPr>
          <w:rFonts w:hint="eastAsia" w:asciiTheme="minorEastAsia" w:hAnsiTheme="minorEastAsia" w:eastAsiaTheme="minorEastAsia"/>
          <w:color w:val="auto"/>
        </w:rPr>
        <w:t>1</w:t>
      </w:r>
      <w:r>
        <w:rPr>
          <w:rFonts w:asciiTheme="minorEastAsia" w:hAnsiTheme="minorEastAsia" w:eastAsiaTheme="minorEastAsia"/>
          <w:color w:val="auto"/>
        </w:rPr>
        <w:t>.</w:t>
      </w:r>
      <w:r>
        <w:rPr>
          <w:rFonts w:hint="eastAsia" w:asciiTheme="minorEastAsia" w:hAnsiTheme="minorEastAsia" w:eastAsiaTheme="minorEastAsia"/>
          <w:color w:val="auto"/>
        </w:rPr>
        <w:t>1</w:t>
      </w:r>
      <w:r>
        <w:rPr>
          <w:rFonts w:asciiTheme="minorEastAsia" w:hAnsiTheme="minorEastAsia" w:eastAsiaTheme="minorEastAsia"/>
          <w:color w:val="auto"/>
        </w:rPr>
        <w:t>投标文件组成及份数：</w:t>
      </w:r>
      <w:r>
        <w:rPr>
          <w:rFonts w:hint="eastAsia" w:asciiTheme="minorEastAsia" w:hAnsiTheme="minorEastAsia" w:eastAsiaTheme="minorEastAsia"/>
          <w:color w:val="auto"/>
        </w:rPr>
        <w:t>投标文件由技术、商务两部分组成，以及包括投标文件全部内容的电子文档（光盘）等组成。正本一份；副本六份；光盘一份。</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3</w:t>
      </w:r>
      <w:r>
        <w:rPr>
          <w:rFonts w:asciiTheme="minorEastAsia" w:hAnsiTheme="minorEastAsia" w:eastAsiaTheme="minorEastAsia"/>
          <w:color w:val="auto"/>
        </w:rPr>
        <w:t>.</w:t>
      </w:r>
      <w:r>
        <w:rPr>
          <w:rFonts w:hint="eastAsia" w:asciiTheme="minorEastAsia" w:hAnsiTheme="minorEastAsia" w:eastAsiaTheme="minorEastAsia"/>
          <w:color w:val="auto"/>
        </w:rPr>
        <w:t>1</w:t>
      </w:r>
      <w:r>
        <w:rPr>
          <w:rFonts w:asciiTheme="minorEastAsia" w:hAnsiTheme="minorEastAsia" w:eastAsiaTheme="minorEastAsia"/>
          <w:color w:val="auto"/>
        </w:rPr>
        <w:t>.</w:t>
      </w:r>
      <w:r>
        <w:rPr>
          <w:rFonts w:hint="eastAsia" w:asciiTheme="minorEastAsia" w:hAnsiTheme="minorEastAsia" w:eastAsiaTheme="minorEastAsia"/>
          <w:color w:val="auto"/>
        </w:rPr>
        <w:t>2</w:t>
      </w:r>
      <w:r>
        <w:rPr>
          <w:rFonts w:asciiTheme="minorEastAsia" w:hAnsiTheme="minorEastAsia" w:eastAsiaTheme="minorEastAsia"/>
          <w:color w:val="auto"/>
        </w:rPr>
        <w:t>投标文件内容</w:t>
      </w:r>
    </w:p>
    <w:p>
      <w:pPr>
        <w:pStyle w:val="80"/>
        <w:adjustRightInd w:val="0"/>
        <w:snapToGrid w:val="0"/>
        <w:spacing w:line="360" w:lineRule="auto"/>
        <w:ind w:firstLine="295" w:firstLineChars="123"/>
        <w:rPr>
          <w:rFonts w:asciiTheme="minorEastAsia" w:hAnsiTheme="minorEastAsia" w:eastAsiaTheme="minorEastAsia"/>
          <w:color w:val="auto"/>
          <w:sz w:val="24"/>
        </w:rPr>
      </w:pPr>
      <w:r>
        <w:rPr>
          <w:rFonts w:asciiTheme="minorEastAsia" w:hAnsiTheme="minorEastAsia" w:eastAsiaTheme="minorEastAsia"/>
          <w:color w:val="auto"/>
          <w:sz w:val="24"/>
        </w:rPr>
        <w:t>（1）投标文件基本内容见第</w:t>
      </w:r>
      <w:r>
        <w:rPr>
          <w:rFonts w:hint="eastAsia" w:asciiTheme="minorEastAsia" w:hAnsiTheme="minorEastAsia" w:eastAsiaTheme="minorEastAsia"/>
          <w:color w:val="auto"/>
          <w:sz w:val="24"/>
        </w:rPr>
        <w:t>三、四</w:t>
      </w:r>
      <w:r>
        <w:rPr>
          <w:rFonts w:asciiTheme="minorEastAsia" w:hAnsiTheme="minorEastAsia" w:eastAsiaTheme="minorEastAsia"/>
          <w:color w:val="auto"/>
          <w:sz w:val="24"/>
        </w:rPr>
        <w:t>章要求。</w:t>
      </w:r>
    </w:p>
    <w:p>
      <w:pPr>
        <w:pStyle w:val="80"/>
        <w:adjustRightInd w:val="0"/>
        <w:snapToGrid w:val="0"/>
        <w:spacing w:line="360" w:lineRule="auto"/>
        <w:ind w:firstLine="295" w:firstLineChars="123"/>
        <w:rPr>
          <w:rFonts w:asciiTheme="minorEastAsia" w:hAnsiTheme="minorEastAsia" w:eastAsiaTheme="minorEastAsia"/>
          <w:color w:val="auto"/>
          <w:sz w:val="24"/>
        </w:rPr>
      </w:pPr>
      <w:r>
        <w:rPr>
          <w:rFonts w:asciiTheme="minorEastAsia" w:hAnsiTheme="minorEastAsia" w:eastAsiaTheme="minorEastAsia"/>
          <w:color w:val="auto"/>
          <w:sz w:val="24"/>
        </w:rPr>
        <w:t>（2）投标人必须编制并提交招标文件所要求提供的各项信息。</w:t>
      </w:r>
    </w:p>
    <w:p>
      <w:pPr>
        <w:pStyle w:val="80"/>
        <w:adjustRightInd w:val="0"/>
        <w:snapToGrid w:val="0"/>
        <w:spacing w:line="360" w:lineRule="auto"/>
        <w:ind w:firstLine="295" w:firstLineChars="123"/>
        <w:rPr>
          <w:rFonts w:asciiTheme="minorEastAsia" w:hAnsiTheme="minorEastAsia" w:eastAsiaTheme="minorEastAsia"/>
          <w:color w:val="auto"/>
          <w:sz w:val="24"/>
        </w:rPr>
      </w:pPr>
      <w:r>
        <w:rPr>
          <w:rFonts w:asciiTheme="minorEastAsia" w:hAnsiTheme="minorEastAsia" w:eastAsiaTheme="minorEastAsia"/>
          <w:color w:val="auto"/>
          <w:sz w:val="24"/>
        </w:rPr>
        <w:t>（3）构成投标文件的其他材料：</w:t>
      </w:r>
      <w:r>
        <w:rPr>
          <w:rFonts w:hint="eastAsia" w:asciiTheme="minorEastAsia" w:hAnsiTheme="minorEastAsia" w:eastAsiaTheme="minorEastAsia"/>
          <w:color w:val="auto"/>
          <w:sz w:val="24"/>
        </w:rPr>
        <w:t>投标人认为其它对其投标有利的文件、资料</w:t>
      </w:r>
      <w:r>
        <w:rPr>
          <w:rFonts w:asciiTheme="minorEastAsia" w:hAnsiTheme="minorEastAsia" w:eastAsiaTheme="minorEastAsia"/>
          <w:color w:val="auto"/>
          <w:sz w:val="24"/>
        </w:rPr>
        <w:t>。</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3</w:t>
      </w:r>
      <w:r>
        <w:rPr>
          <w:rFonts w:asciiTheme="minorEastAsia" w:hAnsiTheme="minorEastAsia" w:eastAsiaTheme="minorEastAsia"/>
          <w:color w:val="auto"/>
        </w:rPr>
        <w:t>.</w:t>
      </w:r>
      <w:r>
        <w:rPr>
          <w:rFonts w:hint="eastAsia" w:asciiTheme="minorEastAsia" w:hAnsiTheme="minorEastAsia" w:eastAsiaTheme="minorEastAsia"/>
          <w:color w:val="auto"/>
        </w:rPr>
        <w:t>1</w:t>
      </w:r>
      <w:r>
        <w:rPr>
          <w:rFonts w:asciiTheme="minorEastAsia" w:hAnsiTheme="minorEastAsia" w:eastAsiaTheme="minorEastAsia"/>
          <w:color w:val="auto"/>
        </w:rPr>
        <w:t>.</w:t>
      </w:r>
      <w:r>
        <w:rPr>
          <w:rFonts w:hint="eastAsia" w:asciiTheme="minorEastAsia" w:hAnsiTheme="minorEastAsia" w:eastAsiaTheme="minorEastAsia"/>
          <w:color w:val="auto"/>
        </w:rPr>
        <w:t>3投标的语言</w:t>
      </w:r>
    </w:p>
    <w:p>
      <w:pPr>
        <w:widowControl/>
        <w:autoSpaceDE w:val="0"/>
        <w:autoSpaceDN w:val="0"/>
        <w:adjustRightInd w:val="0"/>
        <w:spacing w:line="360" w:lineRule="auto"/>
        <w:ind w:firstLine="480" w:firstLineChars="200"/>
        <w:jc w:val="left"/>
        <w:rPr>
          <w:rFonts w:cs="宋体" w:asciiTheme="minorEastAsia" w:hAnsiTheme="minorEastAsia" w:eastAsiaTheme="minorEastAsia"/>
          <w:snapToGrid w:val="0"/>
          <w:color w:val="auto"/>
          <w:sz w:val="24"/>
          <w:lang w:val="zh-CN"/>
        </w:rPr>
      </w:pPr>
      <w:r>
        <w:rPr>
          <w:rFonts w:hint="eastAsia" w:cs="宋体" w:asciiTheme="minorEastAsia" w:hAnsiTheme="minorEastAsia" w:eastAsiaTheme="minorEastAsia"/>
          <w:snapToGrid w:val="0"/>
          <w:color w:val="auto"/>
          <w:sz w:val="24"/>
          <w:lang w:val="zh-CN"/>
        </w:rPr>
        <w:t>投标人提交的投标文件以及投标人与采购人就有关投标的所有来往函电均应使用中文。</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3</w:t>
      </w:r>
      <w:r>
        <w:rPr>
          <w:rFonts w:asciiTheme="minorEastAsia" w:hAnsiTheme="minorEastAsia" w:eastAsiaTheme="minorEastAsia"/>
          <w:color w:val="auto"/>
        </w:rPr>
        <w:t>.</w:t>
      </w:r>
      <w:r>
        <w:rPr>
          <w:rFonts w:hint="eastAsia" w:asciiTheme="minorEastAsia" w:hAnsiTheme="minorEastAsia" w:eastAsiaTheme="minorEastAsia"/>
          <w:color w:val="auto"/>
        </w:rPr>
        <w:t>1</w:t>
      </w:r>
      <w:r>
        <w:rPr>
          <w:rFonts w:asciiTheme="minorEastAsia" w:hAnsiTheme="minorEastAsia" w:eastAsiaTheme="minorEastAsia"/>
          <w:color w:val="auto"/>
        </w:rPr>
        <w:t>.</w:t>
      </w:r>
      <w:r>
        <w:rPr>
          <w:rFonts w:hint="eastAsia" w:asciiTheme="minorEastAsia" w:hAnsiTheme="minorEastAsia" w:eastAsiaTheme="minorEastAsia"/>
          <w:color w:val="auto"/>
        </w:rPr>
        <w:t>4投标人必须保证投标文件所提供的全部资料真实可靠，并接受采购人对其中任何资料进一步核实的要求。</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3</w:t>
      </w:r>
      <w:r>
        <w:rPr>
          <w:rFonts w:asciiTheme="minorEastAsia" w:hAnsiTheme="minorEastAsia" w:eastAsiaTheme="minorEastAsia"/>
          <w:color w:val="auto"/>
        </w:rPr>
        <w:t>.</w:t>
      </w:r>
      <w:r>
        <w:rPr>
          <w:rFonts w:hint="eastAsia" w:asciiTheme="minorEastAsia" w:hAnsiTheme="minorEastAsia" w:eastAsiaTheme="minorEastAsia"/>
          <w:color w:val="auto"/>
        </w:rPr>
        <w:t>1</w:t>
      </w:r>
      <w:r>
        <w:rPr>
          <w:rFonts w:asciiTheme="minorEastAsia" w:hAnsiTheme="minorEastAsia" w:eastAsiaTheme="minorEastAsia"/>
          <w:color w:val="auto"/>
        </w:rPr>
        <w:t>.</w:t>
      </w:r>
      <w:r>
        <w:rPr>
          <w:rFonts w:hint="eastAsia" w:asciiTheme="minorEastAsia" w:hAnsiTheme="minorEastAsia" w:eastAsiaTheme="minorEastAsia"/>
          <w:color w:val="auto"/>
        </w:rPr>
        <w:t>5如果因为投标人投标文件填报的内容不详，或没有提供招标文件中所要求的全部资料及数据，由此造成的后果，其责任由投标人承担。</w:t>
      </w:r>
    </w:p>
    <w:p>
      <w:pPr>
        <w:pStyle w:val="78"/>
        <w:rPr>
          <w:rFonts w:asciiTheme="minorEastAsia" w:hAnsiTheme="minorEastAsia" w:eastAsiaTheme="minorEastAsia"/>
          <w:color w:val="auto"/>
        </w:rPr>
      </w:pPr>
      <w:bookmarkStart w:id="43" w:name="_Toc152045548"/>
      <w:bookmarkStart w:id="44" w:name="_Toc144974516"/>
      <w:bookmarkStart w:id="45" w:name="_Toc179632566"/>
      <w:bookmarkStart w:id="46" w:name="_Toc152042324"/>
      <w:r>
        <w:rPr>
          <w:rFonts w:hint="eastAsia" w:asciiTheme="minorEastAsia" w:hAnsiTheme="minorEastAsia" w:eastAsiaTheme="minorEastAsia"/>
          <w:color w:val="auto"/>
        </w:rPr>
        <w:t>3.2</w:t>
      </w:r>
      <w:r>
        <w:rPr>
          <w:rFonts w:asciiTheme="minorEastAsia" w:hAnsiTheme="minorEastAsia" w:eastAsiaTheme="minorEastAsia"/>
          <w:color w:val="auto"/>
        </w:rPr>
        <w:t>投标报价</w:t>
      </w:r>
      <w:bookmarkEnd w:id="43"/>
      <w:bookmarkEnd w:id="44"/>
      <w:bookmarkEnd w:id="45"/>
      <w:bookmarkEnd w:id="46"/>
    </w:p>
    <w:p>
      <w:pPr>
        <w:autoSpaceDE w:val="0"/>
        <w:autoSpaceDN w:val="0"/>
        <w:spacing w:line="360" w:lineRule="auto"/>
        <w:ind w:firstLine="480" w:firstLineChars="200"/>
        <w:rPr>
          <w:rFonts w:ascii="宋体" w:hAnsi="宋体"/>
          <w:color w:val="auto"/>
          <w:sz w:val="24"/>
          <w:lang w:val="zh-CN"/>
        </w:rPr>
      </w:pPr>
      <w:r>
        <w:rPr>
          <w:rFonts w:hint="eastAsia" w:ascii="宋体" w:hAnsi="宋体"/>
          <w:color w:val="auto"/>
          <w:sz w:val="24"/>
          <w:lang w:val="zh-CN"/>
        </w:rPr>
        <w:t>3.</w:t>
      </w:r>
      <w:r>
        <w:rPr>
          <w:rFonts w:ascii="宋体" w:hAnsi="宋体"/>
          <w:color w:val="auto"/>
          <w:sz w:val="24"/>
          <w:lang w:val="zh-CN"/>
        </w:rPr>
        <w:t>2</w:t>
      </w:r>
      <w:r>
        <w:rPr>
          <w:rFonts w:hint="eastAsia" w:ascii="宋体" w:hAnsi="宋体"/>
          <w:color w:val="auto"/>
          <w:sz w:val="24"/>
          <w:lang w:val="zh-CN"/>
        </w:rPr>
        <w:t>.1投标报价错误的处理原则：</w:t>
      </w:r>
    </w:p>
    <w:p>
      <w:pPr>
        <w:autoSpaceDE w:val="0"/>
        <w:autoSpaceDN w:val="0"/>
        <w:spacing w:line="360" w:lineRule="auto"/>
        <w:ind w:firstLine="480" w:firstLineChars="200"/>
        <w:rPr>
          <w:rFonts w:ascii="宋体" w:hAnsi="宋体"/>
          <w:color w:val="auto"/>
          <w:sz w:val="24"/>
          <w:lang w:val="zh-CN"/>
        </w:rPr>
      </w:pPr>
      <w:r>
        <w:rPr>
          <w:rFonts w:hint="eastAsia" w:ascii="宋体" w:hAnsi="宋体"/>
          <w:color w:val="auto"/>
          <w:sz w:val="24"/>
          <w:lang w:val="zh-CN"/>
        </w:rPr>
        <w:t>1）投标文件的大写金额和小写金额不一致的，以大写金额为准；总价金额与按单价计算汇总金额不一致的，以单价计算汇总金额为准；单价金额小数点有明显错位的，应以总价为准，并修改单价；</w:t>
      </w:r>
    </w:p>
    <w:p>
      <w:pPr>
        <w:autoSpaceDE w:val="0"/>
        <w:autoSpaceDN w:val="0"/>
        <w:spacing w:line="360" w:lineRule="auto"/>
        <w:ind w:firstLine="480" w:firstLineChars="200"/>
        <w:rPr>
          <w:rFonts w:ascii="宋体" w:hAnsi="宋体"/>
          <w:color w:val="auto"/>
          <w:sz w:val="24"/>
          <w:lang w:val="zh-CN"/>
        </w:rPr>
      </w:pPr>
      <w:r>
        <w:rPr>
          <w:rFonts w:hint="eastAsia" w:ascii="宋体" w:hAnsi="宋体"/>
          <w:color w:val="auto"/>
          <w:sz w:val="24"/>
          <w:lang w:val="zh-CN"/>
        </w:rPr>
        <w:t>2）对投标服务的关键、主要内容，投标投标人报价漏项的，作非实质性响应投标处理；</w:t>
      </w:r>
    </w:p>
    <w:p>
      <w:pPr>
        <w:autoSpaceDE w:val="0"/>
        <w:autoSpaceDN w:val="0"/>
        <w:spacing w:line="360" w:lineRule="auto"/>
        <w:ind w:firstLine="480" w:firstLineChars="200"/>
        <w:rPr>
          <w:rFonts w:ascii="宋体" w:hAnsi="宋体"/>
          <w:color w:val="auto"/>
          <w:sz w:val="24"/>
          <w:lang w:val="zh-CN"/>
        </w:rPr>
      </w:pPr>
      <w:r>
        <w:rPr>
          <w:rFonts w:hint="eastAsia" w:ascii="宋体" w:hAnsi="宋体"/>
          <w:color w:val="auto"/>
          <w:sz w:val="24"/>
          <w:lang w:val="zh-CN"/>
        </w:rPr>
        <w:t>3）对投标服务的非关键、非主要内容，投标投标人报价漏项的，评标时将要求漏项的投标投标人予以澄清，但该澄清不作为评标的依据；评审委员会将以其它投标投标人对应项的最高投标报价补充计入其评标价；</w:t>
      </w:r>
    </w:p>
    <w:p>
      <w:pPr>
        <w:autoSpaceDE w:val="0"/>
        <w:autoSpaceDN w:val="0"/>
        <w:spacing w:line="360" w:lineRule="auto"/>
        <w:ind w:firstLine="480" w:firstLineChars="200"/>
        <w:rPr>
          <w:rFonts w:ascii="宋体" w:hAnsi="宋体"/>
          <w:color w:val="auto"/>
          <w:sz w:val="24"/>
          <w:lang w:val="zh-CN"/>
        </w:rPr>
      </w:pPr>
      <w:r>
        <w:rPr>
          <w:rFonts w:hint="eastAsia" w:ascii="宋体" w:hAnsi="宋体"/>
          <w:color w:val="auto"/>
          <w:sz w:val="24"/>
          <w:lang w:val="zh-CN"/>
        </w:rPr>
        <w:t>4）对数量的评审，以第四部分《技术指标及要求》所明示数量为准；《技术指标及要求》未明示的，由评审委员会以其专业知识判断，必要时参考投标投标人的澄清文件决定；</w:t>
      </w:r>
    </w:p>
    <w:p>
      <w:pPr>
        <w:autoSpaceDE w:val="0"/>
        <w:autoSpaceDN w:val="0"/>
        <w:spacing w:line="360" w:lineRule="auto"/>
        <w:ind w:firstLine="480" w:firstLineChars="200"/>
        <w:rPr>
          <w:rFonts w:ascii="宋体" w:hAnsi="宋体"/>
          <w:color w:val="auto"/>
          <w:sz w:val="24"/>
          <w:lang w:val="zh-CN"/>
        </w:rPr>
      </w:pPr>
      <w:r>
        <w:rPr>
          <w:rFonts w:hint="eastAsia" w:ascii="宋体" w:hAnsi="宋体"/>
          <w:color w:val="auto"/>
          <w:sz w:val="24"/>
          <w:lang w:val="zh-CN"/>
        </w:rPr>
        <w:t>5）本条款中多种处理原则所产生的结果不一致的，以最高的修正价作为核实价。</w:t>
      </w:r>
    </w:p>
    <w:p>
      <w:pPr>
        <w:autoSpaceDE w:val="0"/>
        <w:autoSpaceDN w:val="0"/>
        <w:spacing w:line="360" w:lineRule="auto"/>
        <w:ind w:firstLine="480" w:firstLineChars="200"/>
        <w:rPr>
          <w:rFonts w:ascii="宋体" w:hAnsi="宋体"/>
          <w:color w:val="auto"/>
          <w:sz w:val="24"/>
          <w:lang w:val="zh-CN"/>
        </w:rPr>
      </w:pPr>
      <w:r>
        <w:rPr>
          <w:rFonts w:ascii="宋体" w:hAnsi="宋体"/>
          <w:color w:val="auto"/>
          <w:sz w:val="24"/>
          <w:lang w:val="zh-CN"/>
        </w:rPr>
        <w:t>3.2.2</w:t>
      </w:r>
      <w:r>
        <w:rPr>
          <w:rFonts w:hint="eastAsia" w:ascii="宋体" w:hAnsi="宋体"/>
          <w:color w:val="auto"/>
          <w:sz w:val="24"/>
          <w:lang w:val="zh-CN"/>
        </w:rPr>
        <w:t>评标价的确定：按上述条款的原则校核修正后的价格为评标价。</w:t>
      </w:r>
    </w:p>
    <w:p>
      <w:pPr>
        <w:autoSpaceDE w:val="0"/>
        <w:autoSpaceDN w:val="0"/>
        <w:spacing w:line="440" w:lineRule="exact"/>
        <w:ind w:firstLine="480" w:firstLineChars="200"/>
        <w:rPr>
          <w:rFonts w:ascii="宋体" w:hAnsi="宋体"/>
          <w:color w:val="auto"/>
          <w:sz w:val="24"/>
          <w:lang w:val="zh-CN"/>
        </w:rPr>
      </w:pPr>
      <w:r>
        <w:rPr>
          <w:rFonts w:ascii="宋体" w:hAnsi="宋体"/>
          <w:color w:val="auto"/>
          <w:sz w:val="24"/>
          <w:lang w:val="zh-CN"/>
        </w:rPr>
        <w:t>3.2.3</w:t>
      </w:r>
      <w:r>
        <w:rPr>
          <w:rFonts w:hint="eastAsia" w:ascii="宋体" w:hAnsi="宋体"/>
          <w:color w:val="auto"/>
          <w:sz w:val="24"/>
          <w:lang w:val="zh-CN"/>
        </w:rPr>
        <w:t>计算价格评分：价格分统一采用低价优先法计算，将通过初步评审的所有投标人的投标价格，即满足招标文件要求且价格最低的投标价为基准价，其价格分为满分。其他投标人的价格分统一按照下列公式计算：：</w:t>
      </w:r>
    </w:p>
    <w:p>
      <w:pPr>
        <w:spacing w:line="440" w:lineRule="exact"/>
        <w:rPr>
          <w:rFonts w:ascii="宋体" w:hAnsi="宋体"/>
          <w:color w:val="auto"/>
          <w:sz w:val="24"/>
          <w:lang w:val="zh-CN"/>
        </w:rPr>
      </w:pPr>
      <w:r>
        <w:rPr>
          <w:rFonts w:hint="eastAsia" w:ascii="宋体" w:hAnsi="宋体"/>
          <w:color w:val="auto"/>
          <w:sz w:val="24"/>
          <w:lang w:val="zh-CN"/>
        </w:rPr>
        <w:t>价格评分＝</w:t>
      </w:r>
      <w:bookmarkEnd w:id="34"/>
      <w:bookmarkEnd w:id="35"/>
      <w:bookmarkEnd w:id="36"/>
      <w:bookmarkEnd w:id="37"/>
      <w:bookmarkEnd w:id="38"/>
      <w:bookmarkEnd w:id="39"/>
      <w:bookmarkEnd w:id="40"/>
      <w:bookmarkEnd w:id="41"/>
      <w:bookmarkStart w:id="47" w:name="_Toc163111240"/>
      <w:bookmarkStart w:id="48" w:name="_Toc1680"/>
      <w:bookmarkStart w:id="49" w:name="_Toc161223461"/>
      <w:r>
        <w:rPr>
          <w:rFonts w:hint="eastAsia" w:ascii="宋体" w:hAnsi="宋体"/>
          <w:color w:val="auto"/>
          <w:sz w:val="24"/>
          <w:lang w:val="zh-CN"/>
        </w:rPr>
        <w:t>(基准价／投标报价)×价格权值×100</w:t>
      </w:r>
      <w:r>
        <w:rPr>
          <w:rFonts w:asciiTheme="minorEastAsia" w:hAnsiTheme="minorEastAsia" w:eastAsiaTheme="minorEastAsia"/>
          <w:color w:val="auto"/>
          <w:szCs w:val="21"/>
        </w:rPr>
        <w:t>。</w:t>
      </w:r>
    </w:p>
    <w:p>
      <w:pPr>
        <w:pStyle w:val="78"/>
        <w:spacing w:line="440" w:lineRule="exact"/>
        <w:rPr>
          <w:rFonts w:asciiTheme="minorEastAsia" w:hAnsiTheme="minorEastAsia" w:eastAsiaTheme="minorEastAsia"/>
          <w:color w:val="auto"/>
        </w:rPr>
      </w:pPr>
      <w:r>
        <w:rPr>
          <w:rFonts w:hint="eastAsia" w:asciiTheme="minorEastAsia" w:hAnsiTheme="minorEastAsia" w:eastAsiaTheme="minorEastAsia"/>
          <w:color w:val="auto"/>
        </w:rPr>
        <w:t>3.3</w:t>
      </w:r>
      <w:r>
        <w:rPr>
          <w:rFonts w:asciiTheme="minorEastAsia" w:hAnsiTheme="minorEastAsia" w:eastAsiaTheme="minorEastAsia"/>
          <w:color w:val="auto"/>
        </w:rPr>
        <w:t>投标文件递交</w:t>
      </w:r>
      <w:bookmarkEnd w:id="47"/>
      <w:bookmarkEnd w:id="48"/>
      <w:bookmarkEnd w:id="49"/>
    </w:p>
    <w:p>
      <w:pPr>
        <w:pStyle w:val="78"/>
        <w:spacing w:line="440" w:lineRule="exact"/>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1</w:t>
      </w:r>
      <w:r>
        <w:rPr>
          <w:rFonts w:hint="eastAsia" w:asciiTheme="minorEastAsia" w:hAnsiTheme="minorEastAsia" w:eastAsiaTheme="minorEastAsia"/>
          <w:color w:val="auto"/>
        </w:rPr>
        <w:t>投标截止日期：</w:t>
      </w:r>
    </w:p>
    <w:p>
      <w:pPr>
        <w:pStyle w:val="78"/>
        <w:spacing w:line="440" w:lineRule="exact"/>
        <w:rPr>
          <w:rFonts w:hint="eastAsia"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1</w:t>
      </w:r>
      <w:r>
        <w:rPr>
          <w:rFonts w:hint="eastAsia" w:asciiTheme="minorEastAsia" w:hAnsiTheme="minorEastAsia" w:eastAsiaTheme="minorEastAsia"/>
          <w:color w:val="auto"/>
        </w:rPr>
        <w:t>.1投标截止时间为201</w:t>
      </w:r>
      <w:r>
        <w:rPr>
          <w:rFonts w:hint="eastAsia" w:asciiTheme="minorEastAsia" w:hAnsiTheme="minorEastAsia" w:eastAsiaTheme="minorEastAsia"/>
          <w:color w:val="auto"/>
          <w:lang w:val="en-US" w:eastAsia="zh-CN"/>
        </w:rPr>
        <w:t>9</w:t>
      </w:r>
      <w:r>
        <w:rPr>
          <w:rFonts w:hint="eastAsia" w:asciiTheme="minorEastAsia" w:hAnsiTheme="minorEastAsia" w:eastAsiaTheme="minorEastAsia"/>
          <w:color w:val="auto"/>
        </w:rPr>
        <w:t>年</w:t>
      </w:r>
      <w:r>
        <w:rPr>
          <w:rFonts w:hint="eastAsia" w:asciiTheme="minorEastAsia" w:hAnsiTheme="minorEastAsia" w:eastAsiaTheme="minorEastAsia"/>
          <w:color w:val="auto"/>
          <w:lang w:val="en-US" w:eastAsia="zh-CN"/>
        </w:rPr>
        <w:t>3</w:t>
      </w:r>
      <w:r>
        <w:rPr>
          <w:rFonts w:hint="eastAsia" w:asciiTheme="minorEastAsia" w:hAnsiTheme="minorEastAsia" w:eastAsiaTheme="minorEastAsia"/>
          <w:color w:val="auto"/>
        </w:rPr>
        <w:t>月</w:t>
      </w:r>
      <w:r>
        <w:rPr>
          <w:rFonts w:hint="eastAsia" w:asciiTheme="minorEastAsia" w:hAnsiTheme="minorEastAsia" w:eastAsiaTheme="minorEastAsia"/>
          <w:color w:val="auto"/>
          <w:lang w:val="en-US" w:eastAsia="zh-CN"/>
        </w:rPr>
        <w:t>21</w:t>
      </w:r>
      <w:r>
        <w:rPr>
          <w:rFonts w:hint="eastAsia" w:asciiTheme="minorEastAsia" w:hAnsiTheme="minorEastAsia" w:eastAsiaTheme="minorEastAsia"/>
          <w:color w:val="auto"/>
        </w:rPr>
        <w:t>日</w:t>
      </w:r>
      <w:r>
        <w:rPr>
          <w:rFonts w:hint="eastAsia" w:asciiTheme="minorEastAsia" w:hAnsiTheme="minorEastAsia" w:eastAsiaTheme="minorEastAsia"/>
          <w:color w:val="auto"/>
          <w:lang w:val="en-US"/>
        </w:rPr>
        <w:t>上</w:t>
      </w:r>
      <w:r>
        <w:rPr>
          <w:rFonts w:hint="eastAsia" w:asciiTheme="minorEastAsia" w:hAnsiTheme="minorEastAsia" w:eastAsiaTheme="minorEastAsia"/>
          <w:color w:val="auto"/>
        </w:rPr>
        <w:t>午</w:t>
      </w:r>
      <w:r>
        <w:rPr>
          <w:rFonts w:hint="eastAsia" w:asciiTheme="minorEastAsia" w:hAnsiTheme="minorEastAsia" w:eastAsiaTheme="minorEastAsia"/>
          <w:color w:val="auto"/>
          <w:lang w:val="en-US"/>
        </w:rPr>
        <w:t>09：</w:t>
      </w:r>
      <w:r>
        <w:rPr>
          <w:rFonts w:hint="eastAsia" w:asciiTheme="minorEastAsia" w:hAnsiTheme="minorEastAsia" w:eastAsiaTheme="minorEastAsia"/>
          <w:color w:val="auto"/>
          <w:lang w:val="en-US" w:eastAsia="zh-CN"/>
        </w:rPr>
        <w:t>3</w:t>
      </w:r>
      <w:r>
        <w:rPr>
          <w:rFonts w:hint="eastAsia" w:asciiTheme="minorEastAsia" w:hAnsiTheme="minorEastAsia" w:eastAsiaTheme="minorEastAsia"/>
          <w:color w:val="auto"/>
          <w:lang w:val="en-US"/>
        </w:rPr>
        <w:t>0</w:t>
      </w:r>
      <w:r>
        <w:rPr>
          <w:rFonts w:hint="eastAsia" w:asciiTheme="minorEastAsia" w:hAnsiTheme="minorEastAsia" w:eastAsiaTheme="minorEastAsia"/>
          <w:color w:val="auto"/>
        </w:rPr>
        <w:t>（北京时间）</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投标文件送达地点：海口市公共资源交易中心开标会议室（海口市海甸五西路28号建安大厦副楼20</w:t>
      </w:r>
      <w:r>
        <w:rPr>
          <w:rFonts w:hint="eastAsia" w:asciiTheme="minorEastAsia" w:hAnsiTheme="minorEastAsia" w:eastAsiaTheme="minorEastAsia"/>
          <w:color w:val="auto"/>
          <w:lang w:val="en-US" w:eastAsia="zh-CN"/>
        </w:rPr>
        <w:t>3</w:t>
      </w:r>
      <w:r>
        <w:rPr>
          <w:rFonts w:hint="eastAsia" w:asciiTheme="minorEastAsia" w:hAnsiTheme="minorEastAsia" w:eastAsiaTheme="minorEastAsia"/>
          <w:color w:val="auto"/>
        </w:rPr>
        <w:t>开标室会议室）（详见会议室门前标识）,如有变动另行通知；</w:t>
      </w:r>
    </w:p>
    <w:p>
      <w:pPr>
        <w:pStyle w:val="78"/>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1</w:t>
      </w:r>
      <w:r>
        <w:rPr>
          <w:rFonts w:hint="eastAsia" w:asciiTheme="minorEastAsia" w:hAnsiTheme="minorEastAsia" w:eastAsiaTheme="minorEastAsia"/>
          <w:color w:val="auto"/>
        </w:rPr>
        <w:t>.2采购人根据投标须知的规定可以发出书面声明，酌情延长递交投标文件的截止日期限。在上述情况下，采购人与投标人在原投标截止日期方面的全部权力和义务，将自动适用于延长至新的投标截止日期。</w:t>
      </w:r>
    </w:p>
    <w:p>
      <w:pPr>
        <w:pStyle w:val="78"/>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2</w:t>
      </w:r>
      <w:r>
        <w:rPr>
          <w:rFonts w:hint="eastAsia" w:asciiTheme="minorEastAsia" w:hAnsiTheme="minorEastAsia" w:eastAsiaTheme="minorEastAsia"/>
          <w:color w:val="auto"/>
        </w:rPr>
        <w:t>投标有效期：</w:t>
      </w:r>
      <w:r>
        <w:rPr>
          <w:rFonts w:asciiTheme="minorEastAsia" w:hAnsiTheme="minorEastAsia" w:eastAsiaTheme="minorEastAsia"/>
          <w:color w:val="auto"/>
        </w:rPr>
        <w:t>投标书应在投标截止日期后60个日历日内持续有效、不可撤销</w:t>
      </w:r>
      <w:r>
        <w:rPr>
          <w:rFonts w:hint="eastAsia" w:asciiTheme="minorEastAsia" w:hAnsiTheme="minorEastAsia" w:eastAsiaTheme="minorEastAsia"/>
          <w:color w:val="auto"/>
        </w:rPr>
        <w:t>，</w:t>
      </w:r>
      <w:r>
        <w:rPr>
          <w:rFonts w:asciiTheme="minorEastAsia" w:hAnsiTheme="minorEastAsia" w:eastAsiaTheme="minorEastAsia"/>
          <w:color w:val="auto"/>
        </w:rPr>
        <w:t>并公开接受采购人的验收，在此期间，对投标书的任何说明条款或价格的撤回会造成投标书被拒绝。</w:t>
      </w:r>
    </w:p>
    <w:p>
      <w:pPr>
        <w:pStyle w:val="78"/>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3</w:t>
      </w:r>
      <w:r>
        <w:rPr>
          <w:rFonts w:hint="eastAsia" w:asciiTheme="minorEastAsia" w:hAnsiTheme="minorEastAsia" w:eastAsiaTheme="minorEastAsia"/>
          <w:color w:val="auto"/>
        </w:rPr>
        <w:t>迟到的投标文件</w:t>
      </w:r>
    </w:p>
    <w:p>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采购人对在投标须知规定的投标截止日期以后收到的投标文件不予受理，将原封退给投标人。</w:t>
      </w:r>
    </w:p>
    <w:p>
      <w:pPr>
        <w:pStyle w:val="78"/>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4</w:t>
      </w:r>
      <w:r>
        <w:rPr>
          <w:rFonts w:hint="eastAsia" w:asciiTheme="minorEastAsia" w:hAnsiTheme="minorEastAsia" w:eastAsiaTheme="minorEastAsia"/>
          <w:color w:val="auto"/>
        </w:rPr>
        <w:t>投标文件的修改与撤回：</w:t>
      </w:r>
    </w:p>
    <w:p>
      <w:pPr>
        <w:pStyle w:val="78"/>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4</w:t>
      </w:r>
      <w:r>
        <w:rPr>
          <w:rFonts w:hint="eastAsia" w:asciiTheme="minorEastAsia" w:hAnsiTheme="minorEastAsia" w:eastAsiaTheme="minorEastAsia"/>
          <w:color w:val="auto"/>
        </w:rPr>
        <w:t>.1 投标人可以在投标须知规定的投标截止日期之前，以书面通知的形式修改或撤回其投标文件。投标截止日期之前对投标价格的修改应附有相应说明。</w:t>
      </w:r>
    </w:p>
    <w:p>
      <w:pPr>
        <w:pStyle w:val="78"/>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4</w:t>
      </w:r>
      <w:r>
        <w:rPr>
          <w:rFonts w:hint="eastAsia" w:asciiTheme="minorEastAsia" w:hAnsiTheme="minorEastAsia" w:eastAsiaTheme="minorEastAsia"/>
          <w:color w:val="auto"/>
        </w:rPr>
        <w:t>.2 投标人的修改或撤回通知，应按招标文件的规定编制、密封、标记和发送，还要在内层和外层包封上标明“修改”或“撤回”字样；</w:t>
      </w:r>
    </w:p>
    <w:p>
      <w:pPr>
        <w:pStyle w:val="78"/>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4</w:t>
      </w:r>
      <w:r>
        <w:rPr>
          <w:rFonts w:hint="eastAsia" w:asciiTheme="minorEastAsia" w:hAnsiTheme="minorEastAsia" w:eastAsiaTheme="minorEastAsia"/>
          <w:color w:val="auto"/>
        </w:rPr>
        <w:t>.3 投标人在投标截止日期后不得修改投标文件；</w:t>
      </w:r>
    </w:p>
    <w:p>
      <w:pPr>
        <w:pStyle w:val="78"/>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4</w:t>
      </w:r>
      <w:r>
        <w:rPr>
          <w:rFonts w:hint="eastAsia" w:asciiTheme="minorEastAsia" w:hAnsiTheme="minorEastAsia" w:eastAsiaTheme="minorEastAsia"/>
          <w:color w:val="auto"/>
        </w:rPr>
        <w:t>.4 在投标有效期间或根据招标文件规定延长的投标有效期间，投标人不能撤回投标文件。否则，该投标人的投标保证金将被没收。</w:t>
      </w:r>
    </w:p>
    <w:p>
      <w:pPr>
        <w:pStyle w:val="78"/>
        <w:rPr>
          <w:rFonts w:asciiTheme="minorEastAsia" w:hAnsiTheme="minorEastAsia" w:eastAsiaTheme="minorEastAsia"/>
          <w:color w:val="auto"/>
        </w:rPr>
      </w:pPr>
      <w:r>
        <w:rPr>
          <w:rFonts w:hint="eastAsia" w:cs="宋体" w:asciiTheme="minorEastAsia" w:hAnsiTheme="minorEastAsia" w:eastAsiaTheme="minorEastAsia"/>
          <w:color w:val="auto"/>
        </w:rPr>
        <w:t>3.3</w:t>
      </w:r>
      <w:r>
        <w:rPr>
          <w:rFonts w:cs="宋体" w:asciiTheme="minorEastAsia" w:hAnsiTheme="minorEastAsia" w:eastAsiaTheme="minorEastAsia"/>
          <w:color w:val="auto"/>
        </w:rPr>
        <w:t>.</w:t>
      </w:r>
      <w:r>
        <w:rPr>
          <w:rFonts w:hint="eastAsia" w:cs="宋体" w:asciiTheme="minorEastAsia" w:hAnsiTheme="minorEastAsia" w:eastAsiaTheme="minorEastAsia"/>
          <w:color w:val="auto"/>
        </w:rPr>
        <w:t>5</w:t>
      </w:r>
      <w:r>
        <w:rPr>
          <w:rFonts w:hint="eastAsia" w:asciiTheme="minorEastAsia" w:hAnsiTheme="minorEastAsia" w:eastAsiaTheme="minorEastAsia"/>
          <w:color w:val="auto"/>
        </w:rPr>
        <w:t>每个投标人只提交一份投标文件，每份投标文件包括一套正本，六套副本</w:t>
      </w:r>
      <w:bookmarkStart w:id="50" w:name="_Toc163111241"/>
      <w:bookmarkStart w:id="51" w:name="_Toc161223462"/>
      <w:bookmarkStart w:id="52" w:name="_Toc18293"/>
      <w:r>
        <w:rPr>
          <w:rFonts w:asciiTheme="minorEastAsia" w:hAnsiTheme="minorEastAsia" w:eastAsiaTheme="minorEastAsia"/>
          <w:color w:val="auto"/>
        </w:rPr>
        <w:t>及相应的与印刷文本格式一致的</w:t>
      </w:r>
      <w:r>
        <w:rPr>
          <w:rFonts w:hint="eastAsia" w:asciiTheme="minorEastAsia" w:hAnsiTheme="minorEastAsia" w:eastAsiaTheme="minorEastAsia"/>
          <w:color w:val="auto"/>
        </w:rPr>
        <w:t>一</w:t>
      </w:r>
      <w:r>
        <w:rPr>
          <w:rFonts w:asciiTheme="minorEastAsia" w:hAnsiTheme="minorEastAsia" w:eastAsiaTheme="minorEastAsia"/>
          <w:color w:val="auto"/>
        </w:rPr>
        <w:t>份光盘。</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3.3</w:t>
      </w:r>
      <w:r>
        <w:rPr>
          <w:rFonts w:asciiTheme="minorEastAsia" w:hAnsiTheme="minorEastAsia" w:eastAsiaTheme="minorEastAsia"/>
          <w:color w:val="auto"/>
        </w:rPr>
        <w:t>.</w:t>
      </w:r>
      <w:r>
        <w:rPr>
          <w:rFonts w:hint="eastAsia" w:asciiTheme="minorEastAsia" w:hAnsiTheme="minorEastAsia" w:eastAsiaTheme="minorEastAsia"/>
          <w:color w:val="auto"/>
        </w:rPr>
        <w:t>6投标文件的密封和标记</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3.3</w:t>
      </w:r>
      <w:r>
        <w:rPr>
          <w:rFonts w:asciiTheme="minorEastAsia" w:hAnsiTheme="minorEastAsia" w:eastAsiaTheme="minorEastAsia"/>
          <w:color w:val="auto"/>
        </w:rPr>
        <w:t>.</w:t>
      </w:r>
      <w:r>
        <w:rPr>
          <w:rFonts w:hint="eastAsia" w:asciiTheme="minorEastAsia" w:hAnsiTheme="minorEastAsia" w:eastAsiaTheme="minorEastAsia"/>
          <w:color w:val="auto"/>
        </w:rPr>
        <w:t>6.1 投标人应将投标文件的技术标书和商务标书分别密封包装。为方便开标时唱标，投标人应将《开标一览表》  份与法人代表授权书（原件）单独密封，并在封套上标明“开标一览表”字样。</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3.3</w:t>
      </w:r>
      <w:r>
        <w:rPr>
          <w:rFonts w:asciiTheme="minorEastAsia" w:hAnsiTheme="minorEastAsia" w:eastAsiaTheme="minorEastAsia"/>
          <w:color w:val="auto"/>
        </w:rPr>
        <w:t>.</w:t>
      </w:r>
      <w:r>
        <w:rPr>
          <w:rFonts w:hint="eastAsia" w:asciiTheme="minorEastAsia" w:hAnsiTheme="minorEastAsia" w:eastAsiaTheme="minorEastAsia"/>
          <w:color w:val="auto"/>
        </w:rPr>
        <w:t>6.2 包装封套上应注明招标项目名称、投标单位名称和在</w:t>
      </w:r>
      <w:r>
        <w:rPr>
          <w:rFonts w:asciiTheme="minorEastAsia" w:hAnsiTheme="minorEastAsia" w:eastAsiaTheme="minorEastAsia"/>
          <w:color w:val="auto"/>
        </w:rPr>
        <w:t>(</w:t>
      </w:r>
      <w:r>
        <w:rPr>
          <w:rFonts w:hint="eastAsia" w:asciiTheme="minorEastAsia" w:hAnsiTheme="minorEastAsia" w:eastAsiaTheme="minorEastAsia"/>
          <w:color w:val="auto"/>
        </w:rPr>
        <w:t>招标文件中规定的开标日期和时间</w:t>
      </w:r>
      <w:r>
        <w:rPr>
          <w:rFonts w:asciiTheme="minorEastAsia" w:hAnsiTheme="minorEastAsia" w:eastAsiaTheme="minorEastAsia"/>
          <w:color w:val="auto"/>
        </w:rPr>
        <w:t>)</w:t>
      </w:r>
      <w:r>
        <w:rPr>
          <w:rFonts w:hint="eastAsia" w:asciiTheme="minorEastAsia" w:hAnsiTheme="minorEastAsia" w:eastAsiaTheme="minorEastAsia"/>
          <w:color w:val="auto"/>
        </w:rPr>
        <w:t>之前不得启封的字样，封口处加盖投标人印章。</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3.3</w:t>
      </w:r>
      <w:r>
        <w:rPr>
          <w:rFonts w:asciiTheme="minorEastAsia" w:hAnsiTheme="minorEastAsia" w:eastAsiaTheme="minorEastAsia"/>
          <w:color w:val="auto"/>
        </w:rPr>
        <w:t>.</w:t>
      </w:r>
      <w:r>
        <w:rPr>
          <w:rFonts w:hint="eastAsia" w:asciiTheme="minorEastAsia" w:hAnsiTheme="minorEastAsia" w:eastAsiaTheme="minorEastAsia"/>
          <w:color w:val="auto"/>
        </w:rPr>
        <w:t>6.3 未按本须知要求密封和加写标记的投标文件，采购人不予受理。</w:t>
      </w:r>
    </w:p>
    <w:p>
      <w:pPr>
        <w:pStyle w:val="4"/>
        <w:rPr>
          <w:rFonts w:asciiTheme="minorEastAsia" w:hAnsiTheme="minorEastAsia" w:eastAsiaTheme="minorEastAsia"/>
          <w:color w:val="auto"/>
          <w:sz w:val="28"/>
          <w:szCs w:val="28"/>
        </w:rPr>
      </w:pPr>
      <w:bookmarkStart w:id="53" w:name="_Toc507692313"/>
      <w:r>
        <w:rPr>
          <w:rFonts w:hint="eastAsia" w:asciiTheme="minorEastAsia" w:hAnsiTheme="minorEastAsia" w:eastAsiaTheme="minorEastAsia"/>
          <w:color w:val="auto"/>
          <w:sz w:val="28"/>
          <w:szCs w:val="28"/>
        </w:rPr>
        <w:t>4</w:t>
      </w:r>
      <w:r>
        <w:rPr>
          <w:rFonts w:asciiTheme="minorEastAsia" w:hAnsiTheme="minorEastAsia" w:eastAsiaTheme="minorEastAsia"/>
          <w:color w:val="auto"/>
          <w:sz w:val="28"/>
          <w:szCs w:val="28"/>
        </w:rPr>
        <w:t>标前答疑</w:t>
      </w:r>
      <w:bookmarkEnd w:id="50"/>
      <w:bookmarkEnd w:id="51"/>
      <w:bookmarkEnd w:id="52"/>
      <w:bookmarkEnd w:id="53"/>
    </w:p>
    <w:p>
      <w:pPr>
        <w:pStyle w:val="78"/>
        <w:rPr>
          <w:rFonts w:asciiTheme="minorEastAsia" w:hAnsiTheme="minorEastAsia" w:eastAsiaTheme="minorEastAsia"/>
          <w:color w:val="auto"/>
        </w:rPr>
      </w:pPr>
      <w:r>
        <w:rPr>
          <w:rFonts w:hint="eastAsia" w:asciiTheme="minorEastAsia" w:hAnsiTheme="minorEastAsia" w:eastAsiaTheme="minorEastAsia"/>
          <w:color w:val="auto"/>
        </w:rPr>
        <w:t>4.1 标前答疑的目的是澄清、解答投标人提出的问题。</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4.2 投标人提出的有关投标的任何问题须在标前答疑截止日前以书面方式（传真）提交采购人。采购人将以书面形式予以解答（包括对询问的解释，但不说明询问的来源），答复将发送给所有获得招标文件的投标人。</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4.3 标前答疑截止时间、联系人和联系方式：</w:t>
      </w:r>
    </w:p>
    <w:p>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标前答疑截止日期：  </w:t>
      </w:r>
      <w:r>
        <w:rPr>
          <w:rFonts w:asciiTheme="minorEastAsia" w:hAnsiTheme="minorEastAsia" w:eastAsiaTheme="minorEastAsia"/>
          <w:color w:val="auto"/>
          <w:sz w:val="24"/>
        </w:rPr>
        <w:t>201</w:t>
      </w:r>
      <w:r>
        <w:rPr>
          <w:rFonts w:hint="eastAsia" w:asciiTheme="minorEastAsia" w:hAnsiTheme="minorEastAsia" w:eastAsiaTheme="minorEastAsia"/>
          <w:color w:val="auto"/>
          <w:sz w:val="24"/>
          <w:lang w:val="en-US" w:eastAsia="zh-CN"/>
        </w:rPr>
        <w:t xml:space="preserve">9 </w:t>
      </w:r>
      <w:r>
        <w:rPr>
          <w:rFonts w:asciiTheme="minorEastAsia" w:hAnsiTheme="minorEastAsia" w:eastAsiaTheme="minorEastAsia"/>
          <w:color w:val="auto"/>
          <w:sz w:val="24"/>
        </w:rPr>
        <w:t>年</w:t>
      </w:r>
      <w:r>
        <w:rPr>
          <w:rFonts w:hint="eastAsia" w:asciiTheme="minorEastAsia" w:hAnsiTheme="minorEastAsia" w:eastAsiaTheme="minorEastAsia"/>
          <w:color w:val="auto"/>
          <w:sz w:val="24"/>
          <w:lang w:val="en-US" w:eastAsia="zh-CN"/>
        </w:rPr>
        <w:t>3</w:t>
      </w:r>
      <w:r>
        <w:rPr>
          <w:rFonts w:hint="eastAsia" w:asciiTheme="minorEastAsia" w:hAnsiTheme="minorEastAsia" w:eastAsiaTheme="minorEastAsia"/>
          <w:color w:val="auto"/>
          <w:sz w:val="24"/>
        </w:rPr>
        <w:t>月</w:t>
      </w:r>
      <w:r>
        <w:rPr>
          <w:rFonts w:hint="eastAsia" w:asciiTheme="minorEastAsia" w:hAnsiTheme="minorEastAsia" w:eastAsiaTheme="minorEastAsia"/>
          <w:color w:val="auto"/>
          <w:sz w:val="24"/>
          <w:lang w:val="en-US" w:eastAsia="zh-CN"/>
        </w:rPr>
        <w:t>11</w:t>
      </w:r>
      <w:r>
        <w:rPr>
          <w:rFonts w:hint="eastAsia" w:asciiTheme="minorEastAsia" w:hAnsiTheme="minorEastAsia" w:eastAsiaTheme="minorEastAsia"/>
          <w:color w:val="auto"/>
          <w:sz w:val="24"/>
        </w:rPr>
        <w:t>日</w:t>
      </w:r>
    </w:p>
    <w:p>
      <w:pPr>
        <w:pStyle w:val="32"/>
        <w:spacing w:line="360" w:lineRule="auto"/>
        <w:ind w:firstLine="480" w:firstLineChars="200"/>
        <w:rPr>
          <w:rFonts w:asciiTheme="minorEastAsia" w:hAnsiTheme="minorEastAsia" w:eastAsiaTheme="minorEastAsia"/>
          <w:color w:val="auto"/>
          <w:sz w:val="24"/>
          <w:szCs w:val="24"/>
        </w:rPr>
      </w:pPr>
      <w:bookmarkStart w:id="54" w:name="_7．__评标"/>
      <w:bookmarkEnd w:id="54"/>
      <w:bookmarkStart w:id="55" w:name="_6．__开标"/>
      <w:bookmarkEnd w:id="55"/>
      <w:bookmarkStart w:id="56" w:name="_Toc161223463"/>
      <w:bookmarkStart w:id="57" w:name="_Toc163111242"/>
      <w:bookmarkStart w:id="58" w:name="_Toc152822954"/>
      <w:bookmarkStart w:id="59" w:name="_Toc532443998"/>
      <w:bookmarkStart w:id="60" w:name="_Toc61233469"/>
      <w:bookmarkStart w:id="61" w:name="_Toc152822561"/>
      <w:bookmarkStart w:id="62" w:name="_Toc62987589"/>
      <w:bookmarkStart w:id="63" w:name="_Toc152821125"/>
      <w:bookmarkStart w:id="64" w:name="_Toc152820395"/>
      <w:r>
        <w:rPr>
          <w:rFonts w:hint="eastAsia" w:asciiTheme="minorEastAsia" w:hAnsiTheme="minorEastAsia" w:eastAsiaTheme="minorEastAsia"/>
          <w:color w:val="auto"/>
          <w:sz w:val="24"/>
        </w:rPr>
        <w:t xml:space="preserve">联系人：钟鸣 </w:t>
      </w:r>
    </w:p>
    <w:p>
      <w:pPr>
        <w:pStyle w:val="32"/>
        <w:spacing w:line="360" w:lineRule="auto"/>
        <w:ind w:firstLine="48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电话：0898-65341140</w:t>
      </w:r>
    </w:p>
    <w:p>
      <w:pPr>
        <w:spacing w:line="360" w:lineRule="auto"/>
        <w:ind w:firstLine="470" w:firstLineChars="196"/>
        <w:rPr>
          <w:rFonts w:asciiTheme="minorEastAsia" w:hAnsiTheme="minorEastAsia" w:eastAsiaTheme="minorEastAsia"/>
          <w:color w:val="auto"/>
          <w:sz w:val="24"/>
        </w:rPr>
      </w:pPr>
      <w:r>
        <w:rPr>
          <w:rFonts w:hint="eastAsia" w:asciiTheme="minorEastAsia" w:hAnsiTheme="minorEastAsia" w:eastAsiaTheme="minorEastAsia"/>
          <w:color w:val="auto"/>
          <w:sz w:val="24"/>
        </w:rPr>
        <w:t>传真：0898-65304085</w:t>
      </w:r>
    </w:p>
    <w:p>
      <w:pPr>
        <w:pStyle w:val="407"/>
        <w:keepLines w:val="0"/>
        <w:pageBreakBefore w:val="0"/>
        <w:kinsoku/>
        <w:wordWrap/>
        <w:overflowPunct/>
        <w:topLinePunct w:val="0"/>
        <w:autoSpaceDE/>
        <w:autoSpaceDN/>
        <w:bidi w:val="0"/>
        <w:spacing w:line="440" w:lineRule="exact"/>
        <w:ind w:firstLine="480" w:firstLineChars="200"/>
        <w:jc w:val="both"/>
        <w:textAlignment w:val="auto"/>
        <w:rPr>
          <w:rFonts w:asciiTheme="minorEastAsia" w:hAnsiTheme="minorEastAsia" w:eastAsiaTheme="minorEastAsia"/>
          <w:color w:val="auto"/>
        </w:rPr>
      </w:pPr>
      <w:r>
        <w:rPr>
          <w:rFonts w:hint="eastAsia" w:asciiTheme="minorEastAsia" w:hAnsiTheme="minorEastAsia" w:eastAsiaTheme="minorEastAsia"/>
          <w:color w:val="auto"/>
        </w:rPr>
        <w:t>地址：</w:t>
      </w:r>
      <w:r>
        <w:rPr>
          <w:rFonts w:hint="eastAsia"/>
          <w:bCs/>
          <w:color w:val="auto"/>
          <w:lang w:val="en-GB"/>
        </w:rPr>
        <w:t>海南省海口市蓝天路28号名门广场南区</w:t>
      </w:r>
      <w:r>
        <w:rPr>
          <w:rFonts w:hint="eastAsia"/>
          <w:bCs/>
          <w:color w:val="auto"/>
        </w:rPr>
        <w:t>D503</w:t>
      </w:r>
      <w:r>
        <w:rPr>
          <w:rFonts w:hint="eastAsia"/>
          <w:bCs/>
          <w:color w:val="auto"/>
          <w:lang w:val="en-GB"/>
        </w:rPr>
        <w:t>室</w:t>
      </w:r>
    </w:p>
    <w:bookmarkEnd w:id="56"/>
    <w:bookmarkEnd w:id="57"/>
    <w:p>
      <w:pPr>
        <w:pStyle w:val="4"/>
        <w:keepLines w:val="0"/>
        <w:pageBreakBefore w:val="0"/>
        <w:kinsoku/>
        <w:wordWrap/>
        <w:overflowPunct/>
        <w:topLinePunct w:val="0"/>
        <w:autoSpaceDE/>
        <w:autoSpaceDN/>
        <w:bidi w:val="0"/>
        <w:spacing w:line="440" w:lineRule="exact"/>
        <w:textAlignment w:val="auto"/>
        <w:rPr>
          <w:rFonts w:asciiTheme="minorEastAsia" w:hAnsiTheme="minorEastAsia" w:eastAsiaTheme="minorEastAsia"/>
          <w:color w:val="auto"/>
          <w:sz w:val="28"/>
          <w:szCs w:val="28"/>
        </w:rPr>
      </w:pPr>
      <w:bookmarkStart w:id="65" w:name="_Toc31544"/>
      <w:bookmarkStart w:id="66" w:name="_Toc507692314"/>
      <w:r>
        <w:rPr>
          <w:rFonts w:hint="eastAsia" w:asciiTheme="minorEastAsia" w:hAnsiTheme="minorEastAsia" w:eastAsiaTheme="minorEastAsia"/>
          <w:color w:val="auto"/>
          <w:sz w:val="28"/>
          <w:szCs w:val="28"/>
        </w:rPr>
        <w:t>5</w:t>
      </w:r>
      <w:r>
        <w:rPr>
          <w:rFonts w:asciiTheme="minorEastAsia" w:hAnsiTheme="minorEastAsia" w:eastAsiaTheme="minorEastAsia"/>
          <w:color w:val="auto"/>
          <w:sz w:val="28"/>
          <w:szCs w:val="28"/>
        </w:rPr>
        <w:t>开标</w:t>
      </w:r>
      <w:bookmarkEnd w:id="65"/>
      <w:bookmarkEnd w:id="66"/>
    </w:p>
    <w:p>
      <w:pPr>
        <w:pStyle w:val="78"/>
        <w:keepLines w:val="0"/>
        <w:pageBreakBefore w:val="0"/>
        <w:kinsoku/>
        <w:wordWrap/>
        <w:overflowPunct/>
        <w:topLinePunct w:val="0"/>
        <w:autoSpaceDE/>
        <w:autoSpaceDN/>
        <w:bidi w:val="0"/>
        <w:spacing w:line="440" w:lineRule="exact"/>
        <w:textAlignment w:val="auto"/>
        <w:rPr>
          <w:rFonts w:asciiTheme="minorEastAsia" w:hAnsiTheme="minorEastAsia" w:eastAsiaTheme="minorEastAsia"/>
          <w:color w:val="auto"/>
          <w:kern w:val="0"/>
        </w:rPr>
      </w:pPr>
      <w:r>
        <w:rPr>
          <w:rFonts w:hint="eastAsia" w:asciiTheme="minorEastAsia" w:hAnsiTheme="minorEastAsia" w:eastAsiaTheme="minorEastAsia"/>
          <w:color w:val="auto"/>
        </w:rPr>
        <w:t>5.1 采购人于201</w:t>
      </w:r>
      <w:r>
        <w:rPr>
          <w:rFonts w:hint="eastAsia" w:asciiTheme="minorEastAsia" w:hAnsiTheme="minorEastAsia" w:eastAsiaTheme="minorEastAsia"/>
          <w:color w:val="auto"/>
          <w:lang w:val="en-US" w:eastAsia="zh-CN"/>
        </w:rPr>
        <w:t xml:space="preserve">9 </w:t>
      </w:r>
      <w:r>
        <w:rPr>
          <w:rFonts w:hint="eastAsia" w:asciiTheme="minorEastAsia" w:hAnsiTheme="minorEastAsia" w:eastAsiaTheme="minorEastAsia"/>
          <w:color w:val="auto"/>
        </w:rPr>
        <w:t>年</w:t>
      </w:r>
      <w:r>
        <w:rPr>
          <w:rFonts w:hint="eastAsia" w:asciiTheme="minorEastAsia" w:hAnsiTheme="minorEastAsia" w:eastAsiaTheme="minorEastAsia"/>
          <w:color w:val="auto"/>
          <w:lang w:val="en-US" w:eastAsia="zh-CN"/>
        </w:rPr>
        <w:t>3</w:t>
      </w:r>
      <w:r>
        <w:rPr>
          <w:rFonts w:hint="eastAsia" w:asciiTheme="minorEastAsia" w:hAnsiTheme="minorEastAsia" w:eastAsiaTheme="minorEastAsia"/>
          <w:color w:val="auto"/>
        </w:rPr>
        <w:t>月</w:t>
      </w:r>
      <w:r>
        <w:rPr>
          <w:rFonts w:hint="eastAsia" w:asciiTheme="minorEastAsia" w:hAnsiTheme="minorEastAsia" w:eastAsiaTheme="minorEastAsia"/>
          <w:color w:val="auto"/>
          <w:lang w:val="en-US" w:eastAsia="zh-CN"/>
        </w:rPr>
        <w:t>21</w:t>
      </w:r>
      <w:r>
        <w:rPr>
          <w:rFonts w:hint="eastAsia" w:asciiTheme="minorEastAsia" w:hAnsiTheme="minorEastAsia" w:eastAsiaTheme="minorEastAsia"/>
          <w:color w:val="auto"/>
        </w:rPr>
        <w:t>日上午</w:t>
      </w:r>
      <w:r>
        <w:rPr>
          <w:rFonts w:hint="eastAsia" w:asciiTheme="minorEastAsia" w:hAnsiTheme="minorEastAsia" w:eastAsiaTheme="minorEastAsia"/>
          <w:color w:val="auto"/>
          <w:lang w:val="en-US" w:eastAsia="zh-CN"/>
        </w:rPr>
        <w:t xml:space="preserve"> 09</w:t>
      </w:r>
      <w:r>
        <w:rPr>
          <w:rFonts w:hint="eastAsia" w:asciiTheme="minorEastAsia" w:hAnsiTheme="minorEastAsia" w:eastAsiaTheme="minorEastAsia"/>
          <w:color w:val="auto"/>
        </w:rPr>
        <w:t>：</w:t>
      </w:r>
      <w:r>
        <w:rPr>
          <w:rFonts w:hint="eastAsia" w:asciiTheme="minorEastAsia" w:hAnsiTheme="minorEastAsia" w:eastAsiaTheme="minorEastAsia"/>
          <w:color w:val="auto"/>
          <w:lang w:val="en-US" w:eastAsia="zh-CN"/>
        </w:rPr>
        <w:t>30</w:t>
      </w:r>
      <w:r>
        <w:rPr>
          <w:rFonts w:hint="eastAsia" w:asciiTheme="minorEastAsia" w:hAnsiTheme="minorEastAsia" w:eastAsiaTheme="minorEastAsia"/>
          <w:color w:val="auto"/>
        </w:rPr>
        <w:t>（北京时间）在</w:t>
      </w:r>
      <w:r>
        <w:rPr>
          <w:rFonts w:hint="eastAsia" w:hAnsi="宋体" w:cs="宋体"/>
          <w:bCs/>
          <w:color w:val="auto"/>
          <w:kern w:val="0"/>
          <w:lang w:val="en-GB"/>
        </w:rPr>
        <w:t>海口市公共资源交易中心开评标会议室</w:t>
      </w:r>
      <w:r>
        <w:rPr>
          <w:rFonts w:hint="eastAsia" w:asciiTheme="minorEastAsia" w:hAnsiTheme="minorEastAsia" w:eastAsiaTheme="minorEastAsia"/>
          <w:color w:val="auto"/>
        </w:rPr>
        <w:t>召开开标会议，各投标人的法人代表或其授权代理人出席开标会议，参加开标的投标人法定代表人或其授权代理人要携带有效证件(营业执照副本、测绘资质证书副本，法定代表人参加的需带本人身份证原件，委托代理人参加的需带法定代表人委托书、法人代表人身份证复印件和本人身份证原件)并签名报到，以证明其出席开标会议。投标人法定代表人或授权代表未参加开标会议的视为自动弃权。</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5.2开标会议由采购代理机构组织并主持。双方代表对投标文件密封的完整性进行检查，以确认</w:t>
      </w:r>
      <w:r>
        <w:rPr>
          <w:rFonts w:hint="eastAsia" w:asciiTheme="minorEastAsia" w:hAnsiTheme="minorEastAsia" w:eastAsiaTheme="minorEastAsia"/>
          <w:color w:val="auto"/>
          <w:kern w:val="0"/>
        </w:rPr>
        <w:t>投标文件是否有效</w:t>
      </w:r>
      <w:r>
        <w:rPr>
          <w:rFonts w:hint="eastAsia" w:asciiTheme="minorEastAsia" w:hAnsiTheme="minorEastAsia" w:eastAsiaTheme="minorEastAsia"/>
          <w:color w:val="auto"/>
        </w:rPr>
        <w:t>。</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5.3 开标程序：</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5</w:t>
      </w:r>
      <w:r>
        <w:rPr>
          <w:rFonts w:asciiTheme="minorEastAsia" w:hAnsiTheme="minorEastAsia" w:eastAsiaTheme="minorEastAsia"/>
          <w:color w:val="auto"/>
        </w:rPr>
        <w:t xml:space="preserve">.3.1 </w:t>
      </w:r>
      <w:r>
        <w:rPr>
          <w:rFonts w:hint="eastAsia" w:asciiTheme="minorEastAsia" w:hAnsiTheme="minorEastAsia" w:eastAsiaTheme="minorEastAsia"/>
          <w:color w:val="auto"/>
        </w:rPr>
        <w:t>主持人宣布开标会议开始；</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5</w:t>
      </w:r>
      <w:r>
        <w:rPr>
          <w:rFonts w:asciiTheme="minorEastAsia" w:hAnsiTheme="minorEastAsia" w:eastAsiaTheme="minorEastAsia"/>
          <w:color w:val="auto"/>
        </w:rPr>
        <w:t xml:space="preserve">.3.2 </w:t>
      </w:r>
      <w:r>
        <w:rPr>
          <w:rFonts w:hint="eastAsia" w:asciiTheme="minorEastAsia" w:hAnsiTheme="minorEastAsia" w:eastAsiaTheme="minorEastAsia"/>
          <w:color w:val="auto"/>
        </w:rPr>
        <w:t>宣读开标纪律；</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5</w:t>
      </w:r>
      <w:r>
        <w:rPr>
          <w:rFonts w:asciiTheme="minorEastAsia" w:hAnsiTheme="minorEastAsia" w:eastAsiaTheme="minorEastAsia"/>
          <w:color w:val="auto"/>
        </w:rPr>
        <w:t>.3.3公布在投标截止时间前递交投标文件的投标人名称</w:t>
      </w:r>
      <w:r>
        <w:rPr>
          <w:rFonts w:hint="eastAsia" w:asciiTheme="minorEastAsia" w:hAnsiTheme="minorEastAsia" w:eastAsiaTheme="minorEastAsia"/>
          <w:color w:val="auto"/>
        </w:rPr>
        <w:t>，</w:t>
      </w:r>
      <w:r>
        <w:rPr>
          <w:rFonts w:asciiTheme="minorEastAsia" w:hAnsiTheme="minorEastAsia" w:eastAsiaTheme="minorEastAsia"/>
          <w:color w:val="auto"/>
        </w:rPr>
        <w:t>并点名确认投标人是否派人到场；</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5</w:t>
      </w:r>
      <w:r>
        <w:rPr>
          <w:rFonts w:asciiTheme="minorEastAsia" w:hAnsiTheme="minorEastAsia" w:eastAsiaTheme="minorEastAsia"/>
          <w:color w:val="auto"/>
        </w:rPr>
        <w:t>.3.</w:t>
      </w:r>
      <w:r>
        <w:rPr>
          <w:rFonts w:hint="eastAsia" w:asciiTheme="minorEastAsia" w:hAnsiTheme="minorEastAsia" w:eastAsiaTheme="minorEastAsia"/>
          <w:color w:val="auto"/>
        </w:rPr>
        <w:t xml:space="preserve">4 </w:t>
      </w:r>
      <w:r>
        <w:rPr>
          <w:rFonts w:asciiTheme="minorEastAsia" w:hAnsiTheme="minorEastAsia" w:eastAsiaTheme="minorEastAsia"/>
          <w:color w:val="auto"/>
        </w:rPr>
        <w:t>宣布开标人、唱标人、记录人、监</w:t>
      </w:r>
      <w:r>
        <w:rPr>
          <w:rFonts w:hint="eastAsia" w:asciiTheme="minorEastAsia" w:hAnsiTheme="minorEastAsia" w:eastAsiaTheme="minorEastAsia"/>
          <w:color w:val="auto"/>
        </w:rPr>
        <w:t>督</w:t>
      </w:r>
      <w:r>
        <w:rPr>
          <w:rFonts w:asciiTheme="minorEastAsia" w:hAnsiTheme="minorEastAsia" w:eastAsiaTheme="minorEastAsia"/>
          <w:color w:val="auto"/>
        </w:rPr>
        <w:t>人等有关人员姓名；</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5</w:t>
      </w:r>
      <w:r>
        <w:rPr>
          <w:rFonts w:asciiTheme="minorEastAsia" w:hAnsiTheme="minorEastAsia" w:eastAsiaTheme="minorEastAsia"/>
          <w:color w:val="auto"/>
        </w:rPr>
        <w:t>.3.</w:t>
      </w:r>
      <w:r>
        <w:rPr>
          <w:rFonts w:hint="eastAsia" w:asciiTheme="minorEastAsia" w:hAnsiTheme="minorEastAsia" w:eastAsiaTheme="minorEastAsia"/>
          <w:color w:val="auto"/>
        </w:rPr>
        <w:t>5在纪检监察人员的监督下，当场检验投标书密封情况；</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5</w:t>
      </w:r>
      <w:r>
        <w:rPr>
          <w:rFonts w:asciiTheme="minorEastAsia" w:hAnsiTheme="minorEastAsia" w:eastAsiaTheme="minorEastAsia"/>
          <w:color w:val="auto"/>
        </w:rPr>
        <w:t>.3.</w:t>
      </w:r>
      <w:r>
        <w:rPr>
          <w:rFonts w:hint="eastAsia" w:asciiTheme="minorEastAsia" w:hAnsiTheme="minorEastAsia" w:eastAsiaTheme="minorEastAsia"/>
          <w:color w:val="auto"/>
        </w:rPr>
        <w:t>6在纪检监察人员的监督下，投标人按照投标文件送达时间先后顺序的倒序依次唱标，宣读开标一览表规定的内容；</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5</w:t>
      </w:r>
      <w:r>
        <w:rPr>
          <w:rFonts w:asciiTheme="minorEastAsia" w:hAnsiTheme="minorEastAsia" w:eastAsiaTheme="minorEastAsia"/>
          <w:color w:val="auto"/>
        </w:rPr>
        <w:t>.3.</w:t>
      </w:r>
      <w:r>
        <w:rPr>
          <w:rFonts w:hint="eastAsia" w:asciiTheme="minorEastAsia" w:hAnsiTheme="minorEastAsia" w:eastAsiaTheme="minorEastAsia"/>
          <w:color w:val="auto"/>
        </w:rPr>
        <w:t>7主持人宣布开标程序结束。</w:t>
      </w:r>
    </w:p>
    <w:bookmarkEnd w:id="58"/>
    <w:bookmarkEnd w:id="59"/>
    <w:bookmarkEnd w:id="60"/>
    <w:bookmarkEnd w:id="61"/>
    <w:bookmarkEnd w:id="62"/>
    <w:bookmarkEnd w:id="63"/>
    <w:bookmarkEnd w:id="64"/>
    <w:p>
      <w:pPr>
        <w:pStyle w:val="4"/>
        <w:rPr>
          <w:rFonts w:asciiTheme="minorEastAsia" w:hAnsiTheme="minorEastAsia" w:eastAsiaTheme="minorEastAsia"/>
          <w:color w:val="auto"/>
          <w:sz w:val="28"/>
          <w:szCs w:val="28"/>
        </w:rPr>
      </w:pPr>
      <w:bookmarkStart w:id="67" w:name="_Toc22219"/>
      <w:bookmarkStart w:id="68" w:name="_Toc507692315"/>
      <w:bookmarkStart w:id="69" w:name="_Toc163111243"/>
      <w:r>
        <w:rPr>
          <w:rFonts w:hint="eastAsia" w:asciiTheme="minorEastAsia" w:hAnsiTheme="minorEastAsia" w:eastAsiaTheme="minorEastAsia"/>
          <w:color w:val="auto"/>
          <w:sz w:val="28"/>
          <w:szCs w:val="28"/>
        </w:rPr>
        <w:t>6</w:t>
      </w:r>
      <w:r>
        <w:rPr>
          <w:rFonts w:asciiTheme="minorEastAsia" w:hAnsiTheme="minorEastAsia" w:eastAsiaTheme="minorEastAsia"/>
          <w:color w:val="auto"/>
          <w:sz w:val="28"/>
          <w:szCs w:val="28"/>
        </w:rPr>
        <w:t>评标</w:t>
      </w:r>
      <w:bookmarkEnd w:id="67"/>
      <w:bookmarkEnd w:id="68"/>
      <w:bookmarkEnd w:id="69"/>
    </w:p>
    <w:p>
      <w:pPr>
        <w:pStyle w:val="78"/>
        <w:rPr>
          <w:rFonts w:asciiTheme="minorEastAsia" w:hAnsiTheme="minorEastAsia" w:eastAsiaTheme="minorEastAsia"/>
          <w:color w:val="auto"/>
        </w:rPr>
      </w:pPr>
      <w:r>
        <w:rPr>
          <w:rFonts w:hint="eastAsia" w:asciiTheme="minorEastAsia" w:hAnsiTheme="minorEastAsia" w:eastAsiaTheme="minorEastAsia"/>
          <w:color w:val="auto"/>
        </w:rPr>
        <w:t>6</w:t>
      </w:r>
      <w:r>
        <w:rPr>
          <w:rFonts w:asciiTheme="minorEastAsia" w:hAnsiTheme="minorEastAsia" w:eastAsiaTheme="minorEastAsia"/>
          <w:color w:val="auto"/>
        </w:rPr>
        <w:t>.</w:t>
      </w:r>
      <w:r>
        <w:rPr>
          <w:rFonts w:hint="eastAsia" w:asciiTheme="minorEastAsia" w:hAnsiTheme="minorEastAsia" w:eastAsiaTheme="minorEastAsia"/>
          <w:color w:val="auto"/>
        </w:rPr>
        <w:t>1评标原则</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6.1.1 按照《中华人民共和国招标投标法》和国家7部委12号令《评标委员会和评标方法暂行规定》，遵守公平、公正、公开、科学、择优的原则。</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6.1.</w:t>
      </w:r>
      <w:r>
        <w:rPr>
          <w:rFonts w:asciiTheme="minorEastAsia" w:hAnsiTheme="minorEastAsia" w:eastAsiaTheme="minorEastAsia"/>
          <w:color w:val="auto"/>
        </w:rPr>
        <w:t xml:space="preserve">2 </w:t>
      </w:r>
      <w:r>
        <w:rPr>
          <w:rFonts w:hint="eastAsia" w:asciiTheme="minorEastAsia" w:hAnsiTheme="minorEastAsia" w:eastAsiaTheme="minorEastAsia"/>
          <w:color w:val="auto"/>
        </w:rPr>
        <w:t>评标委员会将仅对实质上响应招标文件要求的投标文件进行评价与比较。若投标文件中有漏报、虚报的情况，采购人将按评标办法和标准对该投标人的得分进行扣减。</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6</w:t>
      </w:r>
      <w:r>
        <w:rPr>
          <w:rFonts w:asciiTheme="minorEastAsia" w:hAnsiTheme="minorEastAsia" w:eastAsiaTheme="minorEastAsia"/>
          <w:color w:val="auto"/>
        </w:rPr>
        <w:t>.</w:t>
      </w:r>
      <w:r>
        <w:rPr>
          <w:rFonts w:hint="eastAsia" w:asciiTheme="minorEastAsia" w:hAnsiTheme="minorEastAsia" w:eastAsiaTheme="minorEastAsia"/>
          <w:color w:val="auto"/>
        </w:rPr>
        <w:t>1</w:t>
      </w:r>
      <w:r>
        <w:rPr>
          <w:rFonts w:asciiTheme="minorEastAsia" w:hAnsiTheme="minorEastAsia" w:eastAsiaTheme="minorEastAsia"/>
          <w:color w:val="auto"/>
        </w:rPr>
        <w:t>.</w:t>
      </w:r>
      <w:r>
        <w:rPr>
          <w:rFonts w:hint="eastAsia" w:asciiTheme="minorEastAsia" w:hAnsiTheme="minorEastAsia" w:eastAsiaTheme="minorEastAsia"/>
          <w:color w:val="auto"/>
        </w:rPr>
        <w:t>3本次招标采用综合评分法评标。</w:t>
      </w:r>
      <w:r>
        <w:rPr>
          <w:rFonts w:hint="eastAsia" w:hAnsi="宋体"/>
          <w:color w:val="auto"/>
        </w:rPr>
        <w:t>综合评分法评标步骤：先进行</w:t>
      </w:r>
      <w:r>
        <w:rPr>
          <w:rFonts w:hint="eastAsia" w:hAnsi="宋体" w:cs="宋体"/>
          <w:b/>
          <w:bCs/>
          <w:color w:val="auto"/>
          <w:szCs w:val="24"/>
        </w:rPr>
        <w:t>投标文件的资格性审查（附表</w:t>
      </w:r>
      <w:r>
        <w:rPr>
          <w:rFonts w:hint="eastAsia" w:hAnsi="宋体" w:cs="宋体"/>
          <w:b/>
          <w:bCs/>
          <w:color w:val="auto"/>
          <w:szCs w:val="24"/>
          <w:lang w:val="en-US"/>
        </w:rPr>
        <w:t>1</w:t>
      </w:r>
      <w:r>
        <w:rPr>
          <w:rFonts w:hint="eastAsia" w:hAnsi="宋体" w:cs="宋体"/>
          <w:b/>
          <w:bCs/>
          <w:color w:val="auto"/>
          <w:szCs w:val="24"/>
        </w:rPr>
        <w:t>）和符合性审查（附表</w:t>
      </w:r>
      <w:r>
        <w:rPr>
          <w:rFonts w:hint="eastAsia" w:hAnsi="宋体" w:cs="宋体"/>
          <w:b/>
          <w:bCs/>
          <w:color w:val="auto"/>
          <w:szCs w:val="24"/>
          <w:lang w:val="en-US"/>
        </w:rPr>
        <w:t>2</w:t>
      </w:r>
      <w:r>
        <w:rPr>
          <w:rFonts w:hint="eastAsia" w:hAnsi="宋体" w:cs="宋体"/>
          <w:b/>
          <w:bCs/>
          <w:color w:val="auto"/>
          <w:szCs w:val="24"/>
        </w:rPr>
        <w:t>），</w:t>
      </w:r>
      <w:r>
        <w:rPr>
          <w:rFonts w:hint="eastAsia" w:hAnsi="宋体"/>
          <w:color w:val="auto"/>
        </w:rPr>
        <w:t>再进行详细评审。只有通过</w:t>
      </w:r>
      <w:r>
        <w:rPr>
          <w:rFonts w:hint="eastAsia" w:hAnsi="宋体" w:cs="宋体"/>
          <w:b/>
          <w:bCs/>
          <w:color w:val="auto"/>
          <w:szCs w:val="24"/>
        </w:rPr>
        <w:t>投标文件的资格性审查和符合性审查</w:t>
      </w:r>
      <w:r>
        <w:rPr>
          <w:rFonts w:hint="eastAsia" w:hAnsi="宋体"/>
          <w:color w:val="auto"/>
        </w:rPr>
        <w:t>的投标人才能进入详细的评审</w:t>
      </w:r>
      <w:r>
        <w:rPr>
          <w:rFonts w:hint="eastAsia" w:asciiTheme="minorEastAsia" w:hAnsiTheme="minorEastAsia" w:eastAsiaTheme="minorEastAsia"/>
          <w:color w:val="auto"/>
        </w:rPr>
        <w:t>。评标委员会将重点对投标人完成项目的能力、对采购人关注问题的建议及措施、投标人的综合实力和同类工程工作经验、商务报价的合理性和完整性等方面进行综合评价。</w:t>
      </w:r>
    </w:p>
    <w:p>
      <w:pPr>
        <w:spacing w:line="360" w:lineRule="auto"/>
        <w:rPr>
          <w:rFonts w:hint="eastAsia" w:cs="Times New Roman" w:asciiTheme="minorEastAsia" w:hAnsiTheme="minorEastAsia" w:eastAsiaTheme="minorEastAsia"/>
          <w:snapToGrid w:val="0"/>
          <w:color w:val="auto"/>
          <w:kern w:val="2"/>
          <w:sz w:val="24"/>
          <w:szCs w:val="20"/>
          <w:lang w:val="zh-CN" w:eastAsia="zh-CN" w:bidi="ar-SA"/>
        </w:rPr>
      </w:pPr>
      <w:r>
        <w:rPr>
          <w:rFonts w:hint="eastAsia" w:asciiTheme="minorEastAsia" w:hAnsiTheme="minorEastAsia" w:eastAsiaTheme="minorEastAsia"/>
          <w:color w:val="auto"/>
          <w:sz w:val="24"/>
        </w:rPr>
        <w:t>6</w:t>
      </w:r>
      <w:r>
        <w:rPr>
          <w:rFonts w:hint="eastAsia" w:cs="Times New Roman" w:asciiTheme="minorEastAsia" w:hAnsiTheme="minorEastAsia" w:eastAsiaTheme="minorEastAsia"/>
          <w:snapToGrid w:val="0"/>
          <w:color w:val="auto"/>
          <w:kern w:val="2"/>
          <w:sz w:val="24"/>
          <w:szCs w:val="20"/>
          <w:lang w:val="zh-CN" w:eastAsia="zh-CN" w:bidi="ar-SA"/>
        </w:rPr>
        <w:t xml:space="preserve">.1.4 </w:t>
      </w:r>
      <w:bookmarkStart w:id="70" w:name="_Toc476643584"/>
      <w:r>
        <w:rPr>
          <w:rFonts w:hint="eastAsia" w:cs="Times New Roman" w:asciiTheme="minorEastAsia" w:hAnsiTheme="minorEastAsia" w:eastAsiaTheme="minorEastAsia"/>
          <w:snapToGrid w:val="0"/>
          <w:color w:val="auto"/>
          <w:kern w:val="2"/>
          <w:sz w:val="24"/>
          <w:szCs w:val="20"/>
          <w:lang w:val="zh-CN" w:eastAsia="zh-CN" w:bidi="ar-SA"/>
        </w:rPr>
        <w:t>初步评审</w:t>
      </w:r>
      <w:bookmarkEnd w:id="70"/>
    </w:p>
    <w:p>
      <w:pPr>
        <w:shd w:val="clear" w:color="auto" w:fill="FFFFFF"/>
        <w:tabs>
          <w:tab w:val="left" w:pos="720"/>
          <w:tab w:val="left" w:pos="3675"/>
        </w:tabs>
        <w:snapToGrid w:val="0"/>
        <w:spacing w:line="360" w:lineRule="auto"/>
        <w:ind w:firstLine="480"/>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1）评标委员会根据“</w:t>
      </w:r>
      <w:r>
        <w:rPr>
          <w:rFonts w:hint="eastAsia" w:cs="Times New Roman" w:asciiTheme="minorEastAsia" w:hAnsiTheme="minorEastAsia" w:eastAsiaTheme="minorEastAsia"/>
          <w:b/>
          <w:bCs/>
          <w:snapToGrid w:val="0"/>
          <w:color w:val="auto"/>
          <w:kern w:val="2"/>
          <w:sz w:val="24"/>
          <w:szCs w:val="20"/>
          <w:lang w:val="zh-CN" w:eastAsia="zh-CN" w:bidi="ar-SA"/>
        </w:rPr>
        <w:t>资格性审查表和符合性审查表</w:t>
      </w:r>
      <w:r>
        <w:rPr>
          <w:rFonts w:hint="eastAsia" w:cs="Times New Roman" w:asciiTheme="minorEastAsia" w:hAnsiTheme="minorEastAsia" w:eastAsiaTheme="minorEastAsia"/>
          <w:snapToGrid w:val="0"/>
          <w:color w:val="auto"/>
          <w:kern w:val="2"/>
          <w:sz w:val="24"/>
          <w:szCs w:val="20"/>
          <w:lang w:val="zh-CN" w:eastAsia="zh-CN" w:bidi="ar-SA"/>
        </w:rPr>
        <w:t>”对投标文件的资格性和符合性进行评审，只有对“</w:t>
      </w:r>
      <w:r>
        <w:rPr>
          <w:rFonts w:hint="eastAsia" w:cs="Times New Roman" w:asciiTheme="minorEastAsia" w:hAnsiTheme="minorEastAsia" w:eastAsiaTheme="minorEastAsia"/>
          <w:b/>
          <w:bCs/>
          <w:snapToGrid w:val="0"/>
          <w:color w:val="auto"/>
          <w:kern w:val="2"/>
          <w:sz w:val="24"/>
          <w:szCs w:val="20"/>
          <w:lang w:val="zh-CN" w:eastAsia="zh-CN" w:bidi="ar-SA"/>
        </w:rPr>
        <w:t>资格性审查表和符合性审查表</w:t>
      </w:r>
      <w:r>
        <w:rPr>
          <w:rFonts w:hint="eastAsia" w:cs="Times New Roman" w:asciiTheme="minorEastAsia" w:hAnsiTheme="minorEastAsia" w:eastAsiaTheme="minorEastAsia"/>
          <w:snapToGrid w:val="0"/>
          <w:color w:val="auto"/>
          <w:kern w:val="2"/>
          <w:sz w:val="24"/>
          <w:szCs w:val="20"/>
          <w:lang w:val="zh-CN" w:eastAsia="zh-CN" w:bidi="ar-SA"/>
        </w:rPr>
        <w:t>”所列各项做出实质性响应的投标文件才能通过初步评审。对是否实质性响应招标文件的要求有争议的投标内容，评标委员会将以记名方式表决，得票超过半数的投标人有资格进入下一阶段的评审，否则将被淘汰。有以下情况的将不能通过初步评审：</w:t>
      </w:r>
    </w:p>
    <w:p>
      <w:pPr>
        <w:numPr>
          <w:ilvl w:val="0"/>
          <w:numId w:val="10"/>
        </w:numPr>
        <w:shd w:val="clear" w:color="auto" w:fill="FFFFFF"/>
        <w:tabs>
          <w:tab w:val="left" w:pos="720"/>
        </w:tabs>
        <w:snapToGrid w:val="0"/>
        <w:spacing w:line="360" w:lineRule="auto"/>
        <w:ind w:left="271" w:leftChars="85" w:hanging="93" w:hangingChars="39"/>
        <w:jc w:val="left"/>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投标人未能满足投标人资格要求的；</w:t>
      </w:r>
    </w:p>
    <w:p>
      <w:pPr>
        <w:numPr>
          <w:ilvl w:val="0"/>
          <w:numId w:val="10"/>
        </w:numPr>
        <w:shd w:val="clear" w:color="auto" w:fill="FFFFFF"/>
        <w:tabs>
          <w:tab w:val="left" w:pos="720"/>
        </w:tabs>
        <w:snapToGrid w:val="0"/>
        <w:spacing w:line="360" w:lineRule="auto"/>
        <w:ind w:left="271" w:leftChars="85" w:hanging="93" w:hangingChars="39"/>
        <w:jc w:val="left"/>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投标人未提交法人授权委托书的；</w:t>
      </w:r>
    </w:p>
    <w:p>
      <w:pPr>
        <w:numPr>
          <w:ilvl w:val="0"/>
          <w:numId w:val="10"/>
        </w:numPr>
        <w:shd w:val="clear" w:color="auto" w:fill="FFFFFF"/>
        <w:tabs>
          <w:tab w:val="left" w:pos="720"/>
        </w:tabs>
        <w:snapToGrid w:val="0"/>
        <w:spacing w:line="360" w:lineRule="auto"/>
        <w:ind w:left="271" w:leftChars="85" w:hanging="93" w:hangingChars="39"/>
        <w:jc w:val="left"/>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投标人未按招标文件要求的金额提交投标保证金的；</w:t>
      </w:r>
    </w:p>
    <w:p>
      <w:pPr>
        <w:numPr>
          <w:ilvl w:val="0"/>
          <w:numId w:val="10"/>
        </w:numPr>
        <w:shd w:val="clear" w:color="auto" w:fill="FFFFFF"/>
        <w:tabs>
          <w:tab w:val="left" w:pos="720"/>
        </w:tabs>
        <w:snapToGrid w:val="0"/>
        <w:spacing w:line="360" w:lineRule="auto"/>
        <w:ind w:left="271" w:leftChars="85" w:hanging="93" w:hangingChars="39"/>
        <w:jc w:val="left"/>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投标有效期不足的；</w:t>
      </w:r>
    </w:p>
    <w:p>
      <w:pPr>
        <w:numPr>
          <w:ilvl w:val="0"/>
          <w:numId w:val="10"/>
        </w:numPr>
        <w:shd w:val="clear" w:color="auto" w:fill="FFFFFF"/>
        <w:tabs>
          <w:tab w:val="left" w:pos="720"/>
        </w:tabs>
        <w:snapToGrid w:val="0"/>
        <w:spacing w:line="360" w:lineRule="auto"/>
        <w:ind w:left="271" w:leftChars="85" w:hanging="93" w:hangingChars="39"/>
        <w:jc w:val="left"/>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交货期或工期不满要求的；</w:t>
      </w:r>
    </w:p>
    <w:p>
      <w:pPr>
        <w:numPr>
          <w:ilvl w:val="0"/>
          <w:numId w:val="10"/>
        </w:numPr>
        <w:shd w:val="clear" w:color="auto" w:fill="FFFFFF"/>
        <w:tabs>
          <w:tab w:val="left" w:pos="720"/>
        </w:tabs>
        <w:snapToGrid w:val="0"/>
        <w:spacing w:line="360" w:lineRule="auto"/>
        <w:ind w:left="271" w:leftChars="85" w:hanging="93" w:hangingChars="39"/>
        <w:jc w:val="left"/>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投标文件未按招标文件规定要求填写投标内容及签名盖章的；</w:t>
      </w:r>
    </w:p>
    <w:p>
      <w:pPr>
        <w:numPr>
          <w:ilvl w:val="0"/>
          <w:numId w:val="10"/>
        </w:numPr>
        <w:shd w:val="clear" w:color="auto" w:fill="FFFFFF"/>
        <w:tabs>
          <w:tab w:val="left" w:pos="720"/>
        </w:tabs>
        <w:snapToGrid w:val="0"/>
        <w:spacing w:line="360" w:lineRule="auto"/>
        <w:ind w:left="271" w:leftChars="85" w:hanging="93" w:hangingChars="39"/>
        <w:jc w:val="left"/>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投标价不是固定价或者投标价不是唯一的；</w:t>
      </w:r>
    </w:p>
    <w:p>
      <w:pPr>
        <w:numPr>
          <w:ilvl w:val="0"/>
          <w:numId w:val="10"/>
        </w:numPr>
        <w:shd w:val="clear" w:color="auto" w:fill="FFFFFF"/>
        <w:tabs>
          <w:tab w:val="left" w:pos="720"/>
        </w:tabs>
        <w:snapToGrid w:val="0"/>
        <w:spacing w:line="360" w:lineRule="auto"/>
        <w:ind w:left="271" w:leftChars="85" w:hanging="93" w:hangingChars="39"/>
        <w:jc w:val="left"/>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不符合招标文件规定的其它条件。</w:t>
      </w:r>
    </w:p>
    <w:p>
      <w:pPr>
        <w:shd w:val="clear" w:color="auto" w:fill="FFFFFF"/>
        <w:snapToGrid w:val="0"/>
        <w:spacing w:line="360" w:lineRule="auto"/>
        <w:ind w:firstLine="480"/>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2）判断投标文件的响应与否只根据投标文件本身，而不寻求外部证据。</w:t>
      </w:r>
    </w:p>
    <w:p>
      <w:pPr>
        <w:shd w:val="clear" w:color="auto" w:fill="FFFFFF"/>
        <w:snapToGrid w:val="0"/>
        <w:spacing w:line="360" w:lineRule="auto"/>
        <w:ind w:firstLine="480"/>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3）评标委员会在初审中，对算术错误的修正原则如下:</w:t>
      </w:r>
    </w:p>
    <w:p>
      <w:pPr>
        <w:shd w:val="clear" w:color="auto" w:fill="FFFFFF"/>
        <w:snapToGrid w:val="0"/>
        <w:spacing w:line="360" w:lineRule="auto"/>
        <w:ind w:firstLine="240" w:firstLineChars="100"/>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（1）开标一览表内容与投标文件中明细表内容不一致的，以开标一览表为准；</w:t>
      </w:r>
    </w:p>
    <w:p>
      <w:pPr>
        <w:shd w:val="clear" w:color="auto" w:fill="FFFFFF"/>
        <w:snapToGrid w:val="0"/>
        <w:spacing w:line="360" w:lineRule="auto"/>
        <w:ind w:firstLine="240" w:firstLineChars="100"/>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（2）投标文件的大写金额和小写金额不一致的，以大写金额为准；</w:t>
      </w:r>
    </w:p>
    <w:p>
      <w:pPr>
        <w:shd w:val="clear" w:color="auto" w:fill="FFFFFF"/>
        <w:snapToGrid w:val="0"/>
        <w:spacing w:line="360" w:lineRule="auto"/>
        <w:ind w:firstLine="240" w:firstLineChars="100"/>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（3）总价金额与按单价汇总金额不一致的，以单价金额计算结果为准；</w:t>
      </w:r>
    </w:p>
    <w:p>
      <w:pPr>
        <w:shd w:val="clear" w:color="auto" w:fill="FFFFFF"/>
        <w:snapToGrid w:val="0"/>
        <w:spacing w:line="360" w:lineRule="auto"/>
        <w:ind w:firstLine="240" w:firstLineChars="100"/>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（4）单价金额小数点有明显错位的，以总价为准并修改单价。</w:t>
      </w:r>
    </w:p>
    <w:p>
      <w:pPr>
        <w:shd w:val="clear" w:color="auto" w:fill="FFFFFF"/>
        <w:snapToGrid w:val="0"/>
        <w:spacing w:line="360" w:lineRule="auto"/>
        <w:ind w:firstLine="240" w:firstLineChars="100"/>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（5）若投标人不同意以上修正，投标文件将视为无效。</w:t>
      </w:r>
    </w:p>
    <w:p>
      <w:pPr>
        <w:shd w:val="clear" w:color="auto" w:fill="FFFFFF"/>
        <w:snapToGrid w:val="0"/>
        <w:spacing w:line="360" w:lineRule="auto"/>
        <w:ind w:firstLine="470" w:firstLineChars="196"/>
        <w:rPr>
          <w:rFonts w:hint="eastAsia" w:cs="Times New Roman" w:asciiTheme="minorEastAsia" w:hAnsiTheme="minorEastAsia" w:eastAsiaTheme="minorEastAsia"/>
          <w:snapToGrid w:val="0"/>
          <w:color w:val="auto"/>
          <w:kern w:val="2"/>
          <w:sz w:val="24"/>
          <w:szCs w:val="20"/>
          <w:lang w:val="zh-CN" w:eastAsia="zh-CN" w:bidi="ar-SA"/>
        </w:rPr>
      </w:pPr>
      <w:r>
        <w:rPr>
          <w:rFonts w:hint="eastAsia" w:cs="Times New Roman" w:asciiTheme="minorEastAsia" w:hAnsiTheme="minorEastAsia" w:eastAsiaTheme="minorEastAsia"/>
          <w:snapToGrid w:val="0"/>
          <w:color w:val="auto"/>
          <w:kern w:val="2"/>
          <w:sz w:val="24"/>
          <w:szCs w:val="20"/>
          <w:lang w:val="zh-CN" w:eastAsia="zh-CN" w:bidi="ar-SA"/>
        </w:rPr>
        <w:t>4)通过初步评审的投标人不足三家，则本次招标失败。</w:t>
      </w:r>
    </w:p>
    <w:p>
      <w:pPr>
        <w:shd w:val="clear" w:color="auto" w:fill="FFFFFF"/>
        <w:snapToGrid w:val="0"/>
        <w:spacing w:after="100" w:afterAutospacing="1" w:line="360" w:lineRule="auto"/>
        <w:ind w:firstLine="1680" w:firstLineChars="700"/>
        <w:rPr>
          <w:rFonts w:hint="eastAsia" w:cs="Times New Roman" w:asciiTheme="minorEastAsia" w:hAnsiTheme="minorEastAsia" w:eastAsiaTheme="minorEastAsia"/>
          <w:snapToGrid w:val="0"/>
          <w:color w:val="auto"/>
          <w:kern w:val="2"/>
          <w:sz w:val="24"/>
          <w:szCs w:val="20"/>
          <w:lang w:val="zh-CN" w:eastAsia="zh-CN" w:bidi="ar-SA"/>
        </w:rPr>
      </w:pPr>
    </w:p>
    <w:p>
      <w:pPr>
        <w:pStyle w:val="2"/>
        <w:numPr>
          <w:ilvl w:val="2"/>
          <w:numId w:val="0"/>
        </w:numPr>
        <w:rPr>
          <w:rFonts w:hint="eastAsia" w:cs="Times New Roman" w:asciiTheme="minorEastAsia" w:hAnsiTheme="minorEastAsia" w:eastAsiaTheme="minorEastAsia"/>
          <w:snapToGrid w:val="0"/>
          <w:color w:val="auto"/>
          <w:kern w:val="2"/>
          <w:sz w:val="24"/>
          <w:szCs w:val="20"/>
          <w:lang w:val="zh-CN" w:eastAsia="zh-CN" w:bidi="ar-SA"/>
        </w:rPr>
      </w:pPr>
    </w:p>
    <w:p>
      <w:pPr>
        <w:spacing w:beforeLines="50" w:afterLines="50" w:line="440" w:lineRule="exact"/>
        <w:rPr>
          <w:rFonts w:hint="eastAsia" w:cs="Times New Roman" w:asciiTheme="minorEastAsia" w:hAnsiTheme="minorEastAsia" w:eastAsiaTheme="minorEastAsia"/>
          <w:snapToGrid w:val="0"/>
          <w:color w:val="auto"/>
          <w:kern w:val="2"/>
          <w:sz w:val="24"/>
          <w:szCs w:val="20"/>
          <w:lang w:val="zh-CN" w:eastAsia="zh-CN" w:bidi="ar-SA"/>
        </w:rPr>
      </w:pPr>
    </w:p>
    <w:p>
      <w:pPr>
        <w:pStyle w:val="2"/>
        <w:numPr>
          <w:ilvl w:val="2"/>
          <w:numId w:val="0"/>
        </w:numPr>
        <w:rPr>
          <w:rFonts w:hint="eastAsia" w:cs="Times New Roman" w:asciiTheme="minorEastAsia" w:hAnsiTheme="minorEastAsia" w:eastAsiaTheme="minorEastAsia"/>
          <w:snapToGrid w:val="0"/>
          <w:color w:val="auto"/>
          <w:kern w:val="2"/>
          <w:sz w:val="24"/>
          <w:szCs w:val="20"/>
          <w:lang w:val="zh-CN" w:eastAsia="zh-CN" w:bidi="ar-SA"/>
        </w:rPr>
      </w:pPr>
    </w:p>
    <w:p>
      <w:pPr>
        <w:rPr>
          <w:rFonts w:hint="eastAsia" w:cs="Times New Roman" w:asciiTheme="minorEastAsia" w:hAnsiTheme="minorEastAsia" w:eastAsiaTheme="minorEastAsia"/>
          <w:snapToGrid w:val="0"/>
          <w:color w:val="auto"/>
          <w:kern w:val="2"/>
          <w:sz w:val="24"/>
          <w:szCs w:val="20"/>
          <w:lang w:val="zh-CN" w:eastAsia="zh-CN" w:bidi="ar-SA"/>
        </w:rPr>
      </w:pPr>
    </w:p>
    <w:p>
      <w:pPr>
        <w:rPr>
          <w:rFonts w:hint="eastAsia" w:cs="Times New Roman" w:asciiTheme="minorEastAsia" w:hAnsiTheme="minorEastAsia" w:eastAsiaTheme="minorEastAsia"/>
          <w:snapToGrid w:val="0"/>
          <w:color w:val="auto"/>
          <w:kern w:val="2"/>
          <w:sz w:val="24"/>
          <w:szCs w:val="20"/>
          <w:lang w:val="zh-CN" w:eastAsia="zh-CN" w:bidi="ar-SA"/>
        </w:rPr>
      </w:pPr>
    </w:p>
    <w:p>
      <w:pPr>
        <w:pStyle w:val="2"/>
        <w:numPr>
          <w:ilvl w:val="2"/>
          <w:numId w:val="0"/>
        </w:numPr>
        <w:rPr>
          <w:rFonts w:hint="eastAsia" w:cs="Times New Roman" w:asciiTheme="minorEastAsia" w:hAnsiTheme="minorEastAsia" w:eastAsiaTheme="minorEastAsia"/>
          <w:snapToGrid w:val="0"/>
          <w:color w:val="auto"/>
          <w:kern w:val="2"/>
          <w:sz w:val="24"/>
          <w:szCs w:val="20"/>
          <w:lang w:val="zh-CN" w:eastAsia="zh-CN" w:bidi="ar-SA"/>
        </w:rPr>
      </w:pPr>
    </w:p>
    <w:p>
      <w:pPr>
        <w:rPr>
          <w:rFonts w:hint="eastAsia" w:cs="Times New Roman" w:asciiTheme="minorEastAsia" w:hAnsiTheme="minorEastAsia" w:eastAsiaTheme="minorEastAsia"/>
          <w:snapToGrid w:val="0"/>
          <w:color w:val="auto"/>
          <w:kern w:val="2"/>
          <w:sz w:val="24"/>
          <w:szCs w:val="20"/>
          <w:lang w:val="zh-CN" w:eastAsia="zh-CN" w:bidi="ar-SA"/>
        </w:rPr>
      </w:pPr>
    </w:p>
    <w:p>
      <w:pPr>
        <w:spacing w:beforeLines="50" w:afterLines="50" w:line="440" w:lineRule="exact"/>
        <w:rPr>
          <w:rFonts w:hint="eastAsia" w:cs="Times New Roman" w:asciiTheme="minorEastAsia" w:hAnsiTheme="minorEastAsia" w:eastAsiaTheme="minorEastAsia"/>
          <w:snapToGrid w:val="0"/>
          <w:color w:val="auto"/>
          <w:kern w:val="2"/>
          <w:sz w:val="24"/>
          <w:szCs w:val="20"/>
          <w:lang w:val="zh-CN" w:eastAsia="zh-CN" w:bidi="ar-SA"/>
        </w:rPr>
      </w:pPr>
    </w:p>
    <w:p>
      <w:pPr>
        <w:spacing w:beforeLines="50" w:afterLines="50" w:line="440" w:lineRule="exact"/>
        <w:rPr>
          <w:rFonts w:ascii="宋体" w:hAnsi="宋体" w:cs="宋体"/>
          <w:color w:val="auto"/>
          <w:sz w:val="24"/>
          <w:lang w:val="en-GB"/>
        </w:rPr>
      </w:pPr>
      <w:r>
        <w:rPr>
          <w:rFonts w:hint="eastAsia" w:ascii="宋体" w:hAnsi="宋体" w:cs="宋体"/>
          <w:b/>
          <w:color w:val="auto"/>
          <w:sz w:val="24"/>
        </w:rPr>
        <w:t>（附表1）</w:t>
      </w:r>
    </w:p>
    <w:p>
      <w:pPr>
        <w:spacing w:beforeLines="50" w:afterLines="50" w:line="440" w:lineRule="exact"/>
        <w:jc w:val="center"/>
        <w:rPr>
          <w:rFonts w:ascii="宋体" w:hAnsi="宋体" w:cs="宋体"/>
          <w:b/>
          <w:bCs/>
          <w:color w:val="auto"/>
          <w:sz w:val="36"/>
          <w:szCs w:val="36"/>
          <w:lang w:val="en-GB"/>
        </w:rPr>
      </w:pPr>
      <w:r>
        <w:rPr>
          <w:rFonts w:hint="eastAsia" w:ascii="宋体" w:hAnsi="宋体" w:cs="宋体"/>
          <w:b/>
          <w:bCs/>
          <w:color w:val="auto"/>
          <w:sz w:val="36"/>
          <w:szCs w:val="36"/>
          <w:lang w:val="en-GB"/>
        </w:rPr>
        <w:t>资格性审查表</w:t>
      </w:r>
    </w:p>
    <w:p>
      <w:pPr>
        <w:spacing w:beforeLines="50" w:afterLines="100" w:line="440" w:lineRule="exact"/>
        <w:rPr>
          <w:rFonts w:ascii="宋体" w:hAnsi="宋体" w:cs="宋体"/>
          <w:b/>
          <w:color w:val="auto"/>
          <w:sz w:val="24"/>
        </w:rPr>
      </w:pPr>
      <w:r>
        <w:rPr>
          <w:rFonts w:hint="eastAsia" w:ascii="宋体" w:hAnsi="宋体" w:cs="宋体"/>
          <w:b/>
          <w:color w:val="auto"/>
          <w:sz w:val="24"/>
        </w:rPr>
        <w:t xml:space="preserve">项目名称：海口市房地楼幢测绘及编制不动产单元编码项目                 </w:t>
      </w:r>
    </w:p>
    <w:p>
      <w:pPr>
        <w:spacing w:beforeLines="50" w:afterLines="100" w:line="440" w:lineRule="exact"/>
        <w:rPr>
          <w:rFonts w:hint="eastAsia" w:ascii="宋体" w:hAnsi="宋体" w:eastAsia="宋体" w:cs="宋体"/>
          <w:b/>
          <w:color w:val="auto"/>
          <w:sz w:val="24"/>
          <w:lang w:eastAsia="zh-CN"/>
        </w:rPr>
      </w:pPr>
      <w:r>
        <w:rPr>
          <w:rFonts w:hint="eastAsia" w:ascii="宋体" w:hAnsi="宋体" w:cs="宋体"/>
          <w:b/>
          <w:color w:val="auto"/>
          <w:sz w:val="24"/>
        </w:rPr>
        <w:t>项目编号：</w:t>
      </w:r>
      <w:r>
        <w:rPr>
          <w:rFonts w:hint="eastAsia" w:ascii="宋体" w:hAnsi="宋体" w:cs="宋体"/>
          <w:b/>
          <w:color w:val="auto"/>
          <w:sz w:val="24"/>
          <w:lang w:eastAsia="zh-CN"/>
        </w:rPr>
        <w:t>ZLHX2019-008</w:t>
      </w:r>
    </w:p>
    <w:tbl>
      <w:tblPr>
        <w:tblStyle w:val="65"/>
        <w:tblW w:w="10388" w:type="dxa"/>
        <w:tblInd w:w="-36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0"/>
        <w:gridCol w:w="1476"/>
        <w:gridCol w:w="4875"/>
        <w:gridCol w:w="1075"/>
        <w:gridCol w:w="1125"/>
        <w:gridCol w:w="10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5" w:hRule="atLeast"/>
        </w:trPr>
        <w:tc>
          <w:tcPr>
            <w:tcW w:w="750"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序号</w:t>
            </w:r>
          </w:p>
        </w:tc>
        <w:tc>
          <w:tcPr>
            <w:tcW w:w="1476"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审查项目</w:t>
            </w:r>
          </w:p>
        </w:tc>
        <w:tc>
          <w:tcPr>
            <w:tcW w:w="4875"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评议内容（无效投标认定条件）</w:t>
            </w:r>
          </w:p>
        </w:tc>
        <w:tc>
          <w:tcPr>
            <w:tcW w:w="1075"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投标人1</w:t>
            </w:r>
          </w:p>
        </w:tc>
        <w:tc>
          <w:tcPr>
            <w:tcW w:w="1125"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投标人2</w:t>
            </w:r>
          </w:p>
        </w:tc>
        <w:tc>
          <w:tcPr>
            <w:tcW w:w="1087"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投标人3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7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b/>
                <w:bCs/>
                <w:color w:val="auto"/>
                <w:sz w:val="24"/>
              </w:rPr>
            </w:pPr>
            <w:r>
              <w:rPr>
                <w:rFonts w:hint="eastAsia" w:ascii="宋体" w:hAnsi="宋体"/>
                <w:b/>
                <w:bCs/>
                <w:color w:val="auto"/>
                <w:sz w:val="24"/>
              </w:rPr>
              <w:t>1</w:t>
            </w:r>
          </w:p>
        </w:tc>
        <w:tc>
          <w:tcPr>
            <w:tcW w:w="1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30" w:afterLines="30" w:line="360" w:lineRule="exact"/>
              <w:jc w:val="center"/>
              <w:textAlignment w:val="auto"/>
              <w:rPr>
                <w:rFonts w:ascii="宋体" w:hAnsi="宋体"/>
                <w:color w:val="auto"/>
                <w:sz w:val="24"/>
              </w:rPr>
            </w:pPr>
            <w:r>
              <w:rPr>
                <w:rFonts w:hint="eastAsia" w:ascii="宋体" w:hAnsi="宋体"/>
                <w:color w:val="auto"/>
                <w:sz w:val="24"/>
              </w:rPr>
              <w:t>营业执照</w:t>
            </w:r>
          </w:p>
        </w:tc>
        <w:tc>
          <w:tcPr>
            <w:tcW w:w="4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ind w:firstLine="240" w:firstLineChars="100"/>
              <w:textAlignment w:val="auto"/>
              <w:rPr>
                <w:rFonts w:ascii="宋体" w:hAnsi="宋体"/>
                <w:color w:val="auto"/>
                <w:sz w:val="24"/>
              </w:rPr>
            </w:pPr>
            <w:r>
              <w:rPr>
                <w:rFonts w:hint="eastAsia" w:ascii="宋体" w:hAnsi="宋体"/>
                <w:color w:val="auto"/>
                <w:sz w:val="24"/>
              </w:rPr>
              <w:t>投标人具有独立承担民事责任能力的在中华人民共和国境内注册的法人，须提供加载“统一社会信用代码”的有效营业执照（复印件加盖公章），具有独立订立合同的权利和履行合同的能力；</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087"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7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b/>
                <w:bCs/>
                <w:color w:val="auto"/>
                <w:sz w:val="24"/>
              </w:rPr>
            </w:pPr>
            <w:r>
              <w:rPr>
                <w:rFonts w:hint="eastAsia" w:ascii="宋体" w:hAnsi="宋体"/>
                <w:b/>
                <w:bCs/>
                <w:color w:val="auto"/>
                <w:sz w:val="24"/>
              </w:rPr>
              <w:t>2</w:t>
            </w:r>
          </w:p>
        </w:tc>
        <w:tc>
          <w:tcPr>
            <w:tcW w:w="1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30" w:afterLines="30" w:line="360" w:lineRule="exact"/>
              <w:jc w:val="center"/>
              <w:textAlignment w:val="auto"/>
              <w:rPr>
                <w:rFonts w:ascii="宋体" w:hAnsi="宋体"/>
                <w:color w:val="auto"/>
                <w:sz w:val="24"/>
              </w:rPr>
            </w:pPr>
            <w:r>
              <w:rPr>
                <w:rFonts w:hint="eastAsia" w:ascii="宋体" w:hAnsi="宋体"/>
                <w:color w:val="auto"/>
                <w:sz w:val="24"/>
              </w:rPr>
              <w:t>良好的商业信誉和健全的财务会计制度</w:t>
            </w:r>
          </w:p>
        </w:tc>
        <w:tc>
          <w:tcPr>
            <w:tcW w:w="4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ind w:firstLine="240" w:firstLineChars="100"/>
              <w:textAlignment w:val="auto"/>
              <w:rPr>
                <w:rFonts w:ascii="宋体" w:hAnsi="宋体"/>
                <w:color w:val="auto"/>
                <w:sz w:val="24"/>
              </w:rPr>
            </w:pPr>
            <w:r>
              <w:rPr>
                <w:rFonts w:hint="eastAsia" w:ascii="宋体" w:hAnsi="宋体"/>
                <w:color w:val="auto"/>
                <w:sz w:val="24"/>
              </w:rPr>
              <w:t>具有良好的商业信誉和健全的财务会计制度【须提供2016年度或2017年度财务报告；新注册公司须提供注册时间起至今每月或每季度的财务报表（须含资产负债表、利润表）；】</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087"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7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hint="eastAsia" w:ascii="宋体" w:hAnsi="宋体" w:eastAsia="宋体"/>
                <w:b/>
                <w:bCs/>
                <w:color w:val="auto"/>
                <w:sz w:val="24"/>
                <w:lang w:val="en-US" w:eastAsia="zh-CN"/>
              </w:rPr>
            </w:pPr>
            <w:r>
              <w:rPr>
                <w:rFonts w:hint="eastAsia" w:ascii="宋体" w:hAnsi="宋体"/>
                <w:b/>
                <w:bCs/>
                <w:color w:val="auto"/>
                <w:sz w:val="24"/>
                <w:lang w:val="en-US" w:eastAsia="zh-CN"/>
              </w:rPr>
              <w:t>3</w:t>
            </w:r>
          </w:p>
        </w:tc>
        <w:tc>
          <w:tcPr>
            <w:tcW w:w="1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30" w:afterLines="30" w:line="360" w:lineRule="exact"/>
              <w:jc w:val="center"/>
              <w:textAlignment w:val="auto"/>
              <w:rPr>
                <w:rFonts w:hint="eastAsia" w:ascii="宋体" w:hAnsi="宋体"/>
                <w:color w:val="auto"/>
                <w:sz w:val="24"/>
              </w:rPr>
            </w:pPr>
            <w:r>
              <w:rPr>
                <w:rFonts w:hint="eastAsia"/>
                <w:color w:val="auto"/>
                <w:sz w:val="22"/>
                <w:szCs w:val="22"/>
              </w:rPr>
              <w:t>依法缴纳税收</w:t>
            </w:r>
          </w:p>
        </w:tc>
        <w:tc>
          <w:tcPr>
            <w:tcW w:w="4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315"/>
              </w:tabs>
              <w:kinsoku/>
              <w:wordWrap/>
              <w:overflowPunct/>
              <w:topLinePunct w:val="0"/>
              <w:autoSpaceDE/>
              <w:autoSpaceDN/>
              <w:bidi w:val="0"/>
              <w:adjustRightInd/>
              <w:snapToGrid/>
              <w:spacing w:line="360" w:lineRule="exact"/>
              <w:ind w:firstLine="440" w:firstLineChars="200"/>
              <w:textAlignment w:val="auto"/>
              <w:rPr>
                <w:rFonts w:hint="eastAsia" w:ascii="宋体" w:hAnsi="宋体"/>
                <w:color w:val="auto"/>
                <w:sz w:val="24"/>
              </w:rPr>
            </w:pPr>
            <w:r>
              <w:rPr>
                <w:rFonts w:hint="eastAsia"/>
                <w:color w:val="auto"/>
                <w:sz w:val="22"/>
                <w:szCs w:val="22"/>
              </w:rPr>
              <w:t>投标人应具有依法缴纳税收的良好记录 (需提供2017-2018年两年的企业纳税凭证)。</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hint="eastAsia" w:ascii="宋体" w:hAnsi="宋体"/>
                <w:color w:val="auto"/>
                <w:sz w:val="24"/>
              </w:rPr>
            </w:pP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hint="eastAsia" w:ascii="宋体" w:hAnsi="宋体"/>
                <w:color w:val="auto"/>
                <w:sz w:val="24"/>
              </w:rPr>
            </w:pPr>
          </w:p>
        </w:tc>
        <w:tc>
          <w:tcPr>
            <w:tcW w:w="1087"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70" w:hRule="atLeast"/>
        </w:trPr>
        <w:tc>
          <w:tcPr>
            <w:tcW w:w="7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hint="eastAsia" w:ascii="宋体" w:hAnsi="宋体" w:eastAsia="宋体"/>
                <w:b/>
                <w:bCs/>
                <w:color w:val="auto"/>
                <w:sz w:val="24"/>
                <w:lang w:eastAsia="zh-CN"/>
              </w:rPr>
            </w:pPr>
            <w:r>
              <w:rPr>
                <w:rFonts w:hint="eastAsia" w:ascii="宋体" w:hAnsi="宋体"/>
                <w:b/>
                <w:bCs/>
                <w:color w:val="auto"/>
                <w:sz w:val="24"/>
                <w:lang w:val="en-US" w:eastAsia="zh-CN"/>
              </w:rPr>
              <w:t>4</w:t>
            </w:r>
          </w:p>
        </w:tc>
        <w:tc>
          <w:tcPr>
            <w:tcW w:w="1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30" w:afterLines="30" w:line="360" w:lineRule="exact"/>
              <w:jc w:val="center"/>
              <w:textAlignment w:val="auto"/>
              <w:rPr>
                <w:rFonts w:ascii="宋体" w:hAnsi="宋体"/>
                <w:color w:val="auto"/>
                <w:sz w:val="24"/>
              </w:rPr>
            </w:pPr>
            <w:r>
              <w:rPr>
                <w:rFonts w:hint="eastAsia" w:ascii="宋体" w:hAnsi="宋体"/>
                <w:color w:val="auto"/>
                <w:sz w:val="24"/>
              </w:rPr>
              <w:t>依法缴纳社会保障资金的良好记录</w:t>
            </w:r>
          </w:p>
        </w:tc>
        <w:tc>
          <w:tcPr>
            <w:tcW w:w="4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30" w:afterLines="30" w:line="360" w:lineRule="exact"/>
              <w:ind w:firstLine="220" w:firstLineChars="100"/>
              <w:textAlignment w:val="auto"/>
              <w:rPr>
                <w:rFonts w:ascii="宋体" w:hAnsi="宋体"/>
                <w:color w:val="auto"/>
                <w:sz w:val="24"/>
              </w:rPr>
            </w:pPr>
            <w:r>
              <w:rPr>
                <w:rFonts w:hint="eastAsia"/>
                <w:color w:val="auto"/>
                <w:sz w:val="22"/>
                <w:szCs w:val="22"/>
              </w:rPr>
              <w:t>投标人应具有社会保障资金的良好记录（需提供2018年连续三个月依法缴纳社会保障资金的凭证）</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087"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61" w:hRule="atLeast"/>
        </w:trPr>
        <w:tc>
          <w:tcPr>
            <w:tcW w:w="7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hint="eastAsia" w:ascii="宋体" w:hAnsi="宋体" w:eastAsia="宋体"/>
                <w:b/>
                <w:bCs/>
                <w:color w:val="auto"/>
                <w:sz w:val="24"/>
                <w:lang w:eastAsia="zh-CN"/>
              </w:rPr>
            </w:pPr>
            <w:r>
              <w:rPr>
                <w:rFonts w:hint="eastAsia" w:ascii="宋体" w:hAnsi="宋体"/>
                <w:b/>
                <w:bCs/>
                <w:color w:val="auto"/>
                <w:sz w:val="24"/>
                <w:lang w:val="en-US" w:eastAsia="zh-CN"/>
              </w:rPr>
              <w:t>5</w:t>
            </w:r>
          </w:p>
        </w:tc>
        <w:tc>
          <w:tcPr>
            <w:tcW w:w="1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30" w:afterLines="30" w:line="360" w:lineRule="exact"/>
              <w:jc w:val="center"/>
              <w:textAlignment w:val="auto"/>
              <w:rPr>
                <w:rFonts w:ascii="宋体" w:hAnsi="宋体"/>
                <w:color w:val="auto"/>
                <w:sz w:val="24"/>
              </w:rPr>
            </w:pPr>
            <w:r>
              <w:rPr>
                <w:rFonts w:hint="eastAsia" w:ascii="宋体" w:hAnsi="宋体"/>
                <w:color w:val="auto"/>
                <w:sz w:val="24"/>
              </w:rPr>
              <w:t>信用记录声明</w:t>
            </w:r>
          </w:p>
        </w:tc>
        <w:tc>
          <w:tcPr>
            <w:tcW w:w="4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ind w:firstLine="240" w:firstLineChars="100"/>
              <w:textAlignment w:val="auto"/>
              <w:rPr>
                <w:rFonts w:ascii="宋体" w:hAnsi="宋体"/>
                <w:color w:val="auto"/>
                <w:sz w:val="24"/>
              </w:rPr>
            </w:pPr>
            <w:r>
              <w:rPr>
                <w:rFonts w:hint="eastAsia" w:ascii="宋体" w:hAnsi="宋体"/>
                <w:color w:val="auto"/>
                <w:sz w:val="24"/>
              </w:rPr>
              <w:t>投标人必须为未被列入信用中国网站(www.creditchina.gov.cn)的“失信被执行人”、“重大税收违法案件当事人名单”、“政府采购严重违法失信名单”和中国政府采购网(www.ccgp.gov.cn) 的“政府采购严重违法失信行为记录名单”的供应商（提供开标时间前7天内的查询结果网页截图并加盖单位公章）；</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087"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trPr>
        <w:tc>
          <w:tcPr>
            <w:tcW w:w="7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hint="eastAsia" w:ascii="宋体" w:hAnsi="宋体" w:eastAsia="宋体"/>
                <w:b/>
                <w:bCs/>
                <w:color w:val="auto"/>
                <w:sz w:val="24"/>
                <w:lang w:eastAsia="zh-CN"/>
              </w:rPr>
            </w:pPr>
            <w:r>
              <w:rPr>
                <w:rFonts w:hint="eastAsia" w:ascii="宋体" w:hAnsi="宋体"/>
                <w:b/>
                <w:bCs/>
                <w:color w:val="auto"/>
                <w:sz w:val="24"/>
                <w:lang w:val="en-US" w:eastAsia="zh-CN"/>
              </w:rPr>
              <w:t>6</w:t>
            </w:r>
          </w:p>
        </w:tc>
        <w:tc>
          <w:tcPr>
            <w:tcW w:w="1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30" w:afterLines="30" w:line="360" w:lineRule="exact"/>
              <w:jc w:val="center"/>
              <w:textAlignment w:val="auto"/>
              <w:rPr>
                <w:rFonts w:ascii="宋体" w:hAnsi="宋体"/>
                <w:color w:val="auto"/>
                <w:sz w:val="24"/>
              </w:rPr>
            </w:pPr>
            <w:r>
              <w:rPr>
                <w:rFonts w:hint="eastAsia" w:ascii="宋体" w:hAnsi="宋体"/>
                <w:color w:val="auto"/>
                <w:sz w:val="24"/>
              </w:rPr>
              <w:t>资质要求</w:t>
            </w:r>
          </w:p>
        </w:tc>
        <w:tc>
          <w:tcPr>
            <w:tcW w:w="4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30" w:afterLines="30" w:line="360" w:lineRule="exact"/>
              <w:ind w:firstLine="220" w:firstLineChars="100"/>
              <w:textAlignment w:val="auto"/>
              <w:rPr>
                <w:rFonts w:ascii="宋体" w:hAnsi="宋体"/>
                <w:color w:val="auto"/>
                <w:sz w:val="24"/>
              </w:rPr>
            </w:pPr>
            <w:r>
              <w:rPr>
                <w:rFonts w:hint="eastAsia"/>
                <w:color w:val="auto"/>
                <w:sz w:val="22"/>
                <w:szCs w:val="22"/>
              </w:rPr>
              <w:t>1包—4包投标人应同时具有行政主管部门颁发的不动产测绘(须包含地籍测绘)及工程测量专业甲级测绘资质；5包投标人应同时具有行政主管部门颁发的测绘航空摄影、摄影测量与遥感专业甲级测绘资质；</w:t>
            </w:r>
            <w:r>
              <w:rPr>
                <w:color w:val="auto"/>
                <w:sz w:val="22"/>
                <w:szCs w:val="22"/>
              </w:rPr>
              <w:t>6</w:t>
            </w:r>
            <w:r>
              <w:rPr>
                <w:rFonts w:hint="eastAsia"/>
                <w:color w:val="auto"/>
                <w:sz w:val="22"/>
                <w:szCs w:val="22"/>
              </w:rPr>
              <w:t>包投标人应具有ISO9001质量管理体系认证资质（近三年内具有地理信息系统的开发成果案例）；7包投标人应同时具有行政主管部门颁发的不动产测绘、工程测量、摄影测量与遥感、地理信息系统工程专业甲级测绘资质。提供资质证书复印件并加盖公章，原件现场核查。</w:t>
            </w:r>
            <w:r>
              <w:rPr>
                <w:rFonts w:hint="eastAsia" w:ascii="宋体" w:hAnsi="宋体"/>
                <w:color w:val="auto"/>
                <w:sz w:val="24"/>
              </w:rPr>
              <w:t>；</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087"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6" w:hRule="atLeast"/>
        </w:trPr>
        <w:tc>
          <w:tcPr>
            <w:tcW w:w="7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hint="eastAsia" w:ascii="宋体" w:hAnsi="宋体" w:eastAsia="宋体"/>
                <w:b/>
                <w:bCs/>
                <w:color w:val="auto"/>
                <w:sz w:val="24"/>
                <w:lang w:eastAsia="zh-CN"/>
              </w:rPr>
            </w:pPr>
            <w:bookmarkStart w:id="155" w:name="_GoBack" w:colFirst="1" w:colLast="1"/>
            <w:r>
              <w:rPr>
                <w:rFonts w:hint="eastAsia" w:ascii="宋体" w:hAnsi="宋体"/>
                <w:b/>
                <w:bCs/>
                <w:color w:val="auto"/>
                <w:sz w:val="24"/>
                <w:lang w:val="en-US" w:eastAsia="zh-CN"/>
              </w:rPr>
              <w:t>7</w:t>
            </w:r>
          </w:p>
        </w:tc>
        <w:tc>
          <w:tcPr>
            <w:tcW w:w="1476"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color w:val="auto"/>
                <w:sz w:val="24"/>
              </w:rPr>
            </w:pPr>
            <w:r>
              <w:rPr>
                <w:rFonts w:hint="eastAsia" w:ascii="宋体" w:hAnsi="宋体"/>
                <w:color w:val="auto"/>
                <w:sz w:val="24"/>
              </w:rPr>
              <w:t>..........</w:t>
            </w:r>
          </w:p>
        </w:tc>
        <w:tc>
          <w:tcPr>
            <w:tcW w:w="4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30" w:afterLines="30" w:line="360" w:lineRule="exact"/>
              <w:textAlignment w:val="auto"/>
              <w:rPr>
                <w:rFonts w:ascii="宋体" w:hAnsi="宋体"/>
                <w:color w:val="auto"/>
                <w:sz w:val="24"/>
              </w:rPr>
            </w:pPr>
            <w:r>
              <w:rPr>
                <w:rFonts w:hint="eastAsia" w:ascii="宋体" w:hAnsi="宋体"/>
                <w:color w:val="auto"/>
                <w:sz w:val="24"/>
              </w:rPr>
              <w:t>.................</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p>
        </w:tc>
        <w:tc>
          <w:tcPr>
            <w:tcW w:w="1087"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p>
        </w:tc>
      </w:tr>
      <w:bookmarkEnd w:id="155"/>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7101" w:type="dxa"/>
            <w:gridSpan w:val="3"/>
            <w:tcBorders>
              <w:top w:val="single" w:color="auto" w:sz="4" w:space="0"/>
              <w:left w:val="single" w:color="auto" w:sz="4" w:space="0"/>
              <w:bottom w:val="single" w:color="auto" w:sz="4" w:space="0"/>
              <w:right w:val="single" w:color="auto" w:sz="4" w:space="0"/>
            </w:tcBorders>
            <w:vAlign w:val="center"/>
          </w:tcPr>
          <w:p>
            <w:pPr>
              <w:widowControl/>
              <w:spacing w:beforeLines="50" w:afterLines="50" w:line="440" w:lineRule="exact"/>
              <w:jc w:val="center"/>
              <w:rPr>
                <w:rFonts w:ascii="宋体" w:hAnsi="宋体"/>
                <w:color w:val="auto"/>
                <w:sz w:val="24"/>
              </w:rPr>
            </w:pPr>
            <w:r>
              <w:rPr>
                <w:rFonts w:hint="eastAsia" w:ascii="宋体" w:hAnsi="宋体"/>
                <w:b/>
                <w:bCs/>
                <w:color w:val="auto"/>
                <w:sz w:val="24"/>
              </w:rPr>
              <w:t>结    论</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beforeLines="50" w:afterLines="50" w:line="440" w:lineRule="exact"/>
              <w:rPr>
                <w:rFonts w:ascii="宋体" w:hAnsi="宋体"/>
                <w:color w:val="auto"/>
                <w:sz w:val="24"/>
              </w:rPr>
            </w:pPr>
            <w:r>
              <w:rPr>
                <w:rFonts w:hint="eastAsia" w:ascii="宋体" w:hAnsi="宋体"/>
                <w:color w:val="auto"/>
                <w:sz w:val="24"/>
              </w:rPr>
              <w:t> </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beforeLines="50" w:afterLines="50" w:line="440" w:lineRule="exact"/>
              <w:rPr>
                <w:rFonts w:ascii="宋体" w:hAnsi="宋体"/>
                <w:color w:val="auto"/>
                <w:sz w:val="24"/>
              </w:rPr>
            </w:pPr>
            <w:r>
              <w:rPr>
                <w:rFonts w:hint="eastAsia" w:ascii="宋体" w:hAnsi="宋体"/>
                <w:color w:val="auto"/>
                <w:sz w:val="24"/>
              </w:rPr>
              <w:t> </w:t>
            </w:r>
          </w:p>
        </w:tc>
        <w:tc>
          <w:tcPr>
            <w:tcW w:w="1087" w:type="dxa"/>
            <w:tcBorders>
              <w:top w:val="single" w:color="auto" w:sz="4" w:space="0"/>
              <w:left w:val="single" w:color="auto" w:sz="4" w:space="0"/>
              <w:bottom w:val="single" w:color="auto" w:sz="4" w:space="0"/>
              <w:right w:val="single" w:color="auto" w:sz="4" w:space="0"/>
            </w:tcBorders>
            <w:vAlign w:val="center"/>
          </w:tcPr>
          <w:p>
            <w:pPr>
              <w:widowControl/>
              <w:spacing w:beforeLines="50" w:afterLines="50" w:line="440" w:lineRule="exact"/>
              <w:rPr>
                <w:rFonts w:ascii="宋体" w:hAnsi="宋体"/>
                <w:color w:val="auto"/>
                <w:sz w:val="24"/>
              </w:rPr>
            </w:pPr>
            <w:r>
              <w:rPr>
                <w:rFonts w:hint="eastAsia" w:ascii="宋体" w:hAnsi="宋体"/>
                <w:color w:val="auto"/>
                <w:sz w:val="24"/>
              </w:rPr>
              <w:t> </w:t>
            </w:r>
          </w:p>
        </w:tc>
      </w:tr>
    </w:tbl>
    <w:p>
      <w:pPr>
        <w:spacing w:beforeLines="50" w:afterLines="50" w:line="440" w:lineRule="exact"/>
        <w:rPr>
          <w:rFonts w:ascii="宋体" w:hAnsi="宋体" w:cs="宋体"/>
          <w:b/>
          <w:bCs/>
          <w:color w:val="auto"/>
          <w:sz w:val="24"/>
        </w:rPr>
      </w:pPr>
      <w:r>
        <w:rPr>
          <w:rFonts w:hint="eastAsia" w:ascii="宋体" w:hAnsi="宋体" w:cs="宋体"/>
          <w:b/>
          <w:bCs/>
          <w:color w:val="auto"/>
          <w:sz w:val="24"/>
        </w:rPr>
        <w:t>注：</w:t>
      </w:r>
    </w:p>
    <w:p>
      <w:pPr>
        <w:spacing w:line="440" w:lineRule="exact"/>
        <w:ind w:firstLine="480" w:firstLineChars="200"/>
        <w:rPr>
          <w:rFonts w:ascii="宋体" w:hAnsi="宋体" w:cs="宋体"/>
          <w:color w:val="auto"/>
          <w:sz w:val="24"/>
        </w:rPr>
      </w:pPr>
      <w:r>
        <w:rPr>
          <w:rFonts w:hint="eastAsia" w:ascii="宋体" w:hAnsi="宋体" w:cs="宋体"/>
          <w:color w:val="auto"/>
          <w:sz w:val="24"/>
        </w:rPr>
        <w:t>1、表中只需填写“√”通过或“×”不通过；</w:t>
      </w:r>
    </w:p>
    <w:p>
      <w:pPr>
        <w:spacing w:line="440" w:lineRule="exact"/>
        <w:ind w:firstLine="480" w:firstLineChars="200"/>
        <w:rPr>
          <w:rFonts w:ascii="宋体" w:hAnsi="宋体" w:cs="宋体"/>
          <w:color w:val="auto"/>
          <w:sz w:val="24"/>
        </w:rPr>
      </w:pPr>
      <w:r>
        <w:rPr>
          <w:rFonts w:hint="eastAsia" w:ascii="宋体" w:hAnsi="宋体" w:cs="宋体"/>
          <w:color w:val="auto"/>
          <w:sz w:val="24"/>
        </w:rPr>
        <w:t>2、在结论中按“一项否决”的原则，只有全部是“√”通过的，填写“合格”；只要其中有一项是“×”不通过的，填写“不合格”；</w:t>
      </w:r>
    </w:p>
    <w:p>
      <w:pPr>
        <w:spacing w:line="440" w:lineRule="exact"/>
        <w:ind w:firstLine="480" w:firstLineChars="200"/>
        <w:rPr>
          <w:rFonts w:ascii="宋体" w:hAnsi="宋体" w:cs="宋体"/>
          <w:color w:val="auto"/>
          <w:sz w:val="24"/>
        </w:rPr>
      </w:pPr>
      <w:r>
        <w:rPr>
          <w:rFonts w:hint="eastAsia" w:ascii="宋体" w:hAnsi="宋体" w:cs="宋体"/>
          <w:color w:val="auto"/>
          <w:sz w:val="24"/>
        </w:rPr>
        <w:t>3、结论是合格的，才能进入下一轮，不合格的被淘汰。</w:t>
      </w:r>
    </w:p>
    <w:p>
      <w:pPr>
        <w:spacing w:beforeLines="50" w:afterLines="50" w:line="440" w:lineRule="exact"/>
        <w:rPr>
          <w:rFonts w:ascii="宋体" w:hAnsi="宋体" w:cs="宋体"/>
          <w:b/>
          <w:color w:val="auto"/>
          <w:sz w:val="24"/>
        </w:rPr>
      </w:pPr>
    </w:p>
    <w:p>
      <w:pPr>
        <w:spacing w:beforeLines="50" w:afterLines="50" w:line="600" w:lineRule="exact"/>
        <w:rPr>
          <w:color w:val="auto"/>
          <w:sz w:val="28"/>
          <w:szCs w:val="28"/>
        </w:rPr>
      </w:pPr>
      <w:r>
        <w:rPr>
          <w:rFonts w:hint="eastAsia" w:ascii="宋体" w:hAnsi="宋体" w:cs="宋体"/>
          <w:b/>
          <w:color w:val="auto"/>
          <w:sz w:val="28"/>
          <w:szCs w:val="28"/>
        </w:rPr>
        <w:t>采 购 人：</w:t>
      </w:r>
    </w:p>
    <w:p>
      <w:pPr>
        <w:tabs>
          <w:tab w:val="left" w:pos="1823"/>
        </w:tabs>
        <w:spacing w:beforeLines="50" w:afterLines="50" w:line="600" w:lineRule="exact"/>
        <w:rPr>
          <w:rFonts w:ascii="宋体" w:hAnsi="宋体" w:cs="宋体"/>
          <w:b/>
          <w:color w:val="auto"/>
          <w:sz w:val="24"/>
        </w:rPr>
      </w:pPr>
      <w:r>
        <w:rPr>
          <w:rFonts w:hint="eastAsia" w:ascii="宋体" w:hAnsi="宋体" w:cs="宋体"/>
          <w:b/>
          <w:color w:val="auto"/>
          <w:sz w:val="28"/>
          <w:szCs w:val="28"/>
        </w:rPr>
        <w:t>日    期</w:t>
      </w:r>
      <w:r>
        <w:rPr>
          <w:rFonts w:hint="eastAsia" w:ascii="宋体" w:hAnsi="宋体" w:cs="宋体"/>
          <w:b/>
          <w:color w:val="auto"/>
          <w:sz w:val="30"/>
          <w:szCs w:val="30"/>
        </w:rPr>
        <w:t>：</w:t>
      </w:r>
    </w:p>
    <w:p>
      <w:pPr>
        <w:spacing w:beforeLines="50" w:afterLines="50" w:line="440" w:lineRule="exact"/>
        <w:rPr>
          <w:rFonts w:ascii="宋体" w:hAnsi="宋体" w:cs="宋体"/>
          <w:b/>
          <w:color w:val="auto"/>
          <w:sz w:val="24"/>
        </w:rPr>
      </w:pPr>
    </w:p>
    <w:p>
      <w:pPr>
        <w:spacing w:beforeLines="50" w:afterLines="50" w:line="440" w:lineRule="exact"/>
        <w:rPr>
          <w:rFonts w:ascii="宋体" w:hAnsi="宋体" w:cs="宋体"/>
          <w:b/>
          <w:color w:val="auto"/>
          <w:sz w:val="24"/>
        </w:rPr>
      </w:pPr>
    </w:p>
    <w:p>
      <w:pPr>
        <w:spacing w:beforeLines="50" w:afterLines="50" w:line="440" w:lineRule="exact"/>
        <w:rPr>
          <w:rFonts w:ascii="宋体" w:hAnsi="宋体" w:cs="宋体"/>
          <w:b/>
          <w:color w:val="auto"/>
          <w:sz w:val="24"/>
        </w:rPr>
      </w:pPr>
    </w:p>
    <w:p>
      <w:pPr>
        <w:spacing w:beforeLines="50" w:afterLines="50" w:line="440" w:lineRule="exact"/>
        <w:rPr>
          <w:rFonts w:ascii="宋体" w:hAnsi="宋体" w:cs="宋体"/>
          <w:b/>
          <w:color w:val="auto"/>
          <w:sz w:val="24"/>
        </w:rPr>
      </w:pPr>
    </w:p>
    <w:p>
      <w:pPr>
        <w:spacing w:beforeLines="50" w:afterLines="50" w:line="440" w:lineRule="exact"/>
        <w:rPr>
          <w:rFonts w:ascii="宋体" w:hAnsi="宋体" w:cs="宋体"/>
          <w:b/>
          <w:color w:val="auto"/>
          <w:sz w:val="24"/>
        </w:rPr>
      </w:pPr>
    </w:p>
    <w:p>
      <w:pPr>
        <w:spacing w:beforeLines="50" w:afterLines="50" w:line="440" w:lineRule="exact"/>
        <w:rPr>
          <w:rFonts w:ascii="宋体" w:hAnsi="宋体" w:cs="宋体"/>
          <w:b/>
          <w:color w:val="auto"/>
          <w:sz w:val="24"/>
        </w:rPr>
      </w:pPr>
    </w:p>
    <w:p>
      <w:pPr>
        <w:pStyle w:val="2"/>
        <w:numPr>
          <w:ilvl w:val="2"/>
          <w:numId w:val="0"/>
        </w:numPr>
        <w:rPr>
          <w:color w:val="auto"/>
        </w:rPr>
      </w:pPr>
    </w:p>
    <w:p>
      <w:pPr>
        <w:pStyle w:val="2"/>
        <w:numPr>
          <w:ilvl w:val="2"/>
          <w:numId w:val="0"/>
        </w:numPr>
        <w:rPr>
          <w:color w:val="auto"/>
        </w:rPr>
      </w:pPr>
    </w:p>
    <w:p>
      <w:pPr>
        <w:rPr>
          <w:color w:val="auto"/>
        </w:rPr>
      </w:pPr>
    </w:p>
    <w:p>
      <w:pPr>
        <w:pStyle w:val="2"/>
        <w:numPr>
          <w:ilvl w:val="2"/>
          <w:numId w:val="0"/>
        </w:numPr>
        <w:rPr>
          <w:color w:val="auto"/>
        </w:rPr>
      </w:pPr>
    </w:p>
    <w:p>
      <w:pPr>
        <w:rPr>
          <w:color w:val="auto"/>
        </w:rPr>
      </w:pPr>
    </w:p>
    <w:p>
      <w:pPr>
        <w:spacing w:beforeLines="50" w:afterLines="50" w:line="440" w:lineRule="exact"/>
        <w:rPr>
          <w:rFonts w:ascii="宋体" w:hAnsi="宋体" w:cs="宋体"/>
          <w:b/>
          <w:color w:val="auto"/>
          <w:sz w:val="24"/>
        </w:rPr>
      </w:pPr>
      <w:r>
        <w:rPr>
          <w:rFonts w:hint="eastAsia" w:ascii="宋体" w:hAnsi="宋体" w:cs="宋体"/>
          <w:b/>
          <w:color w:val="auto"/>
          <w:sz w:val="24"/>
        </w:rPr>
        <w:t>(附表2）</w:t>
      </w:r>
    </w:p>
    <w:p>
      <w:pPr>
        <w:spacing w:beforeLines="50" w:afterLines="50" w:line="440" w:lineRule="exact"/>
        <w:jc w:val="center"/>
        <w:rPr>
          <w:rFonts w:ascii="宋体" w:hAnsi="宋体" w:cs="宋体"/>
          <w:b/>
          <w:bCs/>
          <w:color w:val="auto"/>
          <w:sz w:val="36"/>
          <w:szCs w:val="36"/>
          <w:lang w:val="en-GB"/>
        </w:rPr>
      </w:pPr>
      <w:r>
        <w:rPr>
          <w:rFonts w:hint="eastAsia" w:ascii="宋体" w:hAnsi="宋体" w:cs="宋体"/>
          <w:b/>
          <w:bCs/>
          <w:color w:val="auto"/>
          <w:sz w:val="36"/>
          <w:szCs w:val="36"/>
          <w:lang w:val="en-GB"/>
        </w:rPr>
        <w:t>符合性审查表</w:t>
      </w:r>
    </w:p>
    <w:p>
      <w:pPr>
        <w:spacing w:beforeLines="50" w:afterLines="100" w:line="440" w:lineRule="exact"/>
        <w:rPr>
          <w:rFonts w:ascii="宋体" w:hAnsi="宋体" w:cs="宋体"/>
          <w:b/>
          <w:color w:val="auto"/>
          <w:sz w:val="24"/>
        </w:rPr>
      </w:pPr>
      <w:r>
        <w:rPr>
          <w:rFonts w:hint="eastAsia" w:ascii="宋体" w:hAnsi="宋体" w:cs="宋体"/>
          <w:b/>
          <w:color w:val="auto"/>
          <w:sz w:val="24"/>
        </w:rPr>
        <w:t xml:space="preserve">项目名称：海口市房地楼幢测绘及编制不动产单元编码项目                 </w:t>
      </w:r>
    </w:p>
    <w:p>
      <w:pPr>
        <w:spacing w:beforeLines="50" w:afterLines="100" w:line="440" w:lineRule="exact"/>
        <w:rPr>
          <w:rFonts w:hint="eastAsia" w:ascii="宋体" w:hAnsi="宋体" w:eastAsia="宋体" w:cs="宋体"/>
          <w:b/>
          <w:color w:val="auto"/>
          <w:sz w:val="24"/>
          <w:lang w:eastAsia="zh-CN"/>
        </w:rPr>
      </w:pPr>
      <w:r>
        <w:rPr>
          <w:rFonts w:hint="eastAsia" w:ascii="宋体" w:hAnsi="宋体" w:cs="宋体"/>
          <w:b/>
          <w:color w:val="auto"/>
          <w:sz w:val="24"/>
        </w:rPr>
        <w:t>项目编号：</w:t>
      </w:r>
      <w:r>
        <w:rPr>
          <w:rFonts w:hint="eastAsia" w:ascii="宋体" w:hAnsi="宋体" w:cs="宋体"/>
          <w:b/>
          <w:color w:val="auto"/>
          <w:sz w:val="24"/>
          <w:lang w:eastAsia="zh-CN"/>
        </w:rPr>
        <w:t>ZLHX2019-008</w:t>
      </w:r>
    </w:p>
    <w:tbl>
      <w:tblPr>
        <w:tblStyle w:val="65"/>
        <w:tblW w:w="9925" w:type="dxa"/>
        <w:tblInd w:w="-2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5"/>
        <w:gridCol w:w="2275"/>
        <w:gridCol w:w="3425"/>
        <w:gridCol w:w="1088"/>
        <w:gridCol w:w="1150"/>
        <w:gridCol w:w="12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5" w:hRule="atLeast"/>
        </w:trPr>
        <w:tc>
          <w:tcPr>
            <w:tcW w:w="725"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序号</w:t>
            </w:r>
          </w:p>
        </w:tc>
        <w:tc>
          <w:tcPr>
            <w:tcW w:w="2275"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审查项目</w:t>
            </w:r>
          </w:p>
        </w:tc>
        <w:tc>
          <w:tcPr>
            <w:tcW w:w="3425"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评议内容（无效投标认定条件）</w:t>
            </w:r>
          </w:p>
        </w:tc>
        <w:tc>
          <w:tcPr>
            <w:tcW w:w="1088"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投标人1</w:t>
            </w:r>
          </w:p>
        </w:tc>
        <w:tc>
          <w:tcPr>
            <w:tcW w:w="1150"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投标人2</w:t>
            </w:r>
          </w:p>
        </w:tc>
        <w:tc>
          <w:tcPr>
            <w:tcW w:w="1262" w:type="dxa"/>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spacing w:beforeLines="30" w:afterLines="30" w:line="440" w:lineRule="exact"/>
              <w:jc w:val="center"/>
              <w:rPr>
                <w:rFonts w:ascii="宋体" w:hAnsi="宋体" w:cs="宋体"/>
                <w:b/>
                <w:color w:val="auto"/>
                <w:sz w:val="24"/>
              </w:rPr>
            </w:pPr>
            <w:r>
              <w:rPr>
                <w:rFonts w:hint="eastAsia" w:ascii="宋体" w:hAnsi="宋体" w:cs="宋体"/>
                <w:b/>
                <w:color w:val="auto"/>
                <w:sz w:val="24"/>
              </w:rPr>
              <w:t>投标人3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7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b/>
                <w:bCs/>
                <w:color w:val="auto"/>
                <w:sz w:val="24"/>
              </w:rPr>
            </w:pPr>
            <w:r>
              <w:rPr>
                <w:rFonts w:hint="eastAsia" w:ascii="宋体" w:hAnsi="宋体"/>
                <w:b/>
                <w:bCs/>
                <w:color w:val="auto"/>
                <w:sz w:val="24"/>
              </w:rPr>
              <w:t>1</w:t>
            </w:r>
          </w:p>
        </w:tc>
        <w:tc>
          <w:tcPr>
            <w:tcW w:w="22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color w:val="auto"/>
                <w:sz w:val="24"/>
              </w:rPr>
            </w:pPr>
            <w:r>
              <w:rPr>
                <w:rFonts w:hint="eastAsia" w:ascii="宋体" w:hAnsi="宋体"/>
                <w:color w:val="auto"/>
                <w:sz w:val="24"/>
              </w:rPr>
              <w:t>投标文件的有效性、完整性</w:t>
            </w:r>
          </w:p>
        </w:tc>
        <w:tc>
          <w:tcPr>
            <w:tcW w:w="34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是否符合招标文件的式样和签署要求且内容完整无缺漏</w:t>
            </w:r>
          </w:p>
        </w:tc>
        <w:tc>
          <w:tcPr>
            <w:tcW w:w="1088"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7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b/>
                <w:bCs/>
                <w:color w:val="auto"/>
                <w:sz w:val="24"/>
              </w:rPr>
            </w:pPr>
            <w:r>
              <w:rPr>
                <w:rFonts w:hint="eastAsia" w:ascii="宋体" w:hAnsi="宋体"/>
                <w:b/>
                <w:bCs/>
                <w:color w:val="auto"/>
                <w:sz w:val="24"/>
              </w:rPr>
              <w:t>2</w:t>
            </w:r>
          </w:p>
        </w:tc>
        <w:tc>
          <w:tcPr>
            <w:tcW w:w="22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color w:val="auto"/>
                <w:sz w:val="24"/>
              </w:rPr>
            </w:pPr>
            <w:r>
              <w:rPr>
                <w:rFonts w:hint="eastAsia" w:ascii="宋体" w:hAnsi="宋体"/>
                <w:color w:val="auto"/>
                <w:sz w:val="24"/>
              </w:rPr>
              <w:t>报价项目完整性</w:t>
            </w:r>
          </w:p>
        </w:tc>
        <w:tc>
          <w:tcPr>
            <w:tcW w:w="34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是否对本项目内所有的内容进行投标，漏报其投标将被拒绝</w:t>
            </w:r>
          </w:p>
        </w:tc>
        <w:tc>
          <w:tcPr>
            <w:tcW w:w="1088"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70" w:hRule="atLeast"/>
        </w:trPr>
        <w:tc>
          <w:tcPr>
            <w:tcW w:w="7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b/>
                <w:bCs/>
                <w:color w:val="auto"/>
                <w:sz w:val="24"/>
              </w:rPr>
            </w:pPr>
            <w:r>
              <w:rPr>
                <w:rFonts w:hint="eastAsia" w:ascii="宋体" w:hAnsi="宋体"/>
                <w:b/>
                <w:bCs/>
                <w:color w:val="auto"/>
                <w:sz w:val="24"/>
              </w:rPr>
              <w:t>3</w:t>
            </w:r>
          </w:p>
        </w:tc>
        <w:tc>
          <w:tcPr>
            <w:tcW w:w="22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color w:val="auto"/>
                <w:sz w:val="24"/>
              </w:rPr>
            </w:pPr>
            <w:r>
              <w:rPr>
                <w:rFonts w:hint="eastAsia" w:ascii="宋体" w:hAnsi="宋体"/>
                <w:color w:val="auto"/>
                <w:sz w:val="24"/>
              </w:rPr>
              <w:t>投标有效期</w:t>
            </w:r>
          </w:p>
        </w:tc>
        <w:tc>
          <w:tcPr>
            <w:tcW w:w="34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是否满足招标文件要求</w:t>
            </w:r>
          </w:p>
        </w:tc>
        <w:tc>
          <w:tcPr>
            <w:tcW w:w="1088"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38" w:hRule="atLeast"/>
        </w:trPr>
        <w:tc>
          <w:tcPr>
            <w:tcW w:w="7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b/>
                <w:bCs/>
                <w:color w:val="auto"/>
                <w:sz w:val="24"/>
              </w:rPr>
            </w:pPr>
            <w:r>
              <w:rPr>
                <w:rFonts w:hint="eastAsia" w:ascii="宋体" w:hAnsi="宋体"/>
                <w:b/>
                <w:bCs/>
                <w:color w:val="auto"/>
                <w:sz w:val="24"/>
              </w:rPr>
              <w:t>4</w:t>
            </w:r>
          </w:p>
        </w:tc>
        <w:tc>
          <w:tcPr>
            <w:tcW w:w="22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color w:val="auto"/>
                <w:sz w:val="24"/>
              </w:rPr>
            </w:pPr>
            <w:r>
              <w:rPr>
                <w:rFonts w:hint="eastAsia" w:ascii="宋体" w:hAnsi="宋体"/>
                <w:color w:val="auto"/>
                <w:sz w:val="24"/>
              </w:rPr>
              <w:t>工期</w:t>
            </w:r>
          </w:p>
        </w:tc>
        <w:tc>
          <w:tcPr>
            <w:tcW w:w="34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是否满足招标文件要求</w:t>
            </w:r>
          </w:p>
        </w:tc>
        <w:tc>
          <w:tcPr>
            <w:tcW w:w="1088"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trPr>
        <w:tc>
          <w:tcPr>
            <w:tcW w:w="7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b/>
                <w:bCs/>
                <w:color w:val="auto"/>
                <w:sz w:val="24"/>
              </w:rPr>
            </w:pPr>
            <w:r>
              <w:rPr>
                <w:rFonts w:hint="eastAsia" w:ascii="宋体" w:hAnsi="宋体"/>
                <w:b/>
                <w:bCs/>
                <w:color w:val="auto"/>
                <w:sz w:val="24"/>
              </w:rPr>
              <w:t>5</w:t>
            </w:r>
          </w:p>
        </w:tc>
        <w:tc>
          <w:tcPr>
            <w:tcW w:w="22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color w:val="auto"/>
                <w:sz w:val="24"/>
              </w:rPr>
            </w:pPr>
            <w:r>
              <w:rPr>
                <w:rFonts w:hint="eastAsia" w:ascii="宋体" w:hAnsi="宋体"/>
                <w:color w:val="auto"/>
                <w:sz w:val="24"/>
              </w:rPr>
              <w:t>其他</w:t>
            </w:r>
          </w:p>
        </w:tc>
        <w:tc>
          <w:tcPr>
            <w:tcW w:w="34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无其他无效投标认定条件</w:t>
            </w:r>
          </w:p>
        </w:tc>
        <w:tc>
          <w:tcPr>
            <w:tcW w:w="1088"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6" w:hRule="atLeast"/>
        </w:trPr>
        <w:tc>
          <w:tcPr>
            <w:tcW w:w="7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b/>
                <w:bCs/>
                <w:color w:val="auto"/>
                <w:sz w:val="24"/>
              </w:rPr>
            </w:pPr>
            <w:r>
              <w:rPr>
                <w:rFonts w:hint="eastAsia" w:ascii="宋体" w:hAnsi="宋体"/>
                <w:b/>
                <w:bCs/>
                <w:color w:val="auto"/>
                <w:sz w:val="24"/>
              </w:rPr>
              <w:t>6</w:t>
            </w:r>
          </w:p>
        </w:tc>
        <w:tc>
          <w:tcPr>
            <w:tcW w:w="227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jc w:val="center"/>
              <w:rPr>
                <w:rFonts w:ascii="宋体" w:hAnsi="宋体"/>
                <w:color w:val="auto"/>
                <w:sz w:val="24"/>
              </w:rPr>
            </w:pPr>
            <w:r>
              <w:rPr>
                <w:rFonts w:hint="eastAsia" w:ascii="宋体" w:hAnsi="宋体"/>
                <w:color w:val="auto"/>
                <w:sz w:val="24"/>
              </w:rPr>
              <w:t>..........</w:t>
            </w:r>
          </w:p>
        </w:tc>
        <w:tc>
          <w:tcPr>
            <w:tcW w:w="3425"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r>
              <w:rPr>
                <w:rFonts w:hint="eastAsia" w:ascii="宋体" w:hAnsi="宋体"/>
                <w:color w:val="auto"/>
                <w:sz w:val="24"/>
              </w:rPr>
              <w:t>.................</w:t>
            </w:r>
          </w:p>
        </w:tc>
        <w:tc>
          <w:tcPr>
            <w:tcW w:w="1088"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p>
        </w:tc>
        <w:tc>
          <w:tcPr>
            <w:tcW w:w="1150"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beforeLines="30" w:afterLines="30" w:line="440" w:lineRule="exac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6425" w:type="dxa"/>
            <w:gridSpan w:val="3"/>
            <w:tcBorders>
              <w:top w:val="single" w:color="auto" w:sz="4" w:space="0"/>
              <w:left w:val="single" w:color="auto" w:sz="4" w:space="0"/>
              <w:bottom w:val="single" w:color="auto" w:sz="4" w:space="0"/>
              <w:right w:val="single" w:color="auto" w:sz="4" w:space="0"/>
            </w:tcBorders>
            <w:vAlign w:val="center"/>
          </w:tcPr>
          <w:p>
            <w:pPr>
              <w:widowControl/>
              <w:spacing w:beforeLines="50" w:afterLines="50" w:line="440" w:lineRule="exact"/>
              <w:jc w:val="center"/>
              <w:rPr>
                <w:rFonts w:ascii="宋体" w:hAnsi="宋体"/>
                <w:color w:val="auto"/>
                <w:sz w:val="24"/>
              </w:rPr>
            </w:pPr>
            <w:r>
              <w:rPr>
                <w:rFonts w:hint="eastAsia" w:ascii="宋体" w:hAnsi="宋体"/>
                <w:b/>
                <w:bCs/>
                <w:color w:val="auto"/>
                <w:sz w:val="24"/>
              </w:rPr>
              <w:t>结    论</w:t>
            </w:r>
          </w:p>
        </w:tc>
        <w:tc>
          <w:tcPr>
            <w:tcW w:w="1088" w:type="dxa"/>
            <w:tcBorders>
              <w:top w:val="single" w:color="auto" w:sz="4" w:space="0"/>
              <w:left w:val="single" w:color="auto" w:sz="4" w:space="0"/>
              <w:bottom w:val="single" w:color="auto" w:sz="4" w:space="0"/>
              <w:right w:val="single" w:color="auto" w:sz="4" w:space="0"/>
            </w:tcBorders>
            <w:vAlign w:val="center"/>
          </w:tcPr>
          <w:p>
            <w:pPr>
              <w:widowControl/>
              <w:spacing w:beforeLines="50" w:afterLines="50" w:line="440" w:lineRule="exact"/>
              <w:rPr>
                <w:rFonts w:ascii="宋体" w:hAnsi="宋体"/>
                <w:color w:val="auto"/>
                <w:sz w:val="24"/>
              </w:rPr>
            </w:pPr>
            <w:r>
              <w:rPr>
                <w:rFonts w:hint="eastAsia" w:ascii="宋体" w:hAnsi="宋体"/>
                <w:color w:val="auto"/>
                <w:sz w:val="24"/>
              </w:rPr>
              <w:t> </w:t>
            </w:r>
          </w:p>
        </w:tc>
        <w:tc>
          <w:tcPr>
            <w:tcW w:w="1150" w:type="dxa"/>
            <w:tcBorders>
              <w:top w:val="single" w:color="auto" w:sz="4" w:space="0"/>
              <w:left w:val="single" w:color="auto" w:sz="4" w:space="0"/>
              <w:bottom w:val="single" w:color="auto" w:sz="4" w:space="0"/>
              <w:right w:val="single" w:color="auto" w:sz="4" w:space="0"/>
            </w:tcBorders>
            <w:vAlign w:val="center"/>
          </w:tcPr>
          <w:p>
            <w:pPr>
              <w:widowControl/>
              <w:spacing w:beforeLines="50" w:afterLines="50" w:line="440" w:lineRule="exact"/>
              <w:rPr>
                <w:rFonts w:ascii="宋体" w:hAnsi="宋体"/>
                <w:color w:val="auto"/>
                <w:sz w:val="24"/>
              </w:rPr>
            </w:pPr>
            <w:r>
              <w:rPr>
                <w:rFonts w:hint="eastAsia" w:ascii="宋体" w:hAnsi="宋体"/>
                <w:color w:val="auto"/>
                <w:sz w:val="24"/>
              </w:rPr>
              <w:t> </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beforeLines="50" w:afterLines="50" w:line="440" w:lineRule="exact"/>
              <w:rPr>
                <w:rFonts w:ascii="宋体" w:hAnsi="宋体"/>
                <w:color w:val="auto"/>
                <w:sz w:val="24"/>
              </w:rPr>
            </w:pPr>
            <w:r>
              <w:rPr>
                <w:rFonts w:hint="eastAsia" w:ascii="宋体" w:hAnsi="宋体"/>
                <w:color w:val="auto"/>
                <w:sz w:val="24"/>
              </w:rPr>
              <w:t> </w:t>
            </w:r>
          </w:p>
        </w:tc>
      </w:tr>
    </w:tbl>
    <w:p>
      <w:pPr>
        <w:spacing w:beforeLines="50" w:afterLines="50" w:line="440" w:lineRule="exact"/>
        <w:rPr>
          <w:rFonts w:ascii="宋体" w:hAnsi="宋体" w:cs="宋体"/>
          <w:b/>
          <w:bCs/>
          <w:color w:val="auto"/>
          <w:sz w:val="24"/>
        </w:rPr>
      </w:pPr>
      <w:r>
        <w:rPr>
          <w:rFonts w:hint="eastAsia" w:ascii="宋体" w:hAnsi="宋体" w:cs="宋体"/>
          <w:b/>
          <w:bCs/>
          <w:color w:val="auto"/>
          <w:sz w:val="24"/>
        </w:rPr>
        <w:t>注：</w:t>
      </w:r>
    </w:p>
    <w:p>
      <w:pPr>
        <w:spacing w:line="440" w:lineRule="exact"/>
        <w:ind w:firstLine="480" w:firstLineChars="200"/>
        <w:rPr>
          <w:rFonts w:ascii="宋体" w:hAnsi="宋体" w:cs="宋体"/>
          <w:color w:val="auto"/>
          <w:sz w:val="24"/>
        </w:rPr>
      </w:pPr>
      <w:r>
        <w:rPr>
          <w:rFonts w:hint="eastAsia" w:ascii="宋体" w:hAnsi="宋体" w:cs="宋体"/>
          <w:color w:val="auto"/>
          <w:sz w:val="24"/>
        </w:rPr>
        <w:t>1、表中只需填写“√”通过或“×”不通过；</w:t>
      </w:r>
    </w:p>
    <w:p>
      <w:pPr>
        <w:spacing w:line="440" w:lineRule="exact"/>
        <w:ind w:firstLine="480" w:firstLineChars="200"/>
        <w:rPr>
          <w:rFonts w:ascii="宋体" w:hAnsi="宋体" w:cs="宋体"/>
          <w:color w:val="auto"/>
          <w:sz w:val="24"/>
        </w:rPr>
      </w:pPr>
      <w:r>
        <w:rPr>
          <w:rFonts w:hint="eastAsia" w:ascii="宋体" w:hAnsi="宋体" w:cs="宋体"/>
          <w:color w:val="auto"/>
          <w:sz w:val="24"/>
        </w:rPr>
        <w:t>2、在结论中按“一项否决”的原则，只有全部是“√”通过的，填写“合格”；只要其中有一项是“×”不通过的，填写“不合格”；</w:t>
      </w:r>
    </w:p>
    <w:p>
      <w:pPr>
        <w:spacing w:line="440" w:lineRule="exact"/>
        <w:ind w:firstLine="480" w:firstLineChars="200"/>
        <w:rPr>
          <w:rFonts w:ascii="宋体" w:hAnsi="宋体" w:cs="宋体"/>
          <w:color w:val="auto"/>
          <w:sz w:val="24"/>
        </w:rPr>
      </w:pPr>
      <w:r>
        <w:rPr>
          <w:rFonts w:hint="eastAsia" w:ascii="宋体" w:hAnsi="宋体" w:cs="宋体"/>
          <w:color w:val="auto"/>
          <w:sz w:val="24"/>
        </w:rPr>
        <w:t>3、结论是合格的，才能进入下一轮，不合格的被淘汰。</w:t>
      </w:r>
    </w:p>
    <w:p>
      <w:pPr>
        <w:pStyle w:val="2"/>
        <w:numPr>
          <w:ilvl w:val="2"/>
          <w:numId w:val="0"/>
        </w:numPr>
        <w:spacing w:line="600" w:lineRule="exact"/>
        <w:rPr>
          <w:rFonts w:hint="eastAsia"/>
          <w:b/>
          <w:bCs/>
          <w:color w:val="auto"/>
          <w:sz w:val="28"/>
          <w:szCs w:val="28"/>
        </w:rPr>
      </w:pPr>
    </w:p>
    <w:p>
      <w:pPr>
        <w:pStyle w:val="2"/>
        <w:numPr>
          <w:ilvl w:val="2"/>
          <w:numId w:val="0"/>
        </w:numPr>
        <w:spacing w:line="600" w:lineRule="exact"/>
        <w:rPr>
          <w:b/>
          <w:bCs/>
          <w:color w:val="auto"/>
          <w:sz w:val="28"/>
          <w:szCs w:val="28"/>
        </w:rPr>
      </w:pPr>
      <w:r>
        <w:rPr>
          <w:rFonts w:hint="eastAsia"/>
          <w:b/>
          <w:bCs/>
          <w:color w:val="auto"/>
          <w:sz w:val="28"/>
          <w:szCs w:val="28"/>
        </w:rPr>
        <w:t>评   委：</w:t>
      </w:r>
    </w:p>
    <w:p>
      <w:pPr>
        <w:spacing w:line="600" w:lineRule="exact"/>
        <w:rPr>
          <w:b/>
          <w:bCs/>
          <w:color w:val="auto"/>
          <w:sz w:val="28"/>
          <w:szCs w:val="28"/>
        </w:rPr>
      </w:pPr>
      <w:r>
        <w:rPr>
          <w:rFonts w:hint="eastAsia"/>
          <w:b/>
          <w:bCs/>
          <w:color w:val="auto"/>
          <w:sz w:val="28"/>
          <w:szCs w:val="28"/>
        </w:rPr>
        <w:t>日   期：</w:t>
      </w:r>
    </w:p>
    <w:p>
      <w:pPr>
        <w:rPr>
          <w:rFonts w:asciiTheme="minorEastAsia" w:hAnsiTheme="minorEastAsia" w:eastAsiaTheme="minorEastAsia"/>
          <w:b/>
          <w:color w:val="auto"/>
          <w:sz w:val="24"/>
        </w:rPr>
      </w:pPr>
    </w:p>
    <w:p>
      <w:pPr>
        <w:spacing w:line="360" w:lineRule="auto"/>
        <w:rPr>
          <w:rFonts w:asciiTheme="minorEastAsia" w:hAnsiTheme="minorEastAsia" w:eastAsiaTheme="minorEastAsia"/>
          <w:color w:val="auto"/>
          <w:sz w:val="24"/>
        </w:rPr>
      </w:pPr>
      <w:bookmarkStart w:id="71" w:name="_Toc476643585"/>
    </w:p>
    <w:p>
      <w:pPr>
        <w:spacing w:line="360" w:lineRule="auto"/>
        <w:rPr>
          <w:rFonts w:asciiTheme="minorEastAsia" w:hAnsiTheme="minorEastAsia" w:eastAsiaTheme="minorEastAsia"/>
          <w:color w:val="auto"/>
          <w:sz w:val="24"/>
        </w:rPr>
      </w:pPr>
      <w:r>
        <w:rPr>
          <w:rFonts w:hint="eastAsia" w:asciiTheme="minorEastAsia" w:hAnsiTheme="minorEastAsia" w:eastAsiaTheme="minorEastAsia"/>
          <w:color w:val="auto"/>
          <w:sz w:val="24"/>
        </w:rPr>
        <w:t>6</w:t>
      </w:r>
      <w:r>
        <w:rPr>
          <w:rFonts w:asciiTheme="minorEastAsia" w:hAnsiTheme="minorEastAsia" w:eastAsiaTheme="minorEastAsia"/>
          <w:color w:val="auto"/>
          <w:sz w:val="24"/>
        </w:rPr>
        <w:t>.1.5</w:t>
      </w:r>
      <w:r>
        <w:rPr>
          <w:rFonts w:hint="eastAsia" w:asciiTheme="minorEastAsia" w:hAnsiTheme="minorEastAsia" w:eastAsiaTheme="minorEastAsia"/>
          <w:color w:val="auto"/>
          <w:sz w:val="24"/>
        </w:rPr>
        <w:t>详细评审</w:t>
      </w:r>
      <w:bookmarkEnd w:id="71"/>
    </w:p>
    <w:p>
      <w:pPr>
        <w:spacing w:line="360" w:lineRule="auto"/>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1）评标委员会根据评审办法对通过初步评审的投标文件进行详细评审，并进行服务的评审打分。</w:t>
      </w:r>
    </w:p>
    <w:p>
      <w:pPr>
        <w:spacing w:line="360" w:lineRule="auto"/>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2）价格分统一采用低价优先法计算，将通过初步评审的所有投标人的投标价格，即满足招标文件要求且价格最低的投标价为基准价，其价格分为满分。其他投标人的价格分统一按照下列公式计算：</w:t>
      </w:r>
    </w:p>
    <w:p>
      <w:pPr>
        <w:spacing w:line="360" w:lineRule="auto"/>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价格分=(基准价／投标报价)×价格权值×100</w:t>
      </w:r>
    </w:p>
    <w:p>
      <w:pPr>
        <w:spacing w:line="360" w:lineRule="auto"/>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服务及价格权重分配</w:t>
      </w:r>
      <w:r>
        <w:rPr>
          <w:rFonts w:hint="eastAsia" w:asciiTheme="minorEastAsia" w:hAnsiTheme="minorEastAsia" w:eastAsiaTheme="minorEastAsia"/>
          <w:color w:val="auto"/>
          <w:sz w:val="24"/>
          <w:lang w:eastAsia="zh-CN"/>
        </w:rPr>
        <w:t>：</w:t>
      </w:r>
    </w:p>
    <w:p>
      <w:pPr>
        <w:pStyle w:val="2"/>
        <w:numPr>
          <w:ilvl w:val="2"/>
          <w:numId w:val="0"/>
        </w:numPr>
        <w:rPr>
          <w:rFonts w:hint="eastAsia"/>
          <w:color w:val="auto"/>
          <w:lang w:val="en-US" w:eastAsia="zh-CN"/>
        </w:rPr>
      </w:pPr>
      <w:r>
        <w:rPr>
          <w:rFonts w:hint="eastAsia"/>
          <w:color w:val="auto"/>
          <w:lang w:val="en-US" w:eastAsia="zh-CN"/>
        </w:rPr>
        <w:t>1-7包的权重分配</w:t>
      </w:r>
    </w:p>
    <w:tbl>
      <w:tblPr>
        <w:tblStyle w:val="65"/>
        <w:tblW w:w="9296"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2851"/>
        <w:gridCol w:w="2355"/>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35" w:type="dxa"/>
            <w:shd w:val="clear" w:color="auto" w:fill="D9D9D9"/>
            <w:vAlign w:val="center"/>
          </w:tcPr>
          <w:p>
            <w:pPr>
              <w:spacing w:beforeLines="30" w:afterLines="30" w:line="440" w:lineRule="exact"/>
              <w:jc w:val="center"/>
              <w:rPr>
                <w:rFonts w:ascii="宋体" w:hAnsi="宋体" w:cs="宋体"/>
                <w:b/>
                <w:bCs/>
                <w:color w:val="auto"/>
                <w:sz w:val="24"/>
                <w:lang w:val="en-GB"/>
              </w:rPr>
            </w:pPr>
            <w:r>
              <w:rPr>
                <w:rFonts w:hint="eastAsia" w:ascii="宋体" w:hAnsi="宋体" w:cs="宋体"/>
                <w:b/>
                <w:bCs/>
                <w:color w:val="auto"/>
                <w:sz w:val="24"/>
                <w:lang w:val="en-GB"/>
              </w:rPr>
              <w:t>评分项目</w:t>
            </w:r>
          </w:p>
        </w:tc>
        <w:tc>
          <w:tcPr>
            <w:tcW w:w="2851" w:type="dxa"/>
            <w:shd w:val="clear" w:color="auto" w:fill="D9D9D9"/>
            <w:vAlign w:val="center"/>
          </w:tcPr>
          <w:p>
            <w:pPr>
              <w:spacing w:beforeLines="30" w:afterLines="30" w:line="440" w:lineRule="exact"/>
              <w:jc w:val="center"/>
              <w:rPr>
                <w:rFonts w:ascii="宋体" w:hAnsi="宋体" w:cs="宋体"/>
                <w:b/>
                <w:bCs/>
                <w:color w:val="auto"/>
                <w:sz w:val="24"/>
                <w:lang w:val="en-GB"/>
              </w:rPr>
            </w:pPr>
            <w:r>
              <w:rPr>
                <w:rFonts w:hint="eastAsia" w:ascii="宋体" w:hAnsi="宋体" w:cs="宋体"/>
                <w:b/>
                <w:bCs/>
                <w:color w:val="auto"/>
                <w:sz w:val="24"/>
                <w:lang w:val="en-GB"/>
              </w:rPr>
              <w:t>技术项</w:t>
            </w:r>
          </w:p>
        </w:tc>
        <w:tc>
          <w:tcPr>
            <w:tcW w:w="2355" w:type="dxa"/>
            <w:shd w:val="clear" w:color="auto" w:fill="D9D9D9"/>
            <w:vAlign w:val="center"/>
          </w:tcPr>
          <w:p>
            <w:pPr>
              <w:spacing w:beforeLines="30" w:afterLines="30" w:line="440" w:lineRule="exact"/>
              <w:jc w:val="center"/>
              <w:rPr>
                <w:rFonts w:ascii="宋体" w:hAnsi="宋体" w:cs="宋体"/>
                <w:b/>
                <w:bCs/>
                <w:color w:val="auto"/>
                <w:sz w:val="24"/>
                <w:lang w:val="en-GB"/>
              </w:rPr>
            </w:pPr>
            <w:r>
              <w:rPr>
                <w:rFonts w:hint="eastAsia" w:ascii="宋体" w:hAnsi="宋体" w:cs="宋体"/>
                <w:b/>
                <w:bCs/>
                <w:color w:val="auto"/>
                <w:sz w:val="24"/>
                <w:lang w:val="en-GB"/>
              </w:rPr>
              <w:t>商务项</w:t>
            </w:r>
          </w:p>
        </w:tc>
        <w:tc>
          <w:tcPr>
            <w:tcW w:w="2355" w:type="dxa"/>
            <w:shd w:val="clear" w:color="auto" w:fill="D9D9D9"/>
            <w:vAlign w:val="center"/>
          </w:tcPr>
          <w:p>
            <w:pPr>
              <w:spacing w:beforeLines="30" w:afterLines="30" w:line="440" w:lineRule="exact"/>
              <w:jc w:val="center"/>
              <w:rPr>
                <w:rFonts w:ascii="宋体" w:hAnsi="宋体" w:cs="宋体"/>
                <w:b/>
                <w:bCs/>
                <w:color w:val="auto"/>
                <w:sz w:val="24"/>
                <w:lang w:val="en-GB"/>
              </w:rPr>
            </w:pPr>
            <w:r>
              <w:rPr>
                <w:rFonts w:hint="eastAsia" w:ascii="宋体" w:hAnsi="宋体" w:cs="宋体"/>
                <w:b/>
                <w:bCs/>
                <w:color w:val="auto"/>
                <w:sz w:val="24"/>
                <w:lang w:val="en-GB"/>
              </w:rPr>
              <w:t>价格项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35" w:type="dxa"/>
            <w:vAlign w:val="center"/>
          </w:tcPr>
          <w:p>
            <w:pPr>
              <w:spacing w:beforeLines="30" w:afterLines="30" w:line="440" w:lineRule="exact"/>
              <w:jc w:val="center"/>
              <w:rPr>
                <w:rFonts w:ascii="宋体" w:hAnsi="宋体" w:cs="宋体"/>
                <w:color w:val="auto"/>
                <w:sz w:val="24"/>
                <w:lang w:val="en-GB"/>
              </w:rPr>
            </w:pPr>
            <w:r>
              <w:rPr>
                <w:rFonts w:hint="eastAsia" w:ascii="宋体" w:hAnsi="宋体" w:cs="宋体"/>
                <w:b/>
                <w:bCs/>
                <w:color w:val="auto"/>
                <w:sz w:val="24"/>
                <w:lang w:val="en-GB"/>
              </w:rPr>
              <w:t>权重</w:t>
            </w:r>
          </w:p>
        </w:tc>
        <w:tc>
          <w:tcPr>
            <w:tcW w:w="2851" w:type="dxa"/>
            <w:vAlign w:val="center"/>
          </w:tcPr>
          <w:p>
            <w:pPr>
              <w:spacing w:beforeLines="30" w:afterLines="30" w:line="440" w:lineRule="exact"/>
              <w:jc w:val="center"/>
              <w:rPr>
                <w:rFonts w:ascii="宋体" w:hAnsi="宋体" w:cs="宋体"/>
                <w:color w:val="auto"/>
                <w:sz w:val="24"/>
                <w:lang w:val="en-GB"/>
              </w:rPr>
            </w:pPr>
            <w:r>
              <w:rPr>
                <w:rFonts w:hint="eastAsia" w:ascii="宋体" w:hAnsi="宋体" w:cs="宋体"/>
                <w:color w:val="auto"/>
                <w:sz w:val="24"/>
                <w:lang w:val="en-US" w:eastAsia="zh-CN"/>
              </w:rPr>
              <w:t>45</w:t>
            </w:r>
            <w:r>
              <w:rPr>
                <w:rFonts w:hint="eastAsia" w:ascii="宋体" w:hAnsi="宋体" w:cs="宋体"/>
                <w:color w:val="auto"/>
                <w:sz w:val="24"/>
                <w:lang w:val="en-GB"/>
              </w:rPr>
              <w:t>%</w:t>
            </w:r>
          </w:p>
        </w:tc>
        <w:tc>
          <w:tcPr>
            <w:tcW w:w="2355" w:type="dxa"/>
            <w:vAlign w:val="center"/>
          </w:tcPr>
          <w:p>
            <w:pPr>
              <w:spacing w:beforeLines="30" w:afterLines="30" w:line="440" w:lineRule="exact"/>
              <w:jc w:val="center"/>
              <w:rPr>
                <w:rFonts w:ascii="宋体" w:hAnsi="宋体" w:cs="宋体"/>
                <w:color w:val="auto"/>
                <w:sz w:val="24"/>
              </w:rPr>
            </w:pPr>
            <w:r>
              <w:rPr>
                <w:rFonts w:hint="eastAsia" w:ascii="宋体" w:hAnsi="宋体" w:cs="宋体"/>
                <w:color w:val="auto"/>
                <w:sz w:val="24"/>
                <w:lang w:val="en-US" w:eastAsia="zh-CN"/>
              </w:rPr>
              <w:t>45</w:t>
            </w:r>
            <w:r>
              <w:rPr>
                <w:rFonts w:hint="eastAsia" w:ascii="宋体" w:hAnsi="宋体" w:cs="宋体"/>
                <w:color w:val="auto"/>
                <w:sz w:val="24"/>
                <w:lang w:val="en-GB"/>
              </w:rPr>
              <w:t>%</w:t>
            </w:r>
          </w:p>
        </w:tc>
        <w:tc>
          <w:tcPr>
            <w:tcW w:w="2355" w:type="dxa"/>
            <w:vAlign w:val="center"/>
          </w:tcPr>
          <w:p>
            <w:pPr>
              <w:spacing w:beforeLines="30" w:afterLines="30" w:line="440" w:lineRule="exact"/>
              <w:jc w:val="center"/>
              <w:rPr>
                <w:rFonts w:ascii="宋体" w:hAnsi="宋体" w:cs="宋体"/>
                <w:color w:val="auto"/>
                <w:sz w:val="24"/>
                <w:lang w:val="en-GB"/>
              </w:rPr>
            </w:pPr>
            <w:r>
              <w:rPr>
                <w:rFonts w:hint="eastAsia" w:ascii="宋体" w:hAnsi="宋体" w:cs="宋体"/>
                <w:color w:val="auto"/>
                <w:sz w:val="24"/>
              </w:rPr>
              <w:t>10</w:t>
            </w:r>
            <w:r>
              <w:rPr>
                <w:rFonts w:hint="eastAsia" w:ascii="宋体" w:hAnsi="宋体" w:cs="宋体"/>
                <w:color w:val="auto"/>
                <w:sz w:val="24"/>
                <w:lang w:val="en-GB"/>
              </w:rPr>
              <w:t>%</w:t>
            </w:r>
          </w:p>
        </w:tc>
      </w:tr>
    </w:tbl>
    <w:p>
      <w:pPr>
        <w:spacing w:line="360" w:lineRule="auto"/>
        <w:rPr>
          <w:rFonts w:hint="eastAsia" w:asciiTheme="minorEastAsia" w:hAnsiTheme="minorEastAsia" w:eastAsiaTheme="minorEastAsia"/>
          <w:color w:val="auto"/>
          <w:sz w:val="24"/>
        </w:rPr>
      </w:pPr>
    </w:p>
    <w:p>
      <w:pPr>
        <w:spacing w:line="360" w:lineRule="auto"/>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综合评分及其统计：按照评标程序、评分标准以及分值分配的规定，评标委员会成员分别就各个投标人的服务状况，其对招标文件要求的响应情况进行评议和比较，评出各投标人的得分，得分与投标报价分相加得出综合得分。综合得分最高的投标人为第一中标候选投标人，综合得分次高的投标人为第二中标候选投标人，以此类推。综合得分相同的，按投标报价由低到高顺序排列。综合得分和投标报价均相同的，按服务内容指标由优至劣顺序排列。</w:t>
      </w:r>
    </w:p>
    <w:p>
      <w:pPr>
        <w:pStyle w:val="78"/>
        <w:rPr>
          <w:rFonts w:asciiTheme="minorEastAsia" w:hAnsiTheme="minorEastAsia" w:eastAsiaTheme="minorEastAsia"/>
          <w:color w:val="auto"/>
        </w:rPr>
      </w:pPr>
      <w:bookmarkStart w:id="72" w:name="_Toc321405349"/>
      <w:bookmarkStart w:id="73" w:name="_Toc375896578"/>
      <w:r>
        <w:rPr>
          <w:rFonts w:hint="eastAsia" w:asciiTheme="minorEastAsia" w:hAnsiTheme="minorEastAsia" w:eastAsiaTheme="minorEastAsia"/>
          <w:color w:val="auto"/>
        </w:rPr>
        <w:t>6</w:t>
      </w:r>
      <w:r>
        <w:rPr>
          <w:rFonts w:asciiTheme="minorEastAsia" w:hAnsiTheme="minorEastAsia" w:eastAsiaTheme="minorEastAsia"/>
          <w:color w:val="auto"/>
        </w:rPr>
        <w:t>.</w:t>
      </w:r>
      <w:r>
        <w:rPr>
          <w:rFonts w:hint="eastAsia" w:asciiTheme="minorEastAsia" w:hAnsiTheme="minorEastAsia" w:eastAsiaTheme="minorEastAsia"/>
          <w:color w:val="auto"/>
        </w:rPr>
        <w:t>2</w:t>
      </w:r>
      <w:r>
        <w:rPr>
          <w:rFonts w:asciiTheme="minorEastAsia" w:hAnsiTheme="minorEastAsia" w:eastAsiaTheme="minorEastAsia"/>
          <w:color w:val="auto"/>
        </w:rPr>
        <w:t>评标依据</w:t>
      </w:r>
      <w:bookmarkEnd w:id="72"/>
      <w:bookmarkEnd w:id="73"/>
    </w:p>
    <w:p>
      <w:pPr>
        <w:adjustRightInd w:val="0"/>
        <w:snapToGrid w:val="0"/>
        <w:spacing w:line="360" w:lineRule="auto"/>
        <w:ind w:firstLine="480" w:firstLineChars="200"/>
        <w:outlineLvl w:val="2"/>
        <w:rPr>
          <w:rFonts w:asciiTheme="minorEastAsia" w:hAnsiTheme="minorEastAsia" w:eastAsiaTheme="minorEastAsia"/>
          <w:color w:val="auto"/>
          <w:sz w:val="24"/>
        </w:rPr>
      </w:pPr>
      <w:r>
        <w:rPr>
          <w:rFonts w:asciiTheme="minorEastAsia" w:hAnsiTheme="minorEastAsia" w:eastAsiaTheme="minorEastAsia"/>
          <w:color w:val="auto"/>
          <w:sz w:val="24"/>
        </w:rPr>
        <w:t>评标工作的依据主要包括以下内容：</w:t>
      </w:r>
    </w:p>
    <w:p>
      <w:pPr>
        <w:adjustRightInd w:val="0"/>
        <w:snapToGrid w:val="0"/>
        <w:spacing w:line="360" w:lineRule="auto"/>
        <w:ind w:firstLine="240" w:firstLineChars="100"/>
        <w:rPr>
          <w:rFonts w:asciiTheme="minorEastAsia" w:hAnsiTheme="minorEastAsia" w:eastAsiaTheme="minorEastAsia"/>
          <w:color w:val="auto"/>
          <w:sz w:val="24"/>
        </w:rPr>
      </w:pPr>
      <w:r>
        <w:rPr>
          <w:rFonts w:hint="eastAsia" w:asciiTheme="minorEastAsia" w:hAnsiTheme="minorEastAsia" w:eastAsiaTheme="minorEastAsia"/>
          <w:color w:val="auto"/>
          <w:sz w:val="24"/>
        </w:rPr>
        <w:t>（1）</w:t>
      </w:r>
      <w:r>
        <w:rPr>
          <w:rFonts w:asciiTheme="minorEastAsia" w:hAnsiTheme="minorEastAsia" w:eastAsiaTheme="minorEastAsia"/>
          <w:color w:val="auto"/>
          <w:sz w:val="24"/>
        </w:rPr>
        <w:t>招标投标有关法律、法规和规章，采购人相关规定；</w:t>
      </w:r>
    </w:p>
    <w:p>
      <w:pPr>
        <w:adjustRightInd w:val="0"/>
        <w:snapToGrid w:val="0"/>
        <w:spacing w:line="360" w:lineRule="auto"/>
        <w:ind w:firstLine="240" w:firstLineChars="100"/>
        <w:rPr>
          <w:rFonts w:asciiTheme="minorEastAsia" w:hAnsiTheme="minorEastAsia" w:eastAsiaTheme="minorEastAsia"/>
          <w:color w:val="auto"/>
          <w:sz w:val="24"/>
        </w:rPr>
      </w:pPr>
      <w:r>
        <w:rPr>
          <w:rFonts w:hint="eastAsia" w:asciiTheme="minorEastAsia" w:hAnsiTheme="minorEastAsia" w:eastAsiaTheme="minorEastAsia"/>
          <w:color w:val="auto"/>
          <w:sz w:val="24"/>
        </w:rPr>
        <w:t>（2）</w:t>
      </w:r>
      <w:r>
        <w:rPr>
          <w:rFonts w:asciiTheme="minorEastAsia" w:hAnsiTheme="minorEastAsia" w:eastAsiaTheme="minorEastAsia"/>
          <w:color w:val="auto"/>
          <w:sz w:val="24"/>
        </w:rPr>
        <w:t>国家</w:t>
      </w:r>
      <w:r>
        <w:rPr>
          <w:rFonts w:hint="eastAsia" w:asciiTheme="minorEastAsia" w:hAnsiTheme="minorEastAsia" w:eastAsiaTheme="minorEastAsia"/>
          <w:color w:val="auto"/>
          <w:sz w:val="24"/>
        </w:rPr>
        <w:t>、地方</w:t>
      </w:r>
      <w:r>
        <w:rPr>
          <w:rFonts w:asciiTheme="minorEastAsia" w:hAnsiTheme="minorEastAsia" w:eastAsiaTheme="minorEastAsia"/>
          <w:color w:val="auto"/>
          <w:sz w:val="24"/>
        </w:rPr>
        <w:t>及</w:t>
      </w:r>
      <w:r>
        <w:rPr>
          <w:rFonts w:hint="eastAsia" w:asciiTheme="minorEastAsia" w:hAnsiTheme="minorEastAsia" w:eastAsiaTheme="minorEastAsia"/>
          <w:color w:val="auto"/>
          <w:sz w:val="24"/>
        </w:rPr>
        <w:t>相关行业</w:t>
      </w:r>
      <w:r>
        <w:rPr>
          <w:rFonts w:asciiTheme="minorEastAsia" w:hAnsiTheme="minorEastAsia" w:eastAsiaTheme="minorEastAsia"/>
          <w:color w:val="auto"/>
          <w:sz w:val="24"/>
        </w:rPr>
        <w:t>颁发的规范和标准；</w:t>
      </w:r>
    </w:p>
    <w:p>
      <w:pPr>
        <w:adjustRightInd w:val="0"/>
        <w:snapToGrid w:val="0"/>
        <w:spacing w:line="360" w:lineRule="auto"/>
        <w:ind w:firstLine="240" w:firstLineChars="100"/>
        <w:rPr>
          <w:rFonts w:asciiTheme="minorEastAsia" w:hAnsiTheme="minorEastAsia" w:eastAsiaTheme="minorEastAsia"/>
          <w:color w:val="auto"/>
          <w:sz w:val="24"/>
        </w:rPr>
      </w:pPr>
      <w:r>
        <w:rPr>
          <w:rFonts w:hint="eastAsia" w:asciiTheme="minorEastAsia" w:hAnsiTheme="minorEastAsia" w:eastAsiaTheme="minorEastAsia"/>
          <w:color w:val="auto"/>
          <w:sz w:val="24"/>
        </w:rPr>
        <w:t>（3）</w:t>
      </w:r>
      <w:r>
        <w:rPr>
          <w:rFonts w:asciiTheme="minorEastAsia" w:hAnsiTheme="minorEastAsia" w:eastAsiaTheme="minorEastAsia"/>
          <w:color w:val="auto"/>
          <w:sz w:val="24"/>
        </w:rPr>
        <w:t>本项目的招标文件；</w:t>
      </w:r>
    </w:p>
    <w:p>
      <w:pPr>
        <w:adjustRightInd w:val="0"/>
        <w:snapToGrid w:val="0"/>
        <w:spacing w:line="360" w:lineRule="auto"/>
        <w:ind w:firstLine="240" w:firstLineChars="100"/>
        <w:rPr>
          <w:rFonts w:asciiTheme="minorEastAsia" w:hAnsiTheme="minorEastAsia" w:eastAsiaTheme="minorEastAsia"/>
          <w:color w:val="auto"/>
          <w:sz w:val="24"/>
        </w:rPr>
      </w:pPr>
      <w:bookmarkStart w:id="74" w:name="_Toc321405350"/>
      <w:r>
        <w:rPr>
          <w:rFonts w:hint="eastAsia" w:asciiTheme="minorEastAsia" w:hAnsiTheme="minorEastAsia" w:eastAsiaTheme="minorEastAsia"/>
          <w:color w:val="auto"/>
          <w:sz w:val="24"/>
        </w:rPr>
        <w:t>（4）</w:t>
      </w:r>
      <w:r>
        <w:rPr>
          <w:rFonts w:asciiTheme="minorEastAsia" w:hAnsiTheme="minorEastAsia" w:eastAsiaTheme="minorEastAsia"/>
          <w:color w:val="auto"/>
          <w:sz w:val="24"/>
        </w:rPr>
        <w:t>国家</w:t>
      </w:r>
      <w:r>
        <w:rPr>
          <w:rFonts w:hint="eastAsia" w:asciiTheme="minorEastAsia" w:hAnsiTheme="minorEastAsia" w:eastAsiaTheme="minorEastAsia"/>
          <w:color w:val="auto"/>
          <w:sz w:val="24"/>
        </w:rPr>
        <w:t>、地方及相关行业造价管理部门发布的价格信息；</w:t>
      </w:r>
      <w:bookmarkEnd w:id="74"/>
    </w:p>
    <w:p>
      <w:pPr>
        <w:spacing w:line="360" w:lineRule="auto"/>
        <w:ind w:firstLine="240" w:firstLineChars="100"/>
        <w:rPr>
          <w:rFonts w:asciiTheme="minorEastAsia" w:hAnsiTheme="minorEastAsia" w:eastAsiaTheme="minorEastAsia"/>
          <w:color w:val="auto"/>
          <w:sz w:val="24"/>
        </w:rPr>
      </w:pPr>
      <w:bookmarkStart w:id="75" w:name="_Toc321405351"/>
      <w:r>
        <w:rPr>
          <w:rFonts w:hint="eastAsia" w:asciiTheme="minorEastAsia" w:hAnsiTheme="minorEastAsia" w:eastAsiaTheme="minorEastAsia"/>
          <w:color w:val="auto"/>
          <w:sz w:val="24"/>
        </w:rPr>
        <w:t>（5）</w:t>
      </w:r>
      <w:r>
        <w:rPr>
          <w:rFonts w:asciiTheme="minorEastAsia" w:hAnsiTheme="minorEastAsia" w:eastAsiaTheme="minorEastAsia"/>
          <w:color w:val="auto"/>
          <w:sz w:val="24"/>
        </w:rPr>
        <w:t>招标文件规定的其他依据性文件。</w:t>
      </w:r>
      <w:bookmarkEnd w:id="75"/>
    </w:p>
    <w:p>
      <w:pPr>
        <w:pStyle w:val="78"/>
        <w:rPr>
          <w:rFonts w:asciiTheme="minorEastAsia" w:hAnsiTheme="minorEastAsia" w:eastAsiaTheme="minorEastAsia"/>
          <w:color w:val="auto"/>
        </w:rPr>
      </w:pPr>
      <w:bookmarkStart w:id="76" w:name="_Toc375896579"/>
      <w:bookmarkStart w:id="77" w:name="_Toc321405353"/>
      <w:r>
        <w:rPr>
          <w:rFonts w:hint="eastAsia" w:asciiTheme="minorEastAsia" w:hAnsiTheme="minorEastAsia" w:eastAsiaTheme="minorEastAsia"/>
          <w:color w:val="auto"/>
        </w:rPr>
        <w:t>6</w:t>
      </w:r>
      <w:r>
        <w:rPr>
          <w:rFonts w:asciiTheme="minorEastAsia" w:hAnsiTheme="minorEastAsia" w:eastAsiaTheme="minorEastAsia"/>
          <w:color w:val="auto"/>
        </w:rPr>
        <w:t>.</w:t>
      </w:r>
      <w:r>
        <w:rPr>
          <w:rFonts w:hint="eastAsia" w:asciiTheme="minorEastAsia" w:hAnsiTheme="minorEastAsia" w:eastAsiaTheme="minorEastAsia"/>
          <w:color w:val="auto"/>
        </w:rPr>
        <w:t>3</w:t>
      </w:r>
      <w:r>
        <w:rPr>
          <w:rFonts w:asciiTheme="minorEastAsia" w:hAnsiTheme="minorEastAsia" w:eastAsiaTheme="minorEastAsia"/>
          <w:color w:val="auto"/>
        </w:rPr>
        <w:t>工作原则和纪律</w:t>
      </w:r>
      <w:bookmarkEnd w:id="76"/>
      <w:bookmarkEnd w:id="77"/>
      <w:bookmarkStart w:id="78" w:name="_Toc321405354"/>
    </w:p>
    <w:p>
      <w:pPr>
        <w:pStyle w:val="78"/>
        <w:rPr>
          <w:rFonts w:asciiTheme="minorEastAsia" w:hAnsiTheme="minorEastAsia" w:eastAsiaTheme="minorEastAsia"/>
          <w:color w:val="auto"/>
        </w:rPr>
      </w:pPr>
      <w:r>
        <w:rPr>
          <w:rFonts w:hint="eastAsia" w:asciiTheme="minorEastAsia" w:hAnsiTheme="minorEastAsia" w:eastAsiaTheme="minorEastAsia"/>
          <w:color w:val="auto"/>
        </w:rPr>
        <w:t>6.3.1参加评标活动的所有人员（包括评标委员会成员、监督人员、公证人员、采购人和</w:t>
      </w:r>
      <w:r>
        <w:rPr>
          <w:rFonts w:asciiTheme="minorEastAsia" w:hAnsiTheme="minorEastAsia" w:eastAsiaTheme="minorEastAsia"/>
          <w:color w:val="auto"/>
        </w:rPr>
        <w:t>招标代理机构的工作人员）不得透漏对投标文件的评审和比较、中标候选人的推荐情况以及与评标有关的其他情况。</w:t>
      </w:r>
      <w:bookmarkEnd w:id="78"/>
    </w:p>
    <w:p>
      <w:pPr>
        <w:adjustRightInd w:val="0"/>
        <w:snapToGrid w:val="0"/>
        <w:spacing w:line="360" w:lineRule="auto"/>
        <w:ind w:firstLine="480" w:firstLineChars="200"/>
        <w:outlineLvl w:val="2"/>
        <w:rPr>
          <w:rFonts w:asciiTheme="minorEastAsia" w:hAnsiTheme="minorEastAsia" w:eastAsiaTheme="minorEastAsia"/>
          <w:color w:val="auto"/>
          <w:sz w:val="24"/>
        </w:rPr>
      </w:pPr>
      <w:bookmarkStart w:id="79" w:name="_Toc321405355"/>
      <w:r>
        <w:rPr>
          <w:rFonts w:hint="eastAsia" w:asciiTheme="minorEastAsia" w:hAnsiTheme="minorEastAsia" w:eastAsiaTheme="minorEastAsia"/>
          <w:color w:val="auto"/>
          <w:sz w:val="24"/>
        </w:rPr>
        <w:t>6</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3.2</w:t>
      </w:r>
      <w:r>
        <w:rPr>
          <w:rFonts w:asciiTheme="minorEastAsia" w:hAnsiTheme="minorEastAsia" w:eastAsiaTheme="minorEastAsia"/>
          <w:color w:val="auto"/>
          <w:sz w:val="24"/>
        </w:rPr>
        <w:t>评标委员会成员应当客观、公正地履行职责，遵守职业道德，依法对投标文件进行独立评审，提出评审意见，对所提出的评审意见承担个人责任，不受任何单位和个人的非法干预或影响。</w:t>
      </w:r>
      <w:bookmarkEnd w:id="79"/>
    </w:p>
    <w:p>
      <w:pPr>
        <w:adjustRightInd w:val="0"/>
        <w:snapToGrid w:val="0"/>
        <w:spacing w:line="360" w:lineRule="auto"/>
        <w:ind w:firstLine="480" w:firstLineChars="200"/>
        <w:outlineLvl w:val="2"/>
        <w:rPr>
          <w:rFonts w:asciiTheme="minorEastAsia" w:hAnsiTheme="minorEastAsia" w:eastAsiaTheme="minorEastAsia"/>
          <w:color w:val="auto"/>
          <w:sz w:val="24"/>
        </w:rPr>
      </w:pPr>
      <w:bookmarkStart w:id="80" w:name="_Toc321405356"/>
      <w:r>
        <w:rPr>
          <w:rFonts w:hint="eastAsia" w:asciiTheme="minorEastAsia" w:hAnsiTheme="minorEastAsia" w:eastAsiaTheme="minorEastAsia"/>
          <w:color w:val="auto"/>
          <w:sz w:val="24"/>
        </w:rPr>
        <w:t>6</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3.3</w:t>
      </w:r>
      <w:r>
        <w:rPr>
          <w:rFonts w:asciiTheme="minorEastAsia" w:hAnsiTheme="minorEastAsia" w:eastAsiaTheme="minorEastAsia"/>
          <w:color w:val="auto"/>
          <w:sz w:val="24"/>
        </w:rPr>
        <w:t>评标委员会成员不得对其他评委的评审意见施加影响，不得将投标文件带离评标地点评审，不得无故中途退出评标，不得复印、带走与评标有关的资料。</w:t>
      </w:r>
      <w:bookmarkEnd w:id="80"/>
    </w:p>
    <w:p>
      <w:pPr>
        <w:adjustRightInd w:val="0"/>
        <w:snapToGrid w:val="0"/>
        <w:spacing w:line="360" w:lineRule="auto"/>
        <w:ind w:firstLine="480" w:firstLineChars="200"/>
        <w:outlineLvl w:val="2"/>
        <w:rPr>
          <w:rFonts w:asciiTheme="minorEastAsia" w:hAnsiTheme="minorEastAsia" w:eastAsiaTheme="minorEastAsia"/>
          <w:color w:val="auto"/>
          <w:sz w:val="24"/>
        </w:rPr>
      </w:pPr>
      <w:bookmarkStart w:id="81" w:name="_Toc321405357"/>
      <w:r>
        <w:rPr>
          <w:rFonts w:hint="eastAsia" w:asciiTheme="minorEastAsia" w:hAnsiTheme="minorEastAsia" w:eastAsiaTheme="minorEastAsia"/>
          <w:color w:val="auto"/>
          <w:sz w:val="24"/>
        </w:rPr>
        <w:t>6</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3.4</w:t>
      </w:r>
      <w:r>
        <w:rPr>
          <w:rFonts w:asciiTheme="minorEastAsia" w:hAnsiTheme="minorEastAsia" w:eastAsiaTheme="minorEastAsia"/>
          <w:color w:val="auto"/>
          <w:sz w:val="24"/>
        </w:rPr>
        <w:t>评标委员会成员不得与任何投标人或者与招标结果有利害关系人进行私下接触，不得收受投标人、中介人、其他利害关系人的财物或者其他好处。</w:t>
      </w:r>
      <w:bookmarkEnd w:id="81"/>
    </w:p>
    <w:p>
      <w:pPr>
        <w:adjustRightInd w:val="0"/>
        <w:snapToGrid w:val="0"/>
        <w:spacing w:line="360" w:lineRule="auto"/>
        <w:ind w:firstLine="480" w:firstLineChars="200"/>
        <w:outlineLvl w:val="2"/>
        <w:rPr>
          <w:rFonts w:asciiTheme="minorEastAsia" w:hAnsiTheme="minorEastAsia" w:eastAsiaTheme="minorEastAsia"/>
          <w:color w:val="auto"/>
          <w:sz w:val="24"/>
        </w:rPr>
      </w:pPr>
      <w:bookmarkStart w:id="82" w:name="_Toc321405358"/>
      <w:r>
        <w:rPr>
          <w:rFonts w:hint="eastAsia" w:asciiTheme="minorEastAsia" w:hAnsiTheme="minorEastAsia" w:eastAsiaTheme="minorEastAsia"/>
          <w:color w:val="auto"/>
          <w:sz w:val="24"/>
        </w:rPr>
        <w:t>6</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3.5</w:t>
      </w:r>
      <w:r>
        <w:rPr>
          <w:rFonts w:asciiTheme="minorEastAsia" w:hAnsiTheme="minorEastAsia" w:eastAsiaTheme="minorEastAsia"/>
          <w:color w:val="auto"/>
          <w:sz w:val="24"/>
        </w:rPr>
        <w:t>在评标过程中，除非根据评标委员会的要求，</w:t>
      </w:r>
      <w:r>
        <w:rPr>
          <w:rFonts w:asciiTheme="minorEastAsia" w:hAnsiTheme="minorEastAsia" w:eastAsiaTheme="minorEastAsia"/>
          <w:bCs/>
          <w:color w:val="auto"/>
          <w:sz w:val="24"/>
        </w:rPr>
        <w:t>投标人不得主动与采购人和评标委员会成员接触，不得有任何游说、贿赂等影响评标委员会成员客观和公正地进行评标的行为</w:t>
      </w:r>
      <w:r>
        <w:rPr>
          <w:rFonts w:asciiTheme="minorEastAsia" w:hAnsiTheme="minorEastAsia" w:eastAsiaTheme="minorEastAsia"/>
          <w:color w:val="auto"/>
          <w:sz w:val="24"/>
        </w:rPr>
        <w:t>。投标人对采购人或评标委员会成员施加影响的任何企图和行为，将导致其投标无效。</w:t>
      </w:r>
      <w:bookmarkEnd w:id="82"/>
    </w:p>
    <w:p>
      <w:pPr>
        <w:pStyle w:val="78"/>
        <w:rPr>
          <w:rFonts w:asciiTheme="minorEastAsia" w:hAnsiTheme="minorEastAsia" w:eastAsiaTheme="minorEastAsia"/>
          <w:color w:val="auto"/>
        </w:rPr>
      </w:pPr>
      <w:r>
        <w:rPr>
          <w:rFonts w:hint="eastAsia" w:asciiTheme="minorEastAsia" w:hAnsiTheme="minorEastAsia" w:eastAsiaTheme="minorEastAsia"/>
          <w:color w:val="auto"/>
        </w:rPr>
        <w:t>6</w:t>
      </w:r>
      <w:r>
        <w:rPr>
          <w:rFonts w:asciiTheme="minorEastAsia" w:hAnsiTheme="minorEastAsia" w:eastAsiaTheme="minorEastAsia"/>
          <w:color w:val="auto"/>
        </w:rPr>
        <w:t>.</w:t>
      </w:r>
      <w:r>
        <w:rPr>
          <w:rFonts w:hint="eastAsia" w:asciiTheme="minorEastAsia" w:hAnsiTheme="minorEastAsia" w:eastAsiaTheme="minorEastAsia"/>
          <w:color w:val="auto"/>
        </w:rPr>
        <w:t>4投标文件的澄清：为了有助于投标文件的审查、评比和比较，根据需要，采购人可以要求投标人澄清其投标文件。有关澄清的要求与答复应采用书面形式，但不应寻求、提出或允许更改投标价格或投标文件的实质性内容。</w:t>
      </w:r>
    </w:p>
    <w:p>
      <w:pPr>
        <w:pStyle w:val="78"/>
        <w:rPr>
          <w:rFonts w:asciiTheme="minorEastAsia" w:hAnsiTheme="minorEastAsia" w:eastAsiaTheme="minorEastAsia"/>
          <w:color w:val="auto"/>
        </w:rPr>
      </w:pPr>
      <w:bookmarkStart w:id="83" w:name="_Toc532443999"/>
      <w:bookmarkStart w:id="84" w:name="_Toc62987590"/>
      <w:bookmarkStart w:id="85" w:name="_Toc61233470"/>
      <w:bookmarkStart w:id="86" w:name="_Toc152821126"/>
      <w:bookmarkStart w:id="87" w:name="_Toc152822562"/>
      <w:bookmarkStart w:id="88" w:name="_Toc152822955"/>
      <w:bookmarkStart w:id="89" w:name="_Toc152820396"/>
      <w:r>
        <w:rPr>
          <w:rFonts w:hint="eastAsia" w:asciiTheme="minorEastAsia" w:hAnsiTheme="minorEastAsia" w:eastAsiaTheme="minorEastAsia"/>
          <w:color w:val="auto"/>
        </w:rPr>
        <w:t>6</w:t>
      </w:r>
      <w:r>
        <w:rPr>
          <w:rFonts w:asciiTheme="minorEastAsia" w:hAnsiTheme="minorEastAsia" w:eastAsiaTheme="minorEastAsia"/>
          <w:color w:val="auto"/>
        </w:rPr>
        <w:t xml:space="preserve">.5 </w:t>
      </w:r>
      <w:r>
        <w:rPr>
          <w:rFonts w:hint="eastAsia" w:asciiTheme="minorEastAsia" w:hAnsiTheme="minorEastAsia" w:eastAsiaTheme="minorEastAsia"/>
          <w:color w:val="auto"/>
        </w:rPr>
        <w:t>评标程序：</w:t>
      </w:r>
    </w:p>
    <w:p>
      <w:pPr>
        <w:adjustRightInd w:val="0"/>
        <w:snapToGrid w:val="0"/>
        <w:spacing w:line="360" w:lineRule="auto"/>
        <w:ind w:firstLine="480" w:firstLineChars="200"/>
        <w:outlineLvl w:val="2"/>
        <w:rPr>
          <w:rFonts w:asciiTheme="minorEastAsia" w:hAnsiTheme="minorEastAsia" w:eastAsiaTheme="minorEastAsia"/>
          <w:color w:val="auto"/>
          <w:sz w:val="24"/>
        </w:rPr>
      </w:pPr>
      <w:bookmarkStart w:id="90" w:name="_8．__授予合同"/>
      <w:bookmarkEnd w:id="90"/>
      <w:r>
        <w:rPr>
          <w:rFonts w:hint="eastAsia" w:asciiTheme="minorEastAsia" w:hAnsiTheme="minorEastAsia" w:eastAsiaTheme="minorEastAsia"/>
          <w:color w:val="auto"/>
          <w:sz w:val="24"/>
        </w:rPr>
        <w:t>6.5.1 宣布评标会议开始；</w:t>
      </w:r>
    </w:p>
    <w:p>
      <w:pPr>
        <w:adjustRightInd w:val="0"/>
        <w:snapToGrid w:val="0"/>
        <w:spacing w:line="360" w:lineRule="auto"/>
        <w:ind w:firstLine="480" w:firstLineChars="200"/>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6.5.2 宣布评标纪律；</w:t>
      </w:r>
    </w:p>
    <w:p>
      <w:pPr>
        <w:adjustRightInd w:val="0"/>
        <w:snapToGrid w:val="0"/>
        <w:spacing w:line="360" w:lineRule="auto"/>
        <w:ind w:firstLine="480" w:firstLineChars="200"/>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6.5.3 投标单位按签到的顺序唱标；</w:t>
      </w:r>
    </w:p>
    <w:p>
      <w:pPr>
        <w:adjustRightInd w:val="0"/>
        <w:snapToGrid w:val="0"/>
        <w:spacing w:line="360" w:lineRule="auto"/>
        <w:ind w:firstLine="480" w:firstLineChars="200"/>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6.5.4 评委评阅投标文件；</w:t>
      </w:r>
    </w:p>
    <w:p>
      <w:pPr>
        <w:adjustRightInd w:val="0"/>
        <w:snapToGrid w:val="0"/>
        <w:spacing w:line="360" w:lineRule="auto"/>
        <w:ind w:firstLine="480" w:firstLineChars="200"/>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6.5.5 各评委根据评标细则逐项打分；</w:t>
      </w:r>
    </w:p>
    <w:p>
      <w:pPr>
        <w:adjustRightInd w:val="0"/>
        <w:snapToGrid w:val="0"/>
        <w:spacing w:line="360" w:lineRule="auto"/>
        <w:ind w:firstLine="480" w:firstLineChars="200"/>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6.5.6 根据各评委评分情况进行记录、统计、整理；排列各投标人得分先后顺序名单；</w:t>
      </w:r>
    </w:p>
    <w:p>
      <w:pPr>
        <w:adjustRightInd w:val="0"/>
        <w:snapToGrid w:val="0"/>
        <w:spacing w:line="360" w:lineRule="auto"/>
        <w:ind w:firstLine="480" w:firstLineChars="200"/>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6.5.7 宣布评标会议结束；</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6.6 评标细则：见本章附件评分细则。</w:t>
      </w:r>
    </w:p>
    <w:p>
      <w:pPr>
        <w:pStyle w:val="78"/>
        <w:rPr>
          <w:rFonts w:asciiTheme="minorEastAsia" w:hAnsiTheme="minorEastAsia" w:eastAsiaTheme="minorEastAsia"/>
          <w:color w:val="auto"/>
        </w:rPr>
      </w:pPr>
      <w:bookmarkStart w:id="91" w:name="_Toc321405393"/>
      <w:bookmarkStart w:id="92" w:name="_Toc375896580"/>
      <w:r>
        <w:rPr>
          <w:rFonts w:hint="eastAsia" w:asciiTheme="minorEastAsia" w:hAnsiTheme="minorEastAsia" w:eastAsiaTheme="minorEastAsia"/>
          <w:color w:val="auto"/>
        </w:rPr>
        <w:t>6.7</w:t>
      </w:r>
      <w:r>
        <w:rPr>
          <w:rFonts w:asciiTheme="minorEastAsia" w:hAnsiTheme="minorEastAsia" w:eastAsiaTheme="minorEastAsia"/>
          <w:color w:val="auto"/>
        </w:rPr>
        <w:t>评标报告</w:t>
      </w:r>
      <w:bookmarkEnd w:id="91"/>
      <w:bookmarkEnd w:id="92"/>
    </w:p>
    <w:p>
      <w:pPr>
        <w:adjustRightInd w:val="0"/>
        <w:snapToGrid w:val="0"/>
        <w:spacing w:line="360" w:lineRule="auto"/>
        <w:ind w:firstLine="480" w:firstLineChars="200"/>
        <w:outlineLvl w:val="2"/>
        <w:rPr>
          <w:rFonts w:asciiTheme="minorEastAsia" w:hAnsiTheme="minorEastAsia" w:eastAsiaTheme="minorEastAsia"/>
          <w:color w:val="auto"/>
          <w:sz w:val="24"/>
        </w:rPr>
      </w:pPr>
      <w:bookmarkStart w:id="93" w:name="_Toc375896581"/>
      <w:r>
        <w:rPr>
          <w:rFonts w:hint="eastAsia" w:asciiTheme="minorEastAsia" w:hAnsiTheme="minorEastAsia" w:eastAsiaTheme="minorEastAsia"/>
          <w:color w:val="auto"/>
          <w:sz w:val="24"/>
        </w:rPr>
        <w:t>6.7.1</w:t>
      </w:r>
      <w:r>
        <w:rPr>
          <w:rFonts w:asciiTheme="minorEastAsia" w:hAnsiTheme="minorEastAsia" w:eastAsiaTheme="minorEastAsia"/>
          <w:color w:val="auto"/>
          <w:sz w:val="24"/>
        </w:rPr>
        <w:t>评标委员会完成评审和推荐中标候选人工作后，应及时整理评审成果，并在此基础上编写书面评标报告。评标报告应当包括如下内容：</w:t>
      </w:r>
      <w:bookmarkEnd w:id="93"/>
    </w:p>
    <w:p>
      <w:pPr>
        <w:pStyle w:val="54"/>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（1）评标委员会成员名单及签到记录；</w:t>
      </w:r>
    </w:p>
    <w:p>
      <w:pPr>
        <w:pStyle w:val="54"/>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（2）评</w:t>
      </w:r>
      <w:r>
        <w:rPr>
          <w:rFonts w:hint="eastAsia" w:asciiTheme="minorEastAsia" w:hAnsiTheme="minorEastAsia" w:eastAsiaTheme="minorEastAsia"/>
          <w:color w:val="auto"/>
          <w:sz w:val="24"/>
        </w:rPr>
        <w:t>委</w:t>
      </w:r>
      <w:r>
        <w:rPr>
          <w:rFonts w:asciiTheme="minorEastAsia" w:hAnsiTheme="minorEastAsia" w:eastAsiaTheme="minorEastAsia"/>
          <w:color w:val="auto"/>
          <w:sz w:val="24"/>
        </w:rPr>
        <w:t>声明书；</w:t>
      </w:r>
    </w:p>
    <w:p>
      <w:pPr>
        <w:pStyle w:val="54"/>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（3）</w:t>
      </w:r>
      <w:r>
        <w:rPr>
          <w:rFonts w:hint="eastAsia" w:asciiTheme="minorEastAsia" w:hAnsiTheme="minorEastAsia" w:eastAsiaTheme="minorEastAsia"/>
          <w:color w:val="auto"/>
          <w:sz w:val="24"/>
        </w:rPr>
        <w:t>初步评审记录；</w:t>
      </w:r>
    </w:p>
    <w:p>
      <w:pPr>
        <w:pStyle w:val="54"/>
        <w:tabs>
          <w:tab w:val="left" w:pos="720"/>
        </w:tabs>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（4）</w:t>
      </w:r>
      <w:r>
        <w:rPr>
          <w:rFonts w:hint="eastAsia" w:asciiTheme="minorEastAsia" w:hAnsiTheme="minorEastAsia" w:eastAsiaTheme="minorEastAsia"/>
          <w:color w:val="auto"/>
          <w:sz w:val="24"/>
        </w:rPr>
        <w:t>详细评审记录；</w:t>
      </w:r>
    </w:p>
    <w:p>
      <w:pPr>
        <w:pStyle w:val="54"/>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（5）对投标文件的质疑、澄清、说明或补正记录；</w:t>
      </w:r>
    </w:p>
    <w:p>
      <w:pPr>
        <w:pStyle w:val="54"/>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（6）否决投标情况说明</w:t>
      </w:r>
      <w:r>
        <w:rPr>
          <w:rFonts w:hint="eastAsia" w:asciiTheme="minorEastAsia" w:hAnsiTheme="minorEastAsia" w:eastAsiaTheme="minorEastAsia"/>
          <w:color w:val="auto"/>
          <w:sz w:val="24"/>
        </w:rPr>
        <w:t>（若有）</w:t>
      </w:r>
      <w:r>
        <w:rPr>
          <w:rFonts w:asciiTheme="minorEastAsia" w:hAnsiTheme="minorEastAsia" w:eastAsiaTheme="minorEastAsia"/>
          <w:color w:val="auto"/>
          <w:sz w:val="24"/>
        </w:rPr>
        <w:t>；</w:t>
      </w:r>
    </w:p>
    <w:p>
      <w:pPr>
        <w:pStyle w:val="54"/>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（7）各评委评分汇总及得分换算记录；</w:t>
      </w:r>
    </w:p>
    <w:p>
      <w:pPr>
        <w:pStyle w:val="54"/>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（8）评标结果汇总排序记录；</w:t>
      </w:r>
    </w:p>
    <w:p>
      <w:pPr>
        <w:pStyle w:val="54"/>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（9）推荐的中标候选人名单与签订合同前要处理的事宜；</w:t>
      </w:r>
    </w:p>
    <w:p>
      <w:pPr>
        <w:pStyle w:val="54"/>
        <w:autoSpaceDE w:val="0"/>
        <w:autoSpaceDN w:val="0"/>
        <w:adjustRightInd w:val="0"/>
        <w:snapToGrid w:val="0"/>
        <w:spacing w:after="0"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（10）需要说明的其他内容。</w:t>
      </w:r>
    </w:p>
    <w:p>
      <w:pPr>
        <w:adjustRightInd w:val="0"/>
        <w:snapToGrid w:val="0"/>
        <w:spacing w:line="360" w:lineRule="auto"/>
        <w:ind w:firstLine="480" w:firstLineChars="200"/>
        <w:outlineLvl w:val="2"/>
        <w:rPr>
          <w:rFonts w:asciiTheme="minorEastAsia" w:hAnsiTheme="minorEastAsia" w:eastAsiaTheme="minorEastAsia"/>
          <w:color w:val="auto"/>
          <w:sz w:val="24"/>
        </w:rPr>
      </w:pPr>
      <w:bookmarkStart w:id="94" w:name="_Toc321405394"/>
      <w:r>
        <w:rPr>
          <w:rFonts w:hint="eastAsia" w:asciiTheme="minorEastAsia" w:hAnsiTheme="minorEastAsia" w:eastAsiaTheme="minorEastAsia"/>
          <w:color w:val="auto"/>
          <w:sz w:val="24"/>
        </w:rPr>
        <w:t>6.7.2</w:t>
      </w:r>
      <w:r>
        <w:rPr>
          <w:rFonts w:asciiTheme="minorEastAsia" w:hAnsiTheme="minorEastAsia" w:eastAsiaTheme="minorEastAsia"/>
          <w:color w:val="auto"/>
          <w:sz w:val="24"/>
        </w:rPr>
        <w:t>书面评标报告应由评标委员会全体成员签字，监督人员审核确认后提交采购人。评标过程中使用的文件、表格以及其他资料应当即时归还采购人。</w:t>
      </w:r>
      <w:bookmarkEnd w:id="94"/>
    </w:p>
    <w:p>
      <w:pPr>
        <w:adjustRightInd w:val="0"/>
        <w:snapToGrid w:val="0"/>
        <w:spacing w:line="360" w:lineRule="auto"/>
        <w:ind w:firstLine="480" w:firstLineChars="200"/>
        <w:outlineLvl w:val="2"/>
        <w:rPr>
          <w:rFonts w:asciiTheme="minorEastAsia" w:hAnsiTheme="minorEastAsia" w:eastAsiaTheme="minorEastAsia"/>
          <w:color w:val="auto"/>
          <w:sz w:val="24"/>
        </w:rPr>
      </w:pPr>
      <w:bookmarkStart w:id="95" w:name="_Toc321405395"/>
      <w:r>
        <w:rPr>
          <w:rFonts w:hint="eastAsia" w:asciiTheme="minorEastAsia" w:hAnsiTheme="minorEastAsia" w:eastAsiaTheme="minorEastAsia"/>
          <w:color w:val="auto"/>
          <w:sz w:val="24"/>
        </w:rPr>
        <w:t>6.7.3</w:t>
      </w:r>
      <w:r>
        <w:rPr>
          <w:rFonts w:asciiTheme="minorEastAsia" w:hAnsiTheme="minorEastAsia" w:eastAsiaTheme="minorEastAsia"/>
          <w:color w:val="auto"/>
          <w:sz w:val="24"/>
        </w:rPr>
        <w:t>对评标结论持有异议的评标委员会成员可以书面形式阐述其不同意见和理由。评标委员会成员拒绝在评标报告上签字且不陈述其不同意见和理由的，视为同意评标结论。评标委员会应当对此</w:t>
      </w:r>
      <w:r>
        <w:rPr>
          <w:rFonts w:hint="eastAsia" w:asciiTheme="minorEastAsia" w:hAnsiTheme="minorEastAsia" w:eastAsiaTheme="minorEastAsia"/>
          <w:color w:val="auto"/>
          <w:sz w:val="24"/>
        </w:rPr>
        <w:t>做</w:t>
      </w:r>
      <w:r>
        <w:rPr>
          <w:rFonts w:asciiTheme="minorEastAsia" w:hAnsiTheme="minorEastAsia" w:eastAsiaTheme="minorEastAsia"/>
          <w:color w:val="auto"/>
          <w:sz w:val="24"/>
        </w:rPr>
        <w:t>出书面说明并记录在案。</w:t>
      </w:r>
      <w:bookmarkEnd w:id="95"/>
    </w:p>
    <w:p>
      <w:pPr>
        <w:pStyle w:val="78"/>
        <w:rPr>
          <w:rFonts w:asciiTheme="minorEastAsia" w:hAnsiTheme="minorEastAsia" w:eastAsiaTheme="minorEastAsia"/>
          <w:color w:val="auto"/>
        </w:rPr>
      </w:pPr>
      <w:r>
        <w:rPr>
          <w:rFonts w:hint="eastAsia" w:asciiTheme="minorEastAsia" w:hAnsiTheme="minorEastAsia" w:eastAsiaTheme="minorEastAsia"/>
          <w:color w:val="auto"/>
        </w:rPr>
        <w:t>6.8 招标领导小组将根据评标结果和评标报告，推荐中标单位。</w:t>
      </w:r>
    </w:p>
    <w:p>
      <w:pPr>
        <w:pStyle w:val="4"/>
        <w:rPr>
          <w:rFonts w:asciiTheme="minorEastAsia" w:hAnsiTheme="minorEastAsia" w:eastAsiaTheme="minorEastAsia"/>
          <w:color w:val="auto"/>
          <w:sz w:val="28"/>
          <w:szCs w:val="28"/>
        </w:rPr>
      </w:pPr>
      <w:bookmarkStart w:id="96" w:name="_Toc163111244"/>
      <w:bookmarkStart w:id="97" w:name="_Toc507692316"/>
      <w:r>
        <w:rPr>
          <w:rFonts w:hint="eastAsia" w:asciiTheme="minorEastAsia" w:hAnsiTheme="minorEastAsia" w:eastAsiaTheme="minorEastAsia"/>
          <w:color w:val="auto"/>
          <w:sz w:val="28"/>
          <w:szCs w:val="28"/>
        </w:rPr>
        <w:t>7授予合同</w:t>
      </w:r>
      <w:bookmarkEnd w:id="96"/>
      <w:bookmarkEnd w:id="97"/>
    </w:p>
    <w:p>
      <w:pPr>
        <w:pStyle w:val="78"/>
        <w:rPr>
          <w:rFonts w:asciiTheme="minorEastAsia" w:hAnsiTheme="minorEastAsia" w:eastAsiaTheme="minorEastAsia"/>
          <w:color w:val="auto"/>
        </w:rPr>
      </w:pPr>
      <w:r>
        <w:rPr>
          <w:rFonts w:hint="eastAsia" w:asciiTheme="minorEastAsia" w:hAnsiTheme="minorEastAsia" w:eastAsiaTheme="minorEastAsia"/>
          <w:color w:val="auto"/>
        </w:rPr>
        <w:t>7.1 采购人在合同签署前的任何时候均有权接受或拒绝任何投标人对评标结果的疑问，并对由此引起的对投标人的影响不承担任何责任，也无义务向投标人说明原因。</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7.2 中标通知</w:t>
      </w:r>
    </w:p>
    <w:p>
      <w:pPr>
        <w:adjustRightInd w:val="0"/>
        <w:snapToGrid w:val="0"/>
        <w:spacing w:line="360" w:lineRule="auto"/>
        <w:ind w:firstLine="480" w:firstLineChars="200"/>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7.2.1在采购人规定的投标有效期内，采购人将以书面形式通知中标人，确认其投标文件被接受，明确签署合同的时间和地点。</w:t>
      </w:r>
    </w:p>
    <w:p>
      <w:pPr>
        <w:adjustRightInd w:val="0"/>
        <w:snapToGrid w:val="0"/>
        <w:spacing w:line="360" w:lineRule="auto"/>
        <w:ind w:firstLine="480" w:firstLineChars="200"/>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7.2.2在中标人提交了履约保证金后，采购人将及时以书面形式把未中标通知发给其他投标人。</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7.3 合同的签署</w:t>
      </w:r>
    </w:p>
    <w:p>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中标单位按《中标通知书》中规定的时间和地点，由法定代表人（或其授权代表）与采购人签署合同。合同一经采购人和中标人签字后立即生效。</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7</w:t>
      </w:r>
      <w:r>
        <w:rPr>
          <w:rFonts w:asciiTheme="minorEastAsia" w:hAnsiTheme="minorEastAsia" w:eastAsiaTheme="minorEastAsia"/>
          <w:color w:val="auto"/>
        </w:rPr>
        <w:t>.</w:t>
      </w:r>
      <w:r>
        <w:rPr>
          <w:rFonts w:hint="eastAsia" w:asciiTheme="minorEastAsia" w:hAnsiTheme="minorEastAsia" w:eastAsiaTheme="minorEastAsia"/>
          <w:color w:val="auto"/>
        </w:rPr>
        <w:t>4 如果中标人拒绝签订合同，采购人将废除其中标资格。</w:t>
      </w:r>
    </w:p>
    <w:p>
      <w:pPr>
        <w:pStyle w:val="78"/>
        <w:rPr>
          <w:rFonts w:asciiTheme="minorEastAsia" w:hAnsiTheme="minorEastAsia" w:eastAsiaTheme="minorEastAsia"/>
          <w:color w:val="auto"/>
        </w:rPr>
      </w:pPr>
      <w:r>
        <w:rPr>
          <w:rFonts w:hint="eastAsia" w:asciiTheme="minorEastAsia" w:hAnsiTheme="minorEastAsia" w:eastAsiaTheme="minorEastAsia"/>
          <w:color w:val="auto"/>
        </w:rPr>
        <w:t>7</w:t>
      </w:r>
      <w:r>
        <w:rPr>
          <w:rFonts w:asciiTheme="minorEastAsia" w:hAnsiTheme="minorEastAsia" w:eastAsiaTheme="minorEastAsia"/>
          <w:color w:val="auto"/>
        </w:rPr>
        <w:t>.</w:t>
      </w:r>
      <w:r>
        <w:rPr>
          <w:rFonts w:hint="eastAsia" w:asciiTheme="minorEastAsia" w:hAnsiTheme="minorEastAsia" w:eastAsiaTheme="minorEastAsia"/>
          <w:color w:val="auto"/>
        </w:rPr>
        <w:t>5 中标人中标资格被废除后，采购人将按照评标委员会评选的中标顺序顺次选定投标人作为新的中标单位。</w:t>
      </w:r>
    </w:p>
    <w:p>
      <w:pPr>
        <w:keepNext w:val="0"/>
        <w:keepLines w:val="0"/>
        <w:pageBreakBefore w:val="0"/>
        <w:kinsoku/>
        <w:wordWrap/>
        <w:overflowPunct/>
        <w:topLinePunct w:val="0"/>
        <w:autoSpaceDE/>
        <w:autoSpaceDN/>
        <w:bidi w:val="0"/>
        <w:adjustRightInd/>
        <w:snapToGrid/>
        <w:spacing w:line="440" w:lineRule="exact"/>
        <w:textAlignment w:val="auto"/>
        <w:rPr>
          <w:rFonts w:asciiTheme="minorEastAsia" w:hAnsiTheme="minorEastAsia" w:eastAsiaTheme="minorEastAsia"/>
          <w:b/>
          <w:color w:val="auto"/>
          <w:sz w:val="24"/>
          <w:szCs w:val="24"/>
        </w:rPr>
      </w:pPr>
      <w:r>
        <w:rPr>
          <w:rFonts w:asciiTheme="minorEastAsia" w:hAnsiTheme="minorEastAsia" w:eastAsiaTheme="minorEastAsia"/>
          <w:color w:val="auto"/>
          <w:sz w:val="24"/>
        </w:rPr>
        <w:br w:type="page"/>
      </w:r>
      <w:r>
        <w:rPr>
          <w:rFonts w:hint="eastAsia" w:asciiTheme="minorEastAsia" w:hAnsiTheme="minorEastAsia" w:eastAsiaTheme="minorEastAsia"/>
          <w:b/>
          <w:color w:val="auto"/>
          <w:sz w:val="24"/>
          <w:szCs w:val="24"/>
        </w:rPr>
        <w:t>附件：评分细则</w:t>
      </w:r>
    </w:p>
    <w:p>
      <w:pPr>
        <w:keepNext w:val="0"/>
        <w:keepLines w:val="0"/>
        <w:pageBreakBefore w:val="0"/>
        <w:widowControl/>
        <w:kinsoku/>
        <w:wordWrap/>
        <w:overflowPunct/>
        <w:topLinePunct w:val="0"/>
        <w:autoSpaceDE/>
        <w:autoSpaceDN/>
        <w:bidi w:val="0"/>
        <w:adjustRightInd/>
        <w:snapToGrid/>
        <w:spacing w:line="440" w:lineRule="exact"/>
        <w:jc w:val="left"/>
        <w:textAlignment w:val="auto"/>
        <w:outlineLvl w:val="0"/>
        <w:rPr>
          <w:rFonts w:ascii="宋体" w:hAnsi="宋体" w:cs="宋体"/>
          <w:b/>
          <w:color w:val="auto"/>
          <w:kern w:val="0"/>
          <w:sz w:val="24"/>
          <w:szCs w:val="24"/>
        </w:rPr>
      </w:pPr>
      <w:r>
        <w:rPr>
          <w:rFonts w:hint="eastAsia" w:ascii="宋体" w:hAnsi="宋体" w:cs="宋体"/>
          <w:color w:val="auto"/>
          <w:kern w:val="0"/>
          <w:sz w:val="24"/>
          <w:szCs w:val="24"/>
        </w:rPr>
        <w:t xml:space="preserve"> </w:t>
      </w:r>
      <w:r>
        <w:rPr>
          <w:rFonts w:hint="eastAsia" w:ascii="宋体" w:hAnsi="宋体" w:cs="宋体"/>
          <w:b/>
          <w:color w:val="auto"/>
          <w:kern w:val="0"/>
          <w:sz w:val="24"/>
          <w:szCs w:val="24"/>
        </w:rPr>
        <w:t>（一）1包、2包、3包、4包评分表</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 xml:space="preserve">    1、商务评分（45分）</w:t>
      </w:r>
    </w:p>
    <w:tbl>
      <w:tblPr>
        <w:tblStyle w:val="65"/>
        <w:tblW w:w="9763"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5"/>
        <w:gridCol w:w="7138"/>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序号</w:t>
            </w:r>
          </w:p>
        </w:tc>
        <w:tc>
          <w:tcPr>
            <w:tcW w:w="1225"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评分项</w:t>
            </w:r>
          </w:p>
        </w:tc>
        <w:tc>
          <w:tcPr>
            <w:tcW w:w="71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评分标准</w:t>
            </w:r>
          </w:p>
        </w:tc>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3" w:hRule="atLeast"/>
        </w:trPr>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c>
          <w:tcPr>
            <w:tcW w:w="1225"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团队实力 (15分)</w:t>
            </w:r>
          </w:p>
        </w:tc>
        <w:tc>
          <w:tcPr>
            <w:tcW w:w="71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（1）投标人本项目投入的项目负责人具有测绘专业高级工程师职称得1分，同时具备注册测绘师资格的加1分。最多得2分。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（2）投标人本项目投入的技术负责人具有测绘专业高级工程师职称得1分，同时具备注册测绘师资格的加1分。最多得2分。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（3）投标人本项目投入的质量负责人具有测绘专业高级工程师职称得1分，同时具备注册测绘师资格的加1分。最多得2分。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（4）投标人本项目投入的专业技术人员具有测绘专业工程师及以上职称每</w:t>
            </w:r>
            <w:r>
              <w:rPr>
                <w:rFonts w:ascii="宋体" w:hAnsi="宋体" w:cs="宋体"/>
                <w:color w:val="auto"/>
                <w:kern w:val="0"/>
                <w:sz w:val="24"/>
                <w:szCs w:val="24"/>
              </w:rPr>
              <w:t xml:space="preserve">4 </w:t>
            </w:r>
            <w:r>
              <w:rPr>
                <w:rFonts w:hint="eastAsia" w:ascii="宋体" w:hAnsi="宋体" w:cs="宋体"/>
                <w:color w:val="auto"/>
                <w:kern w:val="0"/>
                <w:sz w:val="24"/>
                <w:szCs w:val="24"/>
              </w:rPr>
              <w:t>人得</w:t>
            </w:r>
            <w:r>
              <w:rPr>
                <w:rFonts w:ascii="宋体" w:hAnsi="宋体" w:cs="宋体"/>
                <w:color w:val="auto"/>
                <w:kern w:val="0"/>
                <w:sz w:val="24"/>
                <w:szCs w:val="24"/>
              </w:rPr>
              <w:t xml:space="preserve">1 </w:t>
            </w:r>
            <w:r>
              <w:rPr>
                <w:rFonts w:hint="eastAsia" w:ascii="宋体" w:hAnsi="宋体" w:cs="宋体"/>
                <w:color w:val="auto"/>
                <w:kern w:val="0"/>
                <w:sz w:val="24"/>
                <w:szCs w:val="24"/>
              </w:rPr>
              <w:t>分。最多得</w:t>
            </w:r>
            <w:r>
              <w:rPr>
                <w:rFonts w:ascii="宋体" w:hAnsi="宋体" w:cs="宋体"/>
                <w:color w:val="auto"/>
                <w:kern w:val="0"/>
                <w:sz w:val="24"/>
                <w:szCs w:val="24"/>
              </w:rPr>
              <w:t xml:space="preserve">4 </w:t>
            </w:r>
            <w:r>
              <w:rPr>
                <w:rFonts w:hint="eastAsia" w:ascii="宋体" w:hAnsi="宋体" w:cs="宋体"/>
                <w:color w:val="auto"/>
                <w:kern w:val="0"/>
                <w:sz w:val="24"/>
                <w:szCs w:val="24"/>
              </w:rPr>
              <w:t>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（5）除（1）、</w:t>
            </w:r>
            <w:r>
              <w:rPr>
                <w:rFonts w:ascii="宋体" w:hAnsi="宋体" w:cs="宋体"/>
                <w:color w:val="auto"/>
                <w:kern w:val="0"/>
                <w:sz w:val="24"/>
                <w:szCs w:val="24"/>
              </w:rPr>
              <w:t>(2</w:t>
            </w:r>
            <w:r>
              <w:rPr>
                <w:rFonts w:hint="eastAsia" w:ascii="宋体" w:hAnsi="宋体" w:cs="宋体"/>
                <w:color w:val="auto"/>
                <w:kern w:val="0"/>
                <w:sz w:val="24"/>
                <w:szCs w:val="24"/>
              </w:rPr>
              <w:t>）、</w:t>
            </w:r>
            <w:r>
              <w:rPr>
                <w:rFonts w:ascii="宋体" w:hAnsi="宋体" w:cs="宋体"/>
                <w:color w:val="auto"/>
                <w:kern w:val="0"/>
                <w:sz w:val="24"/>
                <w:szCs w:val="24"/>
              </w:rPr>
              <w:t>(3</w:t>
            </w:r>
            <w:r>
              <w:rPr>
                <w:rFonts w:hint="eastAsia" w:ascii="宋体" w:hAnsi="宋体" w:cs="宋体"/>
                <w:color w:val="auto"/>
                <w:kern w:val="0"/>
                <w:sz w:val="24"/>
                <w:szCs w:val="24"/>
              </w:rPr>
              <w:t>）、</w:t>
            </w:r>
            <w:r>
              <w:rPr>
                <w:rFonts w:ascii="宋体" w:hAnsi="宋体" w:cs="宋体"/>
                <w:color w:val="auto"/>
                <w:kern w:val="0"/>
                <w:sz w:val="24"/>
                <w:szCs w:val="24"/>
              </w:rPr>
              <w:t>(4</w:t>
            </w:r>
            <w:r>
              <w:rPr>
                <w:rFonts w:hint="eastAsia" w:ascii="宋体" w:hAnsi="宋体" w:cs="宋体"/>
                <w:color w:val="auto"/>
                <w:kern w:val="0"/>
                <w:sz w:val="24"/>
                <w:szCs w:val="24"/>
              </w:rPr>
              <w:t>）外，投入的测绘专业技术人员</w:t>
            </w:r>
            <w:r>
              <w:rPr>
                <w:rFonts w:ascii="宋体" w:hAnsi="宋体" w:cs="宋体"/>
                <w:color w:val="auto"/>
                <w:kern w:val="0"/>
                <w:sz w:val="24"/>
                <w:szCs w:val="24"/>
              </w:rPr>
              <w:t>60</w:t>
            </w:r>
            <w:r>
              <w:rPr>
                <w:rFonts w:hint="eastAsia" w:ascii="宋体" w:hAnsi="宋体" w:cs="宋体"/>
                <w:color w:val="auto"/>
                <w:kern w:val="0"/>
                <w:sz w:val="24"/>
                <w:szCs w:val="24"/>
              </w:rPr>
              <w:t>（含）人以上者得</w:t>
            </w:r>
            <w:r>
              <w:rPr>
                <w:rFonts w:ascii="宋体" w:hAnsi="宋体" w:cs="宋体"/>
                <w:color w:val="auto"/>
                <w:kern w:val="0"/>
                <w:sz w:val="24"/>
                <w:szCs w:val="24"/>
              </w:rPr>
              <w:t xml:space="preserve">5 </w:t>
            </w:r>
            <w:r>
              <w:rPr>
                <w:rFonts w:hint="eastAsia" w:ascii="宋体" w:hAnsi="宋体" w:cs="宋体"/>
                <w:color w:val="auto"/>
                <w:kern w:val="0"/>
                <w:sz w:val="24"/>
                <w:szCs w:val="24"/>
              </w:rPr>
              <w:t>分，</w:t>
            </w:r>
            <w:r>
              <w:rPr>
                <w:rFonts w:ascii="宋体" w:hAnsi="宋体" w:cs="宋体"/>
                <w:color w:val="auto"/>
                <w:kern w:val="0"/>
                <w:sz w:val="24"/>
                <w:szCs w:val="24"/>
              </w:rPr>
              <w:t xml:space="preserve"> 59 </w:t>
            </w:r>
            <w:r>
              <w:rPr>
                <w:rFonts w:hint="eastAsia" w:ascii="宋体" w:hAnsi="宋体" w:cs="宋体"/>
                <w:color w:val="auto"/>
                <w:kern w:val="0"/>
                <w:sz w:val="24"/>
                <w:szCs w:val="24"/>
              </w:rPr>
              <w:t>人〈含）至50</w:t>
            </w:r>
            <w:r>
              <w:rPr>
                <w:rFonts w:ascii="宋体" w:hAnsi="宋体" w:cs="宋体"/>
                <w:color w:val="auto"/>
                <w:kern w:val="0"/>
                <w:sz w:val="24"/>
                <w:szCs w:val="24"/>
              </w:rPr>
              <w:t xml:space="preserve"> </w:t>
            </w:r>
            <w:r>
              <w:rPr>
                <w:rFonts w:hint="eastAsia" w:ascii="宋体" w:hAnsi="宋体" w:cs="宋体"/>
                <w:color w:val="auto"/>
                <w:kern w:val="0"/>
                <w:sz w:val="24"/>
                <w:szCs w:val="24"/>
              </w:rPr>
              <w:t>人〈含）得</w:t>
            </w:r>
            <w:r>
              <w:rPr>
                <w:rFonts w:ascii="宋体" w:hAnsi="宋体" w:cs="宋体"/>
                <w:color w:val="auto"/>
                <w:kern w:val="0"/>
                <w:sz w:val="24"/>
                <w:szCs w:val="24"/>
              </w:rPr>
              <w:t xml:space="preserve">4 </w:t>
            </w:r>
            <w:r>
              <w:rPr>
                <w:rFonts w:hint="eastAsia" w:ascii="宋体" w:hAnsi="宋体" w:cs="宋体"/>
                <w:color w:val="auto"/>
                <w:kern w:val="0"/>
                <w:sz w:val="24"/>
                <w:szCs w:val="24"/>
              </w:rPr>
              <w:t>分，49人（含）至</w:t>
            </w:r>
            <w:r>
              <w:rPr>
                <w:rFonts w:ascii="宋体" w:hAnsi="宋体" w:cs="宋体"/>
                <w:color w:val="auto"/>
                <w:kern w:val="0"/>
                <w:sz w:val="24"/>
                <w:szCs w:val="24"/>
              </w:rPr>
              <w:t xml:space="preserve">30 </w:t>
            </w:r>
            <w:r>
              <w:rPr>
                <w:rFonts w:hint="eastAsia" w:ascii="宋体" w:hAnsi="宋体" w:cs="宋体"/>
                <w:color w:val="auto"/>
                <w:kern w:val="0"/>
                <w:sz w:val="24"/>
                <w:szCs w:val="24"/>
              </w:rPr>
              <w:t>人（含）得</w:t>
            </w:r>
            <w:r>
              <w:rPr>
                <w:rFonts w:ascii="宋体" w:hAnsi="宋体" w:cs="宋体"/>
                <w:color w:val="auto"/>
                <w:kern w:val="0"/>
                <w:sz w:val="24"/>
                <w:szCs w:val="24"/>
              </w:rPr>
              <w:t xml:space="preserve">3 </w:t>
            </w:r>
            <w:r>
              <w:rPr>
                <w:rFonts w:hint="eastAsia" w:ascii="宋体" w:hAnsi="宋体" w:cs="宋体"/>
                <w:color w:val="auto"/>
                <w:kern w:val="0"/>
                <w:sz w:val="24"/>
                <w:szCs w:val="24"/>
              </w:rPr>
              <w:t>分，否则</w:t>
            </w:r>
            <w:r>
              <w:rPr>
                <w:rFonts w:ascii="宋体" w:hAnsi="宋体" w:cs="宋体"/>
                <w:color w:val="auto"/>
                <w:kern w:val="0"/>
                <w:sz w:val="24"/>
                <w:szCs w:val="24"/>
              </w:rPr>
              <w:t xml:space="preserve">0 </w:t>
            </w:r>
            <w:r>
              <w:rPr>
                <w:rFonts w:hint="eastAsia" w:ascii="宋体" w:hAnsi="宋体" w:cs="宋体"/>
                <w:color w:val="auto"/>
                <w:kern w:val="0"/>
                <w:sz w:val="24"/>
                <w:szCs w:val="24"/>
              </w:rPr>
              <w:t>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w:t>
            </w:r>
            <w:r>
              <w:rPr>
                <w:rFonts w:ascii="宋体" w:hAnsi="宋体" w:cs="宋体"/>
                <w:color w:val="auto"/>
                <w:kern w:val="0"/>
                <w:sz w:val="24"/>
                <w:szCs w:val="24"/>
              </w:rPr>
              <w:t>以上</w:t>
            </w:r>
            <w:r>
              <w:rPr>
                <w:rFonts w:hint="eastAsia" w:ascii="宋体" w:hAnsi="宋体" w:cs="宋体"/>
                <w:color w:val="auto"/>
                <w:kern w:val="0"/>
                <w:sz w:val="24"/>
                <w:szCs w:val="24"/>
              </w:rPr>
              <w:t>五</w:t>
            </w:r>
            <w:r>
              <w:rPr>
                <w:rFonts w:ascii="宋体" w:hAnsi="宋体" w:cs="宋体"/>
                <w:color w:val="auto"/>
                <w:kern w:val="0"/>
                <w:sz w:val="24"/>
                <w:szCs w:val="24"/>
              </w:rPr>
              <w:t>项</w:t>
            </w:r>
            <w:r>
              <w:rPr>
                <w:rFonts w:hint="eastAsia" w:ascii="宋体" w:hAnsi="宋体" w:cs="宋体"/>
                <w:color w:val="auto"/>
                <w:kern w:val="0"/>
                <w:sz w:val="24"/>
                <w:szCs w:val="24"/>
              </w:rPr>
              <w:t>人员</w:t>
            </w:r>
            <w:r>
              <w:rPr>
                <w:rFonts w:ascii="宋体" w:hAnsi="宋体" w:cs="宋体"/>
                <w:color w:val="auto"/>
                <w:kern w:val="0"/>
                <w:sz w:val="24"/>
                <w:szCs w:val="24"/>
              </w:rPr>
              <w:t>不重复计分</w:t>
            </w:r>
            <w:r>
              <w:rPr>
                <w:rFonts w:hint="eastAsia" w:ascii="宋体" w:hAnsi="宋体" w:cs="宋体"/>
                <w:color w:val="auto"/>
                <w:kern w:val="0"/>
                <w:sz w:val="24"/>
                <w:szCs w:val="24"/>
              </w:rPr>
              <w:t>，须提供人员证书及投标前1年在投标单位缴纳的社保缴费凭证或证明文件复印件并加盖公章，原件备查，无原件不得分）</w:t>
            </w:r>
          </w:p>
        </w:tc>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3" w:hRule="atLeast"/>
        </w:trPr>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c>
          <w:tcPr>
            <w:tcW w:w="1225"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保密情况 （3分）</w:t>
            </w:r>
          </w:p>
        </w:tc>
        <w:tc>
          <w:tcPr>
            <w:tcW w:w="71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（1）投标人具有完善的测绘成果保密管理制度或测绘成果资料管理制度者得1分,否则得0分。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（2）投标人拟投入项目组人员具有国家测绘地理信息局颁发的涉密测绘成果管理人员岗位培训证者，</w:t>
            </w:r>
            <w:r>
              <w:rPr>
                <w:rFonts w:hint="eastAsia" w:ascii="宋体" w:hAnsi="宋体" w:cs="宋体"/>
                <w:color w:val="auto"/>
                <w:kern w:val="0"/>
                <w:sz w:val="24"/>
                <w:szCs w:val="24"/>
                <w:highlight w:val="none"/>
              </w:rPr>
              <w:t>且在有效期内的</w:t>
            </w:r>
            <w:r>
              <w:rPr>
                <w:rFonts w:hint="eastAsia" w:ascii="宋体" w:hAnsi="宋体" w:cs="宋体"/>
                <w:color w:val="auto"/>
                <w:kern w:val="0"/>
                <w:sz w:val="24"/>
                <w:szCs w:val="24"/>
              </w:rPr>
              <w:t>每人得1分，最多得2分，否则得0分。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（提供相关证明材料复印件并加盖公章，原件备查，无原件不得分）</w:t>
            </w:r>
          </w:p>
        </w:tc>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trPr>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w:t>
            </w:r>
          </w:p>
        </w:tc>
        <w:tc>
          <w:tcPr>
            <w:tcW w:w="1225"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认证证书</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c>
          <w:tcPr>
            <w:tcW w:w="71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投标人具有有效期内的质量管理体系认证证书的得</w:t>
            </w:r>
            <w:r>
              <w:rPr>
                <w:rFonts w:ascii="宋体" w:hAnsi="宋体" w:cs="宋体"/>
                <w:color w:val="auto"/>
                <w:kern w:val="0"/>
                <w:sz w:val="24"/>
                <w:szCs w:val="24"/>
              </w:rPr>
              <w:t>2</w:t>
            </w:r>
            <w:r>
              <w:rPr>
                <w:rFonts w:hint="eastAsia" w:ascii="宋体" w:hAnsi="宋体" w:cs="宋体"/>
                <w:color w:val="auto"/>
                <w:kern w:val="0"/>
                <w:sz w:val="24"/>
                <w:szCs w:val="24"/>
              </w:rPr>
              <w:t>分，认证范围同时包含工程测量、不动产测绘、地理信息系统工程的加</w:t>
            </w:r>
            <w:r>
              <w:rPr>
                <w:rFonts w:ascii="宋体" w:hAnsi="宋体" w:cs="宋体"/>
                <w:color w:val="auto"/>
                <w:kern w:val="0"/>
                <w:sz w:val="24"/>
                <w:szCs w:val="24"/>
              </w:rPr>
              <w:t>1</w:t>
            </w:r>
            <w:r>
              <w:rPr>
                <w:rFonts w:hint="eastAsia" w:ascii="宋体" w:hAnsi="宋体" w:cs="宋体"/>
                <w:color w:val="auto"/>
                <w:kern w:val="0"/>
                <w:sz w:val="24"/>
                <w:szCs w:val="24"/>
              </w:rPr>
              <w:t>分，最多得</w:t>
            </w:r>
            <w:r>
              <w:rPr>
                <w:rFonts w:ascii="宋体" w:hAnsi="宋体" w:cs="宋体"/>
                <w:color w:val="auto"/>
                <w:kern w:val="0"/>
                <w:sz w:val="24"/>
                <w:szCs w:val="24"/>
              </w:rPr>
              <w:t xml:space="preserve">3 </w:t>
            </w:r>
            <w:r>
              <w:rPr>
                <w:rFonts w:hint="eastAsia" w:ascii="宋体" w:hAnsi="宋体" w:cs="宋体"/>
                <w:color w:val="auto"/>
                <w:kern w:val="0"/>
                <w:sz w:val="24"/>
                <w:szCs w:val="24"/>
              </w:rPr>
              <w:t>分。（提供相关证明材料复印件并加盖公章，原件备查，无原件不得分）</w:t>
            </w:r>
          </w:p>
        </w:tc>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 w:hRule="atLeast"/>
        </w:trPr>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4</w:t>
            </w:r>
          </w:p>
        </w:tc>
        <w:tc>
          <w:tcPr>
            <w:tcW w:w="1225"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相关业绩（15分)</w:t>
            </w:r>
          </w:p>
        </w:tc>
        <w:tc>
          <w:tcPr>
            <w:tcW w:w="71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ind w:left="-107" w:leftChars="-51"/>
              <w:jc w:val="left"/>
              <w:textAlignment w:val="auto"/>
              <w:rPr>
                <w:rFonts w:ascii="宋体" w:hAnsi="宋体" w:cs="宋体"/>
                <w:color w:val="auto"/>
                <w:kern w:val="0"/>
                <w:sz w:val="24"/>
                <w:szCs w:val="24"/>
              </w:rPr>
            </w:pPr>
            <w:r>
              <w:rPr>
                <w:rFonts w:hint="eastAsia" w:ascii="宋体" w:hAnsi="宋体" w:cs="宋体"/>
                <w:color w:val="auto"/>
                <w:kern w:val="0"/>
                <w:sz w:val="24"/>
                <w:szCs w:val="24"/>
              </w:rPr>
              <w:t>(1) 2015年至今，投标人独立承担过不动产权籍调查、房地一体化调查、土地调查、地籍调查，地籍测绘等相关项目合同金额500万以上的，每提供1个得2分，本项最高得分2分。</w:t>
            </w:r>
          </w:p>
          <w:p>
            <w:pPr>
              <w:keepNext w:val="0"/>
              <w:keepLines w:val="0"/>
              <w:pageBreakBefore w:val="0"/>
              <w:widowControl/>
              <w:kinsoku/>
              <w:wordWrap/>
              <w:overflowPunct/>
              <w:topLinePunct w:val="0"/>
              <w:autoSpaceDE/>
              <w:autoSpaceDN/>
              <w:bidi w:val="0"/>
              <w:adjustRightInd/>
              <w:snapToGrid/>
              <w:spacing w:line="360" w:lineRule="exact"/>
              <w:ind w:left="-107" w:leftChars="-51"/>
              <w:jc w:val="left"/>
              <w:textAlignment w:val="auto"/>
              <w:rPr>
                <w:rFonts w:ascii="宋体" w:hAnsi="宋体" w:cs="宋体"/>
                <w:color w:val="auto"/>
                <w:kern w:val="0"/>
                <w:sz w:val="24"/>
                <w:szCs w:val="24"/>
              </w:rPr>
            </w:pPr>
            <w:r>
              <w:rPr>
                <w:rFonts w:hint="eastAsia" w:ascii="宋体" w:hAnsi="宋体" w:cs="宋体"/>
                <w:color w:val="auto"/>
                <w:kern w:val="0"/>
                <w:sz w:val="24"/>
                <w:szCs w:val="24"/>
              </w:rPr>
              <w:t>(2) 2015年至今，投标人独立承担过不动产权籍调查、房地一体化调查、土地调查、地籍调查，地籍测绘等相关项目合同金额200万以上的，每提供1个得1.5分，本项最多得分3分。</w:t>
            </w:r>
          </w:p>
          <w:p>
            <w:pPr>
              <w:keepNext w:val="0"/>
              <w:keepLines w:val="0"/>
              <w:pageBreakBefore w:val="0"/>
              <w:widowControl/>
              <w:kinsoku/>
              <w:wordWrap/>
              <w:overflowPunct/>
              <w:topLinePunct w:val="0"/>
              <w:autoSpaceDE/>
              <w:autoSpaceDN/>
              <w:bidi w:val="0"/>
              <w:adjustRightInd/>
              <w:snapToGrid/>
              <w:spacing w:line="360" w:lineRule="exact"/>
              <w:ind w:left="-107" w:leftChars="-51"/>
              <w:jc w:val="left"/>
              <w:textAlignment w:val="auto"/>
              <w:rPr>
                <w:rFonts w:ascii="宋体" w:hAnsi="宋体" w:cs="宋体"/>
                <w:color w:val="auto"/>
                <w:kern w:val="0"/>
                <w:sz w:val="24"/>
                <w:szCs w:val="24"/>
              </w:rPr>
            </w:pPr>
            <w:r>
              <w:rPr>
                <w:rFonts w:hint="eastAsia" w:ascii="宋体" w:hAnsi="宋体" w:cs="宋体"/>
                <w:color w:val="auto"/>
                <w:kern w:val="0"/>
                <w:sz w:val="24"/>
                <w:szCs w:val="24"/>
              </w:rPr>
              <w:t>(3) 2015年至今，投标人独立承担过不动产权籍调查、房地一体化调查、土地调查、地籍调查，地籍测绘等相关项目合同金额100万以上的，每提供1个得1分，本项最多得分5分。</w:t>
            </w:r>
          </w:p>
          <w:p>
            <w:pPr>
              <w:keepNext w:val="0"/>
              <w:keepLines w:val="0"/>
              <w:pageBreakBefore w:val="0"/>
              <w:widowControl/>
              <w:kinsoku/>
              <w:wordWrap/>
              <w:overflowPunct/>
              <w:topLinePunct w:val="0"/>
              <w:autoSpaceDE/>
              <w:autoSpaceDN/>
              <w:bidi w:val="0"/>
              <w:adjustRightInd/>
              <w:snapToGrid/>
              <w:spacing w:line="360" w:lineRule="exact"/>
              <w:ind w:left="-107" w:leftChars="-51"/>
              <w:jc w:val="left"/>
              <w:textAlignment w:val="auto"/>
              <w:rPr>
                <w:rFonts w:ascii="宋体" w:hAnsi="宋体" w:cs="宋体"/>
                <w:color w:val="auto"/>
                <w:kern w:val="0"/>
                <w:sz w:val="24"/>
                <w:szCs w:val="24"/>
              </w:rPr>
            </w:pPr>
            <w:r>
              <w:rPr>
                <w:rFonts w:hint="eastAsia" w:ascii="宋体" w:hAnsi="宋体" w:cs="宋体"/>
                <w:color w:val="auto"/>
                <w:kern w:val="0"/>
                <w:sz w:val="24"/>
                <w:szCs w:val="24"/>
              </w:rPr>
              <w:t>(4) 2015年至今，投标人独立承担过不动产权籍调查、房地一体化调查、土地调查、地籍调查，地籍测绘等相关项目合同金额50万以上的，每提供1个得0.5分，本项最多得分5分。</w:t>
            </w:r>
          </w:p>
          <w:p>
            <w:pPr>
              <w:keepNext w:val="0"/>
              <w:keepLines w:val="0"/>
              <w:pageBreakBefore w:val="0"/>
              <w:widowControl/>
              <w:kinsoku/>
              <w:wordWrap/>
              <w:overflowPunct/>
              <w:topLinePunct w:val="0"/>
              <w:autoSpaceDE/>
              <w:autoSpaceDN/>
              <w:bidi w:val="0"/>
              <w:adjustRightInd/>
              <w:snapToGrid/>
              <w:spacing w:line="360" w:lineRule="exact"/>
              <w:ind w:left="-107" w:leftChars="-51"/>
              <w:jc w:val="left"/>
              <w:textAlignment w:val="auto"/>
              <w:rPr>
                <w:rFonts w:ascii="宋体" w:hAnsi="宋体" w:cs="宋体"/>
                <w:color w:val="auto"/>
                <w:kern w:val="0"/>
                <w:sz w:val="24"/>
                <w:szCs w:val="24"/>
              </w:rPr>
            </w:pPr>
            <w:r>
              <w:rPr>
                <w:rFonts w:hint="eastAsia" w:ascii="宋体" w:hAnsi="宋体" w:cs="宋体"/>
                <w:color w:val="auto"/>
                <w:kern w:val="0"/>
                <w:sz w:val="24"/>
                <w:szCs w:val="24"/>
              </w:rPr>
              <w:t>（须提供合同复印件并加盖公章，原件备查，无原件不得分）以上均不得重复计分</w:t>
            </w:r>
          </w:p>
        </w:tc>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2" w:hRule="atLeast"/>
        </w:trPr>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5</w:t>
            </w:r>
          </w:p>
        </w:tc>
        <w:tc>
          <w:tcPr>
            <w:tcW w:w="1225"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企业获奖 （6分）</w:t>
            </w:r>
          </w:p>
        </w:tc>
        <w:tc>
          <w:tcPr>
            <w:tcW w:w="71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2015年至今，投标人承担的不动产权籍调查、房地一体化调查、土地调查、地籍调查、地籍测绘等相关项目获得省级及以上（包含测绘行业学会）奖励，每个项目得1分，同一项目不重复计分，最多得分3分。（须提供合同、验收证明与获奖证书复印件并加盖公章，原件备查，无原件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（2）2015年至今，投标人在测绘地理信息行业职业技能竞赛中，获得省级及以上团体三等奖及以上的得3分，否则得0分。（须提供获奖证书或相关证明文件复印件并加盖公章，原件备查，无原件不得分）</w:t>
            </w:r>
          </w:p>
        </w:tc>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trPr>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w:t>
            </w:r>
          </w:p>
        </w:tc>
        <w:tc>
          <w:tcPr>
            <w:tcW w:w="1225"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售后服务承诺时间（3分）</w:t>
            </w:r>
          </w:p>
        </w:tc>
        <w:tc>
          <w:tcPr>
            <w:tcW w:w="71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投标人承诺售后服务时间为3年（含）以上者得3分，售后服务时间为2年者得2分，售后服务时间为1年者得1分，否则0分。（须提供售后服务承诺书并加盖公章）</w:t>
            </w:r>
          </w:p>
        </w:tc>
        <w:tc>
          <w:tcPr>
            <w:tcW w:w="7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Cs/>
          <w:color w:val="auto"/>
          <w:sz w:val="24"/>
          <w:szCs w:val="24"/>
        </w:rPr>
      </w:pPr>
      <w:r>
        <w:rPr>
          <w:rFonts w:hint="eastAsia" w:ascii="宋体" w:hAnsi="宋体" w:cs="宋体"/>
          <w:color w:val="auto"/>
          <w:kern w:val="0"/>
          <w:sz w:val="24"/>
          <w:szCs w:val="24"/>
        </w:rPr>
        <w:t xml:space="preserve">    2、技术评分（45分）</w:t>
      </w:r>
    </w:p>
    <w:tbl>
      <w:tblPr>
        <w:tblStyle w:val="65"/>
        <w:tblW w:w="9775" w:type="dxa"/>
        <w:tblInd w:w="-131" w:type="dxa"/>
        <w:tblLayout w:type="fixed"/>
        <w:tblCellMar>
          <w:top w:w="0" w:type="dxa"/>
          <w:left w:w="108" w:type="dxa"/>
          <w:bottom w:w="0" w:type="dxa"/>
          <w:right w:w="108" w:type="dxa"/>
        </w:tblCellMar>
      </w:tblPr>
      <w:tblGrid>
        <w:gridCol w:w="700"/>
        <w:gridCol w:w="1525"/>
        <w:gridCol w:w="6813"/>
        <w:gridCol w:w="737"/>
      </w:tblGrid>
      <w:tr>
        <w:tblPrEx>
          <w:tblLayout w:type="fixed"/>
          <w:tblCellMar>
            <w:top w:w="0" w:type="dxa"/>
            <w:left w:w="108" w:type="dxa"/>
            <w:bottom w:w="0" w:type="dxa"/>
            <w:right w:w="108" w:type="dxa"/>
          </w:tblCellMar>
        </w:tblPrEx>
        <w:trPr>
          <w:trHeight w:val="455"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序号</w:t>
            </w:r>
          </w:p>
        </w:tc>
        <w:tc>
          <w:tcPr>
            <w:tcW w:w="152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评分项</w:t>
            </w:r>
          </w:p>
        </w:tc>
        <w:tc>
          <w:tcPr>
            <w:tcW w:w="681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评分标准</w:t>
            </w:r>
          </w:p>
        </w:tc>
        <w:tc>
          <w:tcPr>
            <w:tcW w:w="73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宋体" w:hAnsi="宋体" w:cs="宋体"/>
                <w:bCs/>
                <w:color w:val="auto"/>
                <w:kern w:val="0"/>
                <w:sz w:val="24"/>
                <w:szCs w:val="24"/>
              </w:rPr>
            </w:pPr>
            <w:r>
              <w:rPr>
                <w:rFonts w:hint="eastAsia" w:ascii="宋体" w:hAnsi="宋体" w:cs="宋体"/>
                <w:bCs/>
                <w:color w:val="auto"/>
                <w:kern w:val="0"/>
                <w:sz w:val="24"/>
                <w:szCs w:val="24"/>
              </w:rPr>
              <w:t>分值</w:t>
            </w:r>
          </w:p>
        </w:tc>
      </w:tr>
      <w:tr>
        <w:tblPrEx>
          <w:tblLayout w:type="fixed"/>
          <w:tblCellMar>
            <w:top w:w="0" w:type="dxa"/>
            <w:left w:w="108" w:type="dxa"/>
            <w:bottom w:w="0" w:type="dxa"/>
            <w:right w:w="108" w:type="dxa"/>
          </w:tblCellMar>
        </w:tblPrEx>
        <w:trPr>
          <w:trHeight w:val="825"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c>
          <w:tcPr>
            <w:tcW w:w="15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对项目理解程度（3分）</w:t>
            </w:r>
          </w:p>
        </w:tc>
        <w:tc>
          <w:tcPr>
            <w:tcW w:w="681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对项目的背景、目的、内容与时间要求等的理解程度等进行评分。（优秀得3分；良得2分；一般得1 分；较差0分）</w:t>
            </w:r>
          </w:p>
        </w:tc>
        <w:tc>
          <w:tcPr>
            <w:tcW w:w="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945" w:hRule="atLeast"/>
        </w:trPr>
        <w:tc>
          <w:tcPr>
            <w:tcW w:w="70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c>
          <w:tcPr>
            <w:tcW w:w="1525"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技术设计方案（18分）</w:t>
            </w:r>
          </w:p>
        </w:tc>
        <w:tc>
          <w:tcPr>
            <w:tcW w:w="681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（1）对任务特点分析是否透彻，技术方法是否先进，工作流程是否合理，工作步骤是否具体全面等进行评分。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（优秀得12分；良得8分；一般得4分；较差0分）</w:t>
            </w:r>
          </w:p>
        </w:tc>
        <w:tc>
          <w:tcPr>
            <w:tcW w:w="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12分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2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81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（2）对引用法律法规和技术标准文件是否合理正确，相关技术要求及提交成果是否满足本项目总体要求等进行评分。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540" w:hRule="atLeast"/>
        </w:trPr>
        <w:tc>
          <w:tcPr>
            <w:tcW w:w="70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w:t>
            </w:r>
          </w:p>
        </w:tc>
        <w:tc>
          <w:tcPr>
            <w:tcW w:w="1525"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施工方案</w:t>
            </w:r>
            <w:r>
              <w:rPr>
                <w:rFonts w:hint="eastAsia" w:ascii="宋体" w:hAnsi="宋体" w:cs="宋体"/>
                <w:color w:val="auto"/>
                <w:kern w:val="0"/>
                <w:sz w:val="24"/>
                <w:szCs w:val="24"/>
              </w:rPr>
              <w:br w:type="textWrapping"/>
            </w:r>
            <w:r>
              <w:rPr>
                <w:rFonts w:hint="eastAsia" w:ascii="宋体" w:hAnsi="宋体" w:cs="宋体"/>
                <w:color w:val="auto"/>
                <w:kern w:val="0"/>
                <w:sz w:val="24"/>
                <w:szCs w:val="24"/>
              </w:rPr>
              <w:t>（21分</w:t>
            </w:r>
          </w:p>
        </w:tc>
        <w:tc>
          <w:tcPr>
            <w:tcW w:w="681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（1）对项目组织机构配备情况是否合理进行评分。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162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2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81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（2）对投入本项目的仪器设备（软件、硬件）是否合理、配备是否齐全等进行评分。（须提供软件硬件设备购买发票或制造商的授权使用证明材料或上级主管部门调拨文件复印件并加盖公章，否则该项不得分）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 分；较差0分）</w:t>
            </w:r>
          </w:p>
        </w:tc>
        <w:tc>
          <w:tcPr>
            <w:tcW w:w="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2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81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（3）对是否有项目进度详细计划和进度保障措施，工期是否符合采购人的要求等进行评分。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2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81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（4）对是否有明确的成果质量目标，是否有完整、合理的质量检查方案及控制措施等进行评分。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2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81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（5）对安全生产与文明施工措施科学、有效等进行评分。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1182"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4</w:t>
            </w:r>
          </w:p>
        </w:tc>
        <w:tc>
          <w:tcPr>
            <w:tcW w:w="15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售后服务响应（3分）</w:t>
            </w:r>
          </w:p>
        </w:tc>
        <w:tc>
          <w:tcPr>
            <w:tcW w:w="681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对售后服务内容是否详细，售后服务人员配备是否合理，响应方式是否可行等进行评分。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Cs/>
          <w:color w:val="auto"/>
          <w:sz w:val="24"/>
          <w:szCs w:val="24"/>
        </w:rPr>
      </w:pPr>
      <w:r>
        <w:rPr>
          <w:rFonts w:hint="eastAsia" w:ascii="宋体" w:hAnsi="宋体" w:cs="宋体"/>
          <w:b/>
          <w:bCs/>
          <w:color w:val="auto"/>
          <w:sz w:val="24"/>
          <w:szCs w:val="24"/>
        </w:rPr>
        <w:t xml:space="preserve">   </w:t>
      </w:r>
      <w:r>
        <w:rPr>
          <w:rFonts w:hint="eastAsia" w:ascii="宋体" w:hAnsi="宋体" w:cs="宋体"/>
          <w:color w:val="auto"/>
          <w:kern w:val="0"/>
          <w:sz w:val="24"/>
          <w:szCs w:val="24"/>
        </w:rPr>
        <w:t xml:space="preserve"> 3、投标报价评分（10分）</w:t>
      </w:r>
    </w:p>
    <w:tbl>
      <w:tblPr>
        <w:tblStyle w:val="65"/>
        <w:tblW w:w="9762" w:type="dxa"/>
        <w:tblInd w:w="-118" w:type="dxa"/>
        <w:tblLayout w:type="fixed"/>
        <w:tblCellMar>
          <w:top w:w="0" w:type="dxa"/>
          <w:left w:w="108" w:type="dxa"/>
          <w:bottom w:w="0" w:type="dxa"/>
          <w:right w:w="108" w:type="dxa"/>
        </w:tblCellMar>
      </w:tblPr>
      <w:tblGrid>
        <w:gridCol w:w="700"/>
        <w:gridCol w:w="1525"/>
        <w:gridCol w:w="6812"/>
        <w:gridCol w:w="725"/>
      </w:tblGrid>
      <w:tr>
        <w:tblPrEx>
          <w:tblLayout w:type="fixed"/>
          <w:tblCellMar>
            <w:top w:w="0" w:type="dxa"/>
            <w:left w:w="108" w:type="dxa"/>
            <w:bottom w:w="0" w:type="dxa"/>
            <w:right w:w="108" w:type="dxa"/>
          </w:tblCellMar>
        </w:tblPrEx>
        <w:trPr>
          <w:trHeight w:val="527"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序号</w:t>
            </w:r>
          </w:p>
        </w:tc>
        <w:tc>
          <w:tcPr>
            <w:tcW w:w="152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评分项</w:t>
            </w:r>
          </w:p>
        </w:tc>
        <w:tc>
          <w:tcPr>
            <w:tcW w:w="6812"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评分标准</w:t>
            </w:r>
          </w:p>
        </w:tc>
        <w:tc>
          <w:tcPr>
            <w:tcW w:w="72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分值</w:t>
            </w:r>
          </w:p>
        </w:tc>
      </w:tr>
      <w:tr>
        <w:tblPrEx>
          <w:tblLayout w:type="fixed"/>
          <w:tblCellMar>
            <w:top w:w="0" w:type="dxa"/>
            <w:left w:w="108" w:type="dxa"/>
            <w:bottom w:w="0" w:type="dxa"/>
            <w:right w:w="108" w:type="dxa"/>
          </w:tblCellMar>
        </w:tblPrEx>
        <w:trPr>
          <w:trHeight w:val="126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1</w:t>
            </w:r>
          </w:p>
        </w:tc>
        <w:tc>
          <w:tcPr>
            <w:tcW w:w="15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投标报</w:t>
            </w:r>
            <w:r>
              <w:rPr>
                <w:rFonts w:hint="eastAsia" w:ascii="宋体" w:hAnsi="宋体" w:cs="宋体"/>
                <w:color w:val="auto"/>
                <w:sz w:val="24"/>
                <w:szCs w:val="24"/>
                <w:lang w:eastAsia="zh-CN"/>
              </w:rPr>
              <w:t>价（</w:t>
            </w:r>
            <w:r>
              <w:rPr>
                <w:rFonts w:hint="eastAsia" w:ascii="宋体" w:hAnsi="宋体" w:cs="宋体"/>
                <w:color w:val="auto"/>
                <w:sz w:val="24"/>
                <w:szCs w:val="24"/>
              </w:rPr>
              <w:t>10分）</w:t>
            </w:r>
          </w:p>
        </w:tc>
        <w:tc>
          <w:tcPr>
            <w:tcW w:w="6812"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价格分统一采用低价优先法，即满足招标文件要求且投标价格最低的投标报价为评标基准价，其价格分为满分。其他投标人的价格分统一按照下列公式计算：投标报价得分＝（评标基准价</w:t>
            </w:r>
            <w:r>
              <w:rPr>
                <w:color w:val="auto"/>
                <w:sz w:val="24"/>
                <w:szCs w:val="24"/>
              </w:rPr>
              <w:t>/</w:t>
            </w:r>
            <w:r>
              <w:rPr>
                <w:rFonts w:hint="eastAsia" w:ascii="宋体" w:hAnsi="宋体" w:cs="宋体"/>
                <w:color w:val="auto"/>
                <w:sz w:val="24"/>
                <w:szCs w:val="24"/>
              </w:rPr>
              <w:t>投标报价）×</w:t>
            </w:r>
            <w:r>
              <w:rPr>
                <w:rFonts w:hint="eastAsia"/>
                <w:color w:val="auto"/>
                <w:sz w:val="24"/>
                <w:szCs w:val="24"/>
              </w:rPr>
              <w:t>10</w:t>
            </w:r>
            <w:r>
              <w:rPr>
                <w:rFonts w:hint="eastAsia" w:ascii="宋体" w:hAnsi="宋体" w:cs="宋体"/>
                <w:color w:val="auto"/>
                <w:sz w:val="24"/>
                <w:szCs w:val="24"/>
              </w:rPr>
              <w:t>％×</w:t>
            </w:r>
            <w:r>
              <w:rPr>
                <w:color w:val="auto"/>
                <w:sz w:val="24"/>
                <w:szCs w:val="24"/>
              </w:rPr>
              <w:t>100</w:t>
            </w:r>
          </w:p>
        </w:tc>
        <w:tc>
          <w:tcPr>
            <w:tcW w:w="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10分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0"/>
        <w:rPr>
          <w:rFonts w:ascii="宋体" w:hAnsi="宋体" w:cs="宋体"/>
          <w:b/>
          <w:color w:val="auto"/>
          <w:kern w:val="0"/>
          <w:sz w:val="24"/>
          <w:szCs w:val="24"/>
        </w:rPr>
      </w:pPr>
      <w:r>
        <w:rPr>
          <w:rFonts w:hint="eastAsia" w:ascii="宋体" w:hAnsi="宋体" w:cs="宋体"/>
          <w:b/>
          <w:color w:val="auto"/>
          <w:kern w:val="0"/>
          <w:sz w:val="24"/>
          <w:szCs w:val="24"/>
        </w:rPr>
        <w:t>（二）5包评分表</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 xml:space="preserve">    1、商务评分（45分）</w:t>
      </w:r>
    </w:p>
    <w:tbl>
      <w:tblPr>
        <w:tblStyle w:val="65"/>
        <w:tblW w:w="9762"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88"/>
        <w:gridCol w:w="7150"/>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序号</w:t>
            </w:r>
          </w:p>
        </w:tc>
        <w:tc>
          <w:tcPr>
            <w:tcW w:w="11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评分项</w:t>
            </w:r>
          </w:p>
        </w:tc>
        <w:tc>
          <w:tcPr>
            <w:tcW w:w="715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评分标准</w:t>
            </w:r>
          </w:p>
        </w:tc>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7" w:hRule="atLeast"/>
        </w:trPr>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c>
          <w:tcPr>
            <w:tcW w:w="11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人员实力 （7分）</w:t>
            </w:r>
          </w:p>
        </w:tc>
        <w:tc>
          <w:tcPr>
            <w:tcW w:w="715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投标人投入的项目团队人员情况进行评分，评分方式如下：</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（1）项目核心团队：投标人本项目投入的项目核心团队成员具有测绘专业高级工程师职称的，每1人得1分，最多得3分。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（2）专业技术人员：投标人本项目投入的专业技术人员具有测绘专业工程师及以上职称的，每3人得1分，最多得4分。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w:t>
            </w:r>
            <w:r>
              <w:rPr>
                <w:rFonts w:ascii="宋体" w:hAnsi="宋体" w:cs="宋体"/>
                <w:color w:val="auto"/>
                <w:kern w:val="0"/>
                <w:sz w:val="24"/>
                <w:szCs w:val="24"/>
              </w:rPr>
              <w:t>以上</w:t>
            </w:r>
            <w:r>
              <w:rPr>
                <w:rFonts w:hint="eastAsia" w:ascii="宋体" w:hAnsi="宋体" w:cs="宋体"/>
                <w:color w:val="auto"/>
                <w:kern w:val="0"/>
                <w:sz w:val="24"/>
                <w:szCs w:val="24"/>
              </w:rPr>
              <w:t>两</w:t>
            </w:r>
            <w:r>
              <w:rPr>
                <w:rFonts w:ascii="宋体" w:hAnsi="宋体" w:cs="宋体"/>
                <w:color w:val="auto"/>
                <w:kern w:val="0"/>
                <w:sz w:val="24"/>
                <w:szCs w:val="24"/>
              </w:rPr>
              <w:t>项</w:t>
            </w:r>
            <w:r>
              <w:rPr>
                <w:rFonts w:hint="eastAsia" w:ascii="宋体" w:hAnsi="宋体" w:cs="宋体"/>
                <w:color w:val="auto"/>
                <w:kern w:val="0"/>
                <w:sz w:val="24"/>
                <w:szCs w:val="24"/>
              </w:rPr>
              <w:t>人员</w:t>
            </w:r>
            <w:r>
              <w:rPr>
                <w:rFonts w:ascii="宋体" w:hAnsi="宋体" w:cs="宋体"/>
                <w:color w:val="auto"/>
                <w:kern w:val="0"/>
                <w:sz w:val="24"/>
                <w:szCs w:val="24"/>
              </w:rPr>
              <w:t>不重复计分</w:t>
            </w:r>
            <w:r>
              <w:rPr>
                <w:rFonts w:hint="eastAsia" w:ascii="宋体" w:hAnsi="宋体" w:cs="宋体"/>
                <w:color w:val="auto"/>
                <w:kern w:val="0"/>
                <w:sz w:val="24"/>
                <w:szCs w:val="24"/>
              </w:rPr>
              <w:t>，须提供人员证书及投标前1年在投标单位缴纳的社保缴费凭证或证明文件复印件并加盖公章，原件备查，无原件不得分）</w:t>
            </w:r>
          </w:p>
        </w:tc>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trPr>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c>
          <w:tcPr>
            <w:tcW w:w="11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保密情况 （3分）</w:t>
            </w:r>
          </w:p>
        </w:tc>
        <w:tc>
          <w:tcPr>
            <w:tcW w:w="715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（1）投标人具有三级以上保密资格证书的得2分，否则得0分。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（2）投标人拟投入项目组人员具有国家测绘地理信息局颁发的涉密测绘成果管理人员岗位培训证者，</w:t>
            </w:r>
            <w:r>
              <w:rPr>
                <w:rFonts w:hint="eastAsia" w:ascii="宋体" w:hAnsi="宋体" w:cs="宋体"/>
                <w:color w:val="auto"/>
                <w:kern w:val="0"/>
                <w:sz w:val="24"/>
                <w:szCs w:val="24"/>
                <w:highlight w:val="none"/>
              </w:rPr>
              <w:t>且在有效期内的</w:t>
            </w:r>
            <w:r>
              <w:rPr>
                <w:rFonts w:hint="eastAsia" w:ascii="宋体" w:hAnsi="宋体" w:cs="宋体"/>
                <w:color w:val="auto"/>
                <w:kern w:val="0"/>
                <w:sz w:val="24"/>
                <w:szCs w:val="24"/>
              </w:rPr>
              <w:t>得1分。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（提供相关证明材料复印件并加盖公章，原件备查，无原件不得分）</w:t>
            </w:r>
          </w:p>
        </w:tc>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w:t>
            </w:r>
          </w:p>
        </w:tc>
        <w:tc>
          <w:tcPr>
            <w:tcW w:w="11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技术装备（12分)</w:t>
            </w:r>
          </w:p>
        </w:tc>
        <w:tc>
          <w:tcPr>
            <w:tcW w:w="715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（1）投标人投入的本项目要求的航摄仪（由五个固态定焦机械镜头组成，且每个镜头均需超过2400万像素）每提供一台得1分，最多得6分。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（2）投标人投入本项目的航空影像数据管理及服务、航空摄影影像调色、遥感图像处理等3种软件须为正版软件，上述软件全部具有软件著作权登记证书的，得</w:t>
            </w:r>
            <w:r>
              <w:rPr>
                <w:rFonts w:ascii="宋体" w:hAnsi="宋体" w:cs="宋体"/>
                <w:color w:val="auto"/>
                <w:kern w:val="0"/>
                <w:sz w:val="24"/>
                <w:szCs w:val="24"/>
              </w:rPr>
              <w:t>6</w:t>
            </w:r>
            <w:r>
              <w:rPr>
                <w:rFonts w:hint="eastAsia" w:ascii="宋体" w:hAnsi="宋体" w:cs="宋体"/>
                <w:color w:val="auto"/>
                <w:kern w:val="0"/>
                <w:sz w:val="24"/>
                <w:szCs w:val="24"/>
              </w:rPr>
              <w:t>分；全部或部分不具有软件著作权登记证书的，得3分；不提供正版软件相关证明材料的不得分。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须提供固定翼无人机\倾斜摄影航摄仪购买合同及发票，发票抬头与投标人须一致；提供软件著作权证，或正版软件购买、租赁发票，或其他授权证明文件，发票抬头与投标人须一致；相关材料复印件须加盖公章，原件备查，无原件不得分）</w:t>
            </w:r>
          </w:p>
        </w:tc>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trPr>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4</w:t>
            </w:r>
          </w:p>
        </w:tc>
        <w:tc>
          <w:tcPr>
            <w:tcW w:w="11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资质业绩</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ascii="宋体" w:hAnsi="宋体" w:cs="宋体"/>
                <w:color w:val="auto"/>
                <w:kern w:val="0"/>
                <w:sz w:val="24"/>
                <w:szCs w:val="24"/>
              </w:rPr>
              <w:t>(</w:t>
            </w:r>
            <w:r>
              <w:rPr>
                <w:rFonts w:hint="eastAsia" w:ascii="宋体" w:hAnsi="宋体" w:cs="宋体"/>
                <w:color w:val="auto"/>
                <w:kern w:val="0"/>
                <w:sz w:val="24"/>
                <w:szCs w:val="24"/>
              </w:rPr>
              <w:t>16分)</w:t>
            </w:r>
          </w:p>
        </w:tc>
        <w:tc>
          <w:tcPr>
            <w:tcW w:w="715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投标人同时具有有效期内的质量管理体系认证证书（认证范围须含测绘航空摄影、摄影测量与遥感、地理空间信息系统软件、不动产测绘）、环境管理体系认证证书（认证范围须包含测绘航空摄影、航空航天遥感影像的加工和处理、地理空间信息系统软件）职业健康安全管理体系认证证书（认证范围须包含测绘航空摄影、航空航天遥感影像的加工和处理）、具有高新技术企业证书的，得4分，否则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（2）投标人自</w:t>
            </w:r>
            <w:r>
              <w:rPr>
                <w:rFonts w:ascii="宋体" w:hAnsi="宋体" w:cs="宋体"/>
                <w:color w:val="auto"/>
                <w:kern w:val="0"/>
                <w:sz w:val="24"/>
                <w:szCs w:val="24"/>
              </w:rPr>
              <w:t>2015</w:t>
            </w:r>
            <w:r>
              <w:rPr>
                <w:rFonts w:hint="eastAsia" w:ascii="宋体" w:hAnsi="宋体" w:cs="宋体"/>
                <w:color w:val="auto"/>
                <w:kern w:val="0"/>
                <w:sz w:val="24"/>
                <w:szCs w:val="24"/>
              </w:rPr>
              <w:t>年以来承担过单个合同航摄面积≥10</w:t>
            </w:r>
            <w:r>
              <w:rPr>
                <w:rFonts w:ascii="宋体" w:hAnsi="宋体" w:cs="宋体"/>
                <w:color w:val="auto"/>
                <w:kern w:val="0"/>
                <w:sz w:val="24"/>
                <w:szCs w:val="24"/>
              </w:rPr>
              <w:t xml:space="preserve">000 </w:t>
            </w:r>
            <w:r>
              <w:rPr>
                <w:rFonts w:hint="eastAsia" w:ascii="宋体" w:hAnsi="宋体" w:cs="宋体"/>
                <w:color w:val="auto"/>
                <w:kern w:val="0"/>
                <w:sz w:val="24"/>
                <w:szCs w:val="24"/>
              </w:rPr>
              <w:t>平方公里且优于</w:t>
            </w:r>
            <w:r>
              <w:rPr>
                <w:rFonts w:ascii="宋体" w:hAnsi="宋体" w:cs="宋体"/>
                <w:color w:val="auto"/>
                <w:kern w:val="0"/>
                <w:sz w:val="24"/>
                <w:szCs w:val="24"/>
              </w:rPr>
              <w:t>0.2</w:t>
            </w:r>
            <w:r>
              <w:rPr>
                <w:rFonts w:hint="eastAsia" w:ascii="宋体" w:hAnsi="宋体" w:cs="宋体"/>
                <w:color w:val="auto"/>
                <w:kern w:val="0"/>
                <w:sz w:val="24"/>
                <w:szCs w:val="24"/>
              </w:rPr>
              <w:t>米分辨率航空摄影项目（仅采用无人机航空摄影的合同除外）的，每提供一个得</w:t>
            </w:r>
            <w:r>
              <w:rPr>
                <w:rFonts w:ascii="宋体" w:hAnsi="宋体" w:cs="宋体"/>
                <w:color w:val="auto"/>
                <w:kern w:val="0"/>
                <w:sz w:val="24"/>
                <w:szCs w:val="24"/>
              </w:rPr>
              <w:t>2</w:t>
            </w:r>
            <w:r>
              <w:rPr>
                <w:rFonts w:hint="eastAsia" w:ascii="宋体" w:hAnsi="宋体" w:cs="宋体"/>
                <w:color w:val="auto"/>
                <w:kern w:val="0"/>
                <w:sz w:val="24"/>
                <w:szCs w:val="24"/>
              </w:rPr>
              <w:t>分；</w:t>
            </w:r>
            <w:r>
              <w:rPr>
                <w:rFonts w:ascii="宋体" w:hAnsi="宋体" w:cs="宋体"/>
                <w:color w:val="auto"/>
                <w:kern w:val="0"/>
                <w:sz w:val="24"/>
                <w:szCs w:val="24"/>
              </w:rPr>
              <w:t xml:space="preserve"> 5000</w:t>
            </w:r>
            <w:r>
              <w:rPr>
                <w:rFonts w:hint="eastAsia" w:ascii="宋体" w:hAnsi="宋体" w:cs="宋体"/>
                <w:color w:val="auto"/>
                <w:kern w:val="0"/>
                <w:sz w:val="24"/>
                <w:szCs w:val="24"/>
              </w:rPr>
              <w:t>平方公里＞单个合同航摄面积≥</w:t>
            </w:r>
            <w:r>
              <w:rPr>
                <w:rFonts w:ascii="宋体" w:hAnsi="宋体" w:cs="宋体"/>
                <w:color w:val="auto"/>
                <w:kern w:val="0"/>
                <w:sz w:val="24"/>
                <w:szCs w:val="24"/>
              </w:rPr>
              <w:t xml:space="preserve">3000 </w:t>
            </w:r>
            <w:r>
              <w:rPr>
                <w:rFonts w:hint="eastAsia" w:ascii="宋体" w:hAnsi="宋体" w:cs="宋体"/>
                <w:color w:val="auto"/>
                <w:kern w:val="0"/>
                <w:sz w:val="24"/>
                <w:szCs w:val="24"/>
              </w:rPr>
              <w:t>平方公里且优于</w:t>
            </w:r>
            <w:r>
              <w:rPr>
                <w:rFonts w:ascii="宋体" w:hAnsi="宋体" w:cs="宋体"/>
                <w:color w:val="auto"/>
                <w:kern w:val="0"/>
                <w:sz w:val="24"/>
                <w:szCs w:val="24"/>
              </w:rPr>
              <w:t xml:space="preserve">0.2 </w:t>
            </w:r>
            <w:r>
              <w:rPr>
                <w:rFonts w:hint="eastAsia" w:ascii="宋体" w:hAnsi="宋体" w:cs="宋体"/>
                <w:color w:val="auto"/>
                <w:kern w:val="0"/>
                <w:sz w:val="24"/>
                <w:szCs w:val="24"/>
              </w:rPr>
              <w:t>米分辨率航空摄影项目，每提供1个得</w:t>
            </w:r>
            <w:r>
              <w:rPr>
                <w:rFonts w:ascii="宋体" w:hAnsi="宋体" w:cs="宋体"/>
                <w:color w:val="auto"/>
                <w:kern w:val="0"/>
                <w:sz w:val="24"/>
                <w:szCs w:val="24"/>
              </w:rPr>
              <w:t>1</w:t>
            </w:r>
            <w:r>
              <w:rPr>
                <w:rFonts w:hint="eastAsia" w:ascii="宋体" w:hAnsi="宋体" w:cs="宋体"/>
                <w:color w:val="auto"/>
                <w:kern w:val="0"/>
                <w:sz w:val="24"/>
                <w:szCs w:val="24"/>
              </w:rPr>
              <w:t>分。上述业绩有省级质量监督检验机构出具的验收合格证明的每个加</w:t>
            </w:r>
            <w:r>
              <w:rPr>
                <w:rFonts w:ascii="宋体" w:hAnsi="宋体" w:cs="宋体"/>
                <w:color w:val="auto"/>
                <w:kern w:val="0"/>
                <w:sz w:val="24"/>
                <w:szCs w:val="24"/>
              </w:rPr>
              <w:t>1</w:t>
            </w:r>
            <w:r>
              <w:rPr>
                <w:rFonts w:hint="eastAsia" w:ascii="宋体" w:hAnsi="宋体" w:cs="宋体"/>
                <w:color w:val="auto"/>
                <w:kern w:val="0"/>
                <w:sz w:val="24"/>
                <w:szCs w:val="24"/>
              </w:rPr>
              <w:t>分。本项最高得</w:t>
            </w:r>
            <w:r>
              <w:rPr>
                <w:rFonts w:ascii="宋体" w:hAnsi="宋体" w:cs="宋体"/>
                <w:color w:val="auto"/>
                <w:kern w:val="0"/>
                <w:sz w:val="24"/>
                <w:szCs w:val="24"/>
              </w:rPr>
              <w:t>12</w:t>
            </w:r>
            <w:r>
              <w:rPr>
                <w:rFonts w:hint="eastAsia" w:ascii="宋体" w:hAnsi="宋体" w:cs="宋体"/>
                <w:color w:val="auto"/>
                <w:kern w:val="0"/>
                <w:sz w:val="24"/>
                <w:szCs w:val="24"/>
              </w:rPr>
              <w:t>分，没有不得分。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（须提供相关证明资料或合同复印件并加盖公章，原件备查，无原件不得分）</w:t>
            </w:r>
          </w:p>
        </w:tc>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0" w:hRule="atLeast"/>
        </w:trPr>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5</w:t>
            </w:r>
          </w:p>
        </w:tc>
        <w:tc>
          <w:tcPr>
            <w:tcW w:w="11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企业获奖 （5分）</w:t>
            </w:r>
          </w:p>
        </w:tc>
        <w:tc>
          <w:tcPr>
            <w:tcW w:w="715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投标人自</w:t>
            </w:r>
            <w:r>
              <w:rPr>
                <w:rFonts w:ascii="宋体" w:hAnsi="宋体" w:cs="宋体"/>
                <w:color w:val="auto"/>
                <w:kern w:val="0"/>
                <w:sz w:val="24"/>
                <w:szCs w:val="24"/>
              </w:rPr>
              <w:t>201</w:t>
            </w:r>
            <w:r>
              <w:rPr>
                <w:rFonts w:hint="eastAsia" w:ascii="宋体" w:hAnsi="宋体" w:cs="宋体"/>
                <w:color w:val="auto"/>
                <w:kern w:val="0"/>
                <w:sz w:val="24"/>
                <w:szCs w:val="24"/>
              </w:rPr>
              <w:t>2年以来完成的航空摄影项目获得省部级（含</w:t>
            </w:r>
            <w:r>
              <w:rPr>
                <w:rFonts w:ascii="宋体" w:hAnsi="宋体" w:cs="宋体"/>
                <w:color w:val="auto"/>
                <w:kern w:val="0"/>
                <w:sz w:val="24"/>
                <w:szCs w:val="24"/>
              </w:rPr>
              <w:t>）</w:t>
            </w:r>
            <w:r>
              <w:rPr>
                <w:rFonts w:hint="eastAsia" w:ascii="宋体" w:hAnsi="宋体" w:cs="宋体"/>
                <w:color w:val="auto"/>
                <w:kern w:val="0"/>
                <w:sz w:val="24"/>
                <w:szCs w:val="24"/>
              </w:rPr>
              <w:t>以上测绘地理信息类优秀工程奖，获奖个数≥5个得5分、5个＞获奖个数≥3的得3分、3个＞获奖个数≥1</w:t>
            </w:r>
            <w:r>
              <w:rPr>
                <w:rFonts w:ascii="宋体" w:hAnsi="宋体" w:cs="宋体"/>
                <w:color w:val="auto"/>
                <w:kern w:val="0"/>
                <w:sz w:val="24"/>
                <w:szCs w:val="24"/>
              </w:rPr>
              <w:t xml:space="preserve"> </w:t>
            </w:r>
            <w:r>
              <w:rPr>
                <w:rFonts w:hint="eastAsia" w:ascii="宋体" w:hAnsi="宋体" w:cs="宋体"/>
                <w:color w:val="auto"/>
                <w:kern w:val="0"/>
                <w:sz w:val="24"/>
                <w:szCs w:val="24"/>
              </w:rPr>
              <w:t>的得1分，本项最高得5分，没有不得分。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（提供相关证明资料复印件并加盖公章，原件备查，无原件不得分）</w:t>
            </w:r>
          </w:p>
        </w:tc>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7" w:hRule="atLeast"/>
        </w:trPr>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w:t>
            </w:r>
          </w:p>
        </w:tc>
        <w:tc>
          <w:tcPr>
            <w:tcW w:w="11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售后服务承诺时间（2分）</w:t>
            </w:r>
          </w:p>
        </w:tc>
        <w:tc>
          <w:tcPr>
            <w:tcW w:w="715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投标人</w:t>
            </w:r>
            <w:r>
              <w:rPr>
                <w:rFonts w:hint="eastAsia" w:ascii="宋体" w:hAnsi="宋体" w:cs="宋体"/>
                <w:color w:val="auto"/>
                <w:sz w:val="24"/>
                <w:szCs w:val="24"/>
              </w:rPr>
              <w:t>承诺</w:t>
            </w:r>
            <w:r>
              <w:rPr>
                <w:rFonts w:hint="eastAsia" w:ascii="宋体" w:hAnsi="宋体" w:cs="宋体"/>
                <w:color w:val="auto"/>
                <w:kern w:val="0"/>
                <w:sz w:val="24"/>
                <w:szCs w:val="24"/>
              </w:rPr>
              <w:t>售后</w:t>
            </w:r>
            <w:r>
              <w:rPr>
                <w:rFonts w:hint="eastAsia" w:ascii="宋体" w:hAnsi="宋体" w:cs="宋体"/>
                <w:color w:val="auto"/>
                <w:sz w:val="24"/>
                <w:szCs w:val="24"/>
              </w:rPr>
              <w:t>服务时间为3年（含）以上者得2分，</w:t>
            </w:r>
            <w:r>
              <w:rPr>
                <w:rFonts w:hint="eastAsia" w:ascii="宋体" w:hAnsi="宋体" w:cs="宋体"/>
                <w:color w:val="auto"/>
                <w:kern w:val="0"/>
                <w:sz w:val="24"/>
                <w:szCs w:val="24"/>
              </w:rPr>
              <w:t>售后</w:t>
            </w:r>
            <w:r>
              <w:rPr>
                <w:rFonts w:hint="eastAsia" w:ascii="宋体" w:hAnsi="宋体" w:cs="宋体"/>
                <w:color w:val="auto"/>
                <w:sz w:val="24"/>
                <w:szCs w:val="24"/>
              </w:rPr>
              <w:t>服务时间为2年者得1分，</w:t>
            </w:r>
            <w:r>
              <w:rPr>
                <w:rFonts w:hint="eastAsia" w:ascii="宋体" w:hAnsi="宋体" w:cs="宋体"/>
                <w:color w:val="auto"/>
                <w:kern w:val="0"/>
                <w:sz w:val="24"/>
                <w:szCs w:val="24"/>
              </w:rPr>
              <w:t>售后</w:t>
            </w:r>
            <w:r>
              <w:rPr>
                <w:rFonts w:hint="eastAsia" w:ascii="宋体" w:hAnsi="宋体" w:cs="宋体"/>
                <w:color w:val="auto"/>
                <w:sz w:val="24"/>
                <w:szCs w:val="24"/>
              </w:rPr>
              <w:t>服务时间为小于2年不得分。</w:t>
            </w:r>
            <w:r>
              <w:rPr>
                <w:rFonts w:hint="eastAsia" w:ascii="宋体" w:hAnsi="宋体" w:cs="宋体"/>
                <w:color w:val="auto"/>
                <w:kern w:val="0"/>
                <w:sz w:val="24"/>
                <w:szCs w:val="24"/>
              </w:rPr>
              <w:t>（须提供售后服务承诺书并加盖公章）</w:t>
            </w:r>
          </w:p>
        </w:tc>
        <w:tc>
          <w:tcPr>
            <w:tcW w:w="71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p>
    <w:p>
      <w:pPr>
        <w:pStyle w:val="2"/>
        <w:keepLines w:val="0"/>
        <w:pageBreakBefore w:val="0"/>
        <w:numPr>
          <w:ilvl w:val="2"/>
          <w:numId w:val="0"/>
        </w:numPr>
        <w:kinsoku/>
        <w:wordWrap/>
        <w:overflowPunct/>
        <w:topLinePunct w:val="0"/>
        <w:autoSpaceDE/>
        <w:autoSpaceDN/>
        <w:bidi w:val="0"/>
        <w:spacing w:line="360" w:lineRule="exact"/>
        <w:textAlignment w:val="auto"/>
        <w:rPr>
          <w:rFonts w:hint="eastAsia"/>
          <w:color w:val="auto"/>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 xml:space="preserve">    2、技术评分（45分）</w:t>
      </w:r>
    </w:p>
    <w:tbl>
      <w:tblPr>
        <w:tblStyle w:val="65"/>
        <w:tblW w:w="9762" w:type="dxa"/>
        <w:tblInd w:w="-118" w:type="dxa"/>
        <w:tblLayout w:type="fixed"/>
        <w:tblCellMar>
          <w:top w:w="0" w:type="dxa"/>
          <w:left w:w="108" w:type="dxa"/>
          <w:bottom w:w="0" w:type="dxa"/>
          <w:right w:w="108" w:type="dxa"/>
        </w:tblCellMar>
      </w:tblPr>
      <w:tblGrid>
        <w:gridCol w:w="700"/>
        <w:gridCol w:w="1537"/>
        <w:gridCol w:w="6763"/>
        <w:gridCol w:w="762"/>
      </w:tblGrid>
      <w:tr>
        <w:tblPrEx>
          <w:tblLayout w:type="fixed"/>
          <w:tblCellMar>
            <w:top w:w="0" w:type="dxa"/>
            <w:left w:w="108" w:type="dxa"/>
            <w:bottom w:w="0" w:type="dxa"/>
            <w:right w:w="108" w:type="dxa"/>
          </w:tblCellMar>
        </w:tblPrEx>
        <w:trPr>
          <w:trHeight w:val="480"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序号</w:t>
            </w:r>
          </w:p>
        </w:tc>
        <w:tc>
          <w:tcPr>
            <w:tcW w:w="153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评分项</w:t>
            </w:r>
          </w:p>
        </w:tc>
        <w:tc>
          <w:tcPr>
            <w:tcW w:w="676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评分标准</w:t>
            </w:r>
          </w:p>
        </w:tc>
        <w:tc>
          <w:tcPr>
            <w:tcW w:w="762"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分值</w:t>
            </w:r>
          </w:p>
        </w:tc>
      </w:tr>
      <w:tr>
        <w:tblPrEx>
          <w:tblLayout w:type="fixed"/>
          <w:tblCellMar>
            <w:top w:w="0" w:type="dxa"/>
            <w:left w:w="108" w:type="dxa"/>
            <w:bottom w:w="0" w:type="dxa"/>
            <w:right w:w="108" w:type="dxa"/>
          </w:tblCellMar>
        </w:tblPrEx>
        <w:trPr>
          <w:trHeight w:val="85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c>
          <w:tcPr>
            <w:tcW w:w="15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对项目理解程度（3分）</w:t>
            </w:r>
          </w:p>
        </w:tc>
        <w:tc>
          <w:tcPr>
            <w:tcW w:w="676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对项目的背景、目的、内容与时间要求等的理解程度等进行评分。（优秀得3分；良得2分；一般得1 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945" w:hRule="atLeast"/>
        </w:trPr>
        <w:tc>
          <w:tcPr>
            <w:tcW w:w="70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c>
          <w:tcPr>
            <w:tcW w:w="1537"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技术设计方案（18分）</w:t>
            </w:r>
          </w:p>
        </w:tc>
        <w:tc>
          <w:tcPr>
            <w:tcW w:w="676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（1）对任务特点分析是否透彻，技术方法是否先进，工作流程是否合理，工作步骤是否具体全面等进行评分。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（优秀得12分；良得8分；一般得4分；较差0分）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12分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37"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6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（2）对引用法律法规和技术标准文件是否合理正确，相关技术要求及提交成果是否满足本项目总体要求等进行评分。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540" w:hRule="atLeast"/>
        </w:trPr>
        <w:tc>
          <w:tcPr>
            <w:tcW w:w="70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w:t>
            </w:r>
          </w:p>
        </w:tc>
        <w:tc>
          <w:tcPr>
            <w:tcW w:w="1537"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施工方案</w:t>
            </w:r>
            <w:r>
              <w:rPr>
                <w:rFonts w:hint="eastAsia" w:ascii="宋体" w:hAnsi="宋体" w:cs="宋体"/>
                <w:color w:val="auto"/>
                <w:kern w:val="0"/>
                <w:sz w:val="24"/>
                <w:szCs w:val="24"/>
              </w:rPr>
              <w:br w:type="textWrapping"/>
            </w:r>
            <w:r>
              <w:rPr>
                <w:rFonts w:hint="eastAsia" w:ascii="宋体" w:hAnsi="宋体" w:cs="宋体"/>
                <w:color w:val="auto"/>
                <w:kern w:val="0"/>
                <w:sz w:val="24"/>
                <w:szCs w:val="24"/>
              </w:rPr>
              <w:t>（21分</w:t>
            </w:r>
          </w:p>
        </w:tc>
        <w:tc>
          <w:tcPr>
            <w:tcW w:w="676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（1）对项目组织机构配备情况是否合理进行评分。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162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37"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6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（2）对投入本项目的仪器设备（软件、硬件）是否合理、配备是否齐全等进行评分。（须提供软件硬件设备购买发票或制造商的授权使用证明材料或上级主管部门调拨文件复印件并加盖公章，否则该项不得分）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 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37"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6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（3）对是否有项目进度详细计划和进度保障措施，工期是否符合采购人的要求等进行评分。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37"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6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（4）对是否有明确的成果质量目标，是否有完整、合理的质量检查方案及控制措施等进行评分。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37"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6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（5）对安全生产与文明施工措施科学、有效等进行评分。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1094"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4</w:t>
            </w:r>
          </w:p>
        </w:tc>
        <w:tc>
          <w:tcPr>
            <w:tcW w:w="15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售后服务响应（3分）</w:t>
            </w:r>
          </w:p>
        </w:tc>
        <w:tc>
          <w:tcPr>
            <w:tcW w:w="6763"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对售后服务内容是否详细，售后服务人员配备是否合理，响应方式是否可行等进行评分。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olor w:val="auto"/>
        </w:rPr>
      </w:pPr>
      <w:r>
        <w:rPr>
          <w:rFonts w:hint="eastAsia" w:ascii="宋体" w:hAnsi="宋体" w:cs="宋体"/>
          <w:b/>
          <w:bCs/>
          <w:color w:val="auto"/>
          <w:sz w:val="24"/>
          <w:szCs w:val="24"/>
        </w:rPr>
        <w:t xml:space="preserve">  </w:t>
      </w:r>
      <w:r>
        <w:rPr>
          <w:rFonts w:hint="eastAsia" w:ascii="宋体" w:hAnsi="宋体" w:cs="宋体"/>
          <w:color w:val="auto"/>
          <w:kern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 xml:space="preserve">    3、投标报价评分（10）</w:t>
      </w:r>
    </w:p>
    <w:tbl>
      <w:tblPr>
        <w:tblStyle w:val="65"/>
        <w:tblW w:w="9762" w:type="dxa"/>
        <w:tblInd w:w="-118" w:type="dxa"/>
        <w:tblLayout w:type="fixed"/>
        <w:tblCellMar>
          <w:top w:w="0" w:type="dxa"/>
          <w:left w:w="108" w:type="dxa"/>
          <w:bottom w:w="0" w:type="dxa"/>
          <w:right w:w="108" w:type="dxa"/>
        </w:tblCellMar>
      </w:tblPr>
      <w:tblGrid>
        <w:gridCol w:w="725"/>
        <w:gridCol w:w="1344"/>
        <w:gridCol w:w="6943"/>
        <w:gridCol w:w="750"/>
      </w:tblGrid>
      <w:tr>
        <w:tblPrEx>
          <w:tblLayout w:type="fixed"/>
          <w:tblCellMar>
            <w:top w:w="0" w:type="dxa"/>
            <w:left w:w="108" w:type="dxa"/>
            <w:bottom w:w="0" w:type="dxa"/>
            <w:right w:w="108" w:type="dxa"/>
          </w:tblCellMar>
        </w:tblPrEx>
        <w:trPr>
          <w:trHeight w:val="443" w:hRule="atLeast"/>
        </w:trPr>
        <w:tc>
          <w:tcPr>
            <w:tcW w:w="7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序号</w:t>
            </w:r>
          </w:p>
        </w:tc>
        <w:tc>
          <w:tcPr>
            <w:tcW w:w="1344"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评分项</w:t>
            </w:r>
          </w:p>
        </w:tc>
        <w:tc>
          <w:tcPr>
            <w:tcW w:w="694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评分标准</w:t>
            </w:r>
          </w:p>
        </w:tc>
        <w:tc>
          <w:tcPr>
            <w:tcW w:w="750"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分值</w:t>
            </w:r>
          </w:p>
        </w:tc>
      </w:tr>
      <w:tr>
        <w:tblPrEx>
          <w:tblLayout w:type="fixed"/>
          <w:tblCellMar>
            <w:top w:w="0" w:type="dxa"/>
            <w:left w:w="108" w:type="dxa"/>
            <w:bottom w:w="0" w:type="dxa"/>
            <w:right w:w="108" w:type="dxa"/>
          </w:tblCellMar>
        </w:tblPrEx>
        <w:trPr>
          <w:trHeight w:val="1260" w:hRule="atLeast"/>
        </w:trPr>
        <w:tc>
          <w:tcPr>
            <w:tcW w:w="72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1</w:t>
            </w:r>
          </w:p>
        </w:tc>
        <w:tc>
          <w:tcPr>
            <w:tcW w:w="1344"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投标报价</w:t>
            </w:r>
            <w:r>
              <w:rPr>
                <w:rFonts w:hint="eastAsia" w:ascii="宋体" w:hAnsi="宋体" w:cs="宋体"/>
                <w:color w:val="auto"/>
                <w:sz w:val="24"/>
                <w:szCs w:val="24"/>
              </w:rPr>
              <w:br w:type="textWrapping"/>
            </w:r>
            <w:r>
              <w:rPr>
                <w:rFonts w:hint="eastAsia" w:ascii="宋体" w:hAnsi="宋体" w:cs="宋体"/>
                <w:color w:val="auto"/>
                <w:sz w:val="24"/>
                <w:szCs w:val="24"/>
              </w:rPr>
              <w:t>（10）</w:t>
            </w:r>
          </w:p>
        </w:tc>
        <w:tc>
          <w:tcPr>
            <w:tcW w:w="6943"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价格分统一采用低价优先法，即满足招标文件要求且投标价格最低的投标报价为评标基准价，其价格分为满分。其他投标人的价格分统一按照下列公式计算：投标报价得分＝（评标基准价</w:t>
            </w:r>
            <w:r>
              <w:rPr>
                <w:color w:val="auto"/>
                <w:sz w:val="24"/>
                <w:szCs w:val="24"/>
              </w:rPr>
              <w:t>/</w:t>
            </w:r>
            <w:r>
              <w:rPr>
                <w:rFonts w:hint="eastAsia" w:ascii="宋体" w:hAnsi="宋体" w:cs="宋体"/>
                <w:color w:val="auto"/>
                <w:sz w:val="24"/>
                <w:szCs w:val="24"/>
              </w:rPr>
              <w:t>投标报价）×</w:t>
            </w:r>
            <w:r>
              <w:rPr>
                <w:rFonts w:hint="eastAsia"/>
                <w:color w:val="auto"/>
                <w:sz w:val="24"/>
                <w:szCs w:val="24"/>
              </w:rPr>
              <w:t>10</w:t>
            </w:r>
            <w:r>
              <w:rPr>
                <w:rFonts w:hint="eastAsia" w:ascii="宋体" w:hAnsi="宋体" w:cs="宋体"/>
                <w:color w:val="auto"/>
                <w:sz w:val="24"/>
                <w:szCs w:val="24"/>
              </w:rPr>
              <w:t>％×</w:t>
            </w:r>
            <w:r>
              <w:rPr>
                <w:color w:val="auto"/>
                <w:sz w:val="24"/>
                <w:szCs w:val="24"/>
              </w:rPr>
              <w:t>100</w:t>
            </w:r>
          </w:p>
        </w:tc>
        <w:tc>
          <w:tcPr>
            <w:tcW w:w="75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10</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0"/>
        <w:rPr>
          <w:rFonts w:ascii="宋体" w:hAnsi="宋体" w:cs="宋体"/>
          <w:b/>
          <w:color w:val="auto"/>
          <w:kern w:val="0"/>
          <w:sz w:val="24"/>
          <w:szCs w:val="24"/>
        </w:rPr>
      </w:pPr>
      <w:r>
        <w:rPr>
          <w:rFonts w:hint="eastAsia" w:ascii="宋体" w:hAnsi="宋体" w:cs="宋体"/>
          <w:b/>
          <w:color w:val="auto"/>
          <w:kern w:val="0"/>
          <w:sz w:val="24"/>
          <w:szCs w:val="24"/>
        </w:rPr>
        <w:t>（三）6包评分表</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1、商务评分（45分）</w:t>
      </w:r>
    </w:p>
    <w:tbl>
      <w:tblPr>
        <w:tblStyle w:val="65"/>
        <w:tblW w:w="9750" w:type="dxa"/>
        <w:tblInd w:w="-106" w:type="dxa"/>
        <w:tblLayout w:type="fixed"/>
        <w:tblCellMar>
          <w:top w:w="0" w:type="dxa"/>
          <w:left w:w="108" w:type="dxa"/>
          <w:bottom w:w="0" w:type="dxa"/>
          <w:right w:w="108" w:type="dxa"/>
        </w:tblCellMar>
      </w:tblPr>
      <w:tblGrid>
        <w:gridCol w:w="713"/>
        <w:gridCol w:w="1250"/>
        <w:gridCol w:w="7025"/>
        <w:gridCol w:w="762"/>
      </w:tblGrid>
      <w:tr>
        <w:tblPrEx>
          <w:tblLayout w:type="fixed"/>
          <w:tblCellMar>
            <w:top w:w="0" w:type="dxa"/>
            <w:left w:w="108" w:type="dxa"/>
            <w:bottom w:w="0" w:type="dxa"/>
            <w:right w:w="108" w:type="dxa"/>
          </w:tblCellMar>
        </w:tblPrEx>
        <w:trPr>
          <w:trHeight w:val="502" w:hRule="atLeast"/>
        </w:trPr>
        <w:tc>
          <w:tcPr>
            <w:tcW w:w="71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序号</w:t>
            </w:r>
          </w:p>
        </w:tc>
        <w:tc>
          <w:tcPr>
            <w:tcW w:w="1250"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评分项</w:t>
            </w:r>
          </w:p>
        </w:tc>
        <w:tc>
          <w:tcPr>
            <w:tcW w:w="702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评分标准</w:t>
            </w:r>
          </w:p>
        </w:tc>
        <w:tc>
          <w:tcPr>
            <w:tcW w:w="762"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分值</w:t>
            </w:r>
          </w:p>
        </w:tc>
      </w:tr>
      <w:tr>
        <w:tblPrEx>
          <w:tblLayout w:type="fixed"/>
          <w:tblCellMar>
            <w:top w:w="0" w:type="dxa"/>
            <w:left w:w="108" w:type="dxa"/>
            <w:bottom w:w="0" w:type="dxa"/>
            <w:right w:w="108" w:type="dxa"/>
          </w:tblCellMar>
        </w:tblPrEx>
        <w:trPr>
          <w:trHeight w:val="2787" w:hRule="atLeast"/>
        </w:trPr>
        <w:tc>
          <w:tcPr>
            <w:tcW w:w="713"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c>
          <w:tcPr>
            <w:tcW w:w="125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olor w:val="auto"/>
                <w:sz w:val="24"/>
                <w:szCs w:val="24"/>
              </w:rPr>
              <w:t>核心技术</w:t>
            </w:r>
            <w:r>
              <w:rPr>
                <w:rFonts w:hint="eastAsia" w:ascii="宋体" w:hAnsi="宋体" w:cs="宋体"/>
                <w:color w:val="auto"/>
                <w:kern w:val="0"/>
                <w:sz w:val="24"/>
                <w:szCs w:val="24"/>
              </w:rPr>
              <w:t>(1</w:t>
            </w:r>
            <w:r>
              <w:rPr>
                <w:rFonts w:ascii="宋体" w:hAnsi="宋体" w:cs="宋体"/>
                <w:color w:val="auto"/>
                <w:kern w:val="0"/>
                <w:sz w:val="24"/>
                <w:szCs w:val="24"/>
              </w:rPr>
              <w:t>0</w:t>
            </w:r>
            <w:r>
              <w:rPr>
                <w:rFonts w:hint="eastAsia" w:ascii="宋体" w:hAnsi="宋体" w:cs="宋体"/>
                <w:color w:val="auto"/>
                <w:kern w:val="0"/>
                <w:sz w:val="24"/>
                <w:szCs w:val="24"/>
              </w:rPr>
              <w:t>分)</w:t>
            </w:r>
          </w:p>
        </w:tc>
        <w:tc>
          <w:tcPr>
            <w:tcW w:w="70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（1）为保证开发的数据建库系统能够与现有不动产登记平台的平台实现无缝对接，投标人采用与现有不动产登记平台相同的GIS平台，得</w:t>
            </w:r>
            <w:r>
              <w:rPr>
                <w:rFonts w:ascii="宋体" w:hAnsi="宋体" w:cs="宋体"/>
                <w:color w:val="auto"/>
                <w:kern w:val="0"/>
                <w:sz w:val="24"/>
                <w:szCs w:val="24"/>
              </w:rPr>
              <w:t>6</w:t>
            </w:r>
            <w:r>
              <w:rPr>
                <w:rFonts w:hint="eastAsia" w:ascii="宋体" w:hAnsi="宋体" w:cs="宋体"/>
                <w:color w:val="auto"/>
                <w:kern w:val="0"/>
                <w:sz w:val="24"/>
                <w:szCs w:val="24"/>
              </w:rPr>
              <w:t>分；采用其他平台开发但能够提供设计方案并保证原平台无缝对接的得2分，其他不得分。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sz w:val="24"/>
                <w:szCs w:val="24"/>
              </w:rPr>
            </w:pPr>
            <w:r>
              <w:rPr>
                <w:rFonts w:hint="eastAsia" w:ascii="宋体" w:hAnsi="宋体" w:cs="宋体"/>
                <w:color w:val="auto"/>
                <w:kern w:val="0"/>
                <w:sz w:val="24"/>
                <w:szCs w:val="24"/>
              </w:rPr>
              <w:t>（2）提供开发使用的GIS平台原厂商的服务承诺书，得4分，否则不得分。（提供原厂商的服务承诺书原件）</w:t>
            </w:r>
            <w:r>
              <w:rPr>
                <w:rFonts w:hint="eastAsia" w:ascii="宋体" w:hAnsi="宋体" w:cs="宋体"/>
                <w:color w:val="auto"/>
                <w:sz w:val="24"/>
                <w:szCs w:val="24"/>
              </w:rPr>
              <w:t>优先选用国内G</w:t>
            </w:r>
            <w:r>
              <w:rPr>
                <w:rFonts w:ascii="宋体" w:hAnsi="宋体" w:cs="宋体"/>
                <w:color w:val="auto"/>
                <w:sz w:val="24"/>
                <w:szCs w:val="24"/>
              </w:rPr>
              <w:t>IS平台</w:t>
            </w:r>
            <w:r>
              <w:rPr>
                <w:rFonts w:hint="eastAsia" w:ascii="宋体" w:hAnsi="宋体" w:cs="宋体"/>
                <w:color w:val="auto"/>
                <w:sz w:val="24"/>
                <w:szCs w:val="24"/>
              </w:rPr>
              <w:t>。</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olor w:val="auto"/>
                <w:sz w:val="24"/>
                <w:szCs w:val="24"/>
              </w:rPr>
              <w:t>提供以上证明材料复印件加盖公章。</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r>
              <w:rPr>
                <w:rFonts w:ascii="宋体" w:hAnsi="宋体" w:cs="宋体"/>
                <w:color w:val="auto"/>
                <w:kern w:val="0"/>
                <w:sz w:val="24"/>
                <w:szCs w:val="24"/>
              </w:rPr>
              <w:t>0</w:t>
            </w:r>
            <w:r>
              <w:rPr>
                <w:rFonts w:hint="eastAsia" w:ascii="宋体" w:hAnsi="宋体" w:cs="宋体"/>
                <w:color w:val="auto"/>
                <w:kern w:val="0"/>
                <w:sz w:val="24"/>
                <w:szCs w:val="24"/>
              </w:rPr>
              <w:t>分</w:t>
            </w:r>
          </w:p>
        </w:tc>
      </w:tr>
      <w:tr>
        <w:tblPrEx>
          <w:tblLayout w:type="fixed"/>
          <w:tblCellMar>
            <w:top w:w="0" w:type="dxa"/>
            <w:left w:w="108" w:type="dxa"/>
            <w:bottom w:w="0" w:type="dxa"/>
            <w:right w:w="108" w:type="dxa"/>
          </w:tblCellMar>
        </w:tblPrEx>
        <w:trPr>
          <w:trHeight w:val="1408" w:hRule="atLeast"/>
        </w:trPr>
        <w:tc>
          <w:tcPr>
            <w:tcW w:w="713"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c>
          <w:tcPr>
            <w:tcW w:w="125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相关业绩（11分）</w:t>
            </w:r>
          </w:p>
        </w:tc>
        <w:tc>
          <w:tcPr>
            <w:tcW w:w="70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（1）投标人</w:t>
            </w:r>
            <w:r>
              <w:rPr>
                <w:rFonts w:ascii="宋体" w:hAnsi="宋体" w:cs="宋体"/>
                <w:color w:val="auto"/>
                <w:kern w:val="0"/>
                <w:sz w:val="24"/>
                <w:szCs w:val="24"/>
              </w:rPr>
              <w:t>201</w:t>
            </w:r>
            <w:r>
              <w:rPr>
                <w:rFonts w:hint="eastAsia" w:ascii="宋体" w:hAnsi="宋体" w:cs="宋体"/>
                <w:color w:val="auto"/>
                <w:kern w:val="0"/>
                <w:sz w:val="24"/>
                <w:szCs w:val="24"/>
              </w:rPr>
              <w:t>7年以来独立承担过国土、不动产数据整合或系统建设项目案例的，每有一个得2分，最多得8分；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（2）投标人2017年以来独立承担过不动产数据质量检查软件开发案例得，得3分。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提供以上证明材料复印件加盖公章。</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11分</w:t>
            </w:r>
          </w:p>
        </w:tc>
      </w:tr>
      <w:tr>
        <w:tblPrEx>
          <w:tblLayout w:type="fixed"/>
          <w:tblCellMar>
            <w:top w:w="0" w:type="dxa"/>
            <w:left w:w="108" w:type="dxa"/>
            <w:bottom w:w="0" w:type="dxa"/>
            <w:right w:w="108" w:type="dxa"/>
          </w:tblCellMar>
        </w:tblPrEx>
        <w:trPr>
          <w:trHeight w:val="1120" w:hRule="atLeast"/>
        </w:trPr>
        <w:tc>
          <w:tcPr>
            <w:tcW w:w="713"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cs="宋体"/>
                <w:color w:val="auto"/>
                <w:kern w:val="0"/>
                <w:sz w:val="24"/>
                <w:szCs w:val="24"/>
              </w:rPr>
            </w:pPr>
            <w:r>
              <w:rPr>
                <w:rFonts w:hint="eastAsia" w:ascii="宋体" w:hAnsi="宋体" w:cs="宋体"/>
                <w:color w:val="auto"/>
                <w:kern w:val="0"/>
                <w:sz w:val="24"/>
                <w:szCs w:val="24"/>
              </w:rPr>
              <w:t>3</w:t>
            </w:r>
          </w:p>
        </w:tc>
        <w:tc>
          <w:tcPr>
            <w:tcW w:w="125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售后服务响应（8分）</w:t>
            </w:r>
          </w:p>
        </w:tc>
        <w:tc>
          <w:tcPr>
            <w:tcW w:w="70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对售后服务内容是否详细，售后服务人员配备是否合理，响应方式是否可行等进行评分。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（优秀得8分；良得</w:t>
            </w:r>
            <w:r>
              <w:rPr>
                <w:rFonts w:ascii="宋体" w:hAnsi="宋体" w:cs="宋体"/>
                <w:color w:val="auto"/>
                <w:kern w:val="0"/>
                <w:sz w:val="24"/>
                <w:szCs w:val="24"/>
              </w:rPr>
              <w:t>4</w:t>
            </w:r>
            <w:r>
              <w:rPr>
                <w:rFonts w:hint="eastAsia" w:ascii="宋体" w:hAnsi="宋体" w:cs="宋体"/>
                <w:color w:val="auto"/>
                <w:kern w:val="0"/>
                <w:sz w:val="24"/>
                <w:szCs w:val="24"/>
              </w:rPr>
              <w:t>分；一般得</w:t>
            </w:r>
            <w:r>
              <w:rPr>
                <w:rFonts w:ascii="宋体" w:hAnsi="宋体" w:cs="宋体"/>
                <w:color w:val="auto"/>
                <w:kern w:val="0"/>
                <w:sz w:val="24"/>
                <w:szCs w:val="24"/>
              </w:rPr>
              <w:t>2</w:t>
            </w:r>
            <w:r>
              <w:rPr>
                <w:rFonts w:hint="eastAsia" w:ascii="宋体" w:hAnsi="宋体" w:cs="宋体"/>
                <w:color w:val="auto"/>
                <w:kern w:val="0"/>
                <w:sz w:val="24"/>
                <w:szCs w:val="24"/>
              </w:rPr>
              <w:t>分；较差0分）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cs="宋体"/>
                <w:color w:val="auto"/>
                <w:kern w:val="0"/>
                <w:sz w:val="24"/>
                <w:szCs w:val="24"/>
              </w:rPr>
            </w:pPr>
            <w:r>
              <w:rPr>
                <w:rFonts w:hint="eastAsia" w:ascii="宋体" w:hAnsi="宋体" w:cs="宋体"/>
                <w:color w:val="auto"/>
                <w:kern w:val="0"/>
                <w:sz w:val="24"/>
                <w:szCs w:val="24"/>
              </w:rPr>
              <w:t>8分</w:t>
            </w:r>
          </w:p>
        </w:tc>
      </w:tr>
      <w:tr>
        <w:tblPrEx>
          <w:tblLayout w:type="fixed"/>
          <w:tblCellMar>
            <w:top w:w="0" w:type="dxa"/>
            <w:left w:w="108" w:type="dxa"/>
            <w:bottom w:w="0" w:type="dxa"/>
            <w:right w:w="108" w:type="dxa"/>
          </w:tblCellMar>
        </w:tblPrEx>
        <w:trPr>
          <w:trHeight w:val="423" w:hRule="atLeast"/>
        </w:trPr>
        <w:tc>
          <w:tcPr>
            <w:tcW w:w="713"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cs="宋体"/>
                <w:color w:val="auto"/>
                <w:kern w:val="0"/>
                <w:sz w:val="24"/>
                <w:szCs w:val="24"/>
              </w:rPr>
            </w:pPr>
            <w:r>
              <w:rPr>
                <w:rFonts w:hint="eastAsia" w:ascii="宋体" w:hAnsi="宋体" w:cs="宋体"/>
                <w:color w:val="auto"/>
                <w:kern w:val="0"/>
                <w:sz w:val="24"/>
                <w:szCs w:val="24"/>
              </w:rPr>
              <w:t>4</w:t>
            </w:r>
          </w:p>
        </w:tc>
        <w:tc>
          <w:tcPr>
            <w:tcW w:w="125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本地化服务能力（6分）</w:t>
            </w:r>
          </w:p>
        </w:tc>
        <w:tc>
          <w:tcPr>
            <w:tcW w:w="70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（1）投标人在海口市本地注册或设立子公司（分公司）得6分，需要提供本地工商部门核发的营业执照原件；</w:t>
            </w:r>
            <w:r>
              <w:rPr>
                <w:rFonts w:ascii="宋体" w:hAnsi="宋体" w:cs="宋体"/>
                <w:color w:val="auto"/>
                <w:kern w:val="0"/>
                <w:sz w:val="24"/>
                <w:szCs w:val="24"/>
              </w:rPr>
              <w:br w:type="textWrapping"/>
            </w:r>
            <w:r>
              <w:rPr>
                <w:rFonts w:hint="eastAsia" w:ascii="宋体" w:hAnsi="宋体" w:cs="宋体"/>
                <w:color w:val="auto"/>
                <w:kern w:val="0"/>
                <w:sz w:val="24"/>
                <w:szCs w:val="24"/>
              </w:rPr>
              <w:t>（2）投标人在海口市设有服务点或者办事处得2分，需要提供海口市房屋产权证明或租赁合同原件；</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没有不得分，本项最高6分。</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1833" w:hRule="atLeast"/>
        </w:trPr>
        <w:tc>
          <w:tcPr>
            <w:tcW w:w="713"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5</w:t>
            </w:r>
          </w:p>
        </w:tc>
        <w:tc>
          <w:tcPr>
            <w:tcW w:w="125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人员实力（1</w:t>
            </w:r>
            <w:r>
              <w:rPr>
                <w:rFonts w:ascii="宋体" w:hAnsi="宋体" w:cs="宋体"/>
                <w:color w:val="auto"/>
                <w:kern w:val="0"/>
                <w:sz w:val="24"/>
                <w:szCs w:val="24"/>
              </w:rPr>
              <w:t>0</w:t>
            </w:r>
            <w:r>
              <w:rPr>
                <w:rFonts w:hint="eastAsia" w:ascii="宋体" w:hAnsi="宋体" w:cs="宋体"/>
                <w:color w:val="auto"/>
                <w:kern w:val="0"/>
                <w:sz w:val="24"/>
                <w:szCs w:val="24"/>
              </w:rPr>
              <w:t>分)</w:t>
            </w:r>
          </w:p>
        </w:tc>
        <w:tc>
          <w:tcPr>
            <w:tcW w:w="70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（1）项目负责人具备测绘专业的高级工程师职称，得2分；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（2）项目负责人具有注册测绘师证书，得2分；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（3）实施人员具有中国测绘地理信息学会颁发的不动产培训证书的，每个得1分，最多得4分。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（4）项目</w:t>
            </w:r>
            <w:r>
              <w:rPr>
                <w:rFonts w:ascii="宋体" w:hAnsi="宋体" w:cs="宋体"/>
                <w:color w:val="auto"/>
                <w:kern w:val="0"/>
                <w:sz w:val="24"/>
                <w:szCs w:val="24"/>
              </w:rPr>
              <w:t>实施人员具有</w:t>
            </w:r>
            <w:r>
              <w:rPr>
                <w:rFonts w:hint="eastAsia" w:ascii="宋体" w:hAnsi="宋体" w:cs="宋体"/>
                <w:color w:val="auto"/>
                <w:kern w:val="0"/>
                <w:sz w:val="24"/>
                <w:szCs w:val="24"/>
              </w:rPr>
              <w:t>信息安全保障人员认证证书的，一个得</w:t>
            </w:r>
            <w:r>
              <w:rPr>
                <w:rFonts w:ascii="宋体" w:hAnsi="宋体" w:cs="宋体"/>
                <w:color w:val="auto"/>
                <w:kern w:val="0"/>
                <w:sz w:val="24"/>
                <w:szCs w:val="24"/>
              </w:rPr>
              <w:t>1</w:t>
            </w:r>
            <w:r>
              <w:rPr>
                <w:rFonts w:hint="eastAsia" w:ascii="宋体" w:hAnsi="宋体" w:cs="宋体"/>
                <w:color w:val="auto"/>
                <w:kern w:val="0"/>
                <w:sz w:val="24"/>
                <w:szCs w:val="24"/>
              </w:rPr>
              <w:t>分，最多</w:t>
            </w:r>
            <w:r>
              <w:rPr>
                <w:rFonts w:ascii="宋体" w:hAnsi="宋体" w:cs="宋体"/>
                <w:color w:val="auto"/>
                <w:kern w:val="0"/>
                <w:sz w:val="24"/>
                <w:szCs w:val="24"/>
              </w:rPr>
              <w:t>得2</w:t>
            </w:r>
            <w:r>
              <w:rPr>
                <w:rFonts w:hint="eastAsia" w:ascii="宋体" w:hAnsi="宋体" w:cs="宋体"/>
                <w:color w:val="auto"/>
                <w:kern w:val="0"/>
                <w:sz w:val="24"/>
                <w:szCs w:val="24"/>
              </w:rPr>
              <w:t>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提供以上证明材料复印件加盖公章。</w:t>
            </w:r>
          </w:p>
        </w:tc>
        <w:tc>
          <w:tcPr>
            <w:tcW w:w="76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r>
              <w:rPr>
                <w:rFonts w:ascii="宋体" w:hAnsi="宋体" w:cs="宋体"/>
                <w:color w:val="auto"/>
                <w:kern w:val="0"/>
                <w:sz w:val="24"/>
                <w:szCs w:val="24"/>
              </w:rPr>
              <w:t>0</w:t>
            </w:r>
            <w:r>
              <w:rPr>
                <w:rFonts w:hint="eastAsia" w:ascii="宋体" w:hAnsi="宋体" w:cs="宋体"/>
                <w:color w:val="auto"/>
                <w:kern w:val="0"/>
                <w:sz w:val="24"/>
                <w:szCs w:val="24"/>
              </w:rPr>
              <w:t>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 xml:space="preserve">   2、技术评分（45分）</w:t>
      </w:r>
    </w:p>
    <w:tbl>
      <w:tblPr>
        <w:tblStyle w:val="65"/>
        <w:tblW w:w="9737" w:type="dxa"/>
        <w:tblInd w:w="-93" w:type="dxa"/>
        <w:tblLayout w:type="fixed"/>
        <w:tblCellMar>
          <w:top w:w="0" w:type="dxa"/>
          <w:left w:w="108" w:type="dxa"/>
          <w:bottom w:w="0" w:type="dxa"/>
          <w:right w:w="108" w:type="dxa"/>
        </w:tblCellMar>
      </w:tblPr>
      <w:tblGrid>
        <w:gridCol w:w="700"/>
        <w:gridCol w:w="1525"/>
        <w:gridCol w:w="6737"/>
        <w:gridCol w:w="775"/>
      </w:tblGrid>
      <w:tr>
        <w:tblPrEx>
          <w:tblLayout w:type="fixed"/>
          <w:tblCellMar>
            <w:top w:w="0" w:type="dxa"/>
            <w:left w:w="108" w:type="dxa"/>
            <w:bottom w:w="0" w:type="dxa"/>
            <w:right w:w="108" w:type="dxa"/>
          </w:tblCellMar>
        </w:tblPrEx>
        <w:trPr>
          <w:trHeight w:val="517"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序号</w:t>
            </w:r>
          </w:p>
        </w:tc>
        <w:tc>
          <w:tcPr>
            <w:tcW w:w="152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评分项</w:t>
            </w:r>
          </w:p>
        </w:tc>
        <w:tc>
          <w:tcPr>
            <w:tcW w:w="673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评分标准</w:t>
            </w:r>
          </w:p>
        </w:tc>
        <w:tc>
          <w:tcPr>
            <w:tcW w:w="77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分值</w:t>
            </w:r>
          </w:p>
        </w:tc>
      </w:tr>
      <w:tr>
        <w:tblPrEx>
          <w:tblLayout w:type="fixed"/>
          <w:tblCellMar>
            <w:top w:w="0" w:type="dxa"/>
            <w:left w:w="108" w:type="dxa"/>
            <w:bottom w:w="0" w:type="dxa"/>
            <w:right w:w="108" w:type="dxa"/>
          </w:tblCellMar>
        </w:tblPrEx>
        <w:trPr>
          <w:trHeight w:val="1125"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c>
          <w:tcPr>
            <w:tcW w:w="15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对项目理解程度（3分）</w:t>
            </w:r>
          </w:p>
        </w:tc>
        <w:tc>
          <w:tcPr>
            <w:tcW w:w="6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对项目的背景、目的、内容与时间要求等的理解程度等进行评分。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 分；较差0分）</w:t>
            </w:r>
          </w:p>
        </w:tc>
        <w:tc>
          <w:tcPr>
            <w:tcW w:w="77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945" w:hRule="atLeast"/>
        </w:trPr>
        <w:tc>
          <w:tcPr>
            <w:tcW w:w="70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c>
          <w:tcPr>
            <w:tcW w:w="1525"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技术设计方案（1</w:t>
            </w:r>
            <w:r>
              <w:rPr>
                <w:rFonts w:ascii="宋体" w:hAnsi="宋体" w:cs="宋体"/>
                <w:color w:val="auto"/>
                <w:kern w:val="0"/>
                <w:sz w:val="24"/>
                <w:szCs w:val="24"/>
              </w:rPr>
              <w:t>5</w:t>
            </w:r>
            <w:r>
              <w:rPr>
                <w:rFonts w:hint="eastAsia" w:ascii="宋体" w:hAnsi="宋体" w:cs="宋体"/>
                <w:color w:val="auto"/>
                <w:kern w:val="0"/>
                <w:sz w:val="24"/>
                <w:szCs w:val="24"/>
              </w:rPr>
              <w:t>分）</w:t>
            </w:r>
          </w:p>
        </w:tc>
        <w:tc>
          <w:tcPr>
            <w:tcW w:w="6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（1）对任务特点分析是否透彻，技术方法是否先进，工作流程是否合理，工作步骤是否具体全面等进行评分。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（优秀得12分；良得8分；一般得4分；较差0分）</w:t>
            </w:r>
          </w:p>
        </w:tc>
        <w:tc>
          <w:tcPr>
            <w:tcW w:w="77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12分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2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（2）对引用法律法规和技术标准文件是否合理正确，相关技术要求是否满足本项目总体要求等进行评分。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w:t>
            </w:r>
            <w:r>
              <w:rPr>
                <w:rFonts w:ascii="宋体" w:hAnsi="宋体" w:cs="宋体"/>
                <w:color w:val="auto"/>
                <w:kern w:val="0"/>
                <w:sz w:val="24"/>
                <w:szCs w:val="24"/>
              </w:rPr>
              <w:t>3</w:t>
            </w:r>
            <w:r>
              <w:rPr>
                <w:rFonts w:hint="eastAsia" w:ascii="宋体" w:hAnsi="宋体" w:cs="宋体"/>
                <w:color w:val="auto"/>
                <w:kern w:val="0"/>
                <w:sz w:val="24"/>
                <w:szCs w:val="24"/>
              </w:rPr>
              <w:t>分；良得</w:t>
            </w:r>
            <w:r>
              <w:rPr>
                <w:rFonts w:ascii="宋体" w:hAnsi="宋体" w:cs="宋体"/>
                <w:color w:val="auto"/>
                <w:kern w:val="0"/>
                <w:sz w:val="24"/>
                <w:szCs w:val="24"/>
              </w:rPr>
              <w:t>2</w:t>
            </w:r>
            <w:r>
              <w:rPr>
                <w:rFonts w:hint="eastAsia" w:ascii="宋体" w:hAnsi="宋体" w:cs="宋体"/>
                <w:color w:val="auto"/>
                <w:kern w:val="0"/>
                <w:sz w:val="24"/>
                <w:szCs w:val="24"/>
              </w:rPr>
              <w:t>分；一般得</w:t>
            </w:r>
            <w:r>
              <w:rPr>
                <w:rFonts w:ascii="宋体" w:hAnsi="宋体" w:cs="宋体"/>
                <w:color w:val="auto"/>
                <w:kern w:val="0"/>
                <w:sz w:val="24"/>
                <w:szCs w:val="24"/>
              </w:rPr>
              <w:t>1</w:t>
            </w:r>
            <w:r>
              <w:rPr>
                <w:rFonts w:hint="eastAsia" w:ascii="宋体" w:hAnsi="宋体" w:cs="宋体"/>
                <w:color w:val="auto"/>
                <w:kern w:val="0"/>
                <w:sz w:val="24"/>
                <w:szCs w:val="24"/>
              </w:rPr>
              <w:t>分；较差0分）</w:t>
            </w:r>
          </w:p>
        </w:tc>
        <w:tc>
          <w:tcPr>
            <w:tcW w:w="77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ascii="宋体" w:hAnsi="宋体" w:cs="宋体"/>
                <w:color w:val="auto"/>
                <w:kern w:val="0"/>
                <w:sz w:val="24"/>
                <w:szCs w:val="24"/>
              </w:rPr>
              <w:t>3</w:t>
            </w:r>
            <w:r>
              <w:rPr>
                <w:rFonts w:hint="eastAsia" w:ascii="宋体" w:hAnsi="宋体" w:cs="宋体"/>
                <w:color w:val="auto"/>
                <w:kern w:val="0"/>
                <w:sz w:val="24"/>
                <w:szCs w:val="24"/>
              </w:rPr>
              <w:t>分</w:t>
            </w:r>
          </w:p>
        </w:tc>
      </w:tr>
      <w:tr>
        <w:tblPrEx>
          <w:tblLayout w:type="fixed"/>
          <w:tblCellMar>
            <w:top w:w="0" w:type="dxa"/>
            <w:left w:w="108" w:type="dxa"/>
            <w:bottom w:w="0" w:type="dxa"/>
            <w:right w:w="108" w:type="dxa"/>
          </w:tblCellMar>
        </w:tblPrEx>
        <w:trPr>
          <w:trHeight w:val="1100" w:hRule="atLeast"/>
        </w:trPr>
        <w:tc>
          <w:tcPr>
            <w:tcW w:w="70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w:t>
            </w:r>
          </w:p>
        </w:tc>
        <w:tc>
          <w:tcPr>
            <w:tcW w:w="1525"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施工方案</w:t>
            </w:r>
            <w:r>
              <w:rPr>
                <w:rFonts w:hint="eastAsia" w:ascii="宋体" w:hAnsi="宋体" w:cs="宋体"/>
                <w:color w:val="auto"/>
                <w:kern w:val="0"/>
                <w:sz w:val="24"/>
                <w:szCs w:val="24"/>
              </w:rPr>
              <w:br w:type="textWrapping"/>
            </w:r>
            <w:r>
              <w:rPr>
                <w:rFonts w:hint="eastAsia" w:ascii="宋体" w:hAnsi="宋体" w:cs="宋体"/>
                <w:color w:val="auto"/>
                <w:kern w:val="0"/>
                <w:sz w:val="24"/>
                <w:szCs w:val="24"/>
              </w:rPr>
              <w:t>（</w:t>
            </w:r>
            <w:r>
              <w:rPr>
                <w:rFonts w:ascii="宋体" w:hAnsi="宋体" w:cs="宋体"/>
                <w:color w:val="auto"/>
                <w:kern w:val="0"/>
                <w:sz w:val="24"/>
                <w:szCs w:val="24"/>
              </w:rPr>
              <w:t>12</w:t>
            </w:r>
            <w:r>
              <w:rPr>
                <w:rFonts w:hint="eastAsia" w:ascii="宋体" w:hAnsi="宋体" w:cs="宋体"/>
                <w:color w:val="auto"/>
                <w:kern w:val="0"/>
                <w:sz w:val="24"/>
                <w:szCs w:val="24"/>
              </w:rPr>
              <w:t>分</w:t>
            </w:r>
          </w:p>
        </w:tc>
        <w:tc>
          <w:tcPr>
            <w:tcW w:w="673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w:t>
            </w:r>
            <w:r>
              <w:rPr>
                <w:rFonts w:ascii="宋体" w:hAnsi="宋体" w:cs="宋体"/>
                <w:color w:val="auto"/>
                <w:kern w:val="0"/>
                <w:sz w:val="24"/>
                <w:szCs w:val="24"/>
              </w:rPr>
              <w:t>1</w:t>
            </w:r>
            <w:r>
              <w:rPr>
                <w:rFonts w:hint="eastAsia" w:ascii="宋体" w:hAnsi="宋体" w:cs="宋体"/>
                <w:color w:val="auto"/>
                <w:kern w:val="0"/>
                <w:sz w:val="24"/>
                <w:szCs w:val="24"/>
              </w:rPr>
              <w:t>）对项目实施计划、工期管理，突发事件处置方案、测试方案、验收方案、</w:t>
            </w:r>
            <w:r>
              <w:rPr>
                <w:rFonts w:ascii="宋体" w:hAnsi="宋体" w:cs="宋体"/>
                <w:color w:val="auto"/>
                <w:kern w:val="0"/>
                <w:sz w:val="24"/>
                <w:szCs w:val="24"/>
              </w:rPr>
              <w:t>培训方案</w:t>
            </w:r>
            <w:r>
              <w:rPr>
                <w:rFonts w:hint="eastAsia" w:ascii="宋体" w:hAnsi="宋体" w:cs="宋体"/>
                <w:color w:val="auto"/>
                <w:kern w:val="0"/>
                <w:sz w:val="24"/>
                <w:szCs w:val="24"/>
              </w:rPr>
              <w:t>的科学合理进行评分</w:t>
            </w:r>
          </w:p>
          <w:p>
            <w:pPr>
              <w:keepNext w:val="0"/>
              <w:keepLines w:val="0"/>
              <w:pageBreakBefore w:val="0"/>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77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2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3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w:t>
            </w:r>
            <w:r>
              <w:rPr>
                <w:rFonts w:ascii="宋体" w:hAnsi="宋体" w:cs="宋体"/>
                <w:color w:val="auto"/>
                <w:kern w:val="0"/>
                <w:sz w:val="24"/>
                <w:szCs w:val="24"/>
              </w:rPr>
              <w:t>2</w:t>
            </w:r>
            <w:r>
              <w:rPr>
                <w:rFonts w:hint="eastAsia" w:ascii="宋体" w:hAnsi="宋体" w:cs="宋体"/>
                <w:color w:val="auto"/>
                <w:kern w:val="0"/>
                <w:sz w:val="24"/>
                <w:szCs w:val="24"/>
              </w:rPr>
              <w:t>）对是否有明确的成果质量目标，是否有完整、合理的质量检查方案及控制措施等进行评分。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w:t>
            </w:r>
            <w:r>
              <w:rPr>
                <w:rFonts w:ascii="宋体" w:hAnsi="宋体" w:cs="宋体"/>
                <w:color w:val="auto"/>
                <w:kern w:val="0"/>
                <w:sz w:val="24"/>
                <w:szCs w:val="24"/>
              </w:rPr>
              <w:t>3</w:t>
            </w:r>
            <w:r>
              <w:rPr>
                <w:rFonts w:hint="eastAsia" w:ascii="宋体" w:hAnsi="宋体" w:cs="宋体"/>
                <w:color w:val="auto"/>
                <w:kern w:val="0"/>
                <w:sz w:val="24"/>
                <w:szCs w:val="24"/>
              </w:rPr>
              <w:t>分；良得</w:t>
            </w:r>
            <w:r>
              <w:rPr>
                <w:rFonts w:ascii="宋体" w:hAnsi="宋体" w:cs="宋体"/>
                <w:color w:val="auto"/>
                <w:kern w:val="0"/>
                <w:sz w:val="24"/>
                <w:szCs w:val="24"/>
              </w:rPr>
              <w:t>2</w:t>
            </w:r>
            <w:r>
              <w:rPr>
                <w:rFonts w:hint="eastAsia" w:ascii="宋体" w:hAnsi="宋体" w:cs="宋体"/>
                <w:color w:val="auto"/>
                <w:kern w:val="0"/>
                <w:sz w:val="24"/>
                <w:szCs w:val="24"/>
              </w:rPr>
              <w:t>分；一般得</w:t>
            </w:r>
            <w:r>
              <w:rPr>
                <w:rFonts w:ascii="宋体" w:hAnsi="宋体" w:cs="宋体"/>
                <w:color w:val="auto"/>
                <w:kern w:val="0"/>
                <w:sz w:val="24"/>
                <w:szCs w:val="24"/>
              </w:rPr>
              <w:t>1</w:t>
            </w:r>
            <w:r>
              <w:rPr>
                <w:rFonts w:hint="eastAsia" w:ascii="宋体" w:hAnsi="宋体" w:cs="宋体"/>
                <w:color w:val="auto"/>
                <w:kern w:val="0"/>
                <w:sz w:val="24"/>
                <w:szCs w:val="24"/>
              </w:rPr>
              <w:t>分；较差0分）</w:t>
            </w:r>
          </w:p>
        </w:tc>
        <w:tc>
          <w:tcPr>
            <w:tcW w:w="77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ascii="宋体" w:hAnsi="宋体" w:cs="宋体"/>
                <w:color w:val="auto"/>
                <w:kern w:val="0"/>
                <w:sz w:val="24"/>
                <w:szCs w:val="24"/>
              </w:rPr>
              <w:t>3</w:t>
            </w:r>
            <w:r>
              <w:rPr>
                <w:rFonts w:hint="eastAsia" w:ascii="宋体" w:hAnsi="宋体" w:cs="宋体"/>
                <w:color w:val="auto"/>
                <w:kern w:val="0"/>
                <w:sz w:val="24"/>
                <w:szCs w:val="24"/>
              </w:rPr>
              <w:t>分</w:t>
            </w:r>
          </w:p>
        </w:tc>
      </w:tr>
      <w:tr>
        <w:tblPrEx>
          <w:tblLayout w:type="fixed"/>
          <w:tblCellMar>
            <w:top w:w="0" w:type="dxa"/>
            <w:left w:w="108" w:type="dxa"/>
            <w:bottom w:w="0" w:type="dxa"/>
            <w:right w:w="108" w:type="dxa"/>
          </w:tblCellMar>
        </w:tblPrEx>
        <w:trPr>
          <w:trHeight w:val="810" w:hRule="atLeast"/>
        </w:trPr>
        <w:tc>
          <w:tcPr>
            <w:tcW w:w="70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52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3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w:t>
            </w:r>
            <w:r>
              <w:rPr>
                <w:rFonts w:ascii="宋体" w:hAnsi="宋体" w:cs="宋体"/>
                <w:color w:val="auto"/>
                <w:kern w:val="0"/>
                <w:sz w:val="24"/>
                <w:szCs w:val="24"/>
              </w:rPr>
              <w:t>3</w:t>
            </w:r>
            <w:r>
              <w:rPr>
                <w:rFonts w:hint="eastAsia" w:ascii="宋体" w:hAnsi="宋体" w:cs="宋体"/>
                <w:color w:val="auto"/>
                <w:kern w:val="0"/>
                <w:sz w:val="24"/>
                <w:szCs w:val="24"/>
              </w:rPr>
              <w:t>）对项目成果保密制度的情况进行综合评判</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77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487"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cs="宋体"/>
                <w:color w:val="auto"/>
                <w:kern w:val="0"/>
                <w:sz w:val="24"/>
                <w:szCs w:val="24"/>
              </w:rPr>
            </w:pPr>
            <w:r>
              <w:rPr>
                <w:rFonts w:hint="eastAsia" w:ascii="宋体" w:hAnsi="宋体" w:cs="宋体"/>
                <w:color w:val="auto"/>
                <w:kern w:val="0"/>
                <w:sz w:val="24"/>
                <w:szCs w:val="24"/>
              </w:rPr>
              <w:t>4</w:t>
            </w:r>
          </w:p>
        </w:tc>
        <w:tc>
          <w:tcPr>
            <w:tcW w:w="152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系统演示（15）</w:t>
            </w:r>
          </w:p>
        </w:tc>
        <w:tc>
          <w:tcPr>
            <w:tcW w:w="673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投标人自备演示计算机和软件工具进行现场演示，演示时间15分钟。</w:t>
            </w:r>
            <w:r>
              <w:rPr>
                <w:rFonts w:ascii="宋体" w:hAnsi="宋体" w:cs="宋体"/>
                <w:color w:val="auto"/>
                <w:kern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一档（0.1～5分）：投标人在规定时间内打开软件，能够实现对调查数据的录入、编辑和查询浏览，但演示效果一般的，反映投标人具备基础的技术实力。</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二档（5～10分）：投标人在规定时间内打开软件，能够实现调查数据的录入、编辑和查询浏览，并能将调查数据导入登记库，演示效果良好的，反映投标人具备良好的技术实力。</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三档（10～15分）：投标人在规定时间内打开软件，能够实现对调查数据的录入和编辑，可实现图属一体化查询定位展示，能灵活配置质检规则，对调查数据进行一键质检，质检结果可灵活定位辅助修改，质检合格后的数据可直接导入现行登记库，并进行不动产单元号的编制，同时，具有数据备份与恢复功能。软件功能齐全，界面友好，操作简便且工作效率高，演示效果优秀的，反映投标人具有优秀的技术实力。</w:t>
            </w:r>
          </w:p>
        </w:tc>
        <w:tc>
          <w:tcPr>
            <w:tcW w:w="77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15分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 xml:space="preserve">    3、投标报价评分（</w:t>
      </w:r>
      <w:r>
        <w:rPr>
          <w:rFonts w:ascii="宋体" w:hAnsi="宋体" w:cs="宋体"/>
          <w:color w:val="auto"/>
          <w:kern w:val="0"/>
          <w:sz w:val="24"/>
          <w:szCs w:val="24"/>
        </w:rPr>
        <w:t>1</w:t>
      </w:r>
      <w:r>
        <w:rPr>
          <w:rFonts w:hint="eastAsia" w:ascii="宋体" w:hAnsi="宋体" w:cs="宋体"/>
          <w:color w:val="auto"/>
          <w:kern w:val="0"/>
          <w:sz w:val="24"/>
          <w:szCs w:val="24"/>
        </w:rPr>
        <w:t>0分）</w:t>
      </w:r>
    </w:p>
    <w:tbl>
      <w:tblPr>
        <w:tblStyle w:val="65"/>
        <w:tblW w:w="9738" w:type="dxa"/>
        <w:tblInd w:w="-81" w:type="dxa"/>
        <w:tblLayout w:type="fixed"/>
        <w:tblCellMar>
          <w:top w:w="0" w:type="dxa"/>
          <w:left w:w="108" w:type="dxa"/>
          <w:bottom w:w="0" w:type="dxa"/>
          <w:right w:w="108" w:type="dxa"/>
        </w:tblCellMar>
      </w:tblPr>
      <w:tblGrid>
        <w:gridCol w:w="750"/>
        <w:gridCol w:w="1282"/>
        <w:gridCol w:w="6918"/>
        <w:gridCol w:w="788"/>
      </w:tblGrid>
      <w:tr>
        <w:tblPrEx>
          <w:tblLayout w:type="fixed"/>
          <w:tblCellMar>
            <w:top w:w="0" w:type="dxa"/>
            <w:left w:w="108" w:type="dxa"/>
            <w:bottom w:w="0" w:type="dxa"/>
            <w:right w:w="108" w:type="dxa"/>
          </w:tblCellMar>
        </w:tblPrEx>
        <w:trPr>
          <w:trHeight w:val="540" w:hRule="atLeast"/>
        </w:trPr>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序号</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评分项</w:t>
            </w:r>
          </w:p>
        </w:tc>
        <w:tc>
          <w:tcPr>
            <w:tcW w:w="6918"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评分标准</w:t>
            </w:r>
          </w:p>
        </w:tc>
        <w:tc>
          <w:tcPr>
            <w:tcW w:w="788"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分值</w:t>
            </w:r>
          </w:p>
        </w:tc>
      </w:tr>
      <w:tr>
        <w:tblPrEx>
          <w:tblLayout w:type="fixed"/>
          <w:tblCellMar>
            <w:top w:w="0" w:type="dxa"/>
            <w:left w:w="108" w:type="dxa"/>
            <w:bottom w:w="0" w:type="dxa"/>
            <w:right w:w="108" w:type="dxa"/>
          </w:tblCellMar>
        </w:tblPrEx>
        <w:trPr>
          <w:trHeight w:val="1260" w:hRule="atLeast"/>
        </w:trPr>
        <w:tc>
          <w:tcPr>
            <w:tcW w:w="75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1</w:t>
            </w:r>
          </w:p>
        </w:tc>
        <w:tc>
          <w:tcPr>
            <w:tcW w:w="1282"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投标报价</w:t>
            </w:r>
            <w:r>
              <w:rPr>
                <w:rFonts w:hint="eastAsia" w:ascii="宋体" w:hAnsi="宋体" w:cs="宋体"/>
                <w:color w:val="auto"/>
                <w:sz w:val="24"/>
                <w:szCs w:val="24"/>
              </w:rPr>
              <w:br w:type="textWrapping"/>
            </w: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0分）</w:t>
            </w:r>
          </w:p>
        </w:tc>
        <w:tc>
          <w:tcPr>
            <w:tcW w:w="6918"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价格分统一采用低价优先法，即满足招标文件要求且投标价格最低的投标报价为评标基准价，其价格分为满分。其他投标人的价格分统一按照下列公式计算：投标报价得分＝（评标基准价</w:t>
            </w:r>
            <w:r>
              <w:rPr>
                <w:color w:val="auto"/>
                <w:sz w:val="24"/>
                <w:szCs w:val="24"/>
              </w:rPr>
              <w:t>/</w:t>
            </w:r>
            <w:r>
              <w:rPr>
                <w:rFonts w:hint="eastAsia" w:ascii="宋体" w:hAnsi="宋体" w:cs="宋体"/>
                <w:color w:val="auto"/>
                <w:sz w:val="24"/>
                <w:szCs w:val="24"/>
              </w:rPr>
              <w:t>投标报价）×</w:t>
            </w:r>
            <w:r>
              <w:rPr>
                <w:color w:val="auto"/>
                <w:sz w:val="24"/>
                <w:szCs w:val="24"/>
              </w:rPr>
              <w:t>1</w:t>
            </w:r>
            <w:r>
              <w:rPr>
                <w:rFonts w:hint="eastAsia"/>
                <w:color w:val="auto"/>
                <w:sz w:val="24"/>
                <w:szCs w:val="24"/>
              </w:rPr>
              <w:t>0</w:t>
            </w:r>
            <w:r>
              <w:rPr>
                <w:rFonts w:hint="eastAsia" w:ascii="宋体" w:hAnsi="宋体" w:cs="宋体"/>
                <w:color w:val="auto"/>
                <w:sz w:val="24"/>
                <w:szCs w:val="24"/>
              </w:rPr>
              <w:t>％×</w:t>
            </w:r>
            <w:r>
              <w:rPr>
                <w:color w:val="auto"/>
                <w:sz w:val="24"/>
                <w:szCs w:val="24"/>
              </w:rPr>
              <w:t>100</w:t>
            </w:r>
          </w:p>
        </w:tc>
        <w:tc>
          <w:tcPr>
            <w:tcW w:w="788"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0分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0"/>
        <w:rPr>
          <w:rFonts w:ascii="宋体" w:hAnsi="宋体" w:cs="宋体"/>
          <w:b/>
          <w:color w:val="auto"/>
          <w:kern w:val="0"/>
          <w:sz w:val="24"/>
          <w:szCs w:val="24"/>
        </w:rPr>
      </w:pPr>
      <w:r>
        <w:rPr>
          <w:rFonts w:hint="eastAsia" w:ascii="宋体" w:hAnsi="宋体" w:cs="宋体"/>
          <w:b/>
          <w:color w:val="auto"/>
          <w:kern w:val="0"/>
          <w:sz w:val="24"/>
          <w:szCs w:val="24"/>
        </w:rPr>
        <w:t>（四）7包评分表</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 xml:space="preserve">    1、商务评分（45分）</w:t>
      </w:r>
    </w:p>
    <w:tbl>
      <w:tblPr>
        <w:tblStyle w:val="65"/>
        <w:tblW w:w="975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00"/>
        <w:gridCol w:w="6988"/>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76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序号</w:t>
            </w:r>
          </w:p>
        </w:tc>
        <w:tc>
          <w:tcPr>
            <w:tcW w:w="12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评分项</w:t>
            </w:r>
          </w:p>
        </w:tc>
        <w:tc>
          <w:tcPr>
            <w:tcW w:w="69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评分标准</w:t>
            </w:r>
          </w:p>
        </w:tc>
        <w:tc>
          <w:tcPr>
            <w:tcW w:w="8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7" w:hRule="atLeast"/>
        </w:trPr>
        <w:tc>
          <w:tcPr>
            <w:tcW w:w="76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c>
          <w:tcPr>
            <w:tcW w:w="12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人员实力 (15分)</w:t>
            </w:r>
          </w:p>
        </w:tc>
        <w:tc>
          <w:tcPr>
            <w:tcW w:w="698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color w:val="auto"/>
                <w:kern w:val="0"/>
                <w:sz w:val="24"/>
                <w:szCs w:val="24"/>
              </w:rPr>
            </w:pPr>
            <w:r>
              <w:rPr>
                <w:rFonts w:hint="eastAsia" w:ascii="宋体" w:hAnsi="宋体" w:cs="宋体"/>
                <w:color w:val="auto"/>
                <w:kern w:val="0"/>
                <w:sz w:val="24"/>
                <w:szCs w:val="24"/>
              </w:rPr>
              <w:t>（1）投标人本项目投入的项目负责人具有测绘专业高级工程师职称（取得高级工程师职称须满5年）得1分，同时具备注册测绘师资格的加1分。最多得2分。</w:t>
            </w:r>
          </w:p>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rPr>
            </w:pPr>
            <w:r>
              <w:rPr>
                <w:rFonts w:ascii="宋体" w:hAnsi="宋体" w:cs="宋体"/>
                <w:color w:val="auto"/>
                <w:kern w:val="0"/>
                <w:sz w:val="24"/>
                <w:szCs w:val="24"/>
              </w:rPr>
              <w:t>（2）投标人本</w:t>
            </w:r>
            <w:r>
              <w:rPr>
                <w:rFonts w:hint="eastAsia" w:ascii="宋体" w:hAnsi="宋体" w:cs="宋体"/>
                <w:color w:val="auto"/>
                <w:kern w:val="0"/>
                <w:sz w:val="24"/>
                <w:szCs w:val="24"/>
              </w:rPr>
              <w:t>项</w:t>
            </w:r>
            <w:r>
              <w:rPr>
                <w:rFonts w:ascii="宋体" w:hAnsi="宋体" w:cs="宋体"/>
                <w:color w:val="auto"/>
                <w:kern w:val="0"/>
                <w:sz w:val="24"/>
                <w:szCs w:val="24"/>
              </w:rPr>
              <w:t>目投入的专业技术人员具有测绘专业高级工程师</w:t>
            </w:r>
            <w:r>
              <w:rPr>
                <w:rFonts w:hint="eastAsia" w:ascii="宋体" w:hAnsi="宋体" w:cs="宋体"/>
                <w:color w:val="auto"/>
                <w:kern w:val="0"/>
                <w:sz w:val="24"/>
                <w:szCs w:val="24"/>
              </w:rPr>
              <w:t>职</w:t>
            </w:r>
            <w:r>
              <w:rPr>
                <w:rFonts w:ascii="宋体" w:hAnsi="宋体" w:cs="宋体"/>
                <w:color w:val="auto"/>
                <w:kern w:val="0"/>
                <w:sz w:val="24"/>
                <w:szCs w:val="24"/>
              </w:rPr>
              <w:t>称</w:t>
            </w:r>
            <w:r>
              <w:rPr>
                <w:rFonts w:hint="eastAsia" w:ascii="宋体" w:hAnsi="宋体" w:cs="宋体"/>
                <w:color w:val="auto"/>
                <w:kern w:val="0"/>
                <w:sz w:val="24"/>
                <w:szCs w:val="24"/>
              </w:rPr>
              <w:t>（取得高级工程师职称须满5年）</w:t>
            </w:r>
            <w:r>
              <w:rPr>
                <w:rFonts w:ascii="宋体" w:hAnsi="宋体" w:cs="宋体"/>
                <w:color w:val="auto"/>
                <w:kern w:val="0"/>
                <w:sz w:val="24"/>
                <w:szCs w:val="24"/>
              </w:rPr>
              <w:t>的，每</w:t>
            </w:r>
            <w:r>
              <w:rPr>
                <w:rFonts w:hint="eastAsia" w:ascii="宋体" w:hAnsi="宋体" w:cs="宋体"/>
                <w:color w:val="auto"/>
                <w:kern w:val="0"/>
                <w:sz w:val="24"/>
                <w:szCs w:val="24"/>
              </w:rPr>
              <w:t>1</w:t>
            </w:r>
            <w:r>
              <w:rPr>
                <w:rFonts w:ascii="宋体" w:hAnsi="宋体" w:cs="宋体"/>
                <w:color w:val="auto"/>
                <w:kern w:val="0"/>
                <w:sz w:val="24"/>
                <w:szCs w:val="24"/>
              </w:rPr>
              <w:t>人得1分</w:t>
            </w:r>
            <w:r>
              <w:rPr>
                <w:rFonts w:hint="eastAsia" w:ascii="宋体" w:hAnsi="宋体" w:cs="宋体"/>
                <w:color w:val="auto"/>
                <w:kern w:val="0"/>
                <w:sz w:val="24"/>
                <w:szCs w:val="24"/>
              </w:rPr>
              <w:t>，</w:t>
            </w:r>
            <w:r>
              <w:rPr>
                <w:rFonts w:ascii="宋体" w:hAnsi="宋体" w:cs="宋体"/>
                <w:color w:val="auto"/>
                <w:kern w:val="0"/>
                <w:sz w:val="24"/>
                <w:szCs w:val="24"/>
              </w:rPr>
              <w:t>最多得</w:t>
            </w:r>
            <w:r>
              <w:rPr>
                <w:rFonts w:hint="eastAsia" w:ascii="宋体" w:hAnsi="宋体" w:cs="宋体"/>
                <w:color w:val="auto"/>
                <w:kern w:val="0"/>
                <w:sz w:val="24"/>
                <w:szCs w:val="24"/>
              </w:rPr>
              <w:t>7</w:t>
            </w:r>
            <w:r>
              <w:rPr>
                <w:rFonts w:ascii="宋体" w:hAnsi="宋体" w:cs="宋体"/>
                <w:color w:val="auto"/>
                <w:kern w:val="0"/>
                <w:sz w:val="24"/>
                <w:szCs w:val="24"/>
              </w:rPr>
              <w:t>分</w:t>
            </w:r>
            <w:r>
              <w:rPr>
                <w:rFonts w:hint="eastAsia" w:ascii="宋体" w:hAnsi="宋体" w:cs="宋体"/>
                <w:color w:val="auto"/>
                <w:kern w:val="0"/>
                <w:sz w:val="24"/>
                <w:szCs w:val="24"/>
              </w:rPr>
              <w:t>；</w:t>
            </w:r>
          </w:p>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rPr>
            </w:pPr>
            <w:r>
              <w:rPr>
                <w:rFonts w:ascii="宋体" w:hAnsi="宋体" w:cs="宋体"/>
                <w:color w:val="auto"/>
                <w:kern w:val="0"/>
                <w:sz w:val="24"/>
                <w:szCs w:val="24"/>
              </w:rPr>
              <w:t>（3）投标人本项目投入的专业技术人员具有测绘专业工程师及以</w:t>
            </w:r>
            <w:r>
              <w:rPr>
                <w:rFonts w:hint="eastAsia" w:ascii="宋体" w:hAnsi="宋体" w:cs="宋体"/>
                <w:color w:val="auto"/>
                <w:kern w:val="0"/>
                <w:sz w:val="24"/>
                <w:szCs w:val="24"/>
              </w:rPr>
              <w:t>上职</w:t>
            </w:r>
            <w:r>
              <w:rPr>
                <w:rFonts w:ascii="宋体" w:hAnsi="宋体" w:cs="宋体"/>
                <w:color w:val="auto"/>
                <w:kern w:val="0"/>
                <w:sz w:val="24"/>
                <w:szCs w:val="24"/>
              </w:rPr>
              <w:t>称</w:t>
            </w:r>
            <w:r>
              <w:rPr>
                <w:rFonts w:hint="eastAsia" w:ascii="宋体" w:hAnsi="宋体" w:cs="宋体"/>
                <w:color w:val="auto"/>
                <w:kern w:val="0"/>
                <w:sz w:val="24"/>
                <w:szCs w:val="24"/>
              </w:rPr>
              <w:t>（取得</w:t>
            </w:r>
            <w:r>
              <w:rPr>
                <w:rFonts w:ascii="宋体" w:hAnsi="宋体" w:cs="宋体"/>
                <w:color w:val="auto"/>
                <w:kern w:val="0"/>
                <w:sz w:val="24"/>
                <w:szCs w:val="24"/>
              </w:rPr>
              <w:t>工程师</w:t>
            </w:r>
            <w:r>
              <w:rPr>
                <w:rFonts w:hint="eastAsia" w:ascii="宋体" w:hAnsi="宋体" w:cs="宋体"/>
                <w:color w:val="auto"/>
                <w:kern w:val="0"/>
                <w:sz w:val="24"/>
                <w:szCs w:val="24"/>
              </w:rPr>
              <w:t>职称须满5年）</w:t>
            </w:r>
            <w:r>
              <w:rPr>
                <w:rFonts w:ascii="宋体" w:hAnsi="宋体" w:cs="宋体"/>
                <w:color w:val="auto"/>
                <w:kern w:val="0"/>
                <w:sz w:val="24"/>
                <w:szCs w:val="24"/>
              </w:rPr>
              <w:t>的，每1人得</w:t>
            </w:r>
            <w:r>
              <w:rPr>
                <w:rFonts w:hint="eastAsia" w:ascii="宋体" w:hAnsi="宋体" w:cs="宋体"/>
                <w:color w:val="auto"/>
                <w:kern w:val="0"/>
                <w:sz w:val="24"/>
                <w:szCs w:val="24"/>
              </w:rPr>
              <w:t>0.5</w:t>
            </w:r>
            <w:r>
              <w:rPr>
                <w:rFonts w:ascii="宋体" w:hAnsi="宋体" w:cs="宋体"/>
                <w:color w:val="auto"/>
                <w:kern w:val="0"/>
                <w:sz w:val="24"/>
                <w:szCs w:val="24"/>
              </w:rPr>
              <w:t>分。最多得</w:t>
            </w:r>
            <w:r>
              <w:rPr>
                <w:rFonts w:hint="eastAsia" w:ascii="宋体" w:hAnsi="宋体" w:cs="宋体"/>
                <w:color w:val="auto"/>
                <w:kern w:val="0"/>
                <w:sz w:val="24"/>
                <w:szCs w:val="24"/>
              </w:rPr>
              <w:t>6</w:t>
            </w:r>
            <w:r>
              <w:rPr>
                <w:rFonts w:ascii="宋体" w:hAnsi="宋体" w:cs="宋体"/>
                <w:color w:val="auto"/>
                <w:kern w:val="0"/>
                <w:sz w:val="24"/>
                <w:szCs w:val="24"/>
              </w:rPr>
              <w:t>分</w:t>
            </w:r>
            <w:r>
              <w:rPr>
                <w:rFonts w:hint="eastAsia" w:ascii="宋体" w:hAnsi="宋体" w:cs="宋体"/>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w:t>
            </w:r>
            <w:r>
              <w:rPr>
                <w:rFonts w:ascii="宋体" w:hAnsi="宋体" w:cs="宋体"/>
                <w:color w:val="auto"/>
                <w:kern w:val="0"/>
                <w:sz w:val="24"/>
                <w:szCs w:val="24"/>
              </w:rPr>
              <w:t>以上三项</w:t>
            </w:r>
            <w:r>
              <w:rPr>
                <w:rFonts w:hint="eastAsia" w:ascii="宋体" w:hAnsi="宋体" w:cs="宋体"/>
                <w:color w:val="auto"/>
                <w:kern w:val="0"/>
                <w:sz w:val="24"/>
                <w:szCs w:val="24"/>
              </w:rPr>
              <w:t>人员</w:t>
            </w:r>
            <w:r>
              <w:rPr>
                <w:rFonts w:ascii="宋体" w:hAnsi="宋体" w:cs="宋体"/>
                <w:color w:val="auto"/>
                <w:kern w:val="0"/>
                <w:sz w:val="24"/>
                <w:szCs w:val="24"/>
              </w:rPr>
              <w:t>不重复计分</w:t>
            </w:r>
            <w:r>
              <w:rPr>
                <w:rFonts w:hint="eastAsia" w:ascii="宋体" w:hAnsi="宋体" w:cs="宋体"/>
                <w:color w:val="auto"/>
                <w:kern w:val="0"/>
                <w:sz w:val="24"/>
                <w:szCs w:val="24"/>
              </w:rPr>
              <w:t>，须提供人员证书及投标前1年在投标单位缴纳的社保缴费凭证或证明文件复印件并加盖公章，原件备查，无原件不得分）</w:t>
            </w:r>
          </w:p>
        </w:tc>
        <w:tc>
          <w:tcPr>
            <w:tcW w:w="8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5" w:hRule="atLeast"/>
        </w:trPr>
        <w:tc>
          <w:tcPr>
            <w:tcW w:w="76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c>
          <w:tcPr>
            <w:tcW w:w="12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保密情况 （3分）</w:t>
            </w:r>
          </w:p>
        </w:tc>
        <w:tc>
          <w:tcPr>
            <w:tcW w:w="69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（1）投标人具有完善的测绘成果保密管理制度或测绘成果资料管理制度者得1分,否则得0分。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（2）投标人拥有保密计算机（在保密主管部门办理了处理涉密信息的设备备案登记）者得1分，否则得0分。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（3）投标人拟投入项目组人员具有国家测绘地理信息局颁发的涉密测绘成果管理人员岗位培训证者，</w:t>
            </w:r>
            <w:r>
              <w:rPr>
                <w:rFonts w:hint="eastAsia" w:ascii="宋体" w:hAnsi="宋体" w:cs="宋体"/>
                <w:color w:val="auto"/>
                <w:kern w:val="0"/>
                <w:sz w:val="24"/>
                <w:szCs w:val="24"/>
                <w:highlight w:val="none"/>
              </w:rPr>
              <w:t>且在有效期内的</w:t>
            </w:r>
            <w:r>
              <w:rPr>
                <w:rFonts w:hint="eastAsia" w:ascii="宋体" w:hAnsi="宋体" w:cs="宋体"/>
                <w:color w:val="auto"/>
                <w:kern w:val="0"/>
                <w:sz w:val="24"/>
                <w:szCs w:val="24"/>
              </w:rPr>
              <w:t>得1分，否则得0分。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（提供相关证明材料复印件并加盖公章，原件备查，无原件不得分）</w:t>
            </w:r>
          </w:p>
        </w:tc>
        <w:tc>
          <w:tcPr>
            <w:tcW w:w="8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6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w:t>
            </w:r>
          </w:p>
        </w:tc>
        <w:tc>
          <w:tcPr>
            <w:tcW w:w="12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相关业绩（15分)</w:t>
            </w:r>
          </w:p>
        </w:tc>
        <w:tc>
          <w:tcPr>
            <w:tcW w:w="69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2015年至今，投标人独立承担过不动产测绘（不动产权籍调查、房地一体化调查、土地调查、地籍调查、地籍测绘、土地确权等）和工程测量（控制测量、地形测量等）相关项目合同金额超过300万以上的，每提供1个得1分，本项最高得分5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（2）2015年至今，投标人独立承担过航空摄影、摄影测量与遥感相关项目，且项目合同金额超过800万以上的，每提供1个得2分，本项最高得分4分。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（3）2015年至今，投标人独立承担过地理信息系统工程（地理信息数据处理、地理信息数据建库、数字城市建设等）相关项目，且合同金额超过4</w:t>
            </w:r>
            <w:r>
              <w:rPr>
                <w:rFonts w:ascii="宋体" w:hAnsi="宋体" w:cs="宋体"/>
                <w:color w:val="auto"/>
                <w:kern w:val="0"/>
                <w:sz w:val="24"/>
                <w:szCs w:val="24"/>
              </w:rPr>
              <w:t>00</w:t>
            </w:r>
            <w:r>
              <w:rPr>
                <w:rFonts w:hint="eastAsia" w:ascii="宋体" w:hAnsi="宋体" w:cs="宋体"/>
                <w:color w:val="auto"/>
                <w:kern w:val="0"/>
                <w:sz w:val="24"/>
                <w:szCs w:val="24"/>
              </w:rPr>
              <w:t>万以上的，每提供</w:t>
            </w:r>
            <w:r>
              <w:rPr>
                <w:rFonts w:ascii="宋体" w:hAnsi="宋体" w:cs="宋体"/>
                <w:color w:val="auto"/>
                <w:kern w:val="0"/>
                <w:sz w:val="24"/>
                <w:szCs w:val="24"/>
              </w:rPr>
              <w:t>1</w:t>
            </w:r>
            <w:r>
              <w:rPr>
                <w:rFonts w:hint="eastAsia" w:ascii="宋体" w:hAnsi="宋体" w:cs="宋体"/>
                <w:color w:val="auto"/>
                <w:kern w:val="0"/>
                <w:sz w:val="24"/>
                <w:szCs w:val="24"/>
              </w:rPr>
              <w:t>个得</w:t>
            </w:r>
            <w:r>
              <w:rPr>
                <w:rFonts w:ascii="宋体" w:hAnsi="宋体" w:cs="宋体"/>
                <w:color w:val="auto"/>
                <w:kern w:val="0"/>
                <w:sz w:val="24"/>
                <w:szCs w:val="24"/>
              </w:rPr>
              <w:t>1</w:t>
            </w:r>
            <w:r>
              <w:rPr>
                <w:rFonts w:hint="eastAsia" w:ascii="宋体" w:hAnsi="宋体" w:cs="宋体"/>
                <w:color w:val="auto"/>
                <w:kern w:val="0"/>
                <w:sz w:val="24"/>
                <w:szCs w:val="24"/>
              </w:rPr>
              <w:t>分，本项最高得分4分。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ascii="宋体" w:hAnsi="宋体" w:cs="宋体"/>
                <w:color w:val="auto"/>
                <w:kern w:val="0"/>
                <w:sz w:val="24"/>
                <w:szCs w:val="24"/>
              </w:rPr>
              <w:t xml:space="preserve">(4) 2015 </w:t>
            </w:r>
            <w:r>
              <w:rPr>
                <w:rFonts w:hint="eastAsia" w:ascii="宋体" w:hAnsi="宋体" w:cs="宋体"/>
                <w:color w:val="auto"/>
                <w:kern w:val="0"/>
                <w:sz w:val="24"/>
                <w:szCs w:val="24"/>
              </w:rPr>
              <w:t>年至今，投标人独立承担过以上相关项目的监理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项目，且合同金额超过2</w:t>
            </w:r>
            <w:r>
              <w:rPr>
                <w:rFonts w:ascii="宋体" w:hAnsi="宋体" w:cs="宋体"/>
                <w:color w:val="auto"/>
                <w:kern w:val="0"/>
                <w:sz w:val="24"/>
                <w:szCs w:val="24"/>
              </w:rPr>
              <w:t xml:space="preserve">00 </w:t>
            </w:r>
            <w:r>
              <w:rPr>
                <w:rFonts w:hint="eastAsia" w:ascii="宋体" w:hAnsi="宋体" w:cs="宋体"/>
                <w:color w:val="auto"/>
                <w:kern w:val="0"/>
                <w:sz w:val="24"/>
                <w:szCs w:val="24"/>
              </w:rPr>
              <w:t>万以上的，每提供1个得</w:t>
            </w:r>
            <w:r>
              <w:rPr>
                <w:rFonts w:ascii="宋体" w:hAnsi="宋体" w:cs="宋体"/>
                <w:color w:val="auto"/>
                <w:kern w:val="0"/>
                <w:sz w:val="24"/>
                <w:szCs w:val="24"/>
              </w:rPr>
              <w:t>1</w:t>
            </w:r>
            <w:r>
              <w:rPr>
                <w:rFonts w:hint="eastAsia" w:ascii="宋体" w:hAnsi="宋体" w:cs="宋体"/>
                <w:color w:val="auto"/>
                <w:kern w:val="0"/>
                <w:sz w:val="24"/>
                <w:szCs w:val="24"/>
              </w:rPr>
              <w:t>分，本项最高得分2分。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（须提供合同复印件并加盖公章，原件备查，无原件不得分）</w:t>
            </w:r>
          </w:p>
        </w:tc>
        <w:tc>
          <w:tcPr>
            <w:tcW w:w="8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5" w:hRule="atLeast"/>
        </w:trPr>
        <w:tc>
          <w:tcPr>
            <w:tcW w:w="76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4</w:t>
            </w:r>
          </w:p>
        </w:tc>
        <w:tc>
          <w:tcPr>
            <w:tcW w:w="12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企业获奖 （10分）</w:t>
            </w:r>
          </w:p>
        </w:tc>
        <w:tc>
          <w:tcPr>
            <w:tcW w:w="69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 2015年至今，投标人承担的不动产测绘（不动产权籍调查、房地一体化调查、土地调查、地籍调查、地籍测绘、土地确权等）和工程测量（控制测量、地形测量等）等相关项目获得省级及以上（包含测绘行业学会）奖励，每个项目得1分，同一项目不重复计分，最高得分3分。（须提供合同、验收证明与获奖证书复印件并加盖公章，原件备查，无原件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 2015 年至今，投标人承担的航空摄影、摄影测量与遥感等相关项目获得省级及以上（包含测绘行业学会）奖励，每个项目得1分，同一项目不重复计分，最高得分2 分。（须提供合同、验收证明与获奖证书复印件并加盖公章，原件备查，无原件不得分）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ascii="宋体" w:hAnsi="宋体" w:cs="宋体"/>
                <w:color w:val="auto"/>
                <w:kern w:val="0"/>
                <w:sz w:val="24"/>
                <w:szCs w:val="24"/>
              </w:rPr>
              <w:t>(3) 2015</w:t>
            </w:r>
            <w:r>
              <w:rPr>
                <w:rFonts w:hint="eastAsia" w:ascii="宋体" w:hAnsi="宋体" w:cs="宋体"/>
                <w:color w:val="auto"/>
                <w:kern w:val="0"/>
                <w:sz w:val="24"/>
                <w:szCs w:val="24"/>
              </w:rPr>
              <w:t>年至今，投标人承担的地理信息系统工程（地理信息数据处理、地理信息数据建库、数字城市建设等）相关项目获得省级及以上（包含测绘行业学会）奖励，每个项目得</w:t>
            </w:r>
            <w:r>
              <w:rPr>
                <w:rFonts w:ascii="宋体" w:hAnsi="宋体" w:cs="宋体"/>
                <w:color w:val="auto"/>
                <w:kern w:val="0"/>
                <w:sz w:val="24"/>
                <w:szCs w:val="24"/>
              </w:rPr>
              <w:t>1</w:t>
            </w:r>
            <w:r>
              <w:rPr>
                <w:rFonts w:hint="eastAsia" w:ascii="宋体" w:hAnsi="宋体" w:cs="宋体"/>
                <w:color w:val="auto"/>
                <w:kern w:val="0"/>
                <w:sz w:val="24"/>
                <w:szCs w:val="24"/>
              </w:rPr>
              <w:t>分，同一项目不重复计分，最高得分</w:t>
            </w:r>
            <w:r>
              <w:rPr>
                <w:rFonts w:ascii="宋体" w:hAnsi="宋体" w:cs="宋体"/>
                <w:color w:val="auto"/>
                <w:kern w:val="0"/>
                <w:sz w:val="24"/>
                <w:szCs w:val="24"/>
              </w:rPr>
              <w:t>2</w:t>
            </w:r>
            <w:r>
              <w:rPr>
                <w:rFonts w:hint="eastAsia" w:ascii="宋体" w:hAnsi="宋体" w:cs="宋体"/>
                <w:color w:val="auto"/>
                <w:kern w:val="0"/>
                <w:sz w:val="24"/>
                <w:szCs w:val="24"/>
              </w:rPr>
              <w:t>分。（须提供合同、验收证明与获奖证书复印件并加盖公章，原件备查，无原件不得分）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ascii="宋体" w:hAnsi="宋体" w:cs="宋体"/>
                <w:color w:val="auto"/>
                <w:kern w:val="0"/>
                <w:sz w:val="24"/>
                <w:szCs w:val="24"/>
              </w:rPr>
              <w:t>(4) 2015</w:t>
            </w:r>
            <w:r>
              <w:rPr>
                <w:rFonts w:hint="eastAsia" w:ascii="宋体" w:hAnsi="宋体" w:cs="宋体"/>
                <w:color w:val="auto"/>
                <w:kern w:val="0"/>
                <w:sz w:val="24"/>
                <w:szCs w:val="24"/>
              </w:rPr>
              <w:t>年至今，投标人在测绘地理信息行业职业技能竞赛中，获得省级及以上团体三等奖及以上的得3分，否则得</w:t>
            </w:r>
            <w:r>
              <w:rPr>
                <w:rFonts w:ascii="宋体" w:hAnsi="宋体" w:cs="宋体"/>
                <w:color w:val="auto"/>
                <w:kern w:val="0"/>
                <w:sz w:val="24"/>
                <w:szCs w:val="24"/>
              </w:rPr>
              <w:t>0</w:t>
            </w:r>
            <w:r>
              <w:rPr>
                <w:rFonts w:hint="eastAsia" w:ascii="宋体" w:hAnsi="宋体" w:cs="宋体"/>
                <w:color w:val="auto"/>
                <w:kern w:val="0"/>
                <w:sz w:val="24"/>
                <w:szCs w:val="24"/>
              </w:rPr>
              <w:t>分。（须提供获奖证书或相关证明文件复印件并加盖公章，原件备查，无原件不得分）</w:t>
            </w:r>
          </w:p>
        </w:tc>
        <w:tc>
          <w:tcPr>
            <w:tcW w:w="8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7" w:hRule="atLeast"/>
        </w:trPr>
        <w:tc>
          <w:tcPr>
            <w:tcW w:w="76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5</w:t>
            </w:r>
          </w:p>
        </w:tc>
        <w:tc>
          <w:tcPr>
            <w:tcW w:w="12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售后服务承诺时间（2分）</w:t>
            </w:r>
          </w:p>
        </w:tc>
        <w:tc>
          <w:tcPr>
            <w:tcW w:w="698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投标人</w:t>
            </w:r>
            <w:r>
              <w:rPr>
                <w:rFonts w:hint="eastAsia" w:ascii="宋体" w:hAnsi="宋体" w:cs="宋体"/>
                <w:color w:val="auto"/>
                <w:sz w:val="24"/>
                <w:szCs w:val="24"/>
              </w:rPr>
              <w:t>承诺</w:t>
            </w:r>
            <w:r>
              <w:rPr>
                <w:rFonts w:hint="eastAsia" w:ascii="宋体" w:hAnsi="宋体" w:cs="宋体"/>
                <w:color w:val="auto"/>
                <w:kern w:val="0"/>
                <w:sz w:val="24"/>
                <w:szCs w:val="24"/>
              </w:rPr>
              <w:t>售后</w:t>
            </w:r>
            <w:r>
              <w:rPr>
                <w:rFonts w:hint="eastAsia" w:ascii="宋体" w:hAnsi="宋体" w:cs="宋体"/>
                <w:color w:val="auto"/>
                <w:sz w:val="24"/>
                <w:szCs w:val="24"/>
              </w:rPr>
              <w:t>服务时间为3年（含）以上者得2分，</w:t>
            </w:r>
            <w:r>
              <w:rPr>
                <w:rFonts w:hint="eastAsia" w:ascii="宋体" w:hAnsi="宋体" w:cs="宋体"/>
                <w:color w:val="auto"/>
                <w:kern w:val="0"/>
                <w:sz w:val="24"/>
                <w:szCs w:val="24"/>
              </w:rPr>
              <w:t>售后</w:t>
            </w:r>
            <w:r>
              <w:rPr>
                <w:rFonts w:hint="eastAsia" w:ascii="宋体" w:hAnsi="宋体" w:cs="宋体"/>
                <w:color w:val="auto"/>
                <w:sz w:val="24"/>
                <w:szCs w:val="24"/>
              </w:rPr>
              <w:t>服务时间为2年者得1分，</w:t>
            </w:r>
            <w:r>
              <w:rPr>
                <w:rFonts w:hint="eastAsia" w:ascii="宋体" w:hAnsi="宋体" w:cs="宋体"/>
                <w:color w:val="auto"/>
                <w:kern w:val="0"/>
                <w:sz w:val="24"/>
                <w:szCs w:val="24"/>
              </w:rPr>
              <w:t>售后</w:t>
            </w:r>
            <w:r>
              <w:rPr>
                <w:rFonts w:hint="eastAsia" w:ascii="宋体" w:hAnsi="宋体" w:cs="宋体"/>
                <w:color w:val="auto"/>
                <w:sz w:val="24"/>
                <w:szCs w:val="24"/>
              </w:rPr>
              <w:t>服务时间为小于2年不得分。</w:t>
            </w:r>
            <w:r>
              <w:rPr>
                <w:rFonts w:hint="eastAsia" w:ascii="宋体" w:hAnsi="宋体" w:cs="宋体"/>
                <w:color w:val="auto"/>
                <w:kern w:val="0"/>
                <w:sz w:val="24"/>
                <w:szCs w:val="24"/>
              </w:rPr>
              <w:t>（须提供售后服务承诺书并加盖公章）</w:t>
            </w:r>
          </w:p>
        </w:tc>
        <w:tc>
          <w:tcPr>
            <w:tcW w:w="8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b/>
          <w:bCs/>
          <w:color w:val="auto"/>
          <w:sz w:val="24"/>
          <w:szCs w:val="24"/>
        </w:rPr>
      </w:pPr>
      <w:r>
        <w:rPr>
          <w:rFonts w:hint="eastAsia" w:ascii="宋体" w:hAnsi="宋体" w:cs="宋体"/>
          <w:b/>
          <w:bCs/>
          <w:color w:val="auto"/>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color w:val="auto"/>
          <w:sz w:val="24"/>
          <w:szCs w:val="24"/>
        </w:rPr>
      </w:pPr>
      <w:r>
        <w:rPr>
          <w:rFonts w:hint="eastAsia" w:ascii="宋体" w:hAnsi="宋体" w:cs="宋体"/>
          <w:b/>
          <w:bCs/>
          <w:color w:val="auto"/>
          <w:sz w:val="24"/>
          <w:szCs w:val="24"/>
        </w:rPr>
        <w:t xml:space="preserve">    </w:t>
      </w:r>
      <w:r>
        <w:rPr>
          <w:rFonts w:hint="eastAsia" w:ascii="宋体" w:hAnsi="宋体" w:cs="宋体"/>
          <w:color w:val="auto"/>
          <w:kern w:val="0"/>
          <w:sz w:val="24"/>
          <w:szCs w:val="24"/>
        </w:rPr>
        <w:t>2、技术评分（45分）</w:t>
      </w:r>
    </w:p>
    <w:tbl>
      <w:tblPr>
        <w:tblStyle w:val="65"/>
        <w:tblW w:w="9775" w:type="dxa"/>
        <w:tblInd w:w="-106" w:type="dxa"/>
        <w:tblLayout w:type="fixed"/>
        <w:tblCellMar>
          <w:top w:w="0" w:type="dxa"/>
          <w:left w:w="108" w:type="dxa"/>
          <w:bottom w:w="0" w:type="dxa"/>
          <w:right w:w="108" w:type="dxa"/>
        </w:tblCellMar>
      </w:tblPr>
      <w:tblGrid>
        <w:gridCol w:w="775"/>
        <w:gridCol w:w="1475"/>
        <w:gridCol w:w="6725"/>
        <w:gridCol w:w="800"/>
      </w:tblGrid>
      <w:tr>
        <w:tblPrEx>
          <w:tblLayout w:type="fixed"/>
          <w:tblCellMar>
            <w:top w:w="0" w:type="dxa"/>
            <w:left w:w="108" w:type="dxa"/>
            <w:bottom w:w="0" w:type="dxa"/>
            <w:right w:w="108" w:type="dxa"/>
          </w:tblCellMar>
        </w:tblPrEx>
        <w:trPr>
          <w:trHeight w:val="418" w:hRule="atLeast"/>
        </w:trPr>
        <w:tc>
          <w:tcPr>
            <w:tcW w:w="7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序号</w:t>
            </w:r>
          </w:p>
        </w:tc>
        <w:tc>
          <w:tcPr>
            <w:tcW w:w="147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评分项</w:t>
            </w:r>
          </w:p>
        </w:tc>
        <w:tc>
          <w:tcPr>
            <w:tcW w:w="672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评分标准</w:t>
            </w:r>
          </w:p>
        </w:tc>
        <w:tc>
          <w:tcPr>
            <w:tcW w:w="800"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Cs/>
                <w:color w:val="auto"/>
                <w:kern w:val="0"/>
                <w:sz w:val="24"/>
                <w:szCs w:val="24"/>
              </w:rPr>
            </w:pPr>
            <w:r>
              <w:rPr>
                <w:rFonts w:hint="eastAsia" w:ascii="宋体" w:hAnsi="宋体" w:cs="宋体"/>
                <w:bCs/>
                <w:color w:val="auto"/>
                <w:kern w:val="0"/>
                <w:sz w:val="24"/>
                <w:szCs w:val="24"/>
              </w:rPr>
              <w:t>分值</w:t>
            </w:r>
          </w:p>
        </w:tc>
      </w:tr>
      <w:tr>
        <w:tblPrEx>
          <w:tblLayout w:type="fixed"/>
          <w:tblCellMar>
            <w:top w:w="0" w:type="dxa"/>
            <w:left w:w="108" w:type="dxa"/>
            <w:bottom w:w="0" w:type="dxa"/>
            <w:right w:w="108" w:type="dxa"/>
          </w:tblCellMar>
        </w:tblPrEx>
        <w:trPr>
          <w:trHeight w:val="1125" w:hRule="atLeast"/>
        </w:trPr>
        <w:tc>
          <w:tcPr>
            <w:tcW w:w="77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c>
          <w:tcPr>
            <w:tcW w:w="147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对项目理解程度（3分）</w:t>
            </w:r>
          </w:p>
        </w:tc>
        <w:tc>
          <w:tcPr>
            <w:tcW w:w="6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对项目的背景、目的、内容与时间要求等的理解程度等进行评分。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 分；较差0分）</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945" w:hRule="atLeast"/>
        </w:trPr>
        <w:tc>
          <w:tcPr>
            <w:tcW w:w="775"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c>
          <w:tcPr>
            <w:tcW w:w="1475"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技术设计方案（18分）</w:t>
            </w:r>
          </w:p>
        </w:tc>
        <w:tc>
          <w:tcPr>
            <w:tcW w:w="6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（1）对任务特点分析是否透彻，技术方法是否先进，工作流程是否合理，工作步骤是否具体全面等进行评分。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（优秀得12分；良得8分；一般得4分；较差0分）</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12分</w:t>
            </w:r>
          </w:p>
        </w:tc>
      </w:tr>
      <w:tr>
        <w:tblPrEx>
          <w:tblLayout w:type="fixed"/>
          <w:tblCellMar>
            <w:top w:w="0" w:type="dxa"/>
            <w:left w:w="108" w:type="dxa"/>
            <w:bottom w:w="0" w:type="dxa"/>
            <w:right w:w="108" w:type="dxa"/>
          </w:tblCellMar>
        </w:tblPrEx>
        <w:trPr>
          <w:trHeight w:val="810" w:hRule="atLeast"/>
        </w:trPr>
        <w:tc>
          <w:tcPr>
            <w:tcW w:w="7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4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（2）对引用法律法规和技术标准文件是否合理正确，相关技术要求及提交成果是否满足本项目总体要求等进行评分。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910" w:hRule="atLeast"/>
        </w:trPr>
        <w:tc>
          <w:tcPr>
            <w:tcW w:w="775"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w:t>
            </w:r>
          </w:p>
        </w:tc>
        <w:tc>
          <w:tcPr>
            <w:tcW w:w="1475"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施工方案</w:t>
            </w:r>
            <w:r>
              <w:rPr>
                <w:rFonts w:hint="eastAsia" w:ascii="宋体" w:hAnsi="宋体" w:cs="宋体"/>
                <w:color w:val="auto"/>
                <w:kern w:val="0"/>
                <w:sz w:val="24"/>
                <w:szCs w:val="24"/>
              </w:rPr>
              <w:br w:type="textWrapping"/>
            </w:r>
            <w:r>
              <w:rPr>
                <w:rFonts w:hint="eastAsia" w:ascii="宋体" w:hAnsi="宋体" w:cs="宋体"/>
                <w:color w:val="auto"/>
                <w:kern w:val="0"/>
                <w:sz w:val="24"/>
                <w:szCs w:val="24"/>
              </w:rPr>
              <w:t>（21分）</w:t>
            </w:r>
          </w:p>
        </w:tc>
        <w:tc>
          <w:tcPr>
            <w:tcW w:w="6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（1）对项目组织机构配备情况是否合理进行评分。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1620" w:hRule="atLeast"/>
        </w:trPr>
        <w:tc>
          <w:tcPr>
            <w:tcW w:w="7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4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（2）对投入本项目的仪器设备（软件、硬件）是否合理、配备是否齐全等进行评分。（须提供软件硬件设备购买发票或制造商的授权使用证明材料或上级主管部门调拨文件复印件并加盖公章，否则该项不得分）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 分；较差0分）</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810" w:hRule="atLeast"/>
        </w:trPr>
        <w:tc>
          <w:tcPr>
            <w:tcW w:w="7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4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（3）对是否有项目进度详细计划和进度保障措施，工期是否符合采购人的要求等进行评分。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810" w:hRule="atLeast"/>
        </w:trPr>
        <w:tc>
          <w:tcPr>
            <w:tcW w:w="7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4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（4）对是否有明确的成果质量目标，是否有完整、合理的质量检查方案及控制措施等进行评分。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（优秀得6分；良得4分；一般得2分；较差0分）</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6分</w:t>
            </w:r>
          </w:p>
        </w:tc>
      </w:tr>
      <w:tr>
        <w:tblPrEx>
          <w:tblLayout w:type="fixed"/>
          <w:tblCellMar>
            <w:top w:w="0" w:type="dxa"/>
            <w:left w:w="108" w:type="dxa"/>
            <w:bottom w:w="0" w:type="dxa"/>
            <w:right w:w="108" w:type="dxa"/>
          </w:tblCellMar>
        </w:tblPrEx>
        <w:trPr>
          <w:trHeight w:val="810" w:hRule="atLeast"/>
        </w:trPr>
        <w:tc>
          <w:tcPr>
            <w:tcW w:w="7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1475"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p>
        </w:tc>
        <w:tc>
          <w:tcPr>
            <w:tcW w:w="6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（5）对安全生产与文明施工措施科学、有效等进行评分。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r>
        <w:tblPrEx>
          <w:tblLayout w:type="fixed"/>
          <w:tblCellMar>
            <w:top w:w="0" w:type="dxa"/>
            <w:left w:w="108" w:type="dxa"/>
            <w:bottom w:w="0" w:type="dxa"/>
            <w:right w:w="108" w:type="dxa"/>
          </w:tblCellMar>
        </w:tblPrEx>
        <w:trPr>
          <w:trHeight w:val="1347" w:hRule="atLeast"/>
        </w:trPr>
        <w:tc>
          <w:tcPr>
            <w:tcW w:w="77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4</w:t>
            </w:r>
          </w:p>
        </w:tc>
        <w:tc>
          <w:tcPr>
            <w:tcW w:w="147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售后服务响应（3分）</w:t>
            </w:r>
          </w:p>
        </w:tc>
        <w:tc>
          <w:tcPr>
            <w:tcW w:w="6725"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对售后服务内容是否详细，售后服务人员配备是否合理，响应方式是否可行等进行评分。</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（优秀得3分；良得2分；一般得1分；较差0分）</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3分</w:t>
            </w:r>
          </w:p>
        </w:tc>
      </w:tr>
    </w:tbl>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b/>
          <w:bCs/>
          <w:color w:val="auto"/>
          <w:sz w:val="24"/>
          <w:szCs w:val="24"/>
        </w:rPr>
        <w:t xml:space="preserve"> </w:t>
      </w:r>
      <w:r>
        <w:rPr>
          <w:rFonts w:hint="eastAsia" w:ascii="宋体" w:hAnsi="宋体" w:cs="宋体"/>
          <w:color w:val="auto"/>
          <w:kern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color w:val="auto"/>
          <w:sz w:val="24"/>
          <w:szCs w:val="24"/>
        </w:rPr>
      </w:pPr>
      <w:r>
        <w:rPr>
          <w:rFonts w:hint="eastAsia" w:ascii="宋体" w:hAnsi="宋体" w:cs="宋体"/>
          <w:color w:val="auto"/>
          <w:kern w:val="0"/>
          <w:sz w:val="24"/>
          <w:szCs w:val="24"/>
        </w:rPr>
        <w:t xml:space="preserve">    3、投标报价评分（10分）</w:t>
      </w:r>
    </w:p>
    <w:tbl>
      <w:tblPr>
        <w:tblStyle w:val="65"/>
        <w:tblW w:w="9775" w:type="dxa"/>
        <w:tblInd w:w="-106" w:type="dxa"/>
        <w:tblLayout w:type="fixed"/>
        <w:tblCellMar>
          <w:top w:w="0" w:type="dxa"/>
          <w:left w:w="108" w:type="dxa"/>
          <w:bottom w:w="0" w:type="dxa"/>
          <w:right w:w="108" w:type="dxa"/>
        </w:tblCellMar>
      </w:tblPr>
      <w:tblGrid>
        <w:gridCol w:w="763"/>
        <w:gridCol w:w="1294"/>
        <w:gridCol w:w="6918"/>
        <w:gridCol w:w="800"/>
      </w:tblGrid>
      <w:tr>
        <w:tblPrEx>
          <w:tblLayout w:type="fixed"/>
          <w:tblCellMar>
            <w:top w:w="0" w:type="dxa"/>
            <w:left w:w="108" w:type="dxa"/>
            <w:bottom w:w="0" w:type="dxa"/>
            <w:right w:w="108" w:type="dxa"/>
          </w:tblCellMar>
        </w:tblPrEx>
        <w:trPr>
          <w:trHeight w:val="675" w:hRule="atLeast"/>
        </w:trPr>
        <w:tc>
          <w:tcPr>
            <w:tcW w:w="76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序号</w:t>
            </w:r>
          </w:p>
        </w:tc>
        <w:tc>
          <w:tcPr>
            <w:tcW w:w="1294"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评分项</w:t>
            </w:r>
          </w:p>
        </w:tc>
        <w:tc>
          <w:tcPr>
            <w:tcW w:w="6918"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评分标准</w:t>
            </w:r>
          </w:p>
        </w:tc>
        <w:tc>
          <w:tcPr>
            <w:tcW w:w="800"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分值</w:t>
            </w:r>
          </w:p>
        </w:tc>
      </w:tr>
      <w:tr>
        <w:tblPrEx>
          <w:tblLayout w:type="fixed"/>
          <w:tblCellMar>
            <w:top w:w="0" w:type="dxa"/>
            <w:left w:w="108" w:type="dxa"/>
            <w:bottom w:w="0" w:type="dxa"/>
            <w:right w:w="108" w:type="dxa"/>
          </w:tblCellMar>
        </w:tblPrEx>
        <w:trPr>
          <w:trHeight w:val="1260" w:hRule="atLeast"/>
        </w:trPr>
        <w:tc>
          <w:tcPr>
            <w:tcW w:w="763"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sz w:val="24"/>
                <w:szCs w:val="24"/>
              </w:rPr>
              <w:t>1</w:t>
            </w:r>
          </w:p>
        </w:tc>
        <w:tc>
          <w:tcPr>
            <w:tcW w:w="1294"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投标报价</w:t>
            </w:r>
            <w:r>
              <w:rPr>
                <w:rFonts w:hint="eastAsia" w:ascii="宋体" w:hAnsi="宋体" w:cs="宋体"/>
                <w:color w:val="auto"/>
                <w:sz w:val="24"/>
                <w:szCs w:val="24"/>
              </w:rPr>
              <w:br w:type="textWrapping"/>
            </w:r>
            <w:r>
              <w:rPr>
                <w:rFonts w:hint="eastAsia" w:ascii="宋体" w:hAnsi="宋体" w:cs="宋体"/>
                <w:color w:val="auto"/>
                <w:sz w:val="24"/>
                <w:szCs w:val="24"/>
              </w:rPr>
              <w:t>（10分）</w:t>
            </w:r>
          </w:p>
        </w:tc>
        <w:tc>
          <w:tcPr>
            <w:tcW w:w="6918"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价格分统一采用低价优先法，即满足招标文件要求且投标价格最低的投标报价为评标基准价，其价格分为满分。其他投标人的价格分统一按照下列公式计算：投标报价得分＝（评标基准价</w:t>
            </w:r>
            <w:r>
              <w:rPr>
                <w:color w:val="auto"/>
                <w:sz w:val="24"/>
                <w:szCs w:val="24"/>
              </w:rPr>
              <w:t>/</w:t>
            </w:r>
            <w:r>
              <w:rPr>
                <w:rFonts w:hint="eastAsia" w:ascii="宋体" w:hAnsi="宋体" w:cs="宋体"/>
                <w:color w:val="auto"/>
                <w:sz w:val="24"/>
                <w:szCs w:val="24"/>
              </w:rPr>
              <w:t>投标报价）×</w:t>
            </w:r>
            <w:r>
              <w:rPr>
                <w:rFonts w:hint="eastAsia"/>
                <w:color w:val="auto"/>
                <w:sz w:val="24"/>
                <w:szCs w:val="24"/>
              </w:rPr>
              <w:t>10</w:t>
            </w:r>
            <w:r>
              <w:rPr>
                <w:rFonts w:hint="eastAsia" w:ascii="宋体" w:hAnsi="宋体" w:cs="宋体"/>
                <w:color w:val="auto"/>
                <w:sz w:val="24"/>
                <w:szCs w:val="24"/>
              </w:rPr>
              <w:t>％×</w:t>
            </w:r>
            <w:r>
              <w:rPr>
                <w:color w:val="auto"/>
                <w:sz w:val="24"/>
                <w:szCs w:val="24"/>
              </w:rPr>
              <w:t>100</w:t>
            </w:r>
          </w:p>
        </w:tc>
        <w:tc>
          <w:tcPr>
            <w:tcW w:w="8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color w:val="auto"/>
                <w:sz w:val="24"/>
                <w:szCs w:val="24"/>
              </w:rPr>
            </w:pPr>
            <w:r>
              <w:rPr>
                <w:rFonts w:hint="eastAsia" w:ascii="宋体" w:hAnsi="宋体" w:cs="宋体"/>
                <w:color w:val="auto"/>
                <w:sz w:val="24"/>
                <w:szCs w:val="24"/>
              </w:rPr>
              <w:t>10分</w:t>
            </w:r>
          </w:p>
        </w:tc>
      </w:tr>
    </w:tbl>
    <w:p>
      <w:pPr>
        <w:spacing w:line="360" w:lineRule="auto"/>
        <w:jc w:val="left"/>
        <w:rPr>
          <w:rFonts w:asciiTheme="minorEastAsia" w:hAnsiTheme="minorEastAsia" w:eastAsiaTheme="minorEastAsia"/>
          <w:color w:val="auto"/>
          <w:sz w:val="24"/>
        </w:rPr>
        <w:sectPr>
          <w:footerReference r:id="rId5" w:type="first"/>
          <w:footerReference r:id="rId4" w:type="default"/>
          <w:pgSz w:w="11907" w:h="16840"/>
          <w:pgMar w:top="1474" w:right="1304" w:bottom="1531" w:left="1361" w:header="1191" w:footer="992" w:gutter="0"/>
          <w:pgNumType w:fmt="decimal" w:start="1"/>
          <w:cols w:space="720" w:num="1"/>
          <w:docGrid w:linePitch="312" w:charSpace="0"/>
        </w:sectPr>
      </w:pPr>
    </w:p>
    <w:bookmarkEnd w:id="83"/>
    <w:bookmarkEnd w:id="84"/>
    <w:bookmarkEnd w:id="85"/>
    <w:bookmarkEnd w:id="86"/>
    <w:bookmarkEnd w:id="87"/>
    <w:bookmarkEnd w:id="88"/>
    <w:bookmarkEnd w:id="89"/>
    <w:p>
      <w:pPr>
        <w:pStyle w:val="3"/>
        <w:jc w:val="center"/>
        <w:rPr>
          <w:rFonts w:asciiTheme="minorEastAsia" w:hAnsiTheme="minorEastAsia" w:eastAsiaTheme="minorEastAsia"/>
          <w:color w:val="auto"/>
        </w:rPr>
      </w:pPr>
      <w:bookmarkStart w:id="98" w:name="_9．__其它"/>
      <w:bookmarkEnd w:id="98"/>
      <w:bookmarkStart w:id="99" w:name="_Toc152820398"/>
      <w:bookmarkStart w:id="100" w:name="_Toc152821128"/>
      <w:bookmarkStart w:id="101" w:name="_Toc163111246"/>
      <w:bookmarkStart w:id="102" w:name="_Toc62987592"/>
      <w:bookmarkStart w:id="103" w:name="_Toc152822564"/>
      <w:bookmarkStart w:id="104" w:name="_Toc152822957"/>
      <w:bookmarkStart w:id="105" w:name="_Toc61233472"/>
      <w:bookmarkStart w:id="106" w:name="_Toc507692317"/>
      <w:r>
        <w:rPr>
          <w:rFonts w:hint="eastAsia" w:asciiTheme="minorEastAsia" w:hAnsiTheme="minorEastAsia" w:eastAsiaTheme="minorEastAsia"/>
          <w:color w:val="auto"/>
        </w:rPr>
        <w:t xml:space="preserve">第三章  </w:t>
      </w:r>
      <w:bookmarkEnd w:id="99"/>
      <w:bookmarkEnd w:id="100"/>
      <w:bookmarkEnd w:id="101"/>
      <w:bookmarkEnd w:id="102"/>
      <w:bookmarkEnd w:id="103"/>
      <w:bookmarkEnd w:id="104"/>
      <w:bookmarkEnd w:id="105"/>
      <w:bookmarkStart w:id="107" w:name="_Toc152820401"/>
      <w:bookmarkStart w:id="108" w:name="_Toc163111249"/>
      <w:bookmarkStart w:id="109" w:name="_Toc152821131"/>
      <w:bookmarkStart w:id="110" w:name="_Toc152822960"/>
      <w:bookmarkStart w:id="111" w:name="_Toc61233475"/>
      <w:bookmarkStart w:id="112" w:name="_Toc152822567"/>
      <w:bookmarkStart w:id="113" w:name="_Toc62987595"/>
      <w:r>
        <w:rPr>
          <w:rFonts w:hint="eastAsia" w:asciiTheme="minorEastAsia" w:hAnsiTheme="minorEastAsia" w:eastAsiaTheme="minorEastAsia"/>
          <w:color w:val="auto"/>
          <w:lang w:eastAsia="zh-CN"/>
        </w:rPr>
        <w:t>用户需求和</w:t>
      </w:r>
      <w:r>
        <w:rPr>
          <w:rFonts w:hint="eastAsia" w:asciiTheme="minorEastAsia" w:hAnsiTheme="minorEastAsia" w:eastAsiaTheme="minorEastAsia"/>
          <w:color w:val="auto"/>
        </w:rPr>
        <w:t>工作内容及相关说明</w:t>
      </w:r>
      <w:bookmarkEnd w:id="106"/>
    </w:p>
    <w:bookmarkEnd w:id="107"/>
    <w:bookmarkEnd w:id="108"/>
    <w:bookmarkEnd w:id="109"/>
    <w:bookmarkEnd w:id="110"/>
    <w:bookmarkEnd w:id="111"/>
    <w:bookmarkEnd w:id="112"/>
    <w:bookmarkEnd w:id="113"/>
    <w:p>
      <w:pPr>
        <w:tabs>
          <w:tab w:val="left" w:pos="424"/>
        </w:tabs>
        <w:spacing w:line="276" w:lineRule="auto"/>
        <w:jc w:val="center"/>
        <w:rPr>
          <w:rFonts w:ascii="宋体" w:hAnsi="宋体"/>
          <w:b/>
          <w:color w:val="auto"/>
          <w:sz w:val="24"/>
        </w:rPr>
      </w:pPr>
      <w:bookmarkStart w:id="114" w:name="_Toc152822965"/>
      <w:bookmarkStart w:id="115" w:name="_Toc152821134"/>
      <w:bookmarkStart w:id="116" w:name="_Toc163111252"/>
      <w:bookmarkStart w:id="117" w:name="_Toc163111254"/>
      <w:bookmarkStart w:id="118" w:name="_Toc61233481"/>
      <w:bookmarkStart w:id="119" w:name="_Toc152821136"/>
      <w:bookmarkStart w:id="120" w:name="_Toc152822570"/>
      <w:bookmarkStart w:id="121" w:name="_Toc532459550"/>
      <w:bookmarkStart w:id="122" w:name="_Toc62987599"/>
      <w:bookmarkStart w:id="123" w:name="_Toc61233479"/>
      <w:bookmarkStart w:id="124" w:name="_Toc152820406"/>
      <w:bookmarkStart w:id="125" w:name="_Toc152822963"/>
      <w:bookmarkStart w:id="126" w:name="_Toc152820404"/>
      <w:bookmarkStart w:id="127" w:name="_Toc507692325"/>
      <w:bookmarkStart w:id="128" w:name="_Toc62987601"/>
      <w:bookmarkStart w:id="129" w:name="_Toc152822572"/>
      <w:r>
        <w:rPr>
          <w:rFonts w:hint="eastAsia" w:ascii="宋体" w:hAnsi="宋体"/>
          <w:b/>
          <w:color w:val="auto"/>
          <w:sz w:val="24"/>
        </w:rPr>
        <w:t xml:space="preserve"> </w:t>
      </w:r>
    </w:p>
    <w:p>
      <w:pPr>
        <w:tabs>
          <w:tab w:val="left" w:pos="424"/>
        </w:tabs>
        <w:spacing w:line="276" w:lineRule="auto"/>
        <w:jc w:val="left"/>
        <w:rPr>
          <w:rFonts w:ascii="宋体" w:hAnsi="宋体"/>
          <w:b/>
          <w:bCs/>
          <w:color w:val="auto"/>
          <w:sz w:val="28"/>
          <w:szCs w:val="28"/>
        </w:rPr>
      </w:pPr>
      <w:r>
        <w:rPr>
          <w:rFonts w:hint="eastAsia" w:ascii="宋体" w:hAnsi="宋体"/>
          <w:b/>
          <w:bCs/>
          <w:color w:val="auto"/>
          <w:sz w:val="28"/>
          <w:szCs w:val="28"/>
        </w:rPr>
        <w:t>一、招标项目的名称、采购预算、包次</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1、项目名称：海口市房地楼幢测绘及编制不动产单元编码项目。</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kern w:val="0"/>
          <w:sz w:val="24"/>
          <w:szCs w:val="24"/>
        </w:rPr>
      </w:pPr>
      <w:r>
        <w:rPr>
          <w:rFonts w:hint="eastAsia"/>
          <w:color w:val="auto"/>
          <w:sz w:val="24"/>
          <w:szCs w:val="24"/>
        </w:rPr>
        <w:t>2、总采购预算：</w:t>
      </w:r>
      <w:r>
        <w:rPr>
          <w:rFonts w:hint="eastAsia" w:ascii="宋体" w:hAnsi="宋体" w:cs="宋体"/>
          <w:color w:val="auto"/>
          <w:kern w:val="0"/>
          <w:sz w:val="24"/>
          <w:szCs w:val="24"/>
        </w:rPr>
        <w:t>101,611,437.00元（大</w:t>
      </w:r>
      <w:r>
        <w:rPr>
          <w:rFonts w:hint="eastAsia"/>
          <w:color w:val="auto"/>
          <w:sz w:val="24"/>
          <w:szCs w:val="24"/>
        </w:rPr>
        <w:t>写：壹亿零壹佰陆拾壹万壹仟肆佰叁拾柒元整）。</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3、包次：项目包含7个包，详见下表。</w:t>
      </w:r>
    </w:p>
    <w:tbl>
      <w:tblPr>
        <w:tblStyle w:val="65"/>
        <w:tblW w:w="10063" w:type="dxa"/>
        <w:jc w:val="center"/>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51"/>
        <w:gridCol w:w="2007"/>
        <w:gridCol w:w="3175"/>
        <w:gridCol w:w="1838"/>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序号</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服务内容</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服务范围</w:t>
            </w:r>
          </w:p>
        </w:tc>
        <w:tc>
          <w:tcPr>
            <w:tcW w:w="3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主要任务</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预算金额</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（元）</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452" w:hRule="atLeast"/>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秀英区房地楼幢测绘及编制不动产单元编码</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秀英区</w:t>
            </w:r>
          </w:p>
        </w:tc>
        <w:tc>
          <w:tcPr>
            <w:tcW w:w="3175" w:type="dxa"/>
            <w:noWrap w:val="0"/>
            <w:vAlign w:val="center"/>
          </w:tcPr>
          <w:p>
            <w:pPr>
              <w:keepNext w:val="0"/>
              <w:keepLines w:val="0"/>
              <w:pageBreakBefore w:val="0"/>
              <w:widowControl w:val="0"/>
              <w:tabs>
                <w:tab w:val="left" w:pos="315"/>
              </w:tabs>
              <w:kinsoku/>
              <w:wordWrap/>
              <w:overflowPunct/>
              <w:topLinePunct w:val="0"/>
              <w:autoSpaceDE/>
              <w:autoSpaceDN/>
              <w:bidi w:val="0"/>
              <w:adjustRightInd/>
              <w:snapToGrid/>
              <w:spacing w:line="360" w:lineRule="exact"/>
              <w:jc w:val="both"/>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1:500比例尺数字地形地籍图测量（DLG）、楼幢调查、宗地调查、编制不动产单元编码及其相关数据建库</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 xml:space="preserve">16,988,020.17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2</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龙华区房地楼幢测绘及编制不动产单元编码</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龙华区</w:t>
            </w:r>
          </w:p>
        </w:tc>
        <w:tc>
          <w:tcPr>
            <w:tcW w:w="3175" w:type="dxa"/>
            <w:noWrap w:val="0"/>
            <w:vAlign w:val="center"/>
          </w:tcPr>
          <w:p>
            <w:pPr>
              <w:keepNext w:val="0"/>
              <w:keepLines w:val="0"/>
              <w:pageBreakBefore w:val="0"/>
              <w:widowControl w:val="0"/>
              <w:tabs>
                <w:tab w:val="left" w:pos="315"/>
              </w:tabs>
              <w:kinsoku/>
              <w:wordWrap/>
              <w:overflowPunct/>
              <w:topLinePunct w:val="0"/>
              <w:autoSpaceDE/>
              <w:autoSpaceDN/>
              <w:bidi w:val="0"/>
              <w:adjustRightInd/>
              <w:snapToGrid/>
              <w:spacing w:line="360" w:lineRule="exact"/>
              <w:jc w:val="both"/>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1:500比例尺数字地形地籍图测量（DLG）、楼幢调查、宗地调查、编制不动产单元编码及其相关数据建库</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13,400,601.66</w:t>
            </w:r>
            <w:r>
              <w:rPr>
                <w:rFonts w:hint="eastAsia"/>
                <w:color w:val="auto"/>
                <w:sz w:val="24"/>
                <w:szCs w:val="24"/>
              </w:rPr>
              <w:t xml:space="preserve">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2包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3</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琼山区房地楼幢测绘及编制不动产单元编码</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琼山区</w:t>
            </w:r>
          </w:p>
        </w:tc>
        <w:tc>
          <w:tcPr>
            <w:tcW w:w="3175" w:type="dxa"/>
            <w:noWrap w:val="0"/>
            <w:vAlign w:val="center"/>
          </w:tcPr>
          <w:p>
            <w:pPr>
              <w:keepNext w:val="0"/>
              <w:keepLines w:val="0"/>
              <w:pageBreakBefore w:val="0"/>
              <w:widowControl w:val="0"/>
              <w:tabs>
                <w:tab w:val="left" w:pos="315"/>
              </w:tabs>
              <w:kinsoku/>
              <w:wordWrap/>
              <w:overflowPunct/>
              <w:topLinePunct w:val="0"/>
              <w:autoSpaceDE/>
              <w:autoSpaceDN/>
              <w:bidi w:val="0"/>
              <w:adjustRightInd/>
              <w:snapToGrid/>
              <w:spacing w:line="360" w:lineRule="exact"/>
              <w:jc w:val="both"/>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1:500比例尺数字地形地籍图测量（DLG）、楼幢调查、宗地调查、编制不动产单元编码及其相关数据建库</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 xml:space="preserve">15,376,113.81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3包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4</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美兰区房地楼幢测绘及编制不动产单元编码</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美兰区</w:t>
            </w:r>
          </w:p>
        </w:tc>
        <w:tc>
          <w:tcPr>
            <w:tcW w:w="3175" w:type="dxa"/>
            <w:noWrap w:val="0"/>
            <w:vAlign w:val="center"/>
          </w:tcPr>
          <w:p>
            <w:pPr>
              <w:keepNext w:val="0"/>
              <w:keepLines w:val="0"/>
              <w:pageBreakBefore w:val="0"/>
              <w:widowControl w:val="0"/>
              <w:tabs>
                <w:tab w:val="left" w:pos="315"/>
              </w:tabs>
              <w:kinsoku/>
              <w:wordWrap/>
              <w:overflowPunct/>
              <w:topLinePunct w:val="0"/>
              <w:autoSpaceDE/>
              <w:autoSpaceDN/>
              <w:bidi w:val="0"/>
              <w:adjustRightInd/>
              <w:snapToGrid/>
              <w:spacing w:line="360" w:lineRule="exact"/>
              <w:jc w:val="both"/>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1:500比例尺数字地形地籍图测量（DLG）、楼幢调查、宗地调查、编制不动产单元编码及其相关数据建库</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 xml:space="preserve">18,413,884.94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4包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5</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航空摄影测量及三维建模</w:t>
            </w:r>
          </w:p>
        </w:tc>
        <w:tc>
          <w:tcPr>
            <w:tcW w:w="2007"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影像获取范围 海口市行政区域2289平方千米，大场景三维模型（单体精细模型）制作范围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326.71平方公里</w:t>
            </w:r>
          </w:p>
        </w:tc>
        <w:tc>
          <w:tcPr>
            <w:tcW w:w="3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1、海口市地面分辨率最低点优于0.05米倾斜摄影测量（影像获取）</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2、全市建成区、集镇、农村居民点及居民点以外连片的建筑区像控点测量，建立大场景三维模型（单体精细模型）</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24,975,260.00</w:t>
            </w:r>
            <w:r>
              <w:rPr>
                <w:rFonts w:hint="eastAsia"/>
                <w:color w:val="auto"/>
                <w:sz w:val="24"/>
                <w:szCs w:val="24"/>
              </w:rPr>
              <w:t xml:space="preserve">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5包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6</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配套系统开发建库</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海口市</w:t>
            </w:r>
          </w:p>
        </w:tc>
        <w:tc>
          <w:tcPr>
            <w:tcW w:w="3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不动产楼幢测绘成果建库系统开发、不动产</w:t>
            </w:r>
            <w:r>
              <w:rPr>
                <w:rFonts w:ascii="宋体" w:hAnsi="宋体" w:cs="宋体"/>
                <w:color w:val="auto"/>
                <w:kern w:val="0"/>
                <w:sz w:val="24"/>
                <w:szCs w:val="24"/>
                <w:shd w:val="clear" w:color="auto" w:fill="FFFFFF"/>
              </w:rPr>
              <w:t>楼幢测绘</w:t>
            </w:r>
            <w:r>
              <w:rPr>
                <w:rFonts w:hint="eastAsia" w:ascii="宋体" w:hAnsi="宋体" w:cs="宋体"/>
                <w:color w:val="auto"/>
                <w:kern w:val="0"/>
                <w:sz w:val="24"/>
                <w:szCs w:val="24"/>
                <w:shd w:val="clear" w:color="auto" w:fill="FFFFFF"/>
              </w:rPr>
              <w:t>成果</w:t>
            </w:r>
            <w:r>
              <w:rPr>
                <w:rFonts w:ascii="宋体" w:hAnsi="宋体" w:cs="宋体"/>
                <w:color w:val="auto"/>
                <w:kern w:val="0"/>
                <w:sz w:val="24"/>
                <w:szCs w:val="24"/>
                <w:shd w:val="clear" w:color="auto" w:fill="FFFFFF"/>
              </w:rPr>
              <w:t>质检系统开发</w:t>
            </w:r>
            <w:r>
              <w:rPr>
                <w:rFonts w:hint="eastAsia" w:ascii="宋体" w:hAnsi="宋体" w:cs="宋体"/>
                <w:color w:val="auto"/>
                <w:kern w:val="0"/>
                <w:sz w:val="24"/>
                <w:szCs w:val="24"/>
                <w:shd w:val="clear" w:color="auto" w:fill="FFFFFF"/>
              </w:rPr>
              <w:t>；</w:t>
            </w:r>
            <w:r>
              <w:rPr>
                <w:rFonts w:ascii="宋体" w:hAnsi="宋体" w:cs="宋体"/>
                <w:color w:val="auto"/>
                <w:kern w:val="0"/>
                <w:sz w:val="24"/>
                <w:szCs w:val="24"/>
                <w:shd w:val="clear" w:color="auto" w:fill="FFFFFF"/>
              </w:rPr>
              <w:t>调查成果数据</w:t>
            </w:r>
            <w:r>
              <w:rPr>
                <w:rFonts w:hint="eastAsia" w:ascii="宋体" w:hAnsi="宋体" w:cs="宋体"/>
                <w:color w:val="auto"/>
                <w:kern w:val="0"/>
                <w:sz w:val="24"/>
                <w:szCs w:val="24"/>
                <w:shd w:val="clear" w:color="auto" w:fill="FFFFFF"/>
              </w:rPr>
              <w:t>、不动产单元编码逐宗</w:t>
            </w:r>
            <w:r>
              <w:rPr>
                <w:rFonts w:ascii="宋体" w:hAnsi="宋体" w:cs="宋体"/>
                <w:color w:val="auto"/>
                <w:kern w:val="0"/>
                <w:sz w:val="24"/>
                <w:szCs w:val="24"/>
                <w:shd w:val="clear" w:color="auto" w:fill="FFFFFF"/>
              </w:rPr>
              <w:t>质检入库</w:t>
            </w:r>
            <w:r>
              <w:rPr>
                <w:rFonts w:hint="eastAsia" w:ascii="宋体" w:hAnsi="宋体" w:cs="宋体"/>
                <w:color w:val="auto"/>
                <w:kern w:val="0"/>
                <w:sz w:val="24"/>
                <w:szCs w:val="24"/>
                <w:shd w:val="clear" w:color="auto" w:fill="FFFFFF"/>
              </w:rPr>
              <w:t>及档案扫描入库</w:t>
            </w:r>
            <w:r>
              <w:rPr>
                <w:rFonts w:ascii="宋体" w:hAnsi="宋体" w:cs="宋体"/>
                <w:color w:val="auto"/>
                <w:kern w:val="0"/>
                <w:sz w:val="24"/>
                <w:szCs w:val="24"/>
                <w:shd w:val="clear" w:color="auto" w:fill="FFFFFF"/>
              </w:rPr>
              <w:t>等工作</w:t>
            </w:r>
            <w:r>
              <w:rPr>
                <w:rFonts w:hint="eastAsia" w:ascii="宋体" w:hAnsi="宋体" w:cs="宋体"/>
                <w:color w:val="auto"/>
                <w:kern w:val="0"/>
                <w:sz w:val="24"/>
                <w:szCs w:val="24"/>
                <w:shd w:val="clear" w:color="auto" w:fill="FFFFFF"/>
              </w:rPr>
              <w:t>以及配套硬件采购。</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ascii="宋体" w:hAnsi="宋体" w:cs="宋体"/>
                <w:color w:val="auto"/>
                <w:kern w:val="0"/>
                <w:sz w:val="24"/>
                <w:szCs w:val="24"/>
                <w:shd w:val="clear" w:color="auto" w:fill="FFFFFF"/>
              </w:rPr>
              <w:t>9</w:t>
            </w:r>
            <w:r>
              <w:rPr>
                <w:rFonts w:hint="eastAsia" w:ascii="宋体" w:hAnsi="宋体" w:cs="宋体"/>
                <w:color w:val="auto"/>
                <w:kern w:val="0"/>
                <w:sz w:val="24"/>
                <w:szCs w:val="24"/>
                <w:shd w:val="clear" w:color="auto" w:fill="FFFFFF"/>
              </w:rPr>
              <w:t>,4</w:t>
            </w:r>
            <w:r>
              <w:rPr>
                <w:rFonts w:ascii="宋体" w:hAnsi="宋体" w:cs="宋体"/>
                <w:color w:val="auto"/>
                <w:kern w:val="0"/>
                <w:sz w:val="24"/>
                <w:szCs w:val="24"/>
                <w:shd w:val="clear" w:color="auto" w:fill="FFFFFF"/>
              </w:rPr>
              <w:t>98</w:t>
            </w:r>
            <w:r>
              <w:rPr>
                <w:rFonts w:hint="eastAsia" w:ascii="宋体" w:hAnsi="宋体" w:cs="宋体"/>
                <w:color w:val="auto"/>
                <w:kern w:val="0"/>
                <w:sz w:val="24"/>
                <w:szCs w:val="24"/>
                <w:shd w:val="clear" w:color="auto" w:fill="FFFFFF"/>
              </w:rPr>
              <w:t>,000.00（含项目前期工作专家评审费100,000.00元，由本包次中标人承担）</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6包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项目监理</w:t>
            </w:r>
          </w:p>
        </w:tc>
        <w:tc>
          <w:tcPr>
            <w:tcW w:w="20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海口市</w:t>
            </w:r>
          </w:p>
        </w:tc>
        <w:tc>
          <w:tcPr>
            <w:tcW w:w="3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1包至6包所有工作的监理</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rPr>
            </w:pPr>
            <w:r>
              <w:rPr>
                <w:rFonts w:hint="eastAsia" w:ascii="宋体" w:hAnsi="宋体" w:cs="宋体"/>
                <w:color w:val="auto"/>
                <w:kern w:val="0"/>
                <w:sz w:val="24"/>
                <w:szCs w:val="24"/>
                <w:shd w:val="clear" w:color="auto" w:fill="FFFFFF"/>
              </w:rPr>
              <w:t xml:space="preserve">2,959,556.42 </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7包</w:t>
            </w:r>
          </w:p>
        </w:tc>
      </w:tr>
    </w:tbl>
    <w:p>
      <w:pPr>
        <w:keepNext w:val="0"/>
        <w:keepLines w:val="0"/>
        <w:pageBreakBefore w:val="0"/>
        <w:widowControl w:val="0"/>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注：1包至6包预算金额包括工作费用、委托具有资质的质量检验机构质量检验费、接收成果费用（10%）、甲方组织的项目初步验收及项目最终验收所产生的费用。7包预算金额按1包至6包总预算金额的3%计。</w:t>
      </w:r>
    </w:p>
    <w:p>
      <w:pPr>
        <w:keepNext w:val="0"/>
        <w:keepLines w:val="0"/>
        <w:pageBreakBefore w:val="0"/>
        <w:widowControl w:val="0"/>
        <w:kinsoku/>
        <w:wordWrap/>
        <w:overflowPunct/>
        <w:topLinePunct w:val="0"/>
        <w:autoSpaceDE/>
        <w:autoSpaceDN/>
        <w:bidi w:val="0"/>
        <w:adjustRightInd/>
        <w:snapToGrid/>
        <w:spacing w:line="440" w:lineRule="exact"/>
        <w:ind w:left="562" w:hanging="562" w:hangingChars="200"/>
        <w:textAlignment w:val="auto"/>
        <w:outlineLvl w:val="0"/>
        <w:rPr>
          <w:rFonts w:ascii="宋体" w:hAnsi="宋体"/>
          <w:b/>
          <w:color w:val="auto"/>
          <w:sz w:val="28"/>
          <w:szCs w:val="28"/>
        </w:rPr>
      </w:pPr>
      <w:r>
        <w:rPr>
          <w:rFonts w:hint="eastAsia" w:ascii="宋体" w:hAnsi="宋体"/>
          <w:b/>
          <w:bCs/>
          <w:color w:val="auto"/>
          <w:sz w:val="28"/>
          <w:szCs w:val="28"/>
        </w:rPr>
        <w:t>二、主要任务</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根据国家土地房屋登记、土地房屋调查相关法律法规，按照海口市不动产登记工作安排，通过地形地籍测量、权属调查、房屋入户调查、航空摄影测量、倾斜摄影、三维建模、配套建库系统等方法，查清不动产的权属、界址、面积、用途、楼幢基底及楼盘表等基本情况，入户调查房屋的坐落、房屋结构、所在层次、总层数、专有建筑面积、分摊建筑面积、建筑面积、房屋用途、房屋规划用途、所有权人、联系电话、身份证或组织机构代码、产权证号等基本信息。形成数据、图件、表册等调查资料，编写不动产单元编码，并同时将未数字化的房屋分户图尺量化，构建图属一致、房地一体的不动产权籍调查数据库，完成土地、房产登记信息的数据整合，并建立三维模型，为不动产登记工作的开展夯实数据基础。</w:t>
      </w:r>
    </w:p>
    <w:p>
      <w:pPr>
        <w:keepNext w:val="0"/>
        <w:keepLines w:val="0"/>
        <w:pageBreakBefore w:val="0"/>
        <w:widowControl w:val="0"/>
        <w:kinsoku/>
        <w:wordWrap/>
        <w:overflowPunct/>
        <w:topLinePunct w:val="0"/>
        <w:autoSpaceDE/>
        <w:autoSpaceDN/>
        <w:bidi w:val="0"/>
        <w:adjustRightInd/>
        <w:snapToGrid/>
        <w:spacing w:line="440" w:lineRule="exact"/>
        <w:ind w:left="1"/>
        <w:textAlignment w:val="auto"/>
        <w:outlineLvl w:val="0"/>
        <w:rPr>
          <w:rFonts w:ascii="宋体" w:hAnsi="宋体" w:cs="黑体"/>
          <w:b/>
          <w:color w:val="auto"/>
          <w:kern w:val="0"/>
          <w:sz w:val="24"/>
          <w:szCs w:val="24"/>
        </w:rPr>
      </w:pPr>
      <w:r>
        <w:rPr>
          <w:rFonts w:hint="eastAsia" w:ascii="宋体" w:hAnsi="宋体"/>
          <w:b/>
          <w:color w:val="auto"/>
          <w:sz w:val="28"/>
          <w:szCs w:val="28"/>
          <w:lang w:eastAsia="zh-CN"/>
        </w:rPr>
        <w:t>三</w:t>
      </w:r>
      <w:r>
        <w:rPr>
          <w:rFonts w:hint="eastAsia" w:ascii="宋体" w:hAnsi="宋体" w:cs="黑体"/>
          <w:b/>
          <w:color w:val="auto"/>
          <w:kern w:val="0"/>
          <w:sz w:val="28"/>
          <w:szCs w:val="28"/>
        </w:rPr>
        <w:t>、</w:t>
      </w:r>
      <w:r>
        <w:rPr>
          <w:rFonts w:hint="eastAsia" w:ascii="宋体" w:hAnsi="宋体" w:cs="黑体"/>
          <w:b/>
          <w:color w:val="auto"/>
          <w:kern w:val="0"/>
          <w:sz w:val="24"/>
          <w:szCs w:val="24"/>
        </w:rPr>
        <w:t>具体任务</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b/>
          <w:color w:val="auto"/>
          <w:sz w:val="24"/>
          <w:szCs w:val="24"/>
        </w:rPr>
      </w:pPr>
      <w:r>
        <w:rPr>
          <w:rFonts w:hint="eastAsia"/>
          <w:b/>
          <w:color w:val="auto"/>
          <w:sz w:val="24"/>
          <w:szCs w:val="24"/>
        </w:rPr>
        <w:t>（一）1包、2包、3包、4包工作任务</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1、1:500比例尺数字地形地籍图测量（DLG）</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ascii="宋体" w:hAnsi="宋体"/>
          <w:b/>
          <w:color w:val="auto"/>
          <w:sz w:val="24"/>
          <w:szCs w:val="24"/>
        </w:rPr>
      </w:pPr>
      <w:r>
        <w:rPr>
          <w:rFonts w:hint="eastAsia"/>
          <w:color w:val="auto"/>
          <w:sz w:val="24"/>
          <w:szCs w:val="24"/>
        </w:rPr>
        <w:t>（1）结合地籍测量按满足地籍图精度要求开展地形图测量，对海口市秀英区、龙华区、琼山区、美兰区范围内的建成区、集镇、农村居民点及居民点以外的建筑区进行1:500数字地形地籍测量。本项目共需要测量的总面积约为326.71平方公里，其中1包需要测量的面积约为88.90平方公里，2包需要测量的面积约为65.77平方公里，3包需要测量的面积约为79.67平方公里，4包需要测量的面积约为92.37平方公里，详见测量区域范围示意图，采购人将在本项目完成招标后向1包、2包、3包、4包中标人提供详细测量范围电子图件。</w:t>
      </w:r>
      <w:r>
        <w:rPr>
          <w:rFonts w:hint="eastAsia" w:ascii="宋体" w:hAnsi="宋体"/>
          <w:b/>
          <w:color w:val="auto"/>
          <w:sz w:val="24"/>
          <w:szCs w:val="24"/>
        </w:rPr>
        <w:t xml:space="preserve">           </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（2）采用“海南海口独立坐标系”，“1985国家高程基准”。</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（3）采用正方形分幅（50cm×50cm）。</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（4）RTK一级、二级、三级平面控制点、图根点点位中误差≤±0.05米。当采用图根导线方法测量时，主要技术指标执行《地籍调查规程》TD/T 1001-2012中表2.图根导线测量技术指标。</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（5）一级解析界址点、主要建筑物角点（如房屋角点和明显地物点）相对于邻近控制点点位中误差、相邻界址点间距中误差不超过±0.05米。</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（6）二级解析界址点、次要建筑物角点（如隐蔽围墙角点、简易房屋角点）相对于邻近控制点点位中误差、相邻界址点间距中误差不超过±0.075米。</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（7）其它地物点相对于邻近控制点的中误差不超过±0.15米，相邻地物点之间的间距中误差不超过±0.20米。</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（8）高程点高程中误差不超过±0.15米；高程注记点相对于邻近图根点的高程中误差不应大于相应比例尺地形图基本等高距的 1/3。困难地区放宽0.5倍。等高线插求点相对于邻近图根点的高程中误差，平地不应大于基本等高距的 1/3，丘陵地不应大于基本等高距的1/2。</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（9）</w:t>
      </w:r>
      <w:r>
        <w:rPr>
          <w:color w:val="auto"/>
          <w:sz w:val="24"/>
          <w:szCs w:val="24"/>
        </w:rPr>
        <w:t>等高距</w:t>
      </w:r>
      <w:r>
        <w:rPr>
          <w:rFonts w:hint="eastAsia"/>
          <w:color w:val="auto"/>
          <w:sz w:val="24"/>
          <w:szCs w:val="24"/>
        </w:rPr>
        <w:t>0</w:t>
      </w:r>
      <w:r>
        <w:rPr>
          <w:color w:val="auto"/>
          <w:sz w:val="24"/>
          <w:szCs w:val="24"/>
        </w:rPr>
        <w:t>.5米</w:t>
      </w:r>
      <w:r>
        <w:rPr>
          <w:rFonts w:hint="eastAsia"/>
          <w:color w:val="auto"/>
          <w:sz w:val="24"/>
          <w:szCs w:val="24"/>
        </w:rPr>
        <w:t>。</w:t>
      </w:r>
    </w:p>
    <w:p>
      <w:pPr>
        <w:tabs>
          <w:tab w:val="left" w:pos="315"/>
        </w:tabs>
        <w:spacing w:line="276" w:lineRule="auto"/>
        <w:ind w:firstLine="482" w:firstLineChars="200"/>
        <w:jc w:val="center"/>
        <w:outlineLvl w:val="0"/>
        <w:rPr>
          <w:rFonts w:ascii="宋体" w:hAnsi="宋体"/>
          <w:b/>
          <w:color w:val="auto"/>
          <w:sz w:val="24"/>
          <w:szCs w:val="24"/>
        </w:rPr>
      </w:pPr>
      <w:r>
        <w:rPr>
          <w:rFonts w:hint="eastAsia" w:ascii="宋体" w:hAnsi="宋体"/>
          <w:b/>
          <w:color w:val="auto"/>
          <w:sz w:val="24"/>
          <w:szCs w:val="24"/>
        </w:rPr>
        <w:t>1包至4包测量区域范围示意图</w:t>
      </w:r>
    </w:p>
    <w:p>
      <w:pPr>
        <w:tabs>
          <w:tab w:val="left" w:pos="315"/>
        </w:tabs>
        <w:spacing w:line="276" w:lineRule="auto"/>
        <w:ind w:firstLine="480" w:firstLineChars="200"/>
        <w:rPr>
          <w:rFonts w:ascii="宋体" w:hAnsi="宋体"/>
          <w:color w:val="auto"/>
          <w:sz w:val="24"/>
          <w:szCs w:val="24"/>
        </w:rPr>
      </w:pPr>
      <w:r>
        <w:rPr>
          <w:color w:val="auto"/>
          <w:sz w:val="24"/>
          <w:szCs w:val="24"/>
        </w:rPr>
        <w:drawing>
          <wp:inline distT="0" distB="0" distL="114300" distR="114300">
            <wp:extent cx="5265420" cy="5265420"/>
            <wp:effectExtent l="0" t="0" r="11430" b="1143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5"/>
                    <a:stretch>
                      <a:fillRect/>
                    </a:stretch>
                  </pic:blipFill>
                  <pic:spPr>
                    <a:xfrm>
                      <a:off x="0" y="0"/>
                      <a:ext cx="5265420" cy="5265420"/>
                    </a:xfrm>
                    <a:prstGeom prst="rect">
                      <a:avLst/>
                    </a:prstGeom>
                    <a:noFill/>
                    <a:ln w="9525">
                      <a:noFill/>
                    </a:ln>
                  </pic:spPr>
                </pic:pic>
              </a:graphicData>
            </a:graphic>
          </wp:inline>
        </w:drawing>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2、楼幢调查</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须对1包、2包、3包、4包范围内已核发房屋产权证但未实现房地关联所涉及楼幢开展调查工作，查清楼幢的坐落、自然幢号、房屋结构、房屋总层数、房屋性质、房屋用途、幢占地面积、楼幢基底坐标、查清不动产的权属、界址、面积、用途、楼幢基底及楼盘表等基本情况，现场对楼幢进行拍照（应至少从3个角度拍照），并根据采购人提供的房屋清单进行入户调查，查清房屋的坐落、房屋结构、所在层次、总层数、专有建筑面积、分摊建筑面积、建筑面积、房屋用途、房屋规划用途、所有权人、联系电话、身份证号或组织机构代码、产权证号等基本信息，收集相关产权来源证明，建立楼幢信息表，按幢出具楼幢测绘报告书（列出幢中所有户清单）。本项目已核发房屋产权证但未实现房地关联的共约有26.88万户，经估算1包约有2.33万户，2包约有9.46万户，3包约有4.71万户，4包约有10.38万户，本次采购预算金额为包干价，各包次应按测区所属辖区的实际需调查户数完成相应的楼幢调查工作。</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3、宗地调查</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须对1包、2包、3包、4包范围内已核发房屋产权证但未核发土地证的宗地、已核发房屋产权证且土地无发证坐标的宗地、土地发证界线相互交叉重叠的宗地及楼幢基底占地界线超出用地界线的宗地开展相关调查工作，查清宗地的权属、位置、用途、界址点线及面积等，收集相关权属来源证明资料，按宗进行立卷并装袋。本次采购预算金额为包干价，各包次应按测区所属辖区的实际需调查宗数完成相应的相关调查工作。</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4、编制不动产单元编码</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根据上述1、2及3，建立房归幢、幢落地的关联关系，并编制不动产单元编码。</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5、1:500比例尺地形数据（DLG）、楼幢调查数据及宗地调查数据建库</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须对1包、2包、3包、4包所有图幅地形图数据、楼幢调查数据及宗地调查数据进行数据处理、数据建库，形成地形图数据库、楼幢数据库及宗地调查数据库。</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1包至4包中标人自合同签订之日起，在对应包次测区范围内，须对不动产登记日常业务涉及本次采购工作内容的工作应优先响应，按照采购人的要求优先保障上述1、2、3、4相关服务工作，并及时出具测绘调查成果资料。</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rFonts w:hint="eastAsia" w:ascii="宋体" w:hAnsi="宋体"/>
          <w:b/>
          <w:color w:val="auto"/>
          <w:sz w:val="24"/>
          <w:szCs w:val="24"/>
        </w:rPr>
      </w:pPr>
      <w:r>
        <w:rPr>
          <w:rFonts w:hint="eastAsia"/>
          <w:b/>
          <w:color w:val="auto"/>
          <w:sz w:val="24"/>
          <w:szCs w:val="24"/>
        </w:rPr>
        <w:t>（二）5包工作任务</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海口市地面分辨率优于0.05米倾斜摄影测量（影像获取）范围为海口市行政区域2289平方千米；全市建成区、集镇、农村居民点及居民点以外连片的建筑区像控点测量，建立大场景三维模型（单体精细模型）面积为326.71平方公里。</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color w:val="auto"/>
          <w:sz w:val="24"/>
          <w:szCs w:val="24"/>
        </w:rPr>
        <w:t>根据给定的航摄范围制定</w:t>
      </w:r>
      <w:r>
        <w:rPr>
          <w:rFonts w:hint="eastAsia"/>
          <w:color w:val="auto"/>
          <w:sz w:val="24"/>
          <w:szCs w:val="24"/>
        </w:rPr>
        <w:t>倾斜数码航空摄影</w:t>
      </w:r>
      <w:r>
        <w:rPr>
          <w:color w:val="auto"/>
          <w:sz w:val="24"/>
          <w:szCs w:val="24"/>
        </w:rPr>
        <w:t>方案</w:t>
      </w:r>
      <w:r>
        <w:rPr>
          <w:rFonts w:hint="eastAsia"/>
          <w:color w:val="auto"/>
          <w:sz w:val="24"/>
          <w:szCs w:val="24"/>
        </w:rPr>
        <w:t>，</w:t>
      </w:r>
      <w:r>
        <w:rPr>
          <w:color w:val="auto"/>
          <w:sz w:val="24"/>
          <w:szCs w:val="24"/>
        </w:rPr>
        <w:t>开展本</w:t>
      </w:r>
      <w:r>
        <w:rPr>
          <w:rFonts w:hint="eastAsia"/>
          <w:color w:val="auto"/>
          <w:sz w:val="24"/>
          <w:szCs w:val="24"/>
        </w:rPr>
        <w:t>项目组织、空域协调与保障、数据的获取、航摄成果的质量检查、数据解算、实景真三维模型制作、模型进行精修、实景模型单体化任务并完成成果整理与提交。</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采购人将在本项目完成招标后向中标人提供详细影像获取、大场景三维模型（单体精细模型）区域范围电子图件。</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w:t>
      </w:r>
      <w:r>
        <w:rPr>
          <w:color w:val="auto"/>
          <w:sz w:val="24"/>
          <w:szCs w:val="24"/>
        </w:rPr>
        <w:t>航空摄影</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 xml:space="preserve">（1） 航线重叠度：为保证项目成果质量要求，模型区域航空摄影像片旁向重叠度为70%-80%，航向重叠度为75%-85%，相机至少采用3镜头，投标单位应采取必要的控制措施和检查手段保障影像重叠度，严格按规范规定的太阳高度角要求选择摄影时间。要根据GPS卫星预报，选择PDOP值小于3 的时间段进行摄影。 </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 覆盖保证</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倾斜摄影数码航摄航线按常规方法敷设，旁向覆盖需保证摄区边界三维建模，一般超出摄区边界线不少于三条航线。倾斜摄影航向覆盖需保证摄区边界三维建模，一般超出摄区边界线不少于四条基线。航向重叠、旁向重叠均大于</w:t>
      </w:r>
      <w:r>
        <w:rPr>
          <w:color w:val="auto"/>
          <w:sz w:val="24"/>
          <w:szCs w:val="24"/>
        </w:rPr>
        <w:t>70%</w:t>
      </w:r>
      <w:r>
        <w:rPr>
          <w:rFonts w:hint="eastAsia"/>
          <w:color w:val="auto"/>
          <w:sz w:val="24"/>
          <w:szCs w:val="24"/>
        </w:rPr>
        <w:t>，考虑城市地区建筑物遮挡等因素，适当加大重叠度。</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（3）旋偏角</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旋偏角一般不大于</w:t>
      </w:r>
      <w:r>
        <w:rPr>
          <w:color w:val="auto"/>
          <w:sz w:val="24"/>
          <w:szCs w:val="24"/>
        </w:rPr>
        <w:t>15º</w:t>
      </w:r>
      <w:r>
        <w:rPr>
          <w:rFonts w:hint="eastAsia"/>
          <w:color w:val="auto"/>
          <w:sz w:val="24"/>
          <w:szCs w:val="24"/>
        </w:rPr>
        <w:t>，在像片航向和旁向重叠度符合规范要求的前提下，最大不超过</w:t>
      </w:r>
      <w:r>
        <w:rPr>
          <w:color w:val="auto"/>
          <w:sz w:val="24"/>
          <w:szCs w:val="24"/>
        </w:rPr>
        <w:t>25º</w:t>
      </w:r>
      <w:r>
        <w:rPr>
          <w:rFonts w:hint="eastAsia"/>
          <w:color w:val="auto"/>
          <w:sz w:val="24"/>
          <w:szCs w:val="24"/>
        </w:rPr>
        <w:t>。</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倾斜摄影旋偏角可适当放宽，一般抽片后最大不超过</w:t>
      </w:r>
      <w:r>
        <w:rPr>
          <w:color w:val="auto"/>
          <w:sz w:val="24"/>
          <w:szCs w:val="24"/>
        </w:rPr>
        <w:t>25</w:t>
      </w:r>
      <w:r>
        <w:rPr>
          <w:rFonts w:hint="eastAsia"/>
          <w:color w:val="auto"/>
          <w:sz w:val="24"/>
          <w:szCs w:val="24"/>
        </w:rPr>
        <w:t>º。</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在一条航线上达到或接近最大旋偏角限差的像片数不得连续超过三片；在一个摄区内出现最大旋偏角的像片数不得超过摄区像片总数的</w:t>
      </w:r>
      <w:r>
        <w:rPr>
          <w:color w:val="auto"/>
          <w:sz w:val="24"/>
          <w:szCs w:val="24"/>
        </w:rPr>
        <w:t>4</w:t>
      </w:r>
      <w:r>
        <w:rPr>
          <w:rFonts w:hint="eastAsia"/>
          <w:color w:val="auto"/>
          <w:sz w:val="24"/>
          <w:szCs w:val="24"/>
        </w:rPr>
        <w:t>％。</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在高差特别大的地区，可以插补航线。</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 影像质量</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倾斜摄影影像的地面分辨率优于</w:t>
      </w:r>
      <w:r>
        <w:rPr>
          <w:color w:val="auto"/>
          <w:sz w:val="24"/>
          <w:szCs w:val="24"/>
        </w:rPr>
        <w:t>0.0</w:t>
      </w:r>
      <w:r>
        <w:rPr>
          <w:rFonts w:hint="eastAsia"/>
          <w:color w:val="auto"/>
          <w:sz w:val="24"/>
          <w:szCs w:val="24"/>
        </w:rPr>
        <w:t>5米。</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影像清晰，反差适中，颜色饱和，色彩鲜明，色调一致。有较丰富的层次、能辨别与地面分辨率相适应的细小地物影像，满足外业全要素精确调绘和室内判读的要求。</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倾斜摄影侧视影像分辨率与下视影像分辨率应基本一致，侧视影像分辨率基本满足项目分辨率要求。</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（5） 本项目采用</w:t>
      </w:r>
      <w:r>
        <w:rPr>
          <w:color w:val="auto"/>
          <w:sz w:val="24"/>
          <w:szCs w:val="24"/>
        </w:rPr>
        <w:t>POS</w:t>
      </w:r>
      <w:r>
        <w:rPr>
          <w:rFonts w:hint="eastAsia"/>
          <w:color w:val="auto"/>
          <w:sz w:val="24"/>
          <w:szCs w:val="24"/>
        </w:rPr>
        <w:t>辅助倾斜航空摄影技术，须参照相应的规范或标准执行。</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 补摄与重摄</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航摄过程中出现的绝对漏洞、相对漏洞及其它严重缺陷必须及时补摄。</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漏洞补摄必须按原设计航迹进行。补摄航线的长度应满足用户区域网加密布点的要求。</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对于不影响内业加密选点和模型连接的相对漏洞及局部缺陷（如云、云影、斑痕等），可只在漏洞处补摄。补摄航线的长度应超出漏洞外四条基线。</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应采用同一主距和型号的倾斜数字航摄仪进行补摄。</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倾斜摄影补飞时需至少重叠</w:t>
      </w:r>
      <w:r>
        <w:rPr>
          <w:color w:val="auto"/>
          <w:sz w:val="24"/>
          <w:szCs w:val="24"/>
        </w:rPr>
        <w:t>7</w:t>
      </w:r>
      <w:r>
        <w:rPr>
          <w:rFonts w:hint="eastAsia"/>
          <w:color w:val="auto"/>
          <w:sz w:val="24"/>
          <w:szCs w:val="24"/>
        </w:rPr>
        <w:t>张像片。</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当采用</w:t>
      </w:r>
      <w:r>
        <w:rPr>
          <w:color w:val="auto"/>
          <w:sz w:val="24"/>
          <w:szCs w:val="24"/>
        </w:rPr>
        <w:t>POS</w:t>
      </w:r>
      <w:r>
        <w:rPr>
          <w:rFonts w:hint="eastAsia"/>
          <w:color w:val="auto"/>
          <w:sz w:val="24"/>
          <w:szCs w:val="24"/>
        </w:rPr>
        <w:t>辅助倾斜航空摄影技术时，应参照相应的补摄与重摄要求进行。</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2、</w:t>
      </w:r>
      <w:r>
        <w:rPr>
          <w:color w:val="auto"/>
          <w:sz w:val="24"/>
          <w:szCs w:val="24"/>
        </w:rPr>
        <w:t>像片控制点测量</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根据测区实际状况和飞行设计进行像片控制点布设及测量，并满足</w:t>
      </w:r>
      <w:r>
        <w:rPr>
          <w:rFonts w:hint="eastAsia"/>
          <w:color w:val="auto"/>
          <w:sz w:val="24"/>
          <w:szCs w:val="24"/>
        </w:rPr>
        <w:t>建模</w:t>
      </w:r>
      <w:r>
        <w:rPr>
          <w:color w:val="auto"/>
          <w:sz w:val="24"/>
          <w:szCs w:val="24"/>
        </w:rPr>
        <w:t>需求。控制点测量精度应满足CH/T 3006-2011《数字航空摄影测量控制测量规范》的要求。</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3、三维实景模型单体化制作</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 xml:space="preserve">（1）三维实景模型精度要求 </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三维实景模型建筑顶部、道路铺装等特征点相对邻近控制点的平面位置中误差应当小于±0.3米，高程中误差应当小于±0.4米，摄影死角、水域等特殊困难地区可放宽50%。</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（2）三维实景模型质量要求</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三维实景模型要求结构、纹理完整。模型表面纹理颜色均匀，明暗合理。建筑物模型数据不应出现漏面、镂空、黑洞等现象，保证模型的完整性。生成的建筑物模型应对产生的噪声、漏洞进行人工干预、修改，保持建筑物模型完整、棱角分明、结构清晰准确，各立面平整。水面必须通过压平处理，保证水面没有破洞。</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（3）数据格式要求</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三维实景模型以三角格网为几何框架，以表面纹理为框架的贴图影像，成果格式为OSGB和3DML。</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（4）三维实景模型单体化要求</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基于倾斜摄影制作的三维实景模型，存在建筑变形（纹理拉花、结构扭曲、破面缺面等）、悬浮物、丢失部件等情况。通过软件对模型进行精修重建，使地物要素完整，从而达到后期三维GIS应用。</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单体化处理，通过利用建筑物、道路、树木等对应的矢量面，对倾斜摄影模型进行切割，把连续的三角面片网从物理上分割开，实现单体化。</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精修及单体化步骤：三维重建模型→补充影像采集→局部分离编辑→精细化修编重建→更新合并→模型进行切割→大场景三维模型（单体精细模型）</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w:t>
      </w:r>
      <w:r>
        <w:rPr>
          <w:color w:val="auto"/>
          <w:sz w:val="24"/>
          <w:szCs w:val="24"/>
        </w:rPr>
        <w:t>数学基础和主要技术指标</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w:t>
      </w:r>
      <w:r>
        <w:rPr>
          <w:color w:val="auto"/>
          <w:sz w:val="24"/>
          <w:szCs w:val="24"/>
        </w:rPr>
        <w:t>平面坐标系：采用“</w:t>
      </w:r>
      <w:r>
        <w:rPr>
          <w:rFonts w:hint="eastAsia"/>
          <w:color w:val="auto"/>
          <w:sz w:val="24"/>
          <w:szCs w:val="24"/>
        </w:rPr>
        <w:t>海南海口独立坐标系</w:t>
      </w:r>
      <w:r>
        <w:rPr>
          <w:color w:val="auto"/>
          <w:sz w:val="24"/>
          <w:szCs w:val="24"/>
        </w:rPr>
        <w:t>”</w:t>
      </w:r>
      <w:r>
        <w:rPr>
          <w:rFonts w:hint="eastAsia"/>
          <w:color w:val="auto"/>
          <w:sz w:val="24"/>
          <w:szCs w:val="24"/>
        </w:rPr>
        <w:t>；</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w:t>
      </w:r>
      <w:r>
        <w:rPr>
          <w:color w:val="auto"/>
          <w:sz w:val="24"/>
          <w:szCs w:val="24"/>
        </w:rPr>
        <w:t>高程基准：采用“1985 国家高程基准”；</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w:t>
      </w:r>
      <w:r>
        <w:rPr>
          <w:color w:val="auto"/>
          <w:sz w:val="24"/>
          <w:szCs w:val="24"/>
        </w:rPr>
        <w:t>成图比例尺：</w:t>
      </w:r>
      <w:r>
        <w:rPr>
          <w:rFonts w:hint="eastAsia"/>
          <w:color w:val="auto"/>
          <w:sz w:val="24"/>
          <w:szCs w:val="24"/>
        </w:rPr>
        <w:t>三维实景模型影像分辨率0.05米；</w:t>
      </w:r>
    </w:p>
    <w:p>
      <w:pPr>
        <w:keepNext w:val="0"/>
        <w:keepLines w:val="0"/>
        <w:pageBreakBefore w:val="0"/>
        <w:widowControl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w:t>
      </w:r>
      <w:r>
        <w:rPr>
          <w:color w:val="auto"/>
          <w:sz w:val="24"/>
          <w:szCs w:val="24"/>
        </w:rPr>
        <w:t>数据格式：航摄影像</w:t>
      </w:r>
      <w:r>
        <w:rPr>
          <w:rFonts w:hint="eastAsia"/>
          <w:color w:val="auto"/>
          <w:sz w:val="24"/>
          <w:szCs w:val="24"/>
        </w:rPr>
        <w:t>为</w:t>
      </w:r>
      <w:r>
        <w:rPr>
          <w:color w:val="auto"/>
          <w:sz w:val="24"/>
          <w:szCs w:val="24"/>
        </w:rPr>
        <w:t xml:space="preserve">JPG </w:t>
      </w:r>
      <w:r>
        <w:rPr>
          <w:rFonts w:hint="eastAsia"/>
          <w:color w:val="auto"/>
          <w:sz w:val="24"/>
          <w:szCs w:val="24"/>
        </w:rPr>
        <w:t>/TIFF</w:t>
      </w:r>
      <w:r>
        <w:rPr>
          <w:color w:val="auto"/>
          <w:sz w:val="24"/>
          <w:szCs w:val="24"/>
        </w:rPr>
        <w:t>格式，真彩色数字影像；</w:t>
      </w:r>
      <w:r>
        <w:rPr>
          <w:rFonts w:hint="eastAsia"/>
          <w:color w:val="auto"/>
          <w:sz w:val="24"/>
          <w:szCs w:val="24"/>
        </w:rPr>
        <w:t>三维模型成果格式为OSGB和3DML。</w:t>
      </w: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r>
        <w:rPr>
          <w:rFonts w:hint="eastAsia" w:ascii="宋体" w:hAnsi="宋体"/>
          <w:b/>
          <w:color w:val="auto"/>
          <w:sz w:val="24"/>
          <w:szCs w:val="24"/>
        </w:rPr>
        <w:t>5包影像获取区域范围示意图</w:t>
      </w:r>
    </w:p>
    <w:p>
      <w:pPr>
        <w:tabs>
          <w:tab w:val="left" w:pos="315"/>
        </w:tabs>
        <w:spacing w:line="276" w:lineRule="auto"/>
        <w:ind w:firstLine="480" w:firstLineChars="200"/>
        <w:jc w:val="center"/>
        <w:rPr>
          <w:rFonts w:hint="eastAsia" w:ascii="宋体" w:hAnsi="宋体"/>
          <w:b/>
          <w:color w:val="auto"/>
          <w:sz w:val="24"/>
          <w:szCs w:val="24"/>
        </w:rPr>
      </w:pPr>
      <w:r>
        <w:rPr>
          <w:color w:val="auto"/>
          <w:sz w:val="24"/>
          <w:szCs w:val="24"/>
        </w:rPr>
        <w:drawing>
          <wp:anchor distT="0" distB="0" distL="114300" distR="114300" simplePos="0" relativeHeight="251658240" behindDoc="0" locked="0" layoutInCell="1" allowOverlap="1">
            <wp:simplePos x="0" y="0"/>
            <wp:positionH relativeFrom="column">
              <wp:posOffset>48260</wp:posOffset>
            </wp:positionH>
            <wp:positionV relativeFrom="paragraph">
              <wp:posOffset>43180</wp:posOffset>
            </wp:positionV>
            <wp:extent cx="5267325" cy="5267325"/>
            <wp:effectExtent l="0" t="0" r="9525" b="9525"/>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6"/>
                    <a:stretch>
                      <a:fillRect/>
                    </a:stretch>
                  </pic:blipFill>
                  <pic:spPr>
                    <a:xfrm>
                      <a:off x="0" y="0"/>
                      <a:ext cx="5267325" cy="5267325"/>
                    </a:xfrm>
                    <a:prstGeom prst="rect">
                      <a:avLst/>
                    </a:prstGeom>
                    <a:noFill/>
                    <a:ln w="9525">
                      <a:noFill/>
                    </a:ln>
                  </pic:spPr>
                </pic:pic>
              </a:graphicData>
            </a:graphic>
          </wp:anchor>
        </w:drawing>
      </w: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tabs>
          <w:tab w:val="left" w:pos="315"/>
        </w:tabs>
        <w:spacing w:line="276" w:lineRule="auto"/>
        <w:ind w:firstLine="482" w:firstLineChars="200"/>
        <w:jc w:val="center"/>
        <w:rPr>
          <w:rFonts w:hint="eastAsia" w:ascii="宋体" w:hAnsi="宋体"/>
          <w:b/>
          <w:color w:val="auto"/>
          <w:sz w:val="24"/>
          <w:szCs w:val="24"/>
        </w:rPr>
      </w:pPr>
    </w:p>
    <w:p>
      <w:pPr>
        <w:pStyle w:val="2"/>
        <w:numPr>
          <w:ilvl w:val="2"/>
          <w:numId w:val="0"/>
        </w:numPr>
        <w:rPr>
          <w:rFonts w:hint="eastAsia"/>
          <w:color w:val="auto"/>
        </w:rPr>
      </w:pPr>
    </w:p>
    <w:p>
      <w:pPr>
        <w:rPr>
          <w:rFonts w:hint="eastAsia" w:ascii="宋体" w:hAnsi="宋体"/>
          <w:b/>
          <w:color w:val="auto"/>
          <w:sz w:val="24"/>
          <w:szCs w:val="24"/>
        </w:rPr>
      </w:pPr>
    </w:p>
    <w:p>
      <w:pPr>
        <w:pStyle w:val="2"/>
        <w:numPr>
          <w:ilvl w:val="2"/>
          <w:numId w:val="0"/>
        </w:numPr>
        <w:rPr>
          <w:rFonts w:hint="eastAsia"/>
          <w:color w:val="auto"/>
        </w:rPr>
      </w:pPr>
    </w:p>
    <w:p>
      <w:pPr>
        <w:rPr>
          <w:rFonts w:hint="eastAsia" w:ascii="宋体" w:hAnsi="宋体"/>
          <w:b/>
          <w:color w:val="auto"/>
          <w:sz w:val="24"/>
          <w:szCs w:val="24"/>
        </w:rPr>
      </w:pPr>
    </w:p>
    <w:p>
      <w:pPr>
        <w:pStyle w:val="2"/>
        <w:numPr>
          <w:ilvl w:val="2"/>
          <w:numId w:val="0"/>
        </w:numPr>
        <w:rPr>
          <w:rFonts w:hint="eastAsia"/>
          <w:color w:val="auto"/>
        </w:rPr>
      </w:pPr>
    </w:p>
    <w:p>
      <w:pPr>
        <w:rPr>
          <w:rFonts w:hint="eastAsia"/>
          <w:color w:val="auto"/>
        </w:rPr>
      </w:pPr>
    </w:p>
    <w:p>
      <w:pPr>
        <w:tabs>
          <w:tab w:val="left" w:pos="315"/>
        </w:tabs>
        <w:spacing w:line="276" w:lineRule="auto"/>
        <w:ind w:firstLine="482" w:firstLineChars="200"/>
        <w:jc w:val="center"/>
        <w:rPr>
          <w:rFonts w:hint="eastAsia" w:ascii="宋体" w:hAnsi="宋体"/>
          <w:b/>
          <w:color w:val="auto"/>
          <w:sz w:val="24"/>
          <w:szCs w:val="24"/>
        </w:rPr>
      </w:pPr>
      <w:r>
        <w:rPr>
          <w:rFonts w:hint="eastAsia" w:ascii="宋体" w:hAnsi="宋体"/>
          <w:b/>
          <w:color w:val="auto"/>
          <w:sz w:val="24"/>
          <w:szCs w:val="24"/>
        </w:rPr>
        <w:t>5包大场景三维模型（单体精细模型）制作区域范围示意图</w:t>
      </w:r>
    </w:p>
    <w:p>
      <w:pPr>
        <w:tabs>
          <w:tab w:val="left" w:pos="315"/>
        </w:tabs>
        <w:spacing w:line="276" w:lineRule="auto"/>
        <w:ind w:left="141" w:leftChars="67" w:firstLine="153" w:firstLineChars="64"/>
        <w:rPr>
          <w:color w:val="auto"/>
          <w:sz w:val="24"/>
          <w:szCs w:val="24"/>
        </w:rPr>
      </w:pPr>
      <w:r>
        <w:rPr>
          <w:color w:val="auto"/>
          <w:sz w:val="24"/>
          <w:szCs w:val="24"/>
        </w:rPr>
        <w:drawing>
          <wp:inline distT="0" distB="0" distL="114300" distR="114300">
            <wp:extent cx="5265420" cy="5265420"/>
            <wp:effectExtent l="0" t="0" r="11430" b="1143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7"/>
                    <a:stretch>
                      <a:fillRect/>
                    </a:stretch>
                  </pic:blipFill>
                  <pic:spPr>
                    <a:xfrm>
                      <a:off x="0" y="0"/>
                      <a:ext cx="5265420" cy="5265420"/>
                    </a:xfrm>
                    <a:prstGeom prst="rect">
                      <a:avLst/>
                    </a:prstGeom>
                    <a:noFill/>
                    <a:ln w="9525">
                      <a:noFill/>
                    </a:ln>
                  </pic:spPr>
                </pic:pic>
              </a:graphicData>
            </a:graphic>
          </wp:inline>
        </w:drawing>
      </w:r>
    </w:p>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b/>
          <w:color w:val="auto"/>
          <w:sz w:val="24"/>
          <w:szCs w:val="24"/>
        </w:rPr>
      </w:pPr>
      <w:r>
        <w:rPr>
          <w:rFonts w:hint="eastAsia"/>
          <w:b/>
          <w:color w:val="auto"/>
          <w:sz w:val="24"/>
          <w:szCs w:val="24"/>
        </w:rPr>
        <w:t>（三）6包工作任务</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主要工作内容为：</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配合本次海口全市权籍调查工作顺利开展，保障外业测绘数据成果质量和权籍数据成果入库的成功率，通过开发“房地楼幢测绘成果建库系统”、“房地楼幢测绘成果质检系统”，解决权籍成果数据的入库难、缺乏管理、难以保证质量准确性等问题，缩短整个项目建设周期，从而节省人力物力，确保本次权籍调查项目顺利开展，推动不动产统一登记工作开展，实现“四个统一”，保障权利人的合法权益。</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同时，本次权籍调查工作除了外业调查工作，还要对本次海口市行政区内27.8万户房产数据的权籍调查成果数据完成导出未落宗房屋属性数据导出、数据质检工作、编制不动产单元编码、数据查重、去重、完成期房现房关联、数据规范化整合、汇总、数据入库、档案扫描入库等工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最后，为满足本项目顺利进行，需要采购一系列配套硬件，支撑权籍调查数据成果存储以及相应软件系统的运行。</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1、不动产楼幢测绘成果建库系统开发</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w:t>
      </w:r>
      <w:r>
        <w:rPr>
          <w:color w:val="auto"/>
          <w:sz w:val="24"/>
          <w:szCs w:val="24"/>
        </w:rPr>
        <w:t>数据预处理</w:t>
      </w:r>
      <w:r>
        <w:rPr>
          <w:rFonts w:hint="eastAsia"/>
          <w:color w:val="auto"/>
          <w:sz w:val="24"/>
          <w:szCs w:val="24"/>
        </w:rPr>
        <w:t>入库</w:t>
      </w:r>
      <w:r>
        <w:rPr>
          <w:color w:val="auto"/>
          <w:sz w:val="24"/>
          <w:szCs w:val="24"/>
        </w:rPr>
        <w:t>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① 根据原海口市国土资源局地籍登记数据库依据自然资源部下发的《不动产登记数据库标准（试行）》及《不动产数据库整建库数据规范（试行）》等标准，符合海口市国土资源关联需要按照证书权利管理模式建立海口市不动产调查数据库， 并且满足上报部委数据功能。</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② 数据格式转换及数据标准转换功能模块开发</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支持</w:t>
      </w:r>
      <w:r>
        <w:rPr>
          <w:color w:val="auto"/>
          <w:sz w:val="24"/>
          <w:szCs w:val="24"/>
        </w:rPr>
        <w:t>SuperMap</w:t>
      </w:r>
      <w:r>
        <w:rPr>
          <w:rFonts w:hint="eastAsia"/>
          <w:color w:val="auto"/>
          <w:sz w:val="24"/>
          <w:szCs w:val="24"/>
        </w:rPr>
        <w:t>、ArcGIS、CAD系列数据格式之间的转换；支持西安80与WGS84等坐标系之间的相互转换；支持大地坐标与地理坐标之间的转换；支持投影参数设置，可实现矢量数据和栅格数据的投影变换；支持空间数据的动态投影、支持坐标去带号、增加带号、整体平移、仿射变换、线形变换、多项式变换。</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③ 将现有土地、海域、房产、林地、农村承包经营权等各类不动产数据按照海口市不动产调查数据库进行标准化处理。</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w:t>
      </w:r>
      <w:r>
        <w:rPr>
          <w:color w:val="auto"/>
          <w:sz w:val="24"/>
          <w:szCs w:val="24"/>
        </w:rPr>
        <w:t>资源目录树管理模块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需提供资源目录导航树，可以逐级定位到县级行政区、地籍区、地籍子区，同时可以展示各专题图层，支持选择宗地（含海域）、自然幢、林地、农村承包经营权等单个或多个图层进行展示，可控制专题数据显示、查看图层的属性等。</w:t>
      </w:r>
      <w:r>
        <w:rPr>
          <w:color w:val="auto"/>
          <w:sz w:val="24"/>
          <w:szCs w:val="24"/>
        </w:rPr>
        <w:tab/>
      </w:r>
      <w:r>
        <w:rPr>
          <w:color w:val="auto"/>
          <w:sz w:val="24"/>
          <w:szCs w:val="24"/>
        </w:rPr>
        <w:tab/>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（3）</w:t>
      </w:r>
      <w:r>
        <w:rPr>
          <w:color w:val="auto"/>
          <w:sz w:val="24"/>
          <w:szCs w:val="24"/>
        </w:rPr>
        <w:t>数据编辑模块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根据海口市不动产调查数据库标准提供宗地（含海域）变更管理、楼盘表数据编辑、林地数据、农村承包经营权数据编辑等功能。</w:t>
      </w:r>
      <w:r>
        <w:rPr>
          <w:color w:val="auto"/>
          <w:sz w:val="24"/>
          <w:szCs w:val="24"/>
        </w:rPr>
        <w:tab/>
      </w:r>
      <w:r>
        <w:rPr>
          <w:color w:val="auto"/>
          <w:sz w:val="24"/>
          <w:szCs w:val="24"/>
        </w:rPr>
        <w:tab/>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（4）</w:t>
      </w:r>
      <w:r>
        <w:rPr>
          <w:color w:val="auto"/>
          <w:sz w:val="24"/>
          <w:szCs w:val="24"/>
        </w:rPr>
        <w:t>数据入库模块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根据海口市不动产调查数据库标准提供包括宗地（含海域）、房产、林地、农村承包经营权等不动产权籍数据入库功能。</w:t>
      </w:r>
      <w:r>
        <w:rPr>
          <w:color w:val="auto"/>
          <w:sz w:val="24"/>
          <w:szCs w:val="24"/>
        </w:rPr>
        <w:tab/>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（5）</w:t>
      </w:r>
      <w:r>
        <w:rPr>
          <w:color w:val="auto"/>
          <w:sz w:val="24"/>
          <w:szCs w:val="24"/>
        </w:rPr>
        <w:t>查询统计输出模块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需实现对不动产数据的基本信息的查询分析、统计输出功能，主要包括：一般属性查看、不动产信息查询、空间查询、楼盘查询等多种查询类型；参照原海口市国土资源局地籍登记系统查询统计功能支持不动产类型、权利、用途、功能等多种统计分析以及输出相应统计查询结果报表（支持导出excel格式数据）等。</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（6）</w:t>
      </w:r>
      <w:r>
        <w:rPr>
          <w:color w:val="auto"/>
          <w:sz w:val="24"/>
          <w:szCs w:val="24"/>
        </w:rPr>
        <w:t>报表制作模块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需支持不动产权籍调查表生成功能，包括地籍调查表、林权调查表、林地变化图斑核实调查属性表、房产调查表等相关报表参照《不动产权籍调查技术方案》。</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（7）</w:t>
      </w:r>
      <w:r>
        <w:rPr>
          <w:color w:val="auto"/>
          <w:sz w:val="24"/>
          <w:szCs w:val="24"/>
        </w:rPr>
        <w:t>数据备份与恢复</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需提供海口市不动产调查数据库的备份、恢复功能。</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数据库备份：对多数据库格式的定期备份、增量备份，使数据更安全，防止数据的丢失和意外损失。</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color w:val="auto"/>
          <w:sz w:val="24"/>
          <w:szCs w:val="24"/>
        </w:rPr>
        <w:t>数据恢复</w:t>
      </w:r>
      <w:r>
        <w:rPr>
          <w:rFonts w:hint="eastAsia"/>
          <w:color w:val="auto"/>
          <w:sz w:val="24"/>
          <w:szCs w:val="24"/>
        </w:rPr>
        <w:t>：应对突发性数据库崩溃，利用已备份的数据库还原数据库，将损失控制到最小。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（8）</w:t>
      </w:r>
      <w:r>
        <w:rPr>
          <w:color w:val="auto"/>
          <w:sz w:val="24"/>
          <w:szCs w:val="24"/>
        </w:rPr>
        <w:t>历史回溯功能模块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提供对数据的历史回溯功能，支持全域全要素任何时间都可以回溯之前的某个时刻的历史状况，为管理和决策部分服务。</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（9）系统对接接口开发、中间转换模块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 xml:space="preserve">① </w:t>
      </w:r>
      <w:r>
        <w:rPr>
          <w:color w:val="auto"/>
          <w:sz w:val="24"/>
          <w:szCs w:val="24"/>
        </w:rPr>
        <w:t>提供</w:t>
      </w:r>
      <w:r>
        <w:rPr>
          <w:rFonts w:hint="eastAsia"/>
          <w:color w:val="auto"/>
          <w:sz w:val="24"/>
          <w:szCs w:val="24"/>
        </w:rPr>
        <w:t>土地档案扫描库、房屋产权登记库、房屋档案扫描库、住建房屋交易合同备库、房屋测绘备案库等数据库查询接口开发实现日常业务实时查询。</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② 提供外来单位数据查询中间件模块并建立提供数据标准，实现外来单位反馈查询结果功能。</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（10）</w:t>
      </w:r>
      <w:r>
        <w:rPr>
          <w:color w:val="auto"/>
          <w:sz w:val="24"/>
          <w:szCs w:val="24"/>
        </w:rPr>
        <w:t>一键</w:t>
      </w:r>
      <w:r>
        <w:rPr>
          <w:rFonts w:hint="eastAsia"/>
          <w:color w:val="auto"/>
          <w:sz w:val="24"/>
          <w:szCs w:val="24"/>
        </w:rPr>
        <w:t>查询</w:t>
      </w:r>
      <w:r>
        <w:rPr>
          <w:color w:val="auto"/>
          <w:sz w:val="24"/>
          <w:szCs w:val="24"/>
        </w:rPr>
        <w:t>导出模块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提供全要素（图形及属性）数据查询的一键导出(shp、excel等格式)功能，方便日常操作使用。</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（11）</w:t>
      </w:r>
      <w:r>
        <w:rPr>
          <w:color w:val="auto"/>
          <w:sz w:val="24"/>
          <w:szCs w:val="24"/>
        </w:rPr>
        <w:t>加载一张图模块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提供与现有“一张图”系统的数据接口，主要数据包括： 建设用地、土地利用、土地整理与开发复垦、矿产资源、地质灾害等 “一张图”核心数据库中所有数据。支持加载“一张图”数据，辅助决策分析。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（12）参照原土地登记系统构建变更链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color w:val="auto"/>
          <w:sz w:val="24"/>
          <w:szCs w:val="24"/>
        </w:rPr>
        <w:t>参照原土地登记系统的结构设计</w:t>
      </w:r>
      <w:r>
        <w:rPr>
          <w:rFonts w:hint="eastAsia"/>
          <w:color w:val="auto"/>
          <w:sz w:val="24"/>
          <w:szCs w:val="24"/>
        </w:rPr>
        <w:t>，</w:t>
      </w:r>
      <w:r>
        <w:rPr>
          <w:color w:val="auto"/>
          <w:sz w:val="24"/>
          <w:szCs w:val="24"/>
        </w:rPr>
        <w:t>实现对不动产登记单元的历史情况可以进行全方面的查询</w:t>
      </w:r>
      <w:r>
        <w:rPr>
          <w:rFonts w:hint="eastAsia"/>
          <w:color w:val="auto"/>
          <w:sz w:val="24"/>
          <w:szCs w:val="24"/>
        </w:rPr>
        <w:t>、</w:t>
      </w:r>
      <w:r>
        <w:rPr>
          <w:color w:val="auto"/>
          <w:sz w:val="24"/>
          <w:szCs w:val="24"/>
        </w:rPr>
        <w:t>展示</w:t>
      </w:r>
      <w:r>
        <w:rPr>
          <w:rFonts w:hint="eastAsia"/>
          <w:color w:val="auto"/>
          <w:sz w:val="24"/>
          <w:szCs w:val="24"/>
        </w:rPr>
        <w:t>（图文、属性）、浏览。比如现有一二手房，通过构建变更链，可以实现对该房屋的历史交易情况、产权归属、上下手权利人信息、变更过程等多方面查询、浏览。</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（13）</w:t>
      </w:r>
      <w:r>
        <w:rPr>
          <w:color w:val="auto"/>
          <w:sz w:val="24"/>
          <w:szCs w:val="24"/>
        </w:rPr>
        <w:t>调查成果展示</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提供</w:t>
      </w:r>
      <w:r>
        <w:rPr>
          <w:color w:val="auto"/>
          <w:sz w:val="24"/>
          <w:szCs w:val="24"/>
        </w:rPr>
        <w:t>调查成果</w:t>
      </w:r>
      <w:r>
        <w:rPr>
          <w:rFonts w:hint="eastAsia"/>
          <w:color w:val="auto"/>
          <w:sz w:val="24"/>
          <w:szCs w:val="24"/>
        </w:rPr>
        <w:t>基于海口市国土资源局一张图系统采用的GIS平台</w:t>
      </w:r>
      <w:r>
        <w:rPr>
          <w:color w:val="auto"/>
          <w:sz w:val="24"/>
          <w:szCs w:val="24"/>
        </w:rPr>
        <w:t>展示功能</w:t>
      </w:r>
      <w:r>
        <w:rPr>
          <w:rFonts w:hint="eastAsia"/>
          <w:color w:val="auto"/>
          <w:sz w:val="24"/>
          <w:szCs w:val="24"/>
        </w:rPr>
        <w:t>，支持成果按照不同的类型、行政区定义展示内容，并支持矢量数据与影像数据的多窗口联动展示。</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（14）</w:t>
      </w:r>
      <w:r>
        <w:rPr>
          <w:color w:val="auto"/>
          <w:sz w:val="24"/>
          <w:szCs w:val="24"/>
        </w:rPr>
        <w:t>加载三维模型</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提供加载三维模型模块</w:t>
      </w:r>
      <w:r>
        <w:rPr>
          <w:rFonts w:hint="eastAsia"/>
          <w:color w:val="auto"/>
          <w:sz w:val="24"/>
          <w:szCs w:val="24"/>
        </w:rPr>
        <w:t>，</w:t>
      </w:r>
      <w:r>
        <w:rPr>
          <w:color w:val="auto"/>
          <w:sz w:val="24"/>
          <w:szCs w:val="24"/>
        </w:rPr>
        <w:t>支持三维模型展示</w:t>
      </w:r>
      <w:r>
        <w:rPr>
          <w:rFonts w:hint="eastAsia"/>
          <w:color w:val="auto"/>
          <w:sz w:val="24"/>
          <w:szCs w:val="24"/>
        </w:rPr>
        <w:t>、</w:t>
      </w:r>
      <w:r>
        <w:rPr>
          <w:color w:val="auto"/>
          <w:sz w:val="24"/>
          <w:szCs w:val="24"/>
        </w:rPr>
        <w:t>三维图属互查</w:t>
      </w:r>
      <w:r>
        <w:rPr>
          <w:rFonts w:hint="eastAsia"/>
          <w:color w:val="auto"/>
          <w:sz w:val="24"/>
          <w:szCs w:val="24"/>
        </w:rPr>
        <w:t>、二三维联动查询、与一张图联动查询。</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（15）</w:t>
      </w:r>
      <w:r>
        <w:rPr>
          <w:color w:val="auto"/>
          <w:sz w:val="24"/>
          <w:szCs w:val="24"/>
        </w:rPr>
        <w:t>图属互查</w:t>
      </w:r>
      <w:r>
        <w:rPr>
          <w:rFonts w:hint="eastAsia"/>
          <w:color w:val="auto"/>
          <w:sz w:val="24"/>
          <w:szCs w:val="24"/>
        </w:rPr>
        <w:t>、</w:t>
      </w:r>
      <w:r>
        <w:rPr>
          <w:color w:val="auto"/>
          <w:sz w:val="24"/>
          <w:szCs w:val="24"/>
        </w:rPr>
        <w:t>图属数据挂接模块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提供空间图形数据与属性信息互查、图形数据与属性信息</w:t>
      </w:r>
      <w:r>
        <w:rPr>
          <w:color w:val="auto"/>
          <w:sz w:val="24"/>
          <w:szCs w:val="24"/>
        </w:rPr>
        <w:t>数据挂接功能模块</w:t>
      </w:r>
      <w:r>
        <w:rPr>
          <w:rFonts w:hint="eastAsia"/>
          <w:color w:val="auto"/>
          <w:sz w:val="24"/>
          <w:szCs w:val="24"/>
        </w:rPr>
        <w:t>。</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（16）</w:t>
      </w:r>
      <w:r>
        <w:rPr>
          <w:color w:val="auto"/>
          <w:sz w:val="24"/>
          <w:szCs w:val="24"/>
        </w:rPr>
        <w:t>影像图及三维图形维护模块</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提供影像图及三维图形的维护模块，提供影像（包括</w:t>
      </w:r>
      <w:r>
        <w:rPr>
          <w:color w:val="auto"/>
          <w:sz w:val="24"/>
          <w:szCs w:val="24"/>
        </w:rPr>
        <w:t>tif</w:t>
      </w:r>
      <w:r>
        <w:rPr>
          <w:rFonts w:hint="eastAsia"/>
          <w:color w:val="auto"/>
          <w:sz w:val="24"/>
          <w:szCs w:val="24"/>
        </w:rPr>
        <w:t>、</w:t>
      </w:r>
      <w:r>
        <w:rPr>
          <w:color w:val="auto"/>
          <w:sz w:val="24"/>
          <w:szCs w:val="24"/>
        </w:rPr>
        <w:t>img</w:t>
      </w:r>
      <w:r>
        <w:rPr>
          <w:rFonts w:hint="eastAsia"/>
          <w:color w:val="auto"/>
          <w:sz w:val="24"/>
          <w:szCs w:val="24"/>
        </w:rPr>
        <w:t>、</w:t>
      </w:r>
      <w:r>
        <w:rPr>
          <w:color w:val="auto"/>
          <w:sz w:val="24"/>
          <w:szCs w:val="24"/>
        </w:rPr>
        <w:t>lrp多种格式</w:t>
      </w:r>
      <w:r>
        <w:rPr>
          <w:rFonts w:hint="eastAsia"/>
          <w:color w:val="auto"/>
          <w:sz w:val="24"/>
          <w:szCs w:val="24"/>
        </w:rPr>
        <w:t>）及三维数据（包括</w:t>
      </w:r>
      <w:r>
        <w:rPr>
          <w:color w:val="auto"/>
          <w:sz w:val="24"/>
          <w:szCs w:val="24"/>
        </w:rPr>
        <w:t>obj</w:t>
      </w:r>
      <w:r>
        <w:rPr>
          <w:rFonts w:hint="eastAsia"/>
          <w:color w:val="auto"/>
          <w:sz w:val="24"/>
          <w:szCs w:val="24"/>
        </w:rPr>
        <w:t>、stp、igs多种格式）的更新、修正等日常维护功能。</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2、</w:t>
      </w:r>
      <w:r>
        <w:rPr>
          <w:color w:val="auto"/>
          <w:sz w:val="24"/>
          <w:szCs w:val="24"/>
        </w:rPr>
        <w:t>房地楼幢测绘</w:t>
      </w:r>
      <w:r>
        <w:rPr>
          <w:rFonts w:hint="eastAsia"/>
          <w:color w:val="auto"/>
          <w:sz w:val="24"/>
          <w:szCs w:val="24"/>
        </w:rPr>
        <w:t>成果</w:t>
      </w:r>
      <w:r>
        <w:rPr>
          <w:color w:val="auto"/>
          <w:sz w:val="24"/>
          <w:szCs w:val="24"/>
        </w:rPr>
        <w:t>质检系统</w:t>
      </w:r>
      <w:r>
        <w:rPr>
          <w:rFonts w:hint="eastAsia"/>
          <w:color w:val="auto"/>
          <w:sz w:val="24"/>
          <w:szCs w:val="24"/>
        </w:rPr>
        <w:t>开发</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本系统依据权籍调查数据库质量要求，对各类不动产登记单元数据质量检查，功能包括数据逻辑一致性检查、各类拓扑关系一致性、各类空间数据完整性检查、空间数据准确性检查、属性数据准确性检查、属性完整性检查等。生成质检报告，导出质检结果报表。为保证质检工作高效、有序的进行，质检模块还应提供针对专项工作的互检、修正和抽检功能，提供灵活的检查规则的并对相应的功能模块提供权限控制。</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（1）质检权限管理</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数据质检功能应针对特定权限的人员组开放，根据人员的角色和组别，提供相应的质检类型功能。普通工作人员拥有质检结果修正的权限，无质检权限；质检工作组拥有对作业结果进行质检及作业人员重新提交后复核的功能；质量控制领导小组拥有对最终成果进行抽捡的权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（2）质检任务管理</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质检任务包括对不动产单元空间数据的检查、属性数据的完整性、一致性等多种检查，不同工作组需要对专门的类型数据进行互检或抽捡。提供质检任务管理功能，对整理完成的数据根据质检人员的角色和分组进行分配、调整和维护，保证质检工作高效、有序进行。</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（3）质检效能统计</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质检组负责人、质量控制领导小组可根据日期、检查类型对质检人员的质检工作量、质检结果进行查询和统计，以便及时对质检方法和流程进行调整，保证质检工作的严谨、有序。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（4）检查规则设定</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系统提供检查规则设定，检查规则定义是用来定义检查规则的，可以添加规则，修改规则，删除规则。自定义检查数据源、关联图形数据源、关联图形数据集字段、被检查数据集名称、被检查数据及结果字段、被检查数据集主键等内容。</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包括数据逻辑一致性检查、各类不动产单元之间拓扑关系一致性检查、各类不动产单元完整性检查、空间数据准确性检查、属性数据准确性检查、字段有效性检查等一般检查。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（5）质检结果管理</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对各类检查结果，根据人员的角色和分组进行分类显示，定位错误记录，并显示错误原因。提供质检结果的导出功能，便于存档、统计。</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（6）数据规范性检查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根据不动产登记数据标准和其他相关标准，对最终数据的图层完整性、图层名称规范性、字段名称规范性、数据结构完整性进行检查。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（7）数据逻辑一致性检查</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要素注记与其属性是否一致</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宗地与楼栋之间的逻辑一致性</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地形要素之间的逻辑一致性，如楼栋与楼栋、楼栋与其他地形要素等等的一致性，如楼栋之间不能有交叉重合等</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高程点与等高线的高程值是否一致等</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图属一致性检查，主要检查宗地图形是否存在共点、重点、自身悬挂等图形错误</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（8）不动产单元空间数据拓扑检查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通过图形之间的空间位置关系进行检查，具体包括：宗地、宗海、林地等重叠检查，宗地、楼栋等不动产单元的相对位置关系检查，行政区、地籍区、地籍子区、楼栋自重叠检查，宗地与行政区、地籍区、地籍子区的相对位置关系检查，宗地与界址点、界址线的相对位置关系检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（9）不动产单元数据完整性检查</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根据不动产单元数据规范，确定目前数据缺少哪些图层和要素</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要素的属性是否完整，如基本属性是否存在缺失的问题</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图形要素是否完整，是否存在有属性信息而无图形信息的情况等</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根据数据库字段要求，检查数据是否完整，检查矢量数据是否出现多余、遗漏等影响数据完整性的问题</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不动产单元属性完整检查，包括空间属性、自然属性、权属属性，检查单元之间关系是否清晰、单元空间形态变化可塑</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（10）空间数据准确性检查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检查数据平面精度是否满足项目要求。</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主要检查内容有：</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界址点与面积精确性</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图层的正确性，是否存在非法的图层</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检查转换后长度、面积和转换前长度面积的误差</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检查应该封闭地物的封闭性，如房屋的封闭性等</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（11）属性数据准确性检查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检查数据分类与要素属性是否满足项目相关标准、规范的要求。主要检查内容有：</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代码编码的正确性，是否存在非法的编码</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对象属性值错漏</w:t>
      </w:r>
    </w:p>
    <w:p>
      <w:pPr>
        <w:keepNext w:val="0"/>
        <w:keepLines w:val="0"/>
        <w:pageBreakBefore w:val="0"/>
        <w:numPr>
          <w:ilvl w:val="0"/>
          <w:numId w:val="11"/>
        </w:numPr>
        <w:tabs>
          <w:tab w:val="left" w:pos="315"/>
        </w:tabs>
        <w:kinsoku/>
        <w:wordWrap/>
        <w:overflowPunct/>
        <w:topLinePunct w:val="0"/>
        <w:autoSpaceDE/>
        <w:autoSpaceDN/>
        <w:bidi w:val="0"/>
        <w:adjustRightInd/>
        <w:snapToGrid/>
        <w:spacing w:line="440" w:lineRule="exact"/>
        <w:textAlignment w:val="auto"/>
        <w:rPr>
          <w:color w:val="auto"/>
          <w:sz w:val="24"/>
          <w:szCs w:val="24"/>
        </w:rPr>
      </w:pPr>
      <w:r>
        <w:rPr>
          <w:rFonts w:hint="eastAsia"/>
          <w:color w:val="auto"/>
          <w:sz w:val="24"/>
          <w:szCs w:val="24"/>
        </w:rPr>
        <w:t>属性字段是否准确</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（12）字段有效性检查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对各数据集的字段进行检查，检查时设置哪些字段属于必填项，如不动产单元的编号、宗地的宗地代码、实际用途、权属性质等。同时对属性内容进行检查，查看其是否符合不动产登记信息数据库库标准。如检查权利人、权利数据、住户编码、楼盘编码、地类编码、权属性质、权属代码等属性内容是否符合数据字典中的定义。</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（13）不动产权利关联性检查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对不动产单元号、不动产登记数据业务关联关系进行检查，确保不动产登记数据库中主体、客体、权利、登记业务信息完整、准确，上下手关系完整、准确。</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（14）数据修正</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作业人员根据相应的角色和权限，查看对应工作内容的数据检查结果，并能便捷地对数据内容进行人工修正。修正后可对作业任务进行重新提交，接受质检，保证作业的规范性，提高数据质量。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（15）质检结果统计</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实现以不同的专题对质检结果进行统计，如按检查类型（图属检查、拓扑检查、逻辑一致性检查等类型）进行统计、按作业内容进行统计等方式，对检查结果进行分类统计，以便对数据质量进行评价，提供对统计结果的导出功能。</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rFonts w:hint="eastAsia"/>
          <w:color w:val="auto"/>
          <w:sz w:val="24"/>
          <w:szCs w:val="24"/>
        </w:rPr>
      </w:pPr>
      <w:r>
        <w:rPr>
          <w:rFonts w:hint="eastAsia"/>
          <w:color w:val="auto"/>
          <w:sz w:val="24"/>
          <w:szCs w:val="24"/>
        </w:rPr>
        <w:t>3、</w:t>
      </w:r>
      <w:r>
        <w:rPr>
          <w:color w:val="auto"/>
          <w:sz w:val="24"/>
          <w:szCs w:val="24"/>
        </w:rPr>
        <w:t>调查成果数据的质检入库</w:t>
      </w:r>
      <w:r>
        <w:rPr>
          <w:rFonts w:hint="eastAsia"/>
          <w:color w:val="auto"/>
          <w:sz w:val="24"/>
          <w:szCs w:val="24"/>
        </w:rPr>
        <w:t>、编码、调查成果扫描入库</w:t>
      </w:r>
      <w:r>
        <w:rPr>
          <w:color w:val="auto"/>
          <w:sz w:val="24"/>
          <w:szCs w:val="24"/>
        </w:rPr>
        <w:t>等工作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对海口市行政区内</w:t>
      </w:r>
      <w:r>
        <w:rPr>
          <w:rFonts w:hint="eastAsia"/>
          <w:color w:val="auto"/>
          <w:sz w:val="24"/>
          <w:szCs w:val="24"/>
        </w:rPr>
        <w:t>26.88</w:t>
      </w:r>
      <w:r>
        <w:rPr>
          <w:color w:val="auto"/>
          <w:sz w:val="24"/>
          <w:szCs w:val="24"/>
        </w:rPr>
        <w:t>万户房产数据的</w:t>
      </w:r>
      <w:r>
        <w:rPr>
          <w:rFonts w:hint="eastAsia"/>
          <w:color w:val="auto"/>
          <w:sz w:val="24"/>
          <w:szCs w:val="24"/>
        </w:rPr>
        <w:t>权籍</w:t>
      </w:r>
      <w:r>
        <w:rPr>
          <w:color w:val="auto"/>
          <w:sz w:val="24"/>
          <w:szCs w:val="24"/>
        </w:rPr>
        <w:t>调查成果数据完成导出</w:t>
      </w:r>
      <w:r>
        <w:rPr>
          <w:rFonts w:hint="eastAsia"/>
          <w:color w:val="auto"/>
          <w:sz w:val="24"/>
          <w:szCs w:val="24"/>
        </w:rPr>
        <w:t>、</w:t>
      </w:r>
      <w:r>
        <w:rPr>
          <w:color w:val="auto"/>
          <w:sz w:val="24"/>
          <w:szCs w:val="24"/>
        </w:rPr>
        <w:t>未落宗房屋属性数据导出</w:t>
      </w:r>
      <w:r>
        <w:rPr>
          <w:rFonts w:hint="eastAsia"/>
          <w:color w:val="auto"/>
          <w:sz w:val="24"/>
          <w:szCs w:val="24"/>
        </w:rPr>
        <w:t>、</w:t>
      </w:r>
      <w:r>
        <w:rPr>
          <w:color w:val="auto"/>
          <w:sz w:val="24"/>
          <w:szCs w:val="24"/>
        </w:rPr>
        <w:t>数据质检工作</w:t>
      </w:r>
      <w:r>
        <w:rPr>
          <w:rFonts w:hint="eastAsia"/>
          <w:color w:val="auto"/>
          <w:sz w:val="24"/>
          <w:szCs w:val="24"/>
        </w:rPr>
        <w:t>、</w:t>
      </w:r>
      <w:r>
        <w:rPr>
          <w:color w:val="auto"/>
          <w:sz w:val="24"/>
          <w:szCs w:val="24"/>
        </w:rPr>
        <w:t>编制不动产单元编码</w:t>
      </w:r>
      <w:r>
        <w:rPr>
          <w:rFonts w:hint="eastAsia"/>
          <w:color w:val="auto"/>
          <w:sz w:val="24"/>
          <w:szCs w:val="24"/>
        </w:rPr>
        <w:t>、</w:t>
      </w:r>
      <w:r>
        <w:rPr>
          <w:color w:val="auto"/>
          <w:sz w:val="24"/>
          <w:szCs w:val="24"/>
        </w:rPr>
        <w:t>数据查重</w:t>
      </w:r>
      <w:r>
        <w:rPr>
          <w:rFonts w:hint="eastAsia"/>
          <w:color w:val="auto"/>
          <w:sz w:val="24"/>
          <w:szCs w:val="24"/>
        </w:rPr>
        <w:t>、</w:t>
      </w:r>
      <w:r>
        <w:rPr>
          <w:color w:val="auto"/>
          <w:sz w:val="24"/>
          <w:szCs w:val="24"/>
        </w:rPr>
        <w:t>去重</w:t>
      </w:r>
      <w:r>
        <w:rPr>
          <w:rFonts w:hint="eastAsia"/>
          <w:color w:val="auto"/>
          <w:sz w:val="24"/>
          <w:szCs w:val="24"/>
        </w:rPr>
        <w:t>、</w:t>
      </w:r>
      <w:r>
        <w:rPr>
          <w:color w:val="auto"/>
          <w:sz w:val="24"/>
          <w:szCs w:val="24"/>
        </w:rPr>
        <w:t>数据规范化整合</w:t>
      </w:r>
      <w:r>
        <w:rPr>
          <w:rFonts w:hint="eastAsia"/>
          <w:color w:val="auto"/>
          <w:sz w:val="24"/>
          <w:szCs w:val="24"/>
        </w:rPr>
        <w:t>、期现房关联、期房数据注销、</w:t>
      </w:r>
      <w:r>
        <w:rPr>
          <w:color w:val="auto"/>
          <w:sz w:val="24"/>
          <w:szCs w:val="24"/>
        </w:rPr>
        <w:t>汇总</w:t>
      </w:r>
      <w:r>
        <w:rPr>
          <w:rFonts w:hint="eastAsia"/>
          <w:color w:val="auto"/>
          <w:sz w:val="24"/>
          <w:szCs w:val="24"/>
        </w:rPr>
        <w:t>、</w:t>
      </w:r>
      <w:r>
        <w:rPr>
          <w:color w:val="auto"/>
          <w:sz w:val="24"/>
          <w:szCs w:val="24"/>
        </w:rPr>
        <w:t>数据入库等工作</w:t>
      </w:r>
      <w:r>
        <w:rPr>
          <w:rFonts w:hint="eastAsia"/>
          <w:color w:val="auto"/>
          <w:sz w:val="24"/>
          <w:szCs w:val="24"/>
        </w:rPr>
        <w:t>。</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（1）未落宗房屋属性数据导出</w:t>
      </w:r>
      <w:r>
        <w:rPr>
          <w:color w:val="auto"/>
          <w:sz w:val="24"/>
          <w:szCs w:val="24"/>
        </w:rPr>
        <w:t>工作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做好本次项目权籍调查的前期准备工作，将现有房产数据库中未落宗的房屋属性信息导出给作业单位，为调查作业单位提供数据依据。</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（2）调查成果数据质检服务</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按照权籍调查数据标准，对完成权籍调查后形成的数据库进行一致性检查，确保数据库属性数据、图形数据、图像数据的准确关联和内容一致；对数据的完整性进行检查，确保数据能满足不动产统一登记的需求；对数据的唯一性进行检查；对数据库的准确性进行检查，确保数据的准确。通过人工核查和软件检查等方式，对整合结果进行全面、认真的检查，内容包括：房屋登记信息是否正确落宗、房屋楼盘表是否正确、相关位置信息是否填写完整、分户图是否正确上传等。检查后形成记录，反馈作业人员确认、修改，并跟踪记录修改原因及处理结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（3）</w:t>
      </w:r>
      <w:r>
        <w:rPr>
          <w:color w:val="auto"/>
          <w:sz w:val="24"/>
          <w:szCs w:val="24"/>
        </w:rPr>
        <w:t>编制不动产单元编码</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按照国家颁布的不动产统一编码规则，对通过质检的所有调查成果数据进行地籍区、地籍子区划分，在明确土地与房屋对应关系的基础上，对不动产单元进行统一编码，为不动产提供唯一可识别的“身份证”。</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（4）调查成果数据查重、去重</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本项目调查作业周期为3年，这3年中登记中心窗口因登记需要临时补测数据与项目正常调查测绘数据会存在重复，对</w:t>
      </w:r>
      <w:r>
        <w:rPr>
          <w:color w:val="auto"/>
          <w:sz w:val="24"/>
          <w:szCs w:val="24"/>
        </w:rPr>
        <w:t>调查成果数据与当前登记数据库对比查重</w:t>
      </w:r>
      <w:r>
        <w:rPr>
          <w:rFonts w:hint="eastAsia"/>
          <w:color w:val="auto"/>
          <w:sz w:val="24"/>
          <w:szCs w:val="24"/>
        </w:rPr>
        <w:t>、</w:t>
      </w:r>
      <w:r>
        <w:rPr>
          <w:color w:val="auto"/>
          <w:sz w:val="24"/>
          <w:szCs w:val="24"/>
        </w:rPr>
        <w:t>去重</w:t>
      </w:r>
      <w:r>
        <w:rPr>
          <w:rFonts w:hint="eastAsia"/>
          <w:color w:val="auto"/>
          <w:sz w:val="24"/>
          <w:szCs w:val="24"/>
        </w:rPr>
        <w:t>，保证登记单元数据的唯一性。</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（5）调查成果数据规范化整理、汇总</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对</w:t>
      </w:r>
      <w:r>
        <w:rPr>
          <w:rFonts w:hint="eastAsia"/>
          <w:color w:val="auto"/>
          <w:sz w:val="24"/>
          <w:szCs w:val="24"/>
        </w:rPr>
        <w:t>作业</w:t>
      </w:r>
      <w:r>
        <w:rPr>
          <w:color w:val="auto"/>
          <w:sz w:val="24"/>
          <w:szCs w:val="24"/>
        </w:rPr>
        <w:t>提交调查成果数据进行数据汇总</w:t>
      </w:r>
      <w:r>
        <w:rPr>
          <w:rFonts w:hint="eastAsia"/>
          <w:color w:val="auto"/>
          <w:sz w:val="24"/>
          <w:szCs w:val="24"/>
        </w:rPr>
        <w:t>，形成调查数据集。</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对补充测量和调查数据进行规范化整理，满足不动产数据库要求，以便将调查的图形数据入库。</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（6）调查成果数据入库服务</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按照《不动产登记信息数据库标准》进行入库，包括基础数据入库、房产数据入库、权利数据入库、权利人数据入库以及登记业务数据入库。</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（7）调查成果扫描入库工作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对本项目所有数据成果纸质文档进行扫描入库，具体工作流程如下：</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a．基本环节</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纸质成果数字化的基本环节主要包括：、扫描、图像自动处理、图像优化处理、索引录入等。</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b．扫描方式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根据纸质成果幅面的大小</w:t>
      </w:r>
      <w:r>
        <w:rPr>
          <w:color w:val="auto"/>
          <w:sz w:val="24"/>
          <w:szCs w:val="24"/>
        </w:rPr>
        <w:t>(A4、A3、AO 等)选择相应规格的扫描仪或专业扫描仪 (如工程图纸可采用0 号图纸扫描仪)进行扫描。大幅面纸质成果可采用大幅面数码平台，或者缩微拍摄后的胶片数字化转换设备等进行扫描，也可以采用小幅面扫描后的图像拼接方式处理。</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c．扫描色彩模式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扫描色彩模式一般有黑白二值、灰度、彩色等。通常采用黑白二值。</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页面为黑白两色，并且字迹清晰、不带插图的纸质成果，可采用黑白二值模式进行扫描。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页面为黑白两色，但字迹清晰度差或带有插图的纸质成果，以及页面为多色文字的纸质成果，可采用灰度模式扫描。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页面中有红头、印章或插有黑白照片、彩色照片、彩色插图的纸质成果，可视需要采用彩色模式进行扫描。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d．扫描分辨率</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扫描分辨率参数大小的选择，原则上以扫描后的图像清晰、完整、不影响图像的利用效果为准。</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采用黑白二值、灰度、彩色几种模式对纸质成果进行扫描时，其分辨率一般均建议选择≥</w:t>
      </w:r>
      <w:r>
        <w:rPr>
          <w:color w:val="auto"/>
          <w:sz w:val="24"/>
          <w:szCs w:val="24"/>
        </w:rPr>
        <w:t>100dpi。特殊情况下，如文字偏小、密集、清晰度较差等，可适当提高分辨率。</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e．存储格式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采用黑白二值模式扫描的图像文件，一般采用</w:t>
      </w:r>
      <w:r>
        <w:rPr>
          <w:color w:val="auto"/>
          <w:sz w:val="24"/>
          <w:szCs w:val="24"/>
        </w:rPr>
        <w:t>TIFF(G4)格式存储。采用灰度模式和彩色模式扫描的文件，一般采用JPEG或PDF格式存储。存储时的压缩率的选择，应以保证扫描的图像清晰可读的前提下，尽量减小存储容量为准则。</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提供网络查询的扫描图像，也可存储为</w:t>
      </w:r>
      <w:r>
        <w:rPr>
          <w:color w:val="auto"/>
          <w:sz w:val="24"/>
          <w:szCs w:val="24"/>
        </w:rPr>
        <w:t>CEB、PDF 或其他格式。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outlineLvl w:val="0"/>
        <w:rPr>
          <w:color w:val="auto"/>
          <w:sz w:val="24"/>
          <w:szCs w:val="24"/>
        </w:rPr>
      </w:pPr>
      <w:r>
        <w:rPr>
          <w:rFonts w:hint="eastAsia"/>
          <w:color w:val="auto"/>
          <w:sz w:val="24"/>
          <w:szCs w:val="24"/>
        </w:rPr>
        <w:t>4、</w:t>
      </w:r>
      <w:r>
        <w:rPr>
          <w:color w:val="auto"/>
          <w:sz w:val="24"/>
          <w:szCs w:val="24"/>
        </w:rPr>
        <w:t>配套硬件采购</w:t>
      </w:r>
    </w:p>
    <w:tbl>
      <w:tblPr>
        <w:tblStyle w:val="65"/>
        <w:tblW w:w="9287" w:type="dxa"/>
        <w:jc w:val="center"/>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99"/>
        <w:gridCol w:w="6738"/>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6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序号</w:t>
            </w:r>
          </w:p>
        </w:tc>
        <w:tc>
          <w:tcPr>
            <w:tcW w:w="999"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类型</w:t>
            </w:r>
          </w:p>
        </w:tc>
        <w:tc>
          <w:tcPr>
            <w:tcW w:w="67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主要参数</w:t>
            </w:r>
          </w:p>
        </w:tc>
        <w:tc>
          <w:tcPr>
            <w:tcW w:w="78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jc w:val="center"/>
        </w:trPr>
        <w:tc>
          <w:tcPr>
            <w:tcW w:w="76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c>
          <w:tcPr>
            <w:tcW w:w="999"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服务器</w:t>
            </w:r>
          </w:p>
        </w:tc>
        <w:tc>
          <w:tcPr>
            <w:tcW w:w="67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b/>
                <w:color w:val="auto"/>
                <w:kern w:val="0"/>
                <w:sz w:val="24"/>
                <w:szCs w:val="24"/>
              </w:rPr>
            </w:pPr>
            <w:r>
              <w:rPr>
                <w:rFonts w:hint="eastAsia" w:ascii="宋体" w:hAnsi="宋体" w:cs="宋体"/>
                <w:b/>
                <w:color w:val="auto"/>
                <w:kern w:val="0"/>
                <w:sz w:val="24"/>
                <w:szCs w:val="24"/>
              </w:rPr>
              <w:t>基本参数</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产品类别：机架式</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产品结构：4U</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b/>
                <w:color w:val="auto"/>
                <w:kern w:val="0"/>
                <w:sz w:val="24"/>
                <w:szCs w:val="24"/>
              </w:rPr>
            </w:pPr>
            <w:r>
              <w:rPr>
                <w:rFonts w:hint="eastAsia" w:ascii="宋体" w:hAnsi="宋体" w:cs="宋体"/>
                <w:b/>
                <w:color w:val="auto"/>
                <w:kern w:val="0"/>
                <w:sz w:val="24"/>
                <w:szCs w:val="24"/>
              </w:rPr>
              <w:t>处理器</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CPU类型： Intel 至强金牌6126</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CPU型号： Xeon Gold 6126</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CPU频率：2.6GHz</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 xml:space="preserve">智能加速主频：3.7GHz </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标配CPU数量：4颗</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最大CPU数量：4颗</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制程工艺：14nm</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三级缓存：19.25MB</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总线规格：3UPI 10.4GT/s</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CPU核心</w:t>
            </w:r>
            <w:r>
              <w:rPr>
                <w:rFonts w:hint="eastAsia" w:ascii="宋体" w:hAnsi="宋体" w:cs="宋体"/>
                <w:color w:val="auto"/>
                <w:kern w:val="0"/>
                <w:sz w:val="24"/>
                <w:szCs w:val="24"/>
              </w:rPr>
              <w:tab/>
            </w:r>
            <w:r>
              <w:rPr>
                <w:rFonts w:hint="eastAsia" w:ascii="宋体" w:hAnsi="宋体" w:cs="宋体"/>
                <w:color w:val="auto"/>
                <w:kern w:val="0"/>
                <w:sz w:val="24"/>
                <w:szCs w:val="24"/>
              </w:rPr>
              <w:t>：十二核</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CPU线程数：24线程</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b/>
                <w:color w:val="auto"/>
                <w:kern w:val="0"/>
                <w:sz w:val="24"/>
                <w:szCs w:val="24"/>
              </w:rPr>
              <w:t>主板</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扩展槽：多达13个3.0插槽，3个x8+10个x16插槽</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b/>
                <w:color w:val="auto"/>
                <w:kern w:val="0"/>
                <w:sz w:val="24"/>
                <w:szCs w:val="24"/>
              </w:rPr>
            </w:pPr>
            <w:r>
              <w:rPr>
                <w:rFonts w:hint="eastAsia" w:ascii="宋体" w:hAnsi="宋体" w:cs="宋体"/>
                <w:b/>
                <w:color w:val="auto"/>
                <w:kern w:val="0"/>
                <w:sz w:val="24"/>
                <w:szCs w:val="24"/>
              </w:rPr>
              <w:t>内存</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内存类型：DDR4</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内存容量：128GB</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内存描述：8*16GB RDIMM，2667MT/s，双列</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b/>
                <w:color w:val="auto"/>
                <w:kern w:val="0"/>
                <w:sz w:val="24"/>
                <w:szCs w:val="24"/>
              </w:rPr>
            </w:pPr>
            <w:r>
              <w:rPr>
                <w:rFonts w:hint="eastAsia" w:ascii="宋体" w:hAnsi="宋体" w:cs="宋体"/>
                <w:b/>
                <w:color w:val="auto"/>
                <w:kern w:val="0"/>
                <w:sz w:val="24"/>
                <w:szCs w:val="24"/>
              </w:rPr>
              <w:t>存储</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硬盘接口类型：SAS</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标配硬盘容量：3.6TB</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硬盘描述：6*600GB 2.5英寸10000转 SAS 12Gbps 512n热插拔硬盘</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内部硬盘架数：最大支持24块2.5英寸硬盘</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热插拔盘位：支持热插拔</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磁盘控制器：PERC H740P RAID 控制器, 8Gb NV 缓存, 适配器,全高</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RAID模式：RAID 5</w:t>
            </w:r>
            <w:r>
              <w:rPr>
                <w:rFonts w:ascii="宋体" w:hAnsi="宋体" w:cs="宋体"/>
                <w:color w:val="auto"/>
                <w:kern w:val="0"/>
                <w:sz w:val="24"/>
                <w:szCs w:val="24"/>
              </w:rPr>
              <w:br w:type="textWrapping"/>
            </w:r>
            <w:r>
              <w:rPr>
                <w:rFonts w:hint="eastAsia" w:ascii="宋体" w:hAnsi="宋体" w:cs="宋体"/>
                <w:b/>
                <w:color w:val="auto"/>
                <w:kern w:val="0"/>
                <w:sz w:val="24"/>
                <w:szCs w:val="24"/>
              </w:rPr>
              <w:t>网络</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网络控制器：Broadcom 5720 四端口1Gb 网络子卡</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b/>
                <w:color w:val="auto"/>
                <w:kern w:val="0"/>
                <w:sz w:val="24"/>
                <w:szCs w:val="24"/>
              </w:rPr>
            </w:pPr>
            <w:r>
              <w:rPr>
                <w:rFonts w:hint="eastAsia" w:ascii="宋体" w:hAnsi="宋体" w:cs="宋体"/>
                <w:b/>
                <w:color w:val="auto"/>
                <w:kern w:val="0"/>
                <w:sz w:val="24"/>
                <w:szCs w:val="24"/>
              </w:rPr>
              <w:t>接口类型</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标准接口：前置：视频，2×USB3.0，专用iDRAC Direct USB</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后置：视频，串口，2×USB3.0，专用iDRAC网络端口</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b/>
                <w:color w:val="auto"/>
                <w:kern w:val="0"/>
                <w:sz w:val="24"/>
                <w:szCs w:val="24"/>
              </w:rPr>
            </w:pPr>
            <w:r>
              <w:rPr>
                <w:rFonts w:hint="eastAsia" w:ascii="宋体" w:hAnsi="宋体" w:cs="宋体"/>
                <w:b/>
                <w:color w:val="auto"/>
                <w:kern w:val="0"/>
                <w:sz w:val="24"/>
                <w:szCs w:val="24"/>
              </w:rPr>
              <w:t>电源性能</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电源类型：1+1冗余热插拔电源</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电源数量：2个</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电源功率：1600W</w:t>
            </w:r>
          </w:p>
        </w:tc>
        <w:tc>
          <w:tcPr>
            <w:tcW w:w="78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2" w:hRule="atLeast"/>
          <w:jc w:val="center"/>
        </w:trPr>
        <w:tc>
          <w:tcPr>
            <w:tcW w:w="76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2</w:t>
            </w:r>
          </w:p>
        </w:tc>
        <w:tc>
          <w:tcPr>
            <w:tcW w:w="999"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磁盘阵列</w:t>
            </w:r>
          </w:p>
        </w:tc>
        <w:tc>
          <w:tcPr>
            <w:tcW w:w="673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b/>
                <w:color w:val="auto"/>
                <w:kern w:val="0"/>
                <w:sz w:val="24"/>
                <w:szCs w:val="24"/>
              </w:rPr>
            </w:pPr>
            <w:r>
              <w:rPr>
                <w:rFonts w:hint="eastAsia" w:ascii="宋体" w:hAnsi="宋体" w:cs="宋体"/>
                <w:b/>
                <w:color w:val="auto"/>
                <w:kern w:val="0"/>
                <w:sz w:val="24"/>
                <w:szCs w:val="24"/>
              </w:rPr>
              <w:t>主要性能（容量1</w:t>
            </w:r>
            <w:r>
              <w:rPr>
                <w:rFonts w:ascii="宋体" w:hAnsi="宋体" w:cs="宋体"/>
                <w:b/>
                <w:color w:val="auto"/>
                <w:kern w:val="0"/>
                <w:sz w:val="24"/>
                <w:szCs w:val="24"/>
              </w:rPr>
              <w:t>00T</w:t>
            </w:r>
            <w:r>
              <w:rPr>
                <w:rFonts w:hint="eastAsia" w:ascii="宋体" w:hAnsi="宋体" w:cs="宋体"/>
                <w:b/>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高速缓存：256GB-4096GB</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接口：16Gb FC，8Gb FC，10Gb FCoE，1/10Gb Ethernet纠错</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RAID支持：DRAID，0，1，5，6，10，50，60</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单机磁盘数量：1840-7360个</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内置硬盘接口：SSD，SAS，NL-SAS，SATA</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 xml:space="preserve">处理器：多核 </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容量：</w:t>
            </w:r>
            <w:r>
              <w:rPr>
                <w:rFonts w:hint="eastAsia" w:ascii="宋体" w:hAnsi="宋体" w:cs="宋体"/>
                <w:b/>
                <w:color w:val="auto"/>
                <w:kern w:val="0"/>
                <w:sz w:val="24"/>
                <w:szCs w:val="24"/>
              </w:rPr>
              <w:t>1</w:t>
            </w:r>
            <w:r>
              <w:rPr>
                <w:rFonts w:ascii="宋体" w:hAnsi="宋体" w:cs="宋体"/>
                <w:b/>
                <w:color w:val="auto"/>
                <w:kern w:val="0"/>
                <w:sz w:val="24"/>
                <w:szCs w:val="24"/>
              </w:rPr>
              <w:t>00T</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其它参数：控制器：2-8个</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控制柜：4U</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扩展柜：2U12、2U25、3U48、5U92</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支持的存储协议：FC、FCoE、iSCSI、NFS、CIFS、HTTP、FTP</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系统前端IO插槽：6-96插槽</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最大前端端口数：20-320端口</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最大后端端口数：SAS3.0 单端口 40-64</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系统后端端口速率：SAS3.0，单端口4*12Gbps，最大3072Gbps</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智能高级功能：快照、镜像、克隆、卷备份、自动精简、Qos、NAS、双活、实时压缩、加密、自动分层、SSD缓存加速、远程复制、云备份、数据迁移、存储虚拟化</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color w:val="auto"/>
                <w:kern w:val="0"/>
                <w:sz w:val="24"/>
                <w:szCs w:val="24"/>
              </w:rPr>
            </w:pPr>
            <w:r>
              <w:rPr>
                <w:rFonts w:hint="eastAsia" w:ascii="宋体" w:hAnsi="宋体" w:cs="宋体"/>
                <w:color w:val="auto"/>
                <w:kern w:val="0"/>
                <w:sz w:val="24"/>
                <w:szCs w:val="24"/>
              </w:rPr>
              <w:t>虚拟化特性：异构虚拟化：支持95%以上的型号，实现统一管理；RAID虚拟化：块级虚拟化技术，系统均衡，无热点盘；虚拟化系统支持：业内主流虚拟化技术支持，包括智能感知插件，比如VAAI，VVOL，VASA，SRM，Vcenter集成等。</w:t>
            </w:r>
          </w:p>
        </w:tc>
        <w:tc>
          <w:tcPr>
            <w:tcW w:w="78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4"/>
                <w:szCs w:val="24"/>
              </w:rPr>
            </w:pPr>
            <w:r>
              <w:rPr>
                <w:rFonts w:hint="eastAsia" w:ascii="宋体" w:hAnsi="宋体" w:cs="宋体"/>
                <w:color w:val="auto"/>
                <w:kern w:val="0"/>
                <w:sz w:val="24"/>
                <w:szCs w:val="24"/>
              </w:rPr>
              <w:t>1</w:t>
            </w:r>
          </w:p>
        </w:tc>
      </w:tr>
    </w:tbl>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rPr>
          <w:rFonts w:ascii="宋体" w:hAnsi="宋体"/>
          <w:b/>
          <w:color w:val="auto"/>
          <w:sz w:val="24"/>
          <w:szCs w:val="24"/>
        </w:rPr>
      </w:pPr>
      <w:r>
        <w:rPr>
          <w:rFonts w:hint="eastAsia" w:ascii="宋体" w:hAnsi="宋体"/>
          <w:b/>
          <w:color w:val="auto"/>
          <w:sz w:val="24"/>
          <w:szCs w:val="24"/>
        </w:rPr>
        <w:t>（四）7包工作任务</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根据相关技术标准及采购人的要求，按1包至6包不同的生产特点组织技术人员，任命项目监理总经理，主持监理全面工作。同时分别对1包至6包各任命1名监理经理，主持对应包次监理工作，对监理全过程实施质量监督。通过对1包至6包中标单位的技术方案、生产组织、质量管理、人员配备、设备投入、作业过程的规范化与标准化、工期进度、成果质量等进行全面监理，确保招标项目按时、保质、保量完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1、审查1包至6包中标作业单位编制的技术设计书。</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2、查看1包至6包中标作业单位的前期准备工作。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3、对1包至6包中标作业单位所用的各项仪器设备的检定情况进行核查。</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4、对1包至6包中标作业单位的生产组织、质量管理、安全措施、人员配备、设备投入、技术方案等进行全面监理。</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5、通过旁站监理查看1包至6包中标作业单位的作业方法、作业程序、作业过程是否规范和正确。</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6、对1包至6包的生产工期进度情况进行核查，对未按工期完成或进度缓慢的包次，及时要求作业单位采取措施进行改进，并按每月、每季度、每半年、每年度向采购人、中标人提交各包次阶段性工期进度报告。</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7、对1包至6包的全部测绘成果按要求进行内外业质量检查，并按照《测绘成果质量检查与验收》（GB/T 24356-2009）规定的抽样比例，对外业测绘作业进行抽样。对影响质量的违规作业，质量低下的产品或半成品，及时要求作业单位修侧、重测进行改正，并按每月、每季度、每半年、每年度向采购人、中标人提交各包次阶段性检查报告，在整个项目监理结束时，提交总结报告。</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8、配合项目初步验收和项目最终验收工作，对1包至6包的成果资料整理归档进行检查，包含各种图件、表、原始记录、技术设计书、技术总结、质量检查报告等资料的完整性、正确性及组卷装订的规范性。</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9、配合1包至6包的</w:t>
      </w:r>
      <w:r>
        <w:rPr>
          <w:color w:val="auto"/>
          <w:sz w:val="24"/>
          <w:szCs w:val="24"/>
        </w:rPr>
        <w:t>项目进度款</w:t>
      </w:r>
      <w:r>
        <w:rPr>
          <w:rFonts w:hint="eastAsia"/>
          <w:color w:val="auto"/>
          <w:sz w:val="24"/>
          <w:szCs w:val="24"/>
        </w:rPr>
        <w:t>拨付工作，审查各包次的完成工作量及成果情况。</w:t>
      </w:r>
      <w:r>
        <w:rPr>
          <w:rFonts w:hint="eastAsia" w:ascii="宋体" w:hAnsi="宋体"/>
          <w:b/>
          <w:bCs/>
          <w:color w:val="auto"/>
          <w:sz w:val="24"/>
          <w:szCs w:val="24"/>
          <w:lang w:eastAsia="zh-CN"/>
        </w:rPr>
        <w:t>四</w:t>
      </w:r>
      <w:r>
        <w:rPr>
          <w:rFonts w:hint="eastAsia" w:ascii="宋体" w:hAnsi="宋体"/>
          <w:b/>
          <w:bCs/>
          <w:color w:val="auto"/>
          <w:sz w:val="24"/>
          <w:szCs w:val="24"/>
        </w:rPr>
        <w:t>、执行的技术标准和质量要求</w:t>
      </w:r>
    </w:p>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b/>
          <w:color w:val="auto"/>
          <w:sz w:val="24"/>
          <w:szCs w:val="24"/>
        </w:rPr>
      </w:pPr>
      <w:r>
        <w:rPr>
          <w:rFonts w:hint="eastAsia"/>
          <w:b/>
          <w:color w:val="auto"/>
          <w:sz w:val="24"/>
          <w:szCs w:val="24"/>
        </w:rPr>
        <w:t>（一）1包、2包、3包、4包引用的文件及技术依据</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1</w:t>
      </w:r>
      <w:r>
        <w:rPr>
          <w:rFonts w:hint="eastAsia"/>
          <w:color w:val="auto"/>
          <w:sz w:val="24"/>
          <w:szCs w:val="24"/>
        </w:rPr>
        <w:t>、法律法规及行政文件</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（1）《中华人民共和国物权法》（主席令〔2007〕第62号）</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（2）《中华人民共和国土地管理法》（主席令〔2004〕第28号）</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（3）《中华人民共和国房地产管理法》（主席令〔2007〕第72号）</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（4）《不动产登记暂行条例》国务院656令</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color w:val="auto"/>
          <w:sz w:val="24"/>
          <w:szCs w:val="24"/>
        </w:rPr>
        <w:t>2</w:t>
      </w:r>
      <w:r>
        <w:rPr>
          <w:rFonts w:hint="eastAsia"/>
          <w:color w:val="auto"/>
          <w:sz w:val="24"/>
          <w:szCs w:val="24"/>
        </w:rPr>
        <w:t>、技术标准文件</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（1）国土资发[2015]41号颁布《不动产权籍调查技术方案》（试行）</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（2）国土资发[2015]103号颁布《不动产登记数据库标准</w:t>
      </w:r>
      <w:r>
        <w:rPr>
          <w:color w:val="auto"/>
          <w:sz w:val="24"/>
          <w:szCs w:val="24"/>
        </w:rPr>
        <w:t>》</w:t>
      </w:r>
      <w:r>
        <w:rPr>
          <w:rFonts w:hint="eastAsia"/>
          <w:color w:val="auto"/>
          <w:sz w:val="24"/>
          <w:szCs w:val="24"/>
        </w:rPr>
        <w:t>(试行)</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（3）TD/T 1001-2012《地籍调查规程》</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（4）GB/T 21010-2017《土地利用现状分类》</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（5）GB/T 17986.1-2000《房产测量规范》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（6）CJJ8-2011《城市测量规范》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（7）GB/T 2260《中华人民共和国行政区划代码》</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（8）GB/T 13989《国家基本比例尺地形图分幅和编号》</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（9）CJJ73-2010《全球定位系统城市测量技术规程》</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（10）GB/T2009-2010《全球定位系统实时动态测量（RTK）技术规范》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（11）GB/T14912-2005《1:500、1:1000、1:2000外业数字测图技术规程》</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（12）GB/T 20257.1</w:t>
      </w:r>
      <w:r>
        <w:rPr>
          <w:rFonts w:hint="eastAsia"/>
          <w:color w:val="auto"/>
          <w:sz w:val="24"/>
          <w:szCs w:val="24"/>
          <w:highlight w:val="none"/>
        </w:rPr>
        <w:t>-2017《1:</w:t>
      </w:r>
      <w:r>
        <w:rPr>
          <w:rFonts w:hint="eastAsia"/>
          <w:color w:val="auto"/>
          <w:sz w:val="24"/>
          <w:szCs w:val="24"/>
        </w:rPr>
        <w:t>500 1:1 000 1:2 000 地形图图式》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（13）CH/T 1020《 1:500  1:1 000  1:2 000 地形图质量检验技术规程》</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（14）GB/T 24356-2009《测绘成果质量检查与验收》</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（15）GB/T 18316-2008《 数字测绘成果质量检查与验收规定和质量评定》</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（16）CH/T 1001-2005《测绘技术总结编写规定》</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（17）CH/Z 1001-2007《测绘成果质量检验报告编写基本规定》</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（18）CH/T 1004-2005《测绘技术设计规定》</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（19）《海口市城建基础数据共享平台项目基础地理信息数据规定》（20130320）</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（20）技术设计书</w:t>
      </w:r>
    </w:p>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rFonts w:hint="eastAsia"/>
          <w:b/>
          <w:color w:val="auto"/>
          <w:sz w:val="24"/>
          <w:szCs w:val="24"/>
        </w:rPr>
      </w:pPr>
      <w:r>
        <w:rPr>
          <w:rFonts w:hint="eastAsia"/>
          <w:b/>
          <w:color w:val="auto"/>
          <w:sz w:val="24"/>
          <w:szCs w:val="24"/>
        </w:rPr>
        <w:t>（二）5包引用的文件及技术依据</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w:t>
      </w:r>
      <w:r>
        <w:rPr>
          <w:color w:val="auto"/>
          <w:sz w:val="24"/>
          <w:szCs w:val="24"/>
        </w:rPr>
        <w:t xml:space="preserve"> CH/T 2009-2010《全球定位系统实时动态测量（RTK）技术规范》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w:t>
      </w:r>
      <w:r>
        <w:rPr>
          <w:color w:val="auto"/>
          <w:sz w:val="24"/>
          <w:szCs w:val="24"/>
        </w:rPr>
        <w:t xml:space="preserve"> CH/T 9008.3-2010《基础地理信息数字成果 1:500、1:1000、1:2000 数字正</w:t>
      </w:r>
      <w:r>
        <w:rPr>
          <w:rFonts w:hint="eastAsia"/>
          <w:color w:val="auto"/>
          <w:sz w:val="24"/>
          <w:szCs w:val="24"/>
        </w:rPr>
        <w:t xml:space="preserve">          </w:t>
      </w:r>
      <w:r>
        <w:rPr>
          <w:color w:val="auto"/>
          <w:sz w:val="24"/>
          <w:szCs w:val="24"/>
        </w:rPr>
        <w:t>射影像图》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w:t>
      </w:r>
      <w:r>
        <w:rPr>
          <w:color w:val="auto"/>
          <w:sz w:val="24"/>
          <w:szCs w:val="24"/>
        </w:rPr>
        <w:t xml:space="preserve"> CH/T 3007.1-2011《数字航空摄影测量测图规范第 1 部分：1∶500 1∶1000 1∶2000 数字高程模型数字正射影像图数字线划图》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w:t>
      </w:r>
      <w:r>
        <w:rPr>
          <w:color w:val="auto"/>
          <w:sz w:val="24"/>
          <w:szCs w:val="24"/>
        </w:rPr>
        <w:t xml:space="preserve"> GB/T 6962-2005 《1:500 1:1000 1:2000 地形图航空摄影规范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5、</w:t>
      </w:r>
      <w:r>
        <w:rPr>
          <w:color w:val="auto"/>
          <w:sz w:val="24"/>
          <w:szCs w:val="24"/>
        </w:rPr>
        <w:t>GB/T 23236-2009《数字航空摄影测量空中三角测量规范》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w:t>
      </w:r>
      <w:r>
        <w:rPr>
          <w:color w:val="auto"/>
          <w:sz w:val="24"/>
          <w:szCs w:val="24"/>
        </w:rPr>
        <w:t>GB/T 18316-2008《数字测绘成果质量检查与验收》</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7、</w:t>
      </w:r>
      <w:r>
        <w:rPr>
          <w:color w:val="auto"/>
          <w:sz w:val="24"/>
          <w:szCs w:val="24"/>
        </w:rPr>
        <w:t>GB/T 24356-2009《测绘成果质量检查与验收》</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8、</w:t>
      </w:r>
      <w:r>
        <w:rPr>
          <w:color w:val="auto"/>
          <w:sz w:val="24"/>
          <w:szCs w:val="24"/>
        </w:rPr>
        <w:t>CHZ 3005-2010《低空数字航空摄影规范》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9、</w:t>
      </w:r>
      <w:r>
        <w:rPr>
          <w:color w:val="auto"/>
          <w:sz w:val="24"/>
          <w:szCs w:val="24"/>
        </w:rPr>
        <w:t>CHZ 3003-2010《低空数字航空摄影测量内业规范》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10、</w:t>
      </w:r>
      <w:r>
        <w:rPr>
          <w:color w:val="auto"/>
          <w:sz w:val="24"/>
          <w:szCs w:val="24"/>
        </w:rPr>
        <w:t>CHZ 3004-2010《低空数字航空摄影测量外业规范》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11、GB/T23236-2009《数字航空摄影测量空中三角测量规范》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12、GB/T6962-2005《1:500、1:1000、1:2000地形图航空摄影规范》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13、/T1005-1996《摄影测量航空摄影仪技术要求》</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14、GB/T19294-2003《航空摄影技术设计规范》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15、</w:t>
      </w:r>
      <w:r>
        <w:rPr>
          <w:color w:val="auto"/>
          <w:sz w:val="24"/>
          <w:szCs w:val="24"/>
        </w:rPr>
        <w:t>CH/T 3006-2011《数字航空摄影测量控制测量规范》</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16、《惯导与差分定位技术（IMU/DGPS）辅助航空摄影技术规定》</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17、《国家基础航空摄影产品验收和质量评定实施细则》（试用稿）</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18、技术设计书</w:t>
      </w:r>
    </w:p>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rFonts w:hint="eastAsia"/>
          <w:b/>
          <w:color w:val="auto"/>
          <w:sz w:val="24"/>
          <w:szCs w:val="24"/>
        </w:rPr>
      </w:pPr>
      <w:r>
        <w:rPr>
          <w:rFonts w:hint="eastAsia"/>
          <w:b/>
          <w:color w:val="auto"/>
          <w:sz w:val="24"/>
          <w:szCs w:val="24"/>
        </w:rPr>
        <w:t>（三）6包引用的文件及技术依据</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 xml:space="preserve">1、《中华人民共和国行政区划代码》GB/T 2260 </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2、《不动产单元设定与代码编制规则（试行）》</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3、《基础地理信息要素分类与代码》GB/T 13923</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4、《地籍调查规程》TD/T1001</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5、《城镇地籍数据库标准》TD/T 1015</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6、《不动产登记暂行条例》国务院656令</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7、《不动产登记暂行条例实施细则（征求意见稿）》</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8、《不动产权籍调查技术方案（试行）》</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9、《不动产登记数据库标准（试行）》</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10、《不动产登记数据协同共享规范（讨论稿）》</w:t>
      </w:r>
    </w:p>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b/>
          <w:color w:val="auto"/>
          <w:sz w:val="24"/>
          <w:szCs w:val="24"/>
        </w:rPr>
      </w:pPr>
      <w:r>
        <w:rPr>
          <w:rFonts w:hint="eastAsia"/>
          <w:b/>
          <w:color w:val="auto"/>
          <w:sz w:val="24"/>
          <w:szCs w:val="24"/>
        </w:rPr>
        <w:t>（四）7包引用的文件及技术依据</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引用上述（一）、（二）、（三）的所有文件及依据。</w:t>
      </w:r>
    </w:p>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b/>
          <w:color w:val="auto"/>
          <w:sz w:val="24"/>
          <w:szCs w:val="24"/>
        </w:rPr>
      </w:pPr>
      <w:r>
        <w:rPr>
          <w:rFonts w:hint="eastAsia"/>
          <w:b/>
          <w:color w:val="auto"/>
          <w:sz w:val="24"/>
          <w:szCs w:val="24"/>
        </w:rPr>
        <w:t>（五）其它技术和质量要求</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本项目实施期间国家或采购人有新的技术标准要求或对原来技术标准修改，中标单位需无偿配合修改成果，并最终达到验收标准。</w:t>
      </w:r>
    </w:p>
    <w:p>
      <w:pPr>
        <w:keepNext w:val="0"/>
        <w:keepLines w:val="0"/>
        <w:pageBreakBefore w:val="0"/>
        <w:kinsoku/>
        <w:wordWrap/>
        <w:overflowPunct/>
        <w:topLinePunct w:val="0"/>
        <w:autoSpaceDE/>
        <w:autoSpaceDN/>
        <w:bidi w:val="0"/>
        <w:adjustRightInd/>
        <w:snapToGrid/>
        <w:spacing w:line="440" w:lineRule="exact"/>
        <w:ind w:left="562" w:hanging="562" w:hangingChars="200"/>
        <w:textAlignment w:val="auto"/>
        <w:outlineLvl w:val="0"/>
        <w:rPr>
          <w:rFonts w:ascii="宋体" w:hAnsi="宋体"/>
          <w:b/>
          <w:color w:val="auto"/>
          <w:sz w:val="28"/>
          <w:szCs w:val="28"/>
        </w:rPr>
      </w:pPr>
      <w:r>
        <w:rPr>
          <w:rFonts w:hint="eastAsia" w:ascii="宋体" w:hAnsi="宋体"/>
          <w:b/>
          <w:color w:val="auto"/>
          <w:sz w:val="28"/>
          <w:szCs w:val="28"/>
          <w:lang w:eastAsia="zh-CN"/>
        </w:rPr>
        <w:t>五</w:t>
      </w:r>
      <w:r>
        <w:rPr>
          <w:rFonts w:hint="eastAsia" w:ascii="宋体" w:hAnsi="宋体"/>
          <w:b/>
          <w:color w:val="auto"/>
          <w:sz w:val="28"/>
          <w:szCs w:val="28"/>
        </w:rPr>
        <w:t>、工期要求</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（一）签订合同之日起12个月内，完成1包、2包、3包、4包的1:500比例尺数字地形地籍图测量（DLG）工作；完成1包、2包、3包、4包的楼幢调查、入户调查、宗地调查、编制不动产单元编码及其数据建库工作。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（二）签订合同之日起12个月内，完成5包的所有航摄内外业工作，并完成其成果数据建库工作。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（三）签订合同之日起6个月内，完成6包的测绘成果配套建库系统开发及成果数据配套质量检查系统开发工作；签订合同之日起18个月内，完成6包的调查成果逐宗逐幢数据质量检查及档案扫描入库工作。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（四）签订合同之日起20个月内，进行项目初步验收；签订合同之日起22个月内，进行项目最终验收。</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（五）签订合同之日起24个月内，完成7包的所有监理工作。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（六）完成时间若有改变，以采购人要求的时间完成。</w:t>
      </w:r>
    </w:p>
    <w:p>
      <w:pPr>
        <w:keepNext w:val="0"/>
        <w:keepLines w:val="0"/>
        <w:pageBreakBefore w:val="0"/>
        <w:kinsoku/>
        <w:wordWrap/>
        <w:overflowPunct/>
        <w:topLinePunct w:val="0"/>
        <w:autoSpaceDE/>
        <w:autoSpaceDN/>
        <w:bidi w:val="0"/>
        <w:adjustRightInd/>
        <w:snapToGrid/>
        <w:spacing w:line="440" w:lineRule="exact"/>
        <w:textAlignment w:val="auto"/>
        <w:outlineLvl w:val="0"/>
        <w:rPr>
          <w:color w:val="auto"/>
          <w:sz w:val="22"/>
          <w:szCs w:val="22"/>
        </w:rPr>
      </w:pPr>
      <w:r>
        <w:rPr>
          <w:rFonts w:hint="eastAsia" w:ascii="宋体" w:hAnsi="宋体"/>
          <w:b/>
          <w:color w:val="auto"/>
          <w:sz w:val="28"/>
          <w:szCs w:val="28"/>
          <w:lang w:eastAsia="zh-CN"/>
        </w:rPr>
        <w:t>六</w:t>
      </w:r>
      <w:r>
        <w:rPr>
          <w:rFonts w:hint="eastAsia" w:ascii="宋体" w:hAnsi="宋体"/>
          <w:b/>
          <w:color w:val="auto"/>
          <w:sz w:val="28"/>
          <w:szCs w:val="28"/>
        </w:rPr>
        <w:t>、主要成果</w:t>
      </w:r>
    </w:p>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b/>
          <w:color w:val="auto"/>
          <w:sz w:val="24"/>
          <w:szCs w:val="24"/>
        </w:rPr>
      </w:pPr>
      <w:r>
        <w:rPr>
          <w:rFonts w:hint="eastAsia"/>
          <w:b/>
          <w:color w:val="auto"/>
          <w:sz w:val="24"/>
          <w:szCs w:val="24"/>
        </w:rPr>
        <w:t>（一）1包、2包、3包、4包成果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1、图根控制测量成果：观测记录手簿（纸质或电子）、平差计算资料及控制点成果表（纸质和电子）；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2、地形图：工作范围总图、以地籍子区为单位的总图、标准分幅图和分幅结合表（均为电子）；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3、地籍图：工作范围总图、以地籍子区为单位的总图、标准分幅图和分幅结合表（均为电子）；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4、宗地成果：宗地图和界址坐标表（纸质和电子）；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 xml:space="preserve">5、权属调查成果：土地登记申请表、权属来源证明文件、宗地草图和地籍调查表等资料，按宗进行立卷并装袋（纸质和电子）；   </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6、楼幢测绘基底图：工作范围总图、以地籍子区为单位的总图（均为电子）；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7、楼幢调查成果（入户调查）：查清房屋的坐落、房屋结构、所在层次、总层数、专有建筑面积、分摊建筑面积、建筑面积、房屋用途、房屋规划用途、所有权人、联系电话、身份证号或组织机构代码、产权证号等基本信息，收集相关产权来源证明，建立楼幢信息表，按幢出具楼幢测绘报告书（列出幢中所有户清单）（纸质和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8、楼幢测绘报告书：按幢出报告，包含楼幢测绘基本信息表、楼幢测绘示意图、楼幢基底坐标表、至少3个角度的现场照片等（均为纸质和电子）；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9、房归幢、幢落地的关联成果：不动产幢单元编码（电子）、不动产户单元编码（电子）、房屋登记信息表（数据关联单）（纸质和电子）；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10、数据建库成果：1:500比例尺地形图数据库、楼幢数据库及宗地调查数据库（均为电子）；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11、文字报告：技术设计书、技术总结报告、成果检查报告（均为纸质和电子）；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rPr>
        <w:t>12、上述1包—4包成果均应提交海南海口独立坐标系成果，且上述第2、第3、第6、第10的成果除了提交海南海口独立坐标系成果外，还须提交一套2</w:t>
      </w:r>
      <w:r>
        <w:rPr>
          <w:color w:val="auto"/>
          <w:sz w:val="24"/>
          <w:szCs w:val="24"/>
          <w:highlight w:val="none"/>
        </w:rPr>
        <w:t>000国家大地坐标</w:t>
      </w:r>
      <w:r>
        <w:rPr>
          <w:rFonts w:hint="eastAsia"/>
          <w:color w:val="auto"/>
          <w:sz w:val="24"/>
          <w:szCs w:val="24"/>
          <w:highlight w:val="none"/>
        </w:rPr>
        <w:t>(</w:t>
      </w:r>
      <w:r>
        <w:rPr>
          <w:color w:val="auto"/>
          <w:sz w:val="24"/>
          <w:szCs w:val="24"/>
          <w:highlight w:val="none"/>
        </w:rPr>
        <w:t>CGCS2000)电子成果</w:t>
      </w:r>
      <w:r>
        <w:rPr>
          <w:rFonts w:hint="eastAsia"/>
          <w:color w:val="auto"/>
          <w:sz w:val="24"/>
          <w:szCs w:val="24"/>
          <w:highlight w:val="none"/>
        </w:rPr>
        <w:t>。</w:t>
      </w:r>
    </w:p>
    <w:p>
      <w:pPr>
        <w:keepNext w:val="0"/>
        <w:keepLines w:val="0"/>
        <w:pageBreakBefore w:val="0"/>
        <w:kinsoku/>
        <w:wordWrap/>
        <w:overflowPunct/>
        <w:topLinePunct w:val="0"/>
        <w:autoSpaceDE/>
        <w:autoSpaceDN/>
        <w:bidi w:val="0"/>
        <w:adjustRightInd/>
        <w:snapToGrid/>
        <w:spacing w:line="440" w:lineRule="exact"/>
        <w:ind w:left="422" w:hanging="482" w:hangingChars="200"/>
        <w:textAlignment w:val="auto"/>
        <w:outlineLvl w:val="0"/>
        <w:rPr>
          <w:rFonts w:hint="eastAsia"/>
          <w:b/>
          <w:color w:val="auto"/>
          <w:sz w:val="24"/>
          <w:szCs w:val="24"/>
        </w:rPr>
      </w:pPr>
      <w:r>
        <w:rPr>
          <w:rFonts w:hint="eastAsia" w:ascii="宋体" w:hAnsi="宋体"/>
          <w:b/>
          <w:color w:val="auto"/>
          <w:sz w:val="24"/>
          <w:szCs w:val="24"/>
        </w:rPr>
        <w:t xml:space="preserve">    （二）5包成果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 xml:space="preserve">（1）文字报告：技术设计书、技术总结报告、成果检查报告（纸质和电子）。               </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（2）</w:t>
      </w:r>
      <w:r>
        <w:rPr>
          <w:color w:val="auto"/>
          <w:sz w:val="24"/>
          <w:szCs w:val="24"/>
        </w:rPr>
        <w:t>数据成果</w:t>
      </w:r>
      <w:r>
        <w:rPr>
          <w:rFonts w:hint="eastAsia"/>
          <w:color w:val="auto"/>
          <w:sz w:val="24"/>
          <w:szCs w:val="24"/>
        </w:rPr>
        <w:t>：</w:t>
      </w:r>
      <w:r>
        <w:rPr>
          <w:color w:val="auto"/>
          <w:sz w:val="24"/>
          <w:szCs w:val="24"/>
        </w:rPr>
        <w:t>数据集内容包括任务区</w:t>
      </w:r>
      <w:r>
        <w:rPr>
          <w:rFonts w:hint="eastAsia"/>
          <w:color w:val="auto"/>
          <w:sz w:val="24"/>
          <w:szCs w:val="24"/>
        </w:rPr>
        <w:t>三维实景模型（单体精模）、DOM数据、DEM数据（电子）。</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（3）</w:t>
      </w:r>
      <w:r>
        <w:rPr>
          <w:color w:val="auto"/>
          <w:sz w:val="24"/>
          <w:szCs w:val="24"/>
        </w:rPr>
        <w:t>其他成果</w:t>
      </w:r>
      <w:r>
        <w:rPr>
          <w:rFonts w:hint="eastAsia"/>
          <w:color w:val="auto"/>
          <w:sz w:val="24"/>
          <w:szCs w:val="24"/>
        </w:rPr>
        <w:t>：</w:t>
      </w:r>
      <w:r>
        <w:rPr>
          <w:color w:val="auto"/>
          <w:sz w:val="24"/>
          <w:szCs w:val="24"/>
        </w:rPr>
        <w:t>摄区范围、航线图、航摄相机检验报告、原始影像数据</w:t>
      </w:r>
      <w:r>
        <w:rPr>
          <w:rFonts w:hint="eastAsia"/>
          <w:color w:val="auto"/>
          <w:sz w:val="24"/>
          <w:szCs w:val="24"/>
        </w:rPr>
        <w:t>、像主点坐标其他辅助资料点之记（纸质和电子）。</w:t>
      </w:r>
    </w:p>
    <w:p>
      <w:pPr>
        <w:keepNext w:val="0"/>
        <w:keepLines w:val="0"/>
        <w:pageBreakBefore w:val="0"/>
        <w:kinsoku/>
        <w:wordWrap/>
        <w:overflowPunct/>
        <w:topLinePunct w:val="0"/>
        <w:autoSpaceDE/>
        <w:autoSpaceDN/>
        <w:bidi w:val="0"/>
        <w:adjustRightInd/>
        <w:snapToGrid/>
        <w:spacing w:line="440" w:lineRule="exact"/>
        <w:ind w:left="422" w:hanging="482" w:hangingChars="200"/>
        <w:textAlignment w:val="auto"/>
        <w:outlineLvl w:val="0"/>
        <w:rPr>
          <w:rFonts w:ascii="宋体" w:hAnsi="宋体"/>
          <w:b/>
          <w:color w:val="auto"/>
          <w:sz w:val="24"/>
          <w:szCs w:val="24"/>
        </w:rPr>
      </w:pPr>
      <w:r>
        <w:rPr>
          <w:rFonts w:hint="eastAsia" w:ascii="宋体" w:hAnsi="宋体"/>
          <w:b/>
          <w:color w:val="auto"/>
          <w:sz w:val="24"/>
          <w:szCs w:val="24"/>
        </w:rPr>
        <w:t xml:space="preserve">    （三）6包成果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（1）房地楼幢测绘成果建库系统软件成果光盘；</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（2）房地楼幢测绘成果质检系统软件成果光盘；</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（3）数据质检、编码、入库后的成果数据库光盘；</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（4）采购的硬件产品；</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rPr>
      </w:pPr>
      <w:r>
        <w:rPr>
          <w:rFonts w:hint="eastAsia"/>
          <w:color w:val="auto"/>
          <w:sz w:val="24"/>
          <w:szCs w:val="24"/>
        </w:rPr>
        <w:t>（5）系统软件源代码；</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（6）使用手册、测试报告、技术设计书、技术总结报告。</w:t>
      </w:r>
    </w:p>
    <w:p>
      <w:pPr>
        <w:keepNext w:val="0"/>
        <w:keepLines w:val="0"/>
        <w:pageBreakBefore w:val="0"/>
        <w:kinsoku/>
        <w:wordWrap/>
        <w:overflowPunct/>
        <w:topLinePunct w:val="0"/>
        <w:autoSpaceDE/>
        <w:autoSpaceDN/>
        <w:bidi w:val="0"/>
        <w:adjustRightInd/>
        <w:snapToGrid/>
        <w:spacing w:line="440" w:lineRule="exact"/>
        <w:ind w:left="422" w:hanging="482" w:hangingChars="200"/>
        <w:textAlignment w:val="auto"/>
        <w:outlineLvl w:val="0"/>
        <w:rPr>
          <w:rFonts w:ascii="宋体" w:hAnsi="宋体"/>
          <w:b/>
          <w:color w:val="auto"/>
          <w:sz w:val="24"/>
          <w:szCs w:val="24"/>
        </w:rPr>
      </w:pPr>
      <w:r>
        <w:rPr>
          <w:rFonts w:hint="eastAsia" w:ascii="宋体" w:hAnsi="宋体"/>
          <w:b/>
          <w:color w:val="auto"/>
          <w:sz w:val="24"/>
          <w:szCs w:val="24"/>
        </w:rPr>
        <w:t xml:space="preserve">    （四）7包成果</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主要为文件资料，包含相关合同、监理方案、监理实施细则、监理计划、1包至6包技术设计书审查文件、监理令、任命书、会议纪要、监理日志、监理记录、质量安全处理文件、监理阶段性报告（月报、季度报、半年报、年报）和监理总结报告等（均为纸质和电子）。</w:t>
      </w:r>
    </w:p>
    <w:p>
      <w:pPr>
        <w:keepNext w:val="0"/>
        <w:keepLines w:val="0"/>
        <w:pageBreakBefore w:val="0"/>
        <w:kinsoku/>
        <w:wordWrap/>
        <w:overflowPunct/>
        <w:topLinePunct w:val="0"/>
        <w:autoSpaceDE/>
        <w:autoSpaceDN/>
        <w:bidi w:val="0"/>
        <w:adjustRightInd/>
        <w:snapToGrid/>
        <w:spacing w:line="440" w:lineRule="exact"/>
        <w:ind w:left="422" w:hanging="482" w:hangingChars="200"/>
        <w:textAlignment w:val="auto"/>
        <w:outlineLvl w:val="0"/>
        <w:rPr>
          <w:rFonts w:ascii="宋体" w:hAnsi="宋体"/>
          <w:b/>
          <w:color w:val="auto"/>
          <w:sz w:val="24"/>
          <w:szCs w:val="24"/>
        </w:rPr>
      </w:pPr>
      <w:r>
        <w:rPr>
          <w:rFonts w:hint="eastAsia" w:ascii="宋体" w:hAnsi="宋体"/>
          <w:b/>
          <w:color w:val="auto"/>
          <w:sz w:val="24"/>
          <w:szCs w:val="24"/>
        </w:rPr>
        <w:t xml:space="preserve">    （五）提交成果若有改变，以采购人要求的成果提交。</w:t>
      </w:r>
    </w:p>
    <w:p>
      <w:pPr>
        <w:keepNext w:val="0"/>
        <w:keepLines w:val="0"/>
        <w:pageBreakBefore w:val="0"/>
        <w:kinsoku/>
        <w:wordWrap/>
        <w:overflowPunct/>
        <w:topLinePunct w:val="0"/>
        <w:autoSpaceDE/>
        <w:autoSpaceDN/>
        <w:bidi w:val="0"/>
        <w:adjustRightInd/>
        <w:snapToGrid/>
        <w:spacing w:line="440" w:lineRule="exact"/>
        <w:textAlignment w:val="auto"/>
        <w:outlineLvl w:val="0"/>
        <w:rPr>
          <w:rFonts w:ascii="宋体" w:hAnsi="宋体"/>
          <w:b/>
          <w:color w:val="auto"/>
          <w:sz w:val="28"/>
          <w:szCs w:val="28"/>
        </w:rPr>
      </w:pPr>
      <w:r>
        <w:rPr>
          <w:rFonts w:hint="eastAsia" w:ascii="宋体" w:hAnsi="宋体"/>
          <w:b/>
          <w:color w:val="auto"/>
          <w:sz w:val="28"/>
          <w:szCs w:val="28"/>
          <w:lang w:eastAsia="zh-CN"/>
        </w:rPr>
        <w:t>七</w:t>
      </w:r>
      <w:r>
        <w:rPr>
          <w:rFonts w:hint="eastAsia" w:ascii="宋体" w:hAnsi="宋体"/>
          <w:b/>
          <w:color w:val="auto"/>
          <w:sz w:val="28"/>
          <w:szCs w:val="28"/>
        </w:rPr>
        <w:t>、付款方式</w:t>
      </w:r>
    </w:p>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b/>
          <w:color w:val="auto"/>
          <w:sz w:val="24"/>
          <w:szCs w:val="24"/>
        </w:rPr>
      </w:pPr>
      <w:r>
        <w:rPr>
          <w:rFonts w:hint="eastAsia"/>
          <w:b/>
          <w:color w:val="auto"/>
          <w:sz w:val="24"/>
          <w:szCs w:val="24"/>
        </w:rPr>
        <w:t>（一）1包、2包、3包、4包、5包、6包付款方式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1、中标人</w:t>
      </w:r>
      <w:r>
        <w:rPr>
          <w:color w:val="auto"/>
          <w:sz w:val="24"/>
          <w:szCs w:val="24"/>
        </w:rPr>
        <w:t>完成</w:t>
      </w:r>
      <w:r>
        <w:rPr>
          <w:rFonts w:hint="eastAsia"/>
          <w:color w:val="auto"/>
          <w:sz w:val="24"/>
          <w:szCs w:val="24"/>
        </w:rPr>
        <w:t>工作量的20%，成果</w:t>
      </w:r>
      <w:r>
        <w:rPr>
          <w:color w:val="auto"/>
          <w:sz w:val="24"/>
          <w:szCs w:val="24"/>
        </w:rPr>
        <w:t>通过</w:t>
      </w:r>
      <w:r>
        <w:rPr>
          <w:rFonts w:hint="eastAsia"/>
          <w:color w:val="auto"/>
          <w:sz w:val="24"/>
          <w:szCs w:val="24"/>
        </w:rPr>
        <w:t>采购人及监理核查确认后，中标人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10</w:t>
      </w:r>
      <w:r>
        <w:rPr>
          <w:color w:val="auto"/>
          <w:sz w:val="24"/>
          <w:szCs w:val="24"/>
        </w:rPr>
        <w:t>%的项目进度款。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2、中标人</w:t>
      </w:r>
      <w:r>
        <w:rPr>
          <w:color w:val="auto"/>
          <w:sz w:val="24"/>
          <w:szCs w:val="24"/>
        </w:rPr>
        <w:t>完成</w:t>
      </w:r>
      <w:r>
        <w:rPr>
          <w:rFonts w:hint="eastAsia"/>
          <w:color w:val="auto"/>
          <w:sz w:val="24"/>
          <w:szCs w:val="24"/>
        </w:rPr>
        <w:t>工作量的50%，成果</w:t>
      </w:r>
      <w:r>
        <w:rPr>
          <w:color w:val="auto"/>
          <w:sz w:val="24"/>
          <w:szCs w:val="24"/>
        </w:rPr>
        <w:t>通过</w:t>
      </w:r>
      <w:r>
        <w:rPr>
          <w:rFonts w:hint="eastAsia"/>
          <w:color w:val="auto"/>
          <w:sz w:val="24"/>
          <w:szCs w:val="24"/>
        </w:rPr>
        <w:t>采购人及监理核查确认后，中标人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20</w:t>
      </w:r>
      <w:r>
        <w:rPr>
          <w:color w:val="auto"/>
          <w:sz w:val="24"/>
          <w:szCs w:val="24"/>
        </w:rPr>
        <w:t>%的项目进度款。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3、中标人</w:t>
      </w:r>
      <w:r>
        <w:rPr>
          <w:color w:val="auto"/>
          <w:sz w:val="24"/>
          <w:szCs w:val="24"/>
        </w:rPr>
        <w:t>完成</w:t>
      </w:r>
      <w:r>
        <w:rPr>
          <w:rFonts w:hint="eastAsia"/>
          <w:color w:val="auto"/>
          <w:sz w:val="24"/>
          <w:szCs w:val="24"/>
        </w:rPr>
        <w:t>工作量的80%，成果</w:t>
      </w:r>
      <w:r>
        <w:rPr>
          <w:color w:val="auto"/>
          <w:sz w:val="24"/>
          <w:szCs w:val="24"/>
        </w:rPr>
        <w:t>通过</w:t>
      </w:r>
      <w:r>
        <w:rPr>
          <w:rFonts w:hint="eastAsia"/>
          <w:color w:val="auto"/>
          <w:sz w:val="24"/>
          <w:szCs w:val="24"/>
        </w:rPr>
        <w:t>采购人及监理核查确认后，中标人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20</w:t>
      </w:r>
      <w:r>
        <w:rPr>
          <w:color w:val="auto"/>
          <w:sz w:val="24"/>
          <w:szCs w:val="24"/>
        </w:rPr>
        <w:t>%的项目进度款。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4、中标人</w:t>
      </w:r>
      <w:r>
        <w:rPr>
          <w:color w:val="auto"/>
          <w:sz w:val="24"/>
          <w:szCs w:val="24"/>
        </w:rPr>
        <w:t>完成</w:t>
      </w:r>
      <w:r>
        <w:rPr>
          <w:rFonts w:hint="eastAsia"/>
          <w:color w:val="auto"/>
          <w:sz w:val="24"/>
          <w:szCs w:val="24"/>
        </w:rPr>
        <w:t>全部工作量，成果</w:t>
      </w:r>
      <w:r>
        <w:rPr>
          <w:color w:val="auto"/>
          <w:sz w:val="24"/>
          <w:szCs w:val="24"/>
        </w:rPr>
        <w:t>通过</w:t>
      </w:r>
      <w:r>
        <w:rPr>
          <w:rFonts w:hint="eastAsia"/>
          <w:color w:val="auto"/>
          <w:sz w:val="24"/>
          <w:szCs w:val="24"/>
        </w:rPr>
        <w:t>第三方（具有资质的质量检验机构）检验合格，并修改完善提交成果经采购人及监理核查确认后</w:t>
      </w:r>
      <w:r>
        <w:rPr>
          <w:color w:val="auto"/>
          <w:sz w:val="24"/>
          <w:szCs w:val="24"/>
        </w:rPr>
        <w:t>，</w:t>
      </w:r>
      <w:r>
        <w:rPr>
          <w:rFonts w:hint="eastAsia"/>
          <w:color w:val="auto"/>
          <w:sz w:val="24"/>
          <w:szCs w:val="24"/>
        </w:rPr>
        <w:t>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20</w:t>
      </w:r>
      <w:r>
        <w:rPr>
          <w:color w:val="auto"/>
          <w:sz w:val="24"/>
          <w:szCs w:val="24"/>
        </w:rPr>
        <w:t>%的项目进度款。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5、项目通过采购人组织的项目初步验收合格，并修改完善提交成果经采购人及监理核查确认后</w:t>
      </w:r>
      <w:r>
        <w:rPr>
          <w:color w:val="auto"/>
          <w:sz w:val="24"/>
          <w:szCs w:val="24"/>
        </w:rPr>
        <w:t>，</w:t>
      </w:r>
      <w:r>
        <w:rPr>
          <w:rFonts w:hint="eastAsia"/>
          <w:color w:val="auto"/>
          <w:sz w:val="24"/>
          <w:szCs w:val="24"/>
        </w:rPr>
        <w:t>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15</w:t>
      </w:r>
      <w:r>
        <w:rPr>
          <w:color w:val="auto"/>
          <w:sz w:val="24"/>
          <w:szCs w:val="24"/>
        </w:rPr>
        <w:t>%的项目进度款。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6、项目通过采购人组织的项目最终验收合格，并修改完善提交成果经采购人及监理核查确认后</w:t>
      </w:r>
      <w:r>
        <w:rPr>
          <w:color w:val="auto"/>
          <w:sz w:val="24"/>
          <w:szCs w:val="24"/>
        </w:rPr>
        <w:t>，</w:t>
      </w:r>
      <w:r>
        <w:rPr>
          <w:rFonts w:hint="eastAsia"/>
          <w:color w:val="auto"/>
          <w:sz w:val="24"/>
          <w:szCs w:val="24"/>
        </w:rPr>
        <w:t>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15</w:t>
      </w:r>
      <w:r>
        <w:rPr>
          <w:color w:val="auto"/>
          <w:sz w:val="24"/>
          <w:szCs w:val="24"/>
        </w:rPr>
        <w:t>%的</w:t>
      </w:r>
      <w:r>
        <w:rPr>
          <w:rFonts w:hint="eastAsia"/>
          <w:color w:val="auto"/>
          <w:sz w:val="24"/>
          <w:szCs w:val="24"/>
        </w:rPr>
        <w:t>项目余款</w:t>
      </w:r>
      <w:r>
        <w:rPr>
          <w:color w:val="auto"/>
          <w:sz w:val="24"/>
          <w:szCs w:val="24"/>
        </w:rPr>
        <w:t>。</w:t>
      </w:r>
    </w:p>
    <w:p>
      <w:pPr>
        <w:keepNext w:val="0"/>
        <w:keepLines w:val="0"/>
        <w:pageBreakBefore w:val="0"/>
        <w:tabs>
          <w:tab w:val="left" w:pos="315"/>
        </w:tabs>
        <w:kinsoku/>
        <w:wordWrap/>
        <w:overflowPunct/>
        <w:topLinePunct w:val="0"/>
        <w:autoSpaceDE/>
        <w:autoSpaceDN/>
        <w:bidi w:val="0"/>
        <w:adjustRightInd/>
        <w:snapToGrid/>
        <w:spacing w:line="440" w:lineRule="exact"/>
        <w:ind w:firstLine="482" w:firstLineChars="200"/>
        <w:textAlignment w:val="auto"/>
        <w:outlineLvl w:val="0"/>
        <w:rPr>
          <w:b/>
          <w:color w:val="auto"/>
          <w:sz w:val="24"/>
          <w:szCs w:val="24"/>
        </w:rPr>
      </w:pPr>
      <w:r>
        <w:rPr>
          <w:rFonts w:hint="eastAsia"/>
          <w:b/>
          <w:color w:val="auto"/>
          <w:sz w:val="24"/>
          <w:szCs w:val="24"/>
        </w:rPr>
        <w:t>（二）7包付款方式</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1、中标人</w:t>
      </w:r>
      <w:r>
        <w:rPr>
          <w:color w:val="auto"/>
          <w:sz w:val="24"/>
          <w:szCs w:val="24"/>
        </w:rPr>
        <w:t>完成</w:t>
      </w:r>
      <w:r>
        <w:rPr>
          <w:rFonts w:hint="eastAsia"/>
          <w:color w:val="auto"/>
          <w:sz w:val="24"/>
          <w:szCs w:val="24"/>
        </w:rPr>
        <w:t>1包至6包20%工作量的监理，经采购人确认后，中标人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10</w:t>
      </w:r>
      <w:r>
        <w:rPr>
          <w:color w:val="auto"/>
          <w:sz w:val="24"/>
          <w:szCs w:val="24"/>
        </w:rPr>
        <w:t>%的</w:t>
      </w:r>
      <w:r>
        <w:rPr>
          <w:rFonts w:hint="eastAsia"/>
          <w:color w:val="auto"/>
          <w:sz w:val="24"/>
          <w:szCs w:val="24"/>
        </w:rPr>
        <w:t>监理</w:t>
      </w:r>
      <w:r>
        <w:rPr>
          <w:color w:val="auto"/>
          <w:sz w:val="24"/>
          <w:szCs w:val="24"/>
        </w:rPr>
        <w:t>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2、中标人</w:t>
      </w:r>
      <w:r>
        <w:rPr>
          <w:color w:val="auto"/>
          <w:sz w:val="24"/>
          <w:szCs w:val="24"/>
        </w:rPr>
        <w:t>完成</w:t>
      </w:r>
      <w:r>
        <w:rPr>
          <w:rFonts w:hint="eastAsia"/>
          <w:color w:val="auto"/>
          <w:sz w:val="24"/>
          <w:szCs w:val="24"/>
        </w:rPr>
        <w:t>1包至6包50%工作量的监理，经采购人确认后，中标人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20</w:t>
      </w:r>
      <w:r>
        <w:rPr>
          <w:color w:val="auto"/>
          <w:sz w:val="24"/>
          <w:szCs w:val="24"/>
        </w:rPr>
        <w:t>%的</w:t>
      </w:r>
      <w:r>
        <w:rPr>
          <w:rFonts w:hint="eastAsia"/>
          <w:color w:val="auto"/>
          <w:sz w:val="24"/>
          <w:szCs w:val="24"/>
        </w:rPr>
        <w:t>监理</w:t>
      </w:r>
      <w:r>
        <w:rPr>
          <w:color w:val="auto"/>
          <w:sz w:val="24"/>
          <w:szCs w:val="24"/>
        </w:rPr>
        <w:t>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3、中标人</w:t>
      </w:r>
      <w:r>
        <w:rPr>
          <w:color w:val="auto"/>
          <w:sz w:val="24"/>
          <w:szCs w:val="24"/>
        </w:rPr>
        <w:t>完成</w:t>
      </w:r>
      <w:r>
        <w:rPr>
          <w:rFonts w:hint="eastAsia"/>
          <w:color w:val="auto"/>
          <w:sz w:val="24"/>
          <w:szCs w:val="24"/>
        </w:rPr>
        <w:t>1包至6包80%工作量的监理，经采购人确认后，中标人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20</w:t>
      </w:r>
      <w:r>
        <w:rPr>
          <w:color w:val="auto"/>
          <w:sz w:val="24"/>
          <w:szCs w:val="24"/>
        </w:rPr>
        <w:t>%的</w:t>
      </w:r>
      <w:r>
        <w:rPr>
          <w:rFonts w:hint="eastAsia"/>
          <w:color w:val="auto"/>
          <w:sz w:val="24"/>
          <w:szCs w:val="24"/>
        </w:rPr>
        <w:t>监理</w:t>
      </w:r>
      <w:r>
        <w:rPr>
          <w:color w:val="auto"/>
          <w:sz w:val="24"/>
          <w:szCs w:val="24"/>
        </w:rPr>
        <w:t>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4、中标人</w:t>
      </w:r>
      <w:r>
        <w:rPr>
          <w:color w:val="auto"/>
          <w:sz w:val="24"/>
          <w:szCs w:val="24"/>
        </w:rPr>
        <w:t>完成</w:t>
      </w:r>
      <w:r>
        <w:rPr>
          <w:rFonts w:hint="eastAsia"/>
          <w:color w:val="auto"/>
          <w:sz w:val="24"/>
          <w:szCs w:val="24"/>
        </w:rPr>
        <w:t>1包至6包全部工作量的监理，并完成1包至6包已</w:t>
      </w:r>
      <w:r>
        <w:rPr>
          <w:color w:val="auto"/>
          <w:sz w:val="24"/>
          <w:szCs w:val="24"/>
        </w:rPr>
        <w:t>通过</w:t>
      </w:r>
      <w:r>
        <w:rPr>
          <w:rFonts w:hint="eastAsia"/>
          <w:color w:val="auto"/>
          <w:sz w:val="24"/>
          <w:szCs w:val="24"/>
        </w:rPr>
        <w:t>第三方（具有资质的质量检验机构）检验合格修改完善后提交的成果的核查确认工作</w:t>
      </w:r>
      <w:r>
        <w:rPr>
          <w:color w:val="auto"/>
          <w:sz w:val="24"/>
          <w:szCs w:val="24"/>
        </w:rPr>
        <w:t>，</w:t>
      </w:r>
      <w:r>
        <w:rPr>
          <w:rFonts w:hint="eastAsia"/>
          <w:color w:val="auto"/>
          <w:sz w:val="24"/>
          <w:szCs w:val="24"/>
        </w:rPr>
        <w:t>经采购人确认后，中标人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20</w:t>
      </w:r>
      <w:r>
        <w:rPr>
          <w:color w:val="auto"/>
          <w:sz w:val="24"/>
          <w:szCs w:val="24"/>
        </w:rPr>
        <w:t>%的</w:t>
      </w:r>
      <w:r>
        <w:rPr>
          <w:rFonts w:hint="eastAsia"/>
          <w:color w:val="auto"/>
          <w:sz w:val="24"/>
          <w:szCs w:val="24"/>
        </w:rPr>
        <w:t>监理</w:t>
      </w:r>
      <w:r>
        <w:rPr>
          <w:color w:val="auto"/>
          <w:sz w:val="24"/>
          <w:szCs w:val="24"/>
        </w:rPr>
        <w:t>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5、中标人配合采购人组织的项目初步验收工作，并完成1包至6包已通过项目初步验收合格修改完善后提交的成果的核查确认工作，经采购人确认后，中标人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15</w:t>
      </w:r>
      <w:r>
        <w:rPr>
          <w:color w:val="auto"/>
          <w:sz w:val="24"/>
          <w:szCs w:val="24"/>
        </w:rPr>
        <w:t>%的</w:t>
      </w:r>
      <w:r>
        <w:rPr>
          <w:rFonts w:hint="eastAsia"/>
          <w:color w:val="auto"/>
          <w:sz w:val="24"/>
          <w:szCs w:val="24"/>
        </w:rPr>
        <w:t>监理</w:t>
      </w:r>
      <w:r>
        <w:rPr>
          <w:color w:val="auto"/>
          <w:sz w:val="24"/>
          <w:szCs w:val="24"/>
        </w:rPr>
        <w:t>进度款。</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6、中标人配合采购人组织的项目最终验收工作，并完成1包至6包已通过项目最终验收合格修改完善后提交的成果的核查确认工作，经采购人确认后，中标人</w:t>
      </w:r>
      <w:r>
        <w:rPr>
          <w:color w:val="auto"/>
          <w:sz w:val="24"/>
          <w:szCs w:val="24"/>
        </w:rPr>
        <w:t>开具有效发票</w:t>
      </w:r>
      <w:r>
        <w:rPr>
          <w:rFonts w:hint="eastAsia"/>
          <w:color w:val="auto"/>
          <w:sz w:val="24"/>
          <w:szCs w:val="24"/>
        </w:rPr>
        <w:t>给采购人，采购人自收到</w:t>
      </w:r>
      <w:r>
        <w:rPr>
          <w:color w:val="auto"/>
          <w:sz w:val="24"/>
          <w:szCs w:val="24"/>
        </w:rPr>
        <w:t>发票</w:t>
      </w:r>
      <w:r>
        <w:rPr>
          <w:rFonts w:hint="eastAsia"/>
          <w:color w:val="auto"/>
          <w:sz w:val="24"/>
          <w:szCs w:val="24"/>
        </w:rPr>
        <w:t>之日起30个工作日内</w:t>
      </w:r>
      <w:r>
        <w:rPr>
          <w:color w:val="auto"/>
          <w:sz w:val="24"/>
          <w:szCs w:val="24"/>
        </w:rPr>
        <w:t>向</w:t>
      </w:r>
      <w:r>
        <w:rPr>
          <w:rFonts w:hint="eastAsia"/>
          <w:color w:val="auto"/>
          <w:sz w:val="24"/>
          <w:szCs w:val="24"/>
        </w:rPr>
        <w:t>中标人</w:t>
      </w:r>
      <w:r>
        <w:rPr>
          <w:color w:val="auto"/>
          <w:sz w:val="24"/>
          <w:szCs w:val="24"/>
        </w:rPr>
        <w:t>支付合同金额</w:t>
      </w:r>
      <w:r>
        <w:rPr>
          <w:rFonts w:hint="eastAsia"/>
          <w:color w:val="auto"/>
          <w:sz w:val="24"/>
          <w:szCs w:val="24"/>
        </w:rPr>
        <w:t>15</w:t>
      </w:r>
      <w:r>
        <w:rPr>
          <w:color w:val="auto"/>
          <w:sz w:val="24"/>
          <w:szCs w:val="24"/>
        </w:rPr>
        <w:t>%的</w:t>
      </w:r>
      <w:r>
        <w:rPr>
          <w:rFonts w:hint="eastAsia"/>
          <w:color w:val="auto"/>
          <w:sz w:val="24"/>
          <w:szCs w:val="24"/>
        </w:rPr>
        <w:t>监理余款</w:t>
      </w:r>
      <w:r>
        <w:rPr>
          <w:color w:val="auto"/>
          <w:sz w:val="24"/>
          <w:szCs w:val="24"/>
        </w:rPr>
        <w:t>。</w:t>
      </w:r>
    </w:p>
    <w:p>
      <w:pPr>
        <w:keepNext w:val="0"/>
        <w:keepLines w:val="0"/>
        <w:pageBreakBefore w:val="0"/>
        <w:tabs>
          <w:tab w:val="left" w:pos="993"/>
        </w:tabs>
        <w:kinsoku/>
        <w:wordWrap/>
        <w:overflowPunct/>
        <w:topLinePunct w:val="0"/>
        <w:autoSpaceDE/>
        <w:autoSpaceDN/>
        <w:bidi w:val="0"/>
        <w:adjustRightInd/>
        <w:snapToGrid/>
        <w:spacing w:line="440" w:lineRule="exact"/>
        <w:jc w:val="left"/>
        <w:textAlignment w:val="auto"/>
        <w:outlineLvl w:val="0"/>
        <w:rPr>
          <w:rFonts w:ascii="宋体" w:hAnsi="宋体"/>
          <w:color w:val="auto"/>
          <w:szCs w:val="21"/>
        </w:rPr>
      </w:pPr>
      <w:r>
        <w:rPr>
          <w:rFonts w:hint="eastAsia" w:ascii="宋体" w:hAnsi="宋体"/>
          <w:b/>
          <w:color w:val="auto"/>
          <w:sz w:val="28"/>
          <w:szCs w:val="28"/>
          <w:lang w:eastAsia="zh-CN"/>
        </w:rPr>
        <w:t>八</w:t>
      </w:r>
      <w:r>
        <w:rPr>
          <w:rFonts w:hint="eastAsia" w:ascii="宋体" w:hAnsi="宋体"/>
          <w:b/>
          <w:color w:val="auto"/>
          <w:sz w:val="28"/>
          <w:szCs w:val="28"/>
        </w:rPr>
        <w:t>、检查验收</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4"/>
          <w:szCs w:val="24"/>
        </w:rPr>
      </w:pPr>
      <w:r>
        <w:rPr>
          <w:rFonts w:hint="eastAsia"/>
          <w:color w:val="auto"/>
          <w:sz w:val="24"/>
          <w:szCs w:val="24"/>
        </w:rPr>
        <w:t>中标人应严格执行测绘产品的二级检查一级验收制度，1包至6包的测绘成果应依次通过作业部门的过程检查、质量管理部门的最终检查，并委托具有资质的质量检验机构进行质量检验，7包应按监理的职责，对1包至6包的测绘实施过程及其检查验收进行质量实时监控，以确保成果的完整性、规范性、真实性和准确性。</w:t>
      </w:r>
    </w:p>
    <w:p>
      <w:pPr>
        <w:keepNext w:val="0"/>
        <w:keepLines w:val="0"/>
        <w:pageBreakBefore w:val="0"/>
        <w:tabs>
          <w:tab w:val="left" w:pos="315"/>
        </w:tabs>
        <w:kinsoku/>
        <w:wordWrap/>
        <w:overflowPunct/>
        <w:topLinePunct w:val="0"/>
        <w:autoSpaceDE/>
        <w:autoSpaceDN/>
        <w:bidi w:val="0"/>
        <w:adjustRightInd/>
        <w:snapToGrid/>
        <w:spacing w:line="440" w:lineRule="exact"/>
        <w:ind w:firstLine="480" w:firstLineChars="200"/>
        <w:textAlignment w:val="auto"/>
        <w:rPr>
          <w:color w:val="auto"/>
          <w:sz w:val="22"/>
          <w:szCs w:val="22"/>
        </w:rPr>
      </w:pPr>
      <w:r>
        <w:rPr>
          <w:rFonts w:hint="eastAsia"/>
          <w:color w:val="auto"/>
          <w:sz w:val="24"/>
          <w:szCs w:val="24"/>
        </w:rPr>
        <w:t>采购人按照工作要求组织项目初步验收和项目最终验收，中标人应按照相关要求配合。</w:t>
      </w:r>
    </w:p>
    <w:p>
      <w:pPr>
        <w:pStyle w:val="3"/>
        <w:jc w:val="both"/>
        <w:rPr>
          <w:rFonts w:hint="eastAsia" w:asciiTheme="minorEastAsia" w:hAnsiTheme="minorEastAsia" w:eastAsiaTheme="minorEastAsia"/>
          <w:color w:val="auto"/>
        </w:rPr>
      </w:pPr>
    </w:p>
    <w:p>
      <w:pPr>
        <w:pStyle w:val="3"/>
        <w:shd w:val="clear" w:color="auto" w:fill="FFFFFF"/>
        <w:spacing w:before="120" w:after="120" w:line="360" w:lineRule="auto"/>
        <w:jc w:val="center"/>
        <w:rPr>
          <w:rFonts w:hint="eastAsia" w:ascii="宋体" w:hAnsi="宋体" w:eastAsia="宋体" w:cs="宋体"/>
          <w:color w:val="auto"/>
          <w:szCs w:val="32"/>
        </w:rPr>
      </w:pPr>
      <w:r>
        <w:rPr>
          <w:rFonts w:hint="eastAsia" w:asciiTheme="minorEastAsia" w:hAnsiTheme="minorEastAsia" w:eastAsiaTheme="minorEastAsia"/>
          <w:color w:val="auto"/>
        </w:rPr>
        <w:t xml:space="preserve">第四章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Start w:id="130" w:name="_Toc508276020"/>
      <w:r>
        <w:rPr>
          <w:rFonts w:hint="eastAsia" w:ascii="宋体" w:hAnsi="宋体" w:eastAsia="宋体" w:cs="宋体"/>
          <w:color w:val="auto"/>
          <w:szCs w:val="32"/>
        </w:rPr>
        <w:t>投标文件内容和格式</w:t>
      </w:r>
      <w:bookmarkEnd w:id="130"/>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请投标人根据本招标文件要求，按以下格式、内容制作投标文件，并按以下顺序编制目录及页码：</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1、投标函（表1）</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2、开标一览表（表2）</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3、投标人简介（包含且不限于从业人员人数、上年度营业收入等）</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w:t>
      </w:r>
      <w:r>
        <w:rPr>
          <w:rFonts w:hint="eastAsia" w:ascii="宋体" w:hAnsi="宋体" w:eastAsia="宋体" w:cs="宋体"/>
          <w:b/>
          <w:color w:val="auto"/>
          <w:sz w:val="24"/>
        </w:rPr>
        <w:t>企业需提供营业执照、税务登记证、组织机构代码证复印件或者三证合一复印件，事业单位需提供实业单位法人证书，以及投标人资格要求中的所有材料复印件</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5、保证金缴纳证明复印件</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6、企业纳税证明或者会计师事务所出具的财务审计报告</w:t>
      </w:r>
    </w:p>
    <w:p>
      <w:pPr>
        <w:snapToGrid w:val="0"/>
        <w:spacing w:line="360" w:lineRule="auto"/>
        <w:ind w:firstLine="480" w:firstLineChars="200"/>
        <w:rPr>
          <w:rFonts w:hint="eastAsia" w:ascii="宋体" w:hAnsi="宋体" w:eastAsia="宋体" w:cs="宋体"/>
          <w:b/>
          <w:color w:val="auto"/>
          <w:szCs w:val="21"/>
        </w:rPr>
      </w:pPr>
      <w:r>
        <w:rPr>
          <w:rFonts w:hint="eastAsia" w:ascii="宋体" w:hAnsi="宋体" w:eastAsia="宋体" w:cs="宋体"/>
          <w:color w:val="auto"/>
          <w:sz w:val="24"/>
        </w:rPr>
        <w:t>7、社会保障缴费记录复印件</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8、授权委托书（表3，授权委托书文件正本原件，副本复印件）</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9、法人代表、授权代表身份证复印件</w:t>
      </w:r>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rPr>
        <w:t>10、</w:t>
      </w:r>
      <w:r>
        <w:rPr>
          <w:rFonts w:hint="eastAsia" w:ascii="宋体" w:hAnsi="宋体" w:eastAsia="宋体" w:cs="宋体"/>
          <w:color w:val="auto"/>
          <w:sz w:val="24"/>
          <w:szCs w:val="24"/>
        </w:rPr>
        <w:t>参加政府采购活动前三年内，在经营活动中没有重大违法记录的声明函（表4，同时提供信用中国或中国政府采购网信用查询页面截图）</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11、同类项目业绩表（表5）</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12、现场勘察</w:t>
      </w:r>
      <w:r>
        <w:rPr>
          <w:rFonts w:hint="eastAsia" w:ascii="宋体" w:hAnsi="宋体" w:eastAsia="宋体" w:cs="宋体"/>
          <w:color w:val="auto"/>
          <w:sz w:val="24"/>
          <w:lang w:val="zh-CN"/>
        </w:rPr>
        <w:t>确认函</w:t>
      </w:r>
      <w:r>
        <w:rPr>
          <w:rFonts w:hint="eastAsia" w:ascii="宋体" w:hAnsi="宋体" w:eastAsia="宋体" w:cs="宋体"/>
          <w:color w:val="auto"/>
          <w:sz w:val="24"/>
        </w:rPr>
        <w:t>（表</w:t>
      </w:r>
      <w:r>
        <w:rPr>
          <w:rFonts w:hint="eastAsia" w:ascii="宋体" w:hAnsi="宋体" w:cs="宋体"/>
          <w:color w:val="auto"/>
          <w:sz w:val="24"/>
          <w:lang w:val="en-US" w:eastAsia="zh-CN"/>
        </w:rPr>
        <w:t>6</w:t>
      </w:r>
      <w:r>
        <w:rPr>
          <w:rFonts w:hint="eastAsia" w:ascii="宋体" w:hAnsi="宋体" w:eastAsia="宋体" w:cs="宋体"/>
          <w:color w:val="auto"/>
          <w:sz w:val="24"/>
        </w:rPr>
        <w:t>现场勘察</w:t>
      </w:r>
      <w:r>
        <w:rPr>
          <w:rFonts w:hint="eastAsia" w:ascii="宋体" w:hAnsi="宋体" w:eastAsia="宋体" w:cs="宋体"/>
          <w:color w:val="auto"/>
          <w:sz w:val="24"/>
          <w:lang w:val="zh-CN"/>
        </w:rPr>
        <w:t>确认函</w:t>
      </w:r>
      <w:r>
        <w:rPr>
          <w:rFonts w:hint="eastAsia" w:ascii="宋体" w:hAnsi="宋体" w:eastAsia="宋体" w:cs="宋体"/>
          <w:color w:val="auto"/>
          <w:sz w:val="24"/>
        </w:rPr>
        <w:t>文件正本原件，副本复印件）</w:t>
      </w:r>
    </w:p>
    <w:p>
      <w:pPr>
        <w:snapToGrid w:val="0"/>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13、</w:t>
      </w:r>
      <w:r>
        <w:rPr>
          <w:rFonts w:hint="eastAsia" w:ascii="宋体" w:hAnsi="宋体" w:eastAsia="宋体" w:cs="宋体"/>
          <w:color w:val="auto"/>
          <w:sz w:val="24"/>
        </w:rPr>
        <w:t>技术部分（包括但不限于项目实施方案，项目组成人员、质量保证措施、服务承诺、工期承诺等）</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cs="宋体"/>
          <w:color w:val="auto"/>
          <w:sz w:val="24"/>
          <w:lang w:val="en-US" w:eastAsia="zh-CN"/>
        </w:rPr>
        <w:t>4</w:t>
      </w:r>
      <w:r>
        <w:rPr>
          <w:rFonts w:hint="eastAsia" w:ascii="宋体" w:hAnsi="宋体" w:eastAsia="宋体" w:cs="宋体"/>
          <w:color w:val="auto"/>
          <w:sz w:val="24"/>
        </w:rPr>
        <w:t>、投标人认为需要的其它材料</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80" w:firstLineChars="200"/>
        <w:rPr>
          <w:rFonts w:hint="eastAsia" w:ascii="宋体" w:hAnsi="宋体" w:eastAsia="宋体" w:cs="宋体"/>
          <w:color w:val="auto"/>
          <w:sz w:val="24"/>
        </w:rPr>
      </w:pP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为了便于评委对报价文件内容的审核，投标人可针对招标文件第六章中“技术、商务评分表”编写响应页码索引表，即投标文件中关于该评分项目内容的页码。</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注：以上复印件均需要加盖公章或投标专用章</w:t>
      </w:r>
    </w:p>
    <w:p>
      <w:pPr>
        <w:pStyle w:val="2"/>
        <w:numPr>
          <w:ilvl w:val="2"/>
          <w:numId w:val="0"/>
        </w:numPr>
        <w:spacing w:before="0" w:after="0" w:line="360" w:lineRule="auto"/>
        <w:ind w:leftChars="196"/>
        <w:jc w:val="center"/>
        <w:rPr>
          <w:rFonts w:hint="eastAsia" w:ascii="宋体" w:hAnsi="宋体" w:eastAsia="宋体" w:cs="宋体"/>
          <w:color w:val="auto"/>
          <w:sz w:val="24"/>
        </w:rPr>
      </w:pPr>
      <w:r>
        <w:rPr>
          <w:rFonts w:hint="eastAsia" w:ascii="宋体" w:hAnsi="宋体" w:eastAsia="宋体" w:cs="宋体"/>
          <w:color w:val="auto"/>
          <w:sz w:val="24"/>
        </w:rPr>
        <w:br w:type="page"/>
      </w:r>
      <w:bookmarkStart w:id="131" w:name="_Toc491437828"/>
      <w:bookmarkStart w:id="132" w:name="_Toc417386183"/>
      <w:bookmarkStart w:id="133" w:name="_Toc462068975"/>
      <w:bookmarkStart w:id="134" w:name="_Toc508276021"/>
    </w:p>
    <w:p>
      <w:pPr>
        <w:pStyle w:val="2"/>
        <w:numPr>
          <w:ilvl w:val="2"/>
          <w:numId w:val="0"/>
        </w:numPr>
        <w:spacing w:before="0" w:after="0" w:line="360" w:lineRule="auto"/>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表1</w:t>
      </w:r>
    </w:p>
    <w:p>
      <w:pPr>
        <w:pStyle w:val="2"/>
        <w:numPr>
          <w:ilvl w:val="2"/>
          <w:numId w:val="0"/>
        </w:numPr>
        <w:spacing w:before="0" w:after="0"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投标函</w:t>
      </w:r>
      <w:bookmarkEnd w:id="131"/>
      <w:bookmarkEnd w:id="132"/>
      <w:bookmarkEnd w:id="133"/>
      <w:bookmarkEnd w:id="134"/>
    </w:p>
    <w:p>
      <w:pPr>
        <w:pStyle w:val="2"/>
        <w:numPr>
          <w:ilvl w:val="2"/>
          <w:numId w:val="0"/>
        </w:numPr>
        <w:spacing w:before="0" w:after="0" w:line="360" w:lineRule="auto"/>
        <w:jc w:val="both"/>
        <w:rPr>
          <w:rFonts w:hint="eastAsia" w:ascii="宋体" w:hAnsi="宋体" w:eastAsia="宋体" w:cs="宋体"/>
          <w:b/>
          <w:bCs/>
          <w:color w:val="auto"/>
          <w:sz w:val="32"/>
          <w:szCs w:val="32"/>
        </w:rPr>
      </w:pPr>
    </w:p>
    <w:p>
      <w:pPr>
        <w:pStyle w:val="2"/>
        <w:numPr>
          <w:ilvl w:val="2"/>
          <w:numId w:val="0"/>
        </w:numPr>
        <w:spacing w:before="0" w:after="0" w:line="360" w:lineRule="auto"/>
        <w:jc w:val="both"/>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致：</w:t>
      </w:r>
      <w:r>
        <w:rPr>
          <w:rFonts w:hint="eastAsia" w:ascii="宋体" w:hAnsi="宋体" w:eastAsia="宋体" w:cs="宋体"/>
          <w:b/>
          <w:bCs/>
          <w:color w:val="auto"/>
          <w:sz w:val="32"/>
          <w:szCs w:val="32"/>
          <w:lang w:eastAsia="zh-CN"/>
        </w:rPr>
        <w:t>海南中联华夏项目管理有限公司</w:t>
      </w:r>
    </w:p>
    <w:p>
      <w:pPr>
        <w:tabs>
          <w:tab w:val="left" w:pos="3495"/>
        </w:tabs>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根据贵单位项目编号为                的投标邀请函，正式授权下述签字人             （姓名和职务）代表投标人        （投标单位名称）提交投标文件。</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根据此函，我们宣布同意如下：</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1、我方接受招标文件的所有的条款和规定。</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2、我方同意按照招标文件第二章“投标人须知”的规定，本投标文件的有效期为从投标截止日期起计算的  60 天，在此期间，本投标文件将始终对我方具有约束力，并可随时被接受。</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3、我们同意提供贵单位要求的有关本次投标的所有资料或证据，并保证资料、证据的真实有效性。</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4、我方完全理解贵方不一定要接受最低投标价的投标，即</w:t>
      </w:r>
      <w:r>
        <w:rPr>
          <w:rFonts w:hint="eastAsia" w:ascii="宋体" w:hAnsi="宋体" w:eastAsia="宋体" w:cs="宋体"/>
          <w:b/>
          <w:bCs/>
          <w:color w:val="auto"/>
          <w:sz w:val="24"/>
          <w:u w:val="single"/>
        </w:rPr>
        <w:t>最低投标价不是中标的保证</w:t>
      </w:r>
      <w:r>
        <w:rPr>
          <w:rFonts w:hint="eastAsia" w:ascii="宋体" w:hAnsi="宋体" w:eastAsia="宋体" w:cs="宋体"/>
          <w:color w:val="auto"/>
          <w:sz w:val="24"/>
        </w:rPr>
        <w:t xml:space="preserve">。 </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5、如果我方中标，我们将根据招标文件的规定严格履行自己的责任和义务。</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6、如果我方中标，我方将按规定支付本次招标的服务费。</w:t>
      </w:r>
    </w:p>
    <w:p>
      <w:pPr>
        <w:tabs>
          <w:tab w:val="left" w:pos="3495"/>
        </w:tabs>
        <w:snapToGrid w:val="0"/>
        <w:spacing w:line="360" w:lineRule="auto"/>
        <w:ind w:firstLine="480" w:firstLineChars="200"/>
        <w:rPr>
          <w:rFonts w:hint="eastAsia" w:ascii="宋体" w:hAnsi="宋体" w:eastAsia="宋体" w:cs="宋体"/>
          <w:color w:val="auto"/>
          <w:sz w:val="24"/>
        </w:rPr>
      </w:pP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投标人名称：              （公章）</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地址：                               邮编：          </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电话：              传真：             </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授权代表：   （签字或私章）            职务：                  </w:t>
      </w:r>
    </w:p>
    <w:p>
      <w:pPr>
        <w:tabs>
          <w:tab w:val="left" w:pos="349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日期：                  </w:t>
      </w:r>
    </w:p>
    <w:p>
      <w:pPr>
        <w:tabs>
          <w:tab w:val="left" w:pos="3495"/>
        </w:tabs>
        <w:snapToGrid w:val="0"/>
        <w:spacing w:line="360" w:lineRule="auto"/>
        <w:ind w:firstLine="480" w:firstLineChars="200"/>
        <w:rPr>
          <w:rFonts w:hint="eastAsia" w:ascii="宋体" w:hAnsi="宋体" w:eastAsia="宋体" w:cs="宋体"/>
          <w:color w:val="auto"/>
          <w:sz w:val="24"/>
        </w:rPr>
      </w:pPr>
    </w:p>
    <w:p>
      <w:pPr>
        <w:tabs>
          <w:tab w:val="left" w:pos="3495"/>
        </w:tabs>
        <w:snapToGrid w:val="0"/>
        <w:spacing w:line="360" w:lineRule="auto"/>
        <w:ind w:firstLine="480" w:firstLineChars="200"/>
        <w:rPr>
          <w:rFonts w:hint="eastAsia" w:ascii="宋体" w:hAnsi="宋体" w:eastAsia="宋体" w:cs="宋体"/>
          <w:color w:val="auto"/>
        </w:rPr>
      </w:pPr>
      <w:bookmarkStart w:id="135" w:name="_Toc417386184"/>
      <w:r>
        <w:rPr>
          <w:rFonts w:hint="eastAsia" w:ascii="宋体" w:hAnsi="宋体" w:eastAsia="宋体" w:cs="宋体"/>
          <w:color w:val="auto"/>
          <w:sz w:val="24"/>
        </w:rPr>
        <w:br w:type="page"/>
      </w:r>
      <w:bookmarkStart w:id="136" w:name="_Toc462068976"/>
      <w:bookmarkStart w:id="137" w:name="_Toc508276022"/>
      <w:bookmarkStart w:id="138" w:name="_Toc491437829"/>
      <w:r>
        <w:rPr>
          <w:rFonts w:hint="eastAsia" w:ascii="宋体" w:hAnsi="宋体" w:eastAsia="宋体" w:cs="宋体"/>
          <w:b/>
          <w:bCs/>
          <w:color w:val="auto"/>
          <w:sz w:val="32"/>
          <w:szCs w:val="32"/>
        </w:rPr>
        <w:t>表2</w:t>
      </w:r>
    </w:p>
    <w:p>
      <w:pPr>
        <w:spacing w:line="440" w:lineRule="exact"/>
        <w:jc w:val="center"/>
        <w:rPr>
          <w:rFonts w:hint="eastAsia" w:ascii="宋体" w:hAnsi="宋体" w:cs="宋体"/>
          <w:b/>
          <w:color w:val="auto"/>
          <w:sz w:val="30"/>
          <w:szCs w:val="30"/>
        </w:rPr>
      </w:pPr>
      <w:r>
        <w:rPr>
          <w:rFonts w:hint="eastAsia" w:ascii="宋体" w:hAnsi="宋体" w:cs="宋体"/>
          <w:b/>
          <w:bCs/>
          <w:color w:val="auto"/>
          <w:sz w:val="30"/>
          <w:szCs w:val="30"/>
        </w:rPr>
        <w:t xml:space="preserve"> </w:t>
      </w:r>
      <w:r>
        <w:rPr>
          <w:rFonts w:hint="eastAsia" w:ascii="宋体" w:hAnsi="宋体" w:cs="宋体"/>
          <w:b/>
          <w:color w:val="auto"/>
          <w:sz w:val="30"/>
          <w:szCs w:val="30"/>
        </w:rPr>
        <w:t>投标一览表</w:t>
      </w:r>
    </w:p>
    <w:p>
      <w:pPr>
        <w:spacing w:after="156" w:afterLines="50" w:line="440" w:lineRule="exact"/>
        <w:jc w:val="center"/>
        <w:rPr>
          <w:rFonts w:hint="eastAsia" w:ascii="宋体" w:hAnsi="宋体" w:cs="宋体"/>
          <w:color w:val="auto"/>
          <w:sz w:val="24"/>
        </w:rPr>
      </w:pPr>
      <w:r>
        <w:rPr>
          <w:rFonts w:hint="eastAsia" w:ascii="宋体" w:hAnsi="宋体" w:cs="宋体"/>
          <w:color w:val="auto"/>
          <w:sz w:val="24"/>
        </w:rPr>
        <w:t>（一份放于投标文件中，一份用独立信封另密封）</w:t>
      </w:r>
    </w:p>
    <w:tbl>
      <w:tblPr>
        <w:tblStyle w:val="65"/>
        <w:tblW w:w="9061"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7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25" w:type="dxa"/>
            <w:noWrap w:val="0"/>
            <w:vAlign w:val="center"/>
          </w:tcPr>
          <w:p>
            <w:pPr>
              <w:spacing w:line="440" w:lineRule="exact"/>
              <w:jc w:val="center"/>
              <w:rPr>
                <w:rFonts w:hint="eastAsia" w:ascii="宋体" w:hAnsi="宋体" w:cs="宋体"/>
                <w:b/>
                <w:bCs/>
                <w:color w:val="auto"/>
                <w:sz w:val="24"/>
                <w:lang w:val="en-GB"/>
              </w:rPr>
            </w:pPr>
            <w:r>
              <w:rPr>
                <w:rFonts w:hint="eastAsia" w:ascii="宋体" w:hAnsi="宋体" w:cs="宋体"/>
                <w:b/>
                <w:bCs/>
                <w:color w:val="auto"/>
                <w:sz w:val="24"/>
                <w:lang w:val="en-GB"/>
              </w:rPr>
              <w:t>项目名称</w:t>
            </w:r>
          </w:p>
        </w:tc>
        <w:tc>
          <w:tcPr>
            <w:tcW w:w="7036" w:type="dxa"/>
            <w:noWrap w:val="0"/>
            <w:vAlign w:val="top"/>
          </w:tcPr>
          <w:p>
            <w:pPr>
              <w:spacing w:before="156" w:beforeLines="50" w:after="156" w:afterLines="50" w:line="440" w:lineRule="exact"/>
              <w:jc w:val="center"/>
              <w:rPr>
                <w:rFonts w:hint="eastAsia" w:ascii="宋体" w:hAnsi="宋体" w:eastAsia="宋体" w:cs="宋体"/>
                <w:b/>
                <w:bCs/>
                <w:color w:val="auto"/>
                <w:sz w:val="24"/>
                <w:lang w:val="en-GB" w:eastAsia="zh-CN"/>
              </w:rPr>
            </w:pPr>
            <w:r>
              <w:rPr>
                <w:rFonts w:hint="eastAsia" w:ascii="宋体" w:hAnsi="宋体" w:cs="宋体"/>
                <w:b/>
                <w:bCs/>
                <w:color w:val="auto"/>
                <w:kern w:val="0"/>
                <w:sz w:val="24"/>
                <w:lang w:eastAsia="zh-CN"/>
              </w:rPr>
              <w:t>海口市房地楼幢测绘及编制不动产单元编码项目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25" w:type="dxa"/>
            <w:noWrap w:val="0"/>
            <w:vAlign w:val="center"/>
          </w:tcPr>
          <w:p>
            <w:pPr>
              <w:spacing w:line="440" w:lineRule="exact"/>
              <w:jc w:val="center"/>
              <w:rPr>
                <w:rFonts w:hint="eastAsia" w:ascii="宋体" w:hAnsi="宋体" w:cs="宋体"/>
                <w:b/>
                <w:bCs/>
                <w:color w:val="auto"/>
                <w:sz w:val="24"/>
                <w:lang w:val="en-GB"/>
              </w:rPr>
            </w:pPr>
            <w:r>
              <w:rPr>
                <w:rFonts w:hint="eastAsia" w:ascii="宋体" w:hAnsi="宋体" w:cs="宋体"/>
                <w:b/>
                <w:bCs/>
                <w:color w:val="auto"/>
                <w:sz w:val="24"/>
                <w:lang w:val="en-GB"/>
              </w:rPr>
              <w:t>项目编号</w:t>
            </w:r>
          </w:p>
        </w:tc>
        <w:tc>
          <w:tcPr>
            <w:tcW w:w="7036" w:type="dxa"/>
            <w:noWrap w:val="0"/>
            <w:vAlign w:val="top"/>
          </w:tcPr>
          <w:p>
            <w:pPr>
              <w:spacing w:before="156" w:beforeLines="50" w:after="156" w:afterLines="50" w:line="440" w:lineRule="exact"/>
              <w:jc w:val="center"/>
              <w:rPr>
                <w:rFonts w:hint="eastAsia" w:ascii="宋体" w:hAnsi="宋体" w:eastAsia="宋体" w:cs="宋体"/>
                <w:b/>
                <w:bCs/>
                <w:color w:val="auto"/>
                <w:sz w:val="24"/>
                <w:lang w:val="en-GB" w:eastAsia="zh-CN"/>
              </w:rPr>
            </w:pPr>
            <w:r>
              <w:rPr>
                <w:rFonts w:hint="eastAsia" w:ascii="宋体" w:hAnsi="宋体" w:cs="宋体"/>
                <w:b/>
                <w:bCs/>
                <w:color w:val="auto"/>
                <w:kern w:val="0"/>
                <w:sz w:val="24"/>
                <w:lang w:eastAsia="zh-CN"/>
              </w:rPr>
              <w:t>ZLHX201</w:t>
            </w:r>
            <w:r>
              <w:rPr>
                <w:rFonts w:hint="eastAsia" w:ascii="宋体" w:hAnsi="宋体" w:cs="宋体"/>
                <w:b/>
                <w:bCs/>
                <w:color w:val="auto"/>
                <w:kern w:val="0"/>
                <w:sz w:val="24"/>
                <w:lang w:val="en-US" w:eastAsia="zh-CN"/>
              </w:rPr>
              <w:t>9</w:t>
            </w:r>
            <w:r>
              <w:rPr>
                <w:rFonts w:hint="eastAsia" w:ascii="宋体" w:hAnsi="宋体" w:cs="宋体"/>
                <w:b/>
                <w:bCs/>
                <w:color w:val="auto"/>
                <w:kern w:val="0"/>
                <w:sz w:val="24"/>
                <w:lang w:eastAsia="zh-CN"/>
              </w:rPr>
              <w:t>-0</w:t>
            </w:r>
            <w:r>
              <w:rPr>
                <w:rFonts w:hint="eastAsia" w:ascii="宋体" w:hAnsi="宋体" w:cs="宋体"/>
                <w:b/>
                <w:bCs/>
                <w:color w:val="auto"/>
                <w:kern w:val="0"/>
                <w:sz w:val="24"/>
                <w:lang w:val="en-US" w:eastAsia="zh-CN"/>
              </w:rPr>
              <w:t>0</w:t>
            </w:r>
            <w:r>
              <w:rPr>
                <w:rFonts w:hint="eastAsia" w:ascii="宋体" w:hAnsi="宋体" w:cs="宋体"/>
                <w:b/>
                <w:bCs/>
                <w:color w:val="auto"/>
                <w:kern w:val="0"/>
                <w:sz w:val="24"/>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noWrap w:val="0"/>
            <w:vAlign w:val="center"/>
          </w:tcPr>
          <w:p>
            <w:pPr>
              <w:spacing w:line="440" w:lineRule="exact"/>
              <w:jc w:val="center"/>
              <w:rPr>
                <w:rFonts w:hint="eastAsia" w:ascii="宋体" w:hAnsi="宋体" w:cs="宋体"/>
                <w:b/>
                <w:bCs/>
                <w:color w:val="auto"/>
                <w:sz w:val="24"/>
                <w:lang w:val="en-GB"/>
              </w:rPr>
            </w:pPr>
            <w:r>
              <w:rPr>
                <w:rFonts w:hint="eastAsia" w:ascii="宋体" w:hAnsi="宋体" w:cs="宋体"/>
                <w:b/>
                <w:bCs/>
                <w:color w:val="auto"/>
                <w:sz w:val="24"/>
                <w:lang w:val="en-GB"/>
              </w:rPr>
              <w:t>包号</w:t>
            </w:r>
          </w:p>
        </w:tc>
        <w:tc>
          <w:tcPr>
            <w:tcW w:w="7036" w:type="dxa"/>
            <w:noWrap w:val="0"/>
            <w:vAlign w:val="top"/>
          </w:tcPr>
          <w:p>
            <w:pPr>
              <w:spacing w:before="156" w:beforeLines="50" w:after="156" w:afterLines="50" w:line="440" w:lineRule="exact"/>
              <w:jc w:val="center"/>
              <w:rPr>
                <w:rFonts w:hint="eastAsia" w:ascii="宋体" w:hAnsi="宋体" w:cs="宋体"/>
                <w:b/>
                <w:bCs/>
                <w:color w:val="auto"/>
                <w:sz w:val="24"/>
              </w:rPr>
            </w:pPr>
            <w:r>
              <w:rPr>
                <w:rFonts w:hint="eastAsia" w:ascii="宋体" w:hAnsi="宋体" w:cs="宋体"/>
                <w:b/>
                <w:bCs/>
                <w:color w:val="auto"/>
                <w:sz w:val="24"/>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noWrap w:val="0"/>
            <w:vAlign w:val="center"/>
          </w:tcPr>
          <w:p>
            <w:pPr>
              <w:spacing w:before="312" w:beforeLines="100" w:after="312" w:afterLines="100" w:line="440" w:lineRule="exact"/>
              <w:jc w:val="center"/>
              <w:rPr>
                <w:rFonts w:hint="eastAsia" w:ascii="宋体" w:hAnsi="宋体" w:cs="宋体"/>
                <w:b/>
                <w:bCs/>
                <w:color w:val="auto"/>
                <w:sz w:val="24"/>
                <w:lang w:val="en-GB"/>
              </w:rPr>
            </w:pPr>
            <w:r>
              <w:rPr>
                <w:rFonts w:hint="eastAsia" w:ascii="宋体" w:hAnsi="宋体" w:cs="宋体"/>
                <w:b/>
                <w:bCs/>
                <w:color w:val="auto"/>
                <w:sz w:val="24"/>
                <w:lang w:val="en-GB"/>
              </w:rPr>
              <w:t>投标报价总计</w:t>
            </w:r>
          </w:p>
        </w:tc>
        <w:tc>
          <w:tcPr>
            <w:tcW w:w="7036" w:type="dxa"/>
            <w:noWrap w:val="0"/>
            <w:vAlign w:val="top"/>
          </w:tcPr>
          <w:p>
            <w:pPr>
              <w:spacing w:before="312" w:beforeLines="100" w:after="312" w:afterLines="100" w:line="440" w:lineRule="exact"/>
              <w:rPr>
                <w:rFonts w:hint="eastAsia" w:ascii="宋体" w:hAnsi="宋体" w:cs="宋体"/>
                <w:color w:val="auto"/>
                <w:sz w:val="24"/>
                <w:u w:val="single"/>
                <w:lang w:val="en-GB"/>
              </w:rPr>
            </w:pPr>
            <w:r>
              <w:rPr>
                <w:rFonts w:hint="eastAsia" w:ascii="宋体" w:hAnsi="宋体" w:cs="宋体"/>
                <w:color w:val="auto"/>
                <w:sz w:val="24"/>
                <w:lang w:val="en-GB"/>
              </w:rPr>
              <w:t>（小写）：</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p>
          <w:p>
            <w:pPr>
              <w:spacing w:before="312" w:beforeLines="100" w:after="312" w:afterLines="100" w:line="440" w:lineRule="exact"/>
              <w:rPr>
                <w:rFonts w:hint="eastAsia" w:ascii="宋体" w:hAnsi="宋体" w:cs="宋体"/>
                <w:color w:val="auto"/>
                <w:sz w:val="24"/>
                <w:lang w:val="en-GB"/>
              </w:rPr>
            </w:pPr>
            <w:r>
              <w:rPr>
                <w:rFonts w:hint="eastAsia" w:ascii="宋体" w:hAnsi="宋体" w:cs="宋体"/>
                <w:color w:val="auto"/>
                <w:sz w:val="24"/>
                <w:lang w:val="en-GB"/>
              </w:rPr>
              <w:t>（大写）：</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noWrap w:val="0"/>
            <w:vAlign w:val="center"/>
          </w:tcPr>
          <w:p>
            <w:pPr>
              <w:spacing w:line="440" w:lineRule="exact"/>
              <w:jc w:val="center"/>
              <w:rPr>
                <w:rFonts w:hint="eastAsia" w:ascii="宋体" w:hAnsi="宋体" w:cs="宋体"/>
                <w:b/>
                <w:bCs/>
                <w:color w:val="auto"/>
                <w:sz w:val="24"/>
                <w:lang w:val="en-GB"/>
              </w:rPr>
            </w:pPr>
            <w:r>
              <w:rPr>
                <w:rFonts w:hint="eastAsia" w:ascii="宋体" w:hAnsi="宋体" w:cs="宋体"/>
                <w:b/>
                <w:bCs/>
                <w:color w:val="auto"/>
                <w:sz w:val="24"/>
                <w:lang w:val="en-GB"/>
              </w:rPr>
              <w:t>交付时间</w:t>
            </w:r>
          </w:p>
        </w:tc>
        <w:tc>
          <w:tcPr>
            <w:tcW w:w="7036" w:type="dxa"/>
            <w:noWrap w:val="0"/>
            <w:vAlign w:val="top"/>
          </w:tcPr>
          <w:p>
            <w:pPr>
              <w:spacing w:before="156" w:beforeLines="50" w:after="156" w:afterLines="50" w:line="440" w:lineRule="exact"/>
              <w:rPr>
                <w:rFonts w:hint="eastAsia" w:ascii="宋体" w:hAnsi="宋体" w:cs="宋体"/>
                <w:color w:val="auto"/>
                <w:sz w:val="24"/>
                <w:lang w:val="en-GB"/>
              </w:rPr>
            </w:pPr>
            <w:r>
              <w:rPr>
                <w:rFonts w:hint="eastAsia" w:ascii="宋体" w:hAnsi="宋体" w:cs="宋体"/>
                <w:color w:val="auto"/>
                <w:sz w:val="24"/>
                <w:lang w:val="en-GB"/>
              </w:rPr>
              <w:t>合同签订生效之日起</w:t>
            </w:r>
            <w:r>
              <w:rPr>
                <w:rFonts w:hint="eastAsia" w:ascii="宋体" w:hAnsi="宋体" w:cs="宋体"/>
                <w:color w:val="auto"/>
                <w:sz w:val="24"/>
                <w:u w:val="single"/>
              </w:rPr>
              <w:t xml:space="preserve">    </w:t>
            </w:r>
            <w:r>
              <w:rPr>
                <w:rFonts w:hint="eastAsia" w:ascii="宋体" w:hAnsi="宋体" w:cs="宋体"/>
                <w:color w:val="auto"/>
                <w:sz w:val="24"/>
                <w:lang w:val="en-GB"/>
              </w:rPr>
              <w:t>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noWrap w:val="0"/>
            <w:vAlign w:val="center"/>
          </w:tcPr>
          <w:p>
            <w:pPr>
              <w:spacing w:line="440" w:lineRule="exact"/>
              <w:jc w:val="center"/>
              <w:rPr>
                <w:rFonts w:hint="eastAsia" w:ascii="宋体" w:hAnsi="宋体" w:cs="宋体"/>
                <w:b/>
                <w:bCs/>
                <w:color w:val="auto"/>
                <w:sz w:val="24"/>
                <w:lang w:val="en-GB"/>
              </w:rPr>
            </w:pPr>
            <w:r>
              <w:rPr>
                <w:rFonts w:hint="eastAsia" w:ascii="宋体" w:hAnsi="宋体" w:cs="宋体"/>
                <w:b/>
                <w:bCs/>
                <w:color w:val="auto"/>
                <w:sz w:val="24"/>
                <w:lang w:val="en-GB"/>
              </w:rPr>
              <w:t>备</w:t>
            </w:r>
            <w:r>
              <w:rPr>
                <w:rFonts w:hint="eastAsia" w:ascii="宋体" w:hAnsi="宋体" w:cs="宋体"/>
                <w:b/>
                <w:bCs/>
                <w:color w:val="auto"/>
                <w:sz w:val="24"/>
              </w:rPr>
              <w:t xml:space="preserve">    </w:t>
            </w:r>
            <w:r>
              <w:rPr>
                <w:rFonts w:hint="eastAsia" w:ascii="宋体" w:hAnsi="宋体" w:cs="宋体"/>
                <w:b/>
                <w:bCs/>
                <w:color w:val="auto"/>
                <w:sz w:val="24"/>
                <w:lang w:val="en-GB"/>
              </w:rPr>
              <w:t>注</w:t>
            </w:r>
          </w:p>
        </w:tc>
        <w:tc>
          <w:tcPr>
            <w:tcW w:w="7036" w:type="dxa"/>
            <w:noWrap w:val="0"/>
            <w:vAlign w:val="top"/>
          </w:tcPr>
          <w:p>
            <w:pPr>
              <w:spacing w:before="156" w:beforeLines="50" w:after="156" w:afterLines="50" w:line="440" w:lineRule="exact"/>
              <w:rPr>
                <w:rFonts w:hint="eastAsia" w:ascii="宋体" w:hAnsi="宋体" w:cs="宋体"/>
                <w:color w:val="auto"/>
                <w:sz w:val="24"/>
                <w:lang w:val="en-GB"/>
              </w:rPr>
            </w:pPr>
          </w:p>
        </w:tc>
      </w:tr>
    </w:tbl>
    <w:p>
      <w:pPr>
        <w:spacing w:before="468" w:beforeLines="150" w:line="440" w:lineRule="exact"/>
        <w:rPr>
          <w:rFonts w:hint="eastAsia" w:ascii="宋体" w:hAnsi="宋体" w:cs="宋体"/>
          <w:color w:val="auto"/>
          <w:sz w:val="24"/>
          <w:u w:val="single"/>
          <w:lang w:val="en-GB"/>
        </w:rPr>
      </w:pPr>
      <w:r>
        <w:rPr>
          <w:rFonts w:hint="eastAsia" w:ascii="宋体" w:hAnsi="宋体" w:cs="宋体"/>
          <w:color w:val="auto"/>
          <w:sz w:val="24"/>
          <w:lang w:val="en-GB"/>
        </w:rPr>
        <w:t>投标人名称：</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（公章）</w:t>
      </w:r>
    </w:p>
    <w:p>
      <w:pPr>
        <w:spacing w:before="468" w:beforeLines="150" w:line="440" w:lineRule="exact"/>
        <w:rPr>
          <w:rFonts w:hint="eastAsia" w:ascii="宋体" w:hAnsi="宋体" w:cs="宋体"/>
          <w:color w:val="auto"/>
          <w:sz w:val="24"/>
          <w:lang w:val="en-GB"/>
        </w:rPr>
      </w:pPr>
      <w:r>
        <w:rPr>
          <w:rFonts w:hint="eastAsia" w:ascii="宋体" w:hAnsi="宋体" w:cs="宋体"/>
          <w:color w:val="auto"/>
          <w:sz w:val="24"/>
          <w:lang w:val="en-GB"/>
        </w:rPr>
        <w:t>被授权人：</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bCs/>
          <w:color w:val="auto"/>
          <w:sz w:val="24"/>
          <w:u w:val="single"/>
          <w:lang w:val="en-GB"/>
        </w:rPr>
        <w:t>（亲笔签名）</w:t>
      </w:r>
    </w:p>
    <w:p>
      <w:pPr>
        <w:spacing w:before="156" w:beforeLines="50" w:after="156" w:afterLines="50" w:line="440" w:lineRule="exact"/>
        <w:rPr>
          <w:rFonts w:hint="eastAsia" w:ascii="宋体" w:hAnsi="宋体" w:cs="宋体"/>
          <w:b/>
          <w:bCs/>
          <w:color w:val="auto"/>
          <w:sz w:val="24"/>
          <w:lang w:val="en-GB"/>
        </w:rPr>
      </w:pPr>
      <w:r>
        <w:rPr>
          <w:rFonts w:hint="eastAsia" w:ascii="宋体" w:hAnsi="宋体" w:cs="宋体"/>
          <w:b/>
          <w:bCs/>
          <w:color w:val="auto"/>
          <w:sz w:val="24"/>
          <w:lang w:val="en-GB"/>
        </w:rPr>
        <w:t>注：</w:t>
      </w:r>
    </w:p>
    <w:p>
      <w:pPr>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1、投标一览表应准确填写，若投标一览表与投标文件不符时，以投标一览表为准；</w:t>
      </w:r>
    </w:p>
    <w:p>
      <w:pPr>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2、报价中必须包含货物及零配件的购置和安装、运输保险、装卸、培训辅导、质保期售后服务、全额含税发票、雇员费用等，合同的执行以交付时间为准；</w:t>
      </w:r>
    </w:p>
    <w:p>
      <w:pPr>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lang w:val="en-GB"/>
        </w:rPr>
        <w:t>3、在报价表内未有明确列述的项目费用应视为包括在报价之内。</w:t>
      </w:r>
    </w:p>
    <w:p>
      <w:pPr>
        <w:spacing w:line="440" w:lineRule="exact"/>
        <w:rPr>
          <w:rFonts w:hint="eastAsia" w:ascii="宋体" w:hAnsi="宋体" w:cs="宋体"/>
          <w:color w:val="auto"/>
          <w:sz w:val="24"/>
          <w:lang w:val="en-GB"/>
        </w:rPr>
      </w:pPr>
    </w:p>
    <w:p>
      <w:pPr>
        <w:spacing w:line="440" w:lineRule="exact"/>
        <w:rPr>
          <w:rFonts w:hint="eastAsia" w:ascii="宋体" w:hAnsi="宋体" w:cs="宋体"/>
          <w:color w:val="auto"/>
          <w:sz w:val="24"/>
          <w:lang w:val="en-GB"/>
        </w:rPr>
      </w:pPr>
    </w:p>
    <w:p>
      <w:pPr>
        <w:spacing w:line="440" w:lineRule="exact"/>
        <w:rPr>
          <w:rFonts w:hint="eastAsia" w:ascii="宋体" w:hAnsi="宋体" w:cs="宋体"/>
          <w:color w:val="auto"/>
          <w:sz w:val="24"/>
          <w:lang w:val="en-GB"/>
        </w:rPr>
      </w:pPr>
    </w:p>
    <w:p>
      <w:pPr>
        <w:spacing w:line="440" w:lineRule="exact"/>
        <w:rPr>
          <w:rFonts w:hint="eastAsia" w:ascii="宋体" w:hAnsi="宋体" w:cs="宋体"/>
          <w:color w:val="auto"/>
          <w:sz w:val="24"/>
          <w:lang w:val="en-GB"/>
        </w:rPr>
      </w:pPr>
    </w:p>
    <w:p>
      <w:pPr>
        <w:spacing w:line="440" w:lineRule="exact"/>
        <w:rPr>
          <w:rFonts w:hint="eastAsia" w:ascii="宋体" w:hAnsi="宋体" w:cs="宋体"/>
          <w:b/>
          <w:bCs/>
          <w:color w:val="auto"/>
          <w:sz w:val="24"/>
        </w:rPr>
      </w:pPr>
    </w:p>
    <w:p>
      <w:pPr>
        <w:spacing w:before="156" w:beforeLines="50" w:after="156" w:afterLines="50" w:line="440" w:lineRule="exact"/>
        <w:jc w:val="center"/>
        <w:rPr>
          <w:rFonts w:hint="eastAsia" w:ascii="宋体" w:hAnsi="宋体" w:cs="宋体"/>
          <w:b/>
          <w:bCs/>
          <w:color w:val="auto"/>
          <w:kern w:val="0"/>
          <w:sz w:val="30"/>
          <w:szCs w:val="30"/>
        </w:rPr>
      </w:pPr>
      <w:r>
        <w:rPr>
          <w:rFonts w:hint="eastAsia" w:ascii="宋体" w:hAnsi="宋体" w:cs="宋体"/>
          <w:b/>
          <w:bCs/>
          <w:color w:val="auto"/>
          <w:kern w:val="0"/>
          <w:sz w:val="30"/>
          <w:szCs w:val="30"/>
        </w:rPr>
        <w:t>投标报价明细表</w:t>
      </w:r>
    </w:p>
    <w:p>
      <w:pPr>
        <w:spacing w:before="156" w:beforeLines="50" w:after="156" w:afterLines="50" w:line="440" w:lineRule="exact"/>
        <w:rPr>
          <w:rFonts w:hint="eastAsia" w:ascii="宋体" w:hAnsi="宋体" w:cs="宋体"/>
          <w:b/>
          <w:color w:val="auto"/>
          <w:sz w:val="24"/>
        </w:rPr>
      </w:pPr>
      <w:r>
        <w:rPr>
          <w:rFonts w:hint="eastAsia" w:ascii="宋体" w:hAnsi="宋体" w:cs="宋体"/>
          <w:b/>
          <w:color w:val="auto"/>
          <w:sz w:val="24"/>
        </w:rPr>
        <w:t>项目名称：</w:t>
      </w:r>
      <w:r>
        <w:rPr>
          <w:rFonts w:hint="eastAsia" w:ascii="宋体" w:hAnsi="宋体" w:cs="宋体"/>
          <w:b/>
          <w:bCs/>
          <w:color w:val="auto"/>
          <w:kern w:val="0"/>
          <w:sz w:val="24"/>
          <w:lang w:eastAsia="zh-CN"/>
        </w:rPr>
        <w:t>海口市房地楼幢测绘及编制不动产单元编码项目</w:t>
      </w:r>
      <w:r>
        <w:rPr>
          <w:rFonts w:hint="eastAsia" w:ascii="宋体" w:hAnsi="宋体" w:cs="宋体"/>
          <w:b/>
          <w:color w:val="auto"/>
          <w:sz w:val="24"/>
        </w:rPr>
        <w:t xml:space="preserve">  </w:t>
      </w:r>
      <w:r>
        <w:rPr>
          <w:rFonts w:hint="eastAsia" w:ascii="宋体" w:hAnsi="宋体" w:cs="宋体"/>
          <w:b/>
          <w:color w:val="auto"/>
          <w:sz w:val="24"/>
          <w:lang w:val="en-US" w:eastAsia="zh-CN"/>
        </w:rPr>
        <w:t xml:space="preserve">  </w:t>
      </w:r>
      <w:r>
        <w:rPr>
          <w:rFonts w:hint="eastAsia" w:ascii="宋体" w:hAnsi="宋体" w:cs="宋体"/>
          <w:b/>
          <w:color w:val="auto"/>
          <w:sz w:val="24"/>
        </w:rPr>
        <w:t>包号：</w:t>
      </w:r>
    </w:p>
    <w:p>
      <w:pPr>
        <w:spacing w:before="156" w:beforeLines="50" w:after="156" w:afterLines="50" w:line="440" w:lineRule="exact"/>
        <w:rPr>
          <w:rFonts w:hint="eastAsia" w:ascii="宋体" w:hAnsi="宋体" w:cs="宋体"/>
          <w:b/>
          <w:color w:val="auto"/>
          <w:sz w:val="24"/>
        </w:rPr>
      </w:pPr>
      <w:r>
        <w:rPr>
          <w:rFonts w:hint="eastAsia" w:ascii="宋体" w:hAnsi="宋体" w:cs="宋体"/>
          <w:b/>
          <w:color w:val="auto"/>
          <w:sz w:val="24"/>
        </w:rPr>
        <w:t>项目编号：</w:t>
      </w:r>
      <w:r>
        <w:rPr>
          <w:rFonts w:hint="eastAsia" w:ascii="宋体" w:hAnsi="宋体" w:cs="宋体"/>
          <w:b/>
          <w:bCs/>
          <w:color w:val="auto"/>
          <w:kern w:val="0"/>
          <w:sz w:val="24"/>
          <w:lang w:eastAsia="zh-CN"/>
        </w:rPr>
        <w:t>ZLHX201</w:t>
      </w:r>
      <w:r>
        <w:rPr>
          <w:rFonts w:hint="eastAsia" w:ascii="宋体" w:hAnsi="宋体" w:cs="宋体"/>
          <w:b/>
          <w:bCs/>
          <w:color w:val="auto"/>
          <w:kern w:val="0"/>
          <w:sz w:val="24"/>
          <w:lang w:val="en-US" w:eastAsia="zh-CN"/>
        </w:rPr>
        <w:t>9</w:t>
      </w:r>
      <w:r>
        <w:rPr>
          <w:rFonts w:hint="eastAsia" w:ascii="宋体" w:hAnsi="宋体" w:cs="宋体"/>
          <w:b/>
          <w:bCs/>
          <w:color w:val="auto"/>
          <w:kern w:val="0"/>
          <w:sz w:val="24"/>
          <w:lang w:eastAsia="zh-CN"/>
        </w:rPr>
        <w:t>-0</w:t>
      </w:r>
      <w:r>
        <w:rPr>
          <w:rFonts w:hint="eastAsia" w:ascii="宋体" w:hAnsi="宋体" w:cs="宋体"/>
          <w:b/>
          <w:bCs/>
          <w:color w:val="auto"/>
          <w:kern w:val="0"/>
          <w:sz w:val="24"/>
          <w:lang w:val="en-US" w:eastAsia="zh-CN"/>
        </w:rPr>
        <w:t>0</w:t>
      </w:r>
      <w:r>
        <w:rPr>
          <w:rFonts w:hint="eastAsia" w:ascii="宋体" w:hAnsi="宋体" w:cs="宋体"/>
          <w:b/>
          <w:bCs/>
          <w:color w:val="auto"/>
          <w:kern w:val="0"/>
          <w:sz w:val="24"/>
          <w:lang w:eastAsia="zh-CN"/>
        </w:rPr>
        <w:t>8</w:t>
      </w:r>
    </w:p>
    <w:tbl>
      <w:tblPr>
        <w:tblStyle w:val="65"/>
        <w:tblW w:w="9731" w:type="dxa"/>
        <w:jc w:val="center"/>
        <w:tblInd w:w="-8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2647"/>
        <w:gridCol w:w="2801"/>
        <w:gridCol w:w="686"/>
        <w:gridCol w:w="827"/>
        <w:gridCol w:w="827"/>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pStyle w:val="89"/>
              <w:spacing w:before="93" w:beforeLines="30" w:after="93" w:afterLines="30" w:line="440" w:lineRule="exact"/>
              <w:jc w:val="center"/>
              <w:rPr>
                <w:rFonts w:hint="eastAsia" w:ascii="宋体" w:hAnsi="宋体" w:cs="宋体"/>
                <w:b/>
                <w:bCs w:val="0"/>
                <w:color w:val="auto"/>
                <w:spacing w:val="0"/>
                <w:szCs w:val="24"/>
                <w:shd w:val="clear" w:color="auto" w:fill="auto"/>
                <w:lang w:val="en-GB"/>
              </w:rPr>
            </w:pPr>
            <w:r>
              <w:rPr>
                <w:rFonts w:hint="eastAsia" w:ascii="宋体" w:hAnsi="宋体" w:cs="宋体"/>
                <w:b/>
                <w:bCs w:val="0"/>
                <w:color w:val="auto"/>
                <w:spacing w:val="0"/>
                <w:szCs w:val="24"/>
                <w:shd w:val="clear" w:color="auto" w:fill="auto"/>
                <w:lang w:val="en-GB"/>
              </w:rPr>
              <w:t>序号</w:t>
            </w:r>
          </w:p>
        </w:tc>
        <w:tc>
          <w:tcPr>
            <w:tcW w:w="2647" w:type="dxa"/>
            <w:tcBorders>
              <w:top w:val="single" w:color="auto" w:sz="4" w:space="0"/>
              <w:left w:val="single" w:color="auto" w:sz="4" w:space="0"/>
              <w:bottom w:val="single" w:color="auto" w:sz="4" w:space="0"/>
              <w:right w:val="single" w:color="auto" w:sz="4" w:space="0"/>
            </w:tcBorders>
            <w:vAlign w:val="center"/>
          </w:tcPr>
          <w:p>
            <w:pPr>
              <w:pStyle w:val="89"/>
              <w:spacing w:before="93" w:beforeLines="30" w:after="93" w:afterLines="30" w:line="440" w:lineRule="exact"/>
              <w:jc w:val="center"/>
              <w:rPr>
                <w:rFonts w:hint="eastAsia" w:ascii="宋体" w:hAnsi="宋体" w:cs="宋体"/>
                <w:b/>
                <w:bCs w:val="0"/>
                <w:color w:val="auto"/>
                <w:spacing w:val="0"/>
                <w:szCs w:val="24"/>
                <w:shd w:val="clear" w:color="auto" w:fill="auto"/>
                <w:lang w:val="en-GB"/>
              </w:rPr>
            </w:pPr>
            <w:r>
              <w:rPr>
                <w:rFonts w:hint="eastAsia" w:ascii="宋体" w:hAnsi="宋体" w:cs="宋体"/>
                <w:b/>
                <w:bCs w:val="0"/>
                <w:color w:val="auto"/>
                <w:spacing w:val="0"/>
                <w:szCs w:val="24"/>
                <w:shd w:val="clear" w:color="auto" w:fill="auto"/>
                <w:lang w:val="en-GB"/>
              </w:rPr>
              <w:t>项目名称</w:t>
            </w:r>
          </w:p>
        </w:tc>
        <w:tc>
          <w:tcPr>
            <w:tcW w:w="2801" w:type="dxa"/>
            <w:tcBorders>
              <w:top w:val="single" w:color="auto" w:sz="4" w:space="0"/>
              <w:left w:val="single" w:color="auto" w:sz="4" w:space="0"/>
              <w:bottom w:val="single" w:color="auto" w:sz="4" w:space="0"/>
              <w:right w:val="single" w:color="auto" w:sz="4" w:space="0"/>
            </w:tcBorders>
            <w:vAlign w:val="center"/>
          </w:tcPr>
          <w:p>
            <w:pPr>
              <w:pStyle w:val="89"/>
              <w:spacing w:before="93" w:beforeLines="30" w:after="93" w:afterLines="30" w:line="440" w:lineRule="exact"/>
              <w:jc w:val="center"/>
              <w:rPr>
                <w:rFonts w:hint="eastAsia" w:ascii="宋体" w:hAnsi="宋体" w:cs="宋体"/>
                <w:b/>
                <w:bCs w:val="0"/>
                <w:color w:val="auto"/>
                <w:spacing w:val="0"/>
                <w:szCs w:val="24"/>
                <w:shd w:val="clear" w:color="auto" w:fill="auto"/>
                <w:lang w:val="en-GB"/>
              </w:rPr>
            </w:pPr>
            <w:r>
              <w:rPr>
                <w:rFonts w:hint="eastAsia" w:ascii="宋体" w:hAnsi="宋体" w:cs="宋体"/>
                <w:b/>
                <w:bCs w:val="0"/>
                <w:color w:val="auto"/>
                <w:spacing w:val="0"/>
                <w:szCs w:val="24"/>
                <w:shd w:val="clear" w:color="auto" w:fill="auto"/>
                <w:lang w:val="en-GB"/>
              </w:rPr>
              <w:t>项目内容</w:t>
            </w:r>
          </w:p>
        </w:tc>
        <w:tc>
          <w:tcPr>
            <w:tcW w:w="686" w:type="dxa"/>
            <w:tcBorders>
              <w:top w:val="single" w:color="auto" w:sz="4" w:space="0"/>
              <w:left w:val="single" w:color="auto" w:sz="4" w:space="0"/>
              <w:bottom w:val="single" w:color="auto" w:sz="4" w:space="0"/>
              <w:right w:val="single" w:color="auto" w:sz="4" w:space="0"/>
            </w:tcBorders>
            <w:vAlign w:val="center"/>
          </w:tcPr>
          <w:p>
            <w:pPr>
              <w:pStyle w:val="89"/>
              <w:spacing w:before="93" w:beforeLines="30" w:after="93" w:afterLines="30" w:line="440" w:lineRule="exact"/>
              <w:jc w:val="center"/>
              <w:rPr>
                <w:rFonts w:hint="eastAsia" w:ascii="宋体" w:hAnsi="宋体" w:cs="宋体"/>
                <w:b/>
                <w:bCs w:val="0"/>
                <w:color w:val="auto"/>
                <w:spacing w:val="0"/>
                <w:szCs w:val="24"/>
                <w:shd w:val="clear" w:color="auto" w:fill="auto"/>
                <w:lang w:val="en-GB"/>
              </w:rPr>
            </w:pPr>
            <w:r>
              <w:rPr>
                <w:rFonts w:hint="eastAsia" w:ascii="宋体" w:hAnsi="宋体" w:cs="宋体"/>
                <w:b/>
                <w:bCs w:val="0"/>
                <w:color w:val="auto"/>
                <w:spacing w:val="0"/>
                <w:szCs w:val="24"/>
                <w:shd w:val="clear" w:color="auto" w:fill="auto"/>
                <w:lang w:val="en-GB"/>
              </w:rPr>
              <w:t>单位</w:t>
            </w:r>
          </w:p>
        </w:tc>
        <w:tc>
          <w:tcPr>
            <w:tcW w:w="827" w:type="dxa"/>
            <w:tcBorders>
              <w:top w:val="single" w:color="auto" w:sz="4" w:space="0"/>
              <w:left w:val="single" w:color="auto" w:sz="4" w:space="0"/>
              <w:bottom w:val="single" w:color="auto" w:sz="4" w:space="0"/>
              <w:right w:val="single" w:color="auto" w:sz="4" w:space="0"/>
            </w:tcBorders>
            <w:vAlign w:val="center"/>
          </w:tcPr>
          <w:p>
            <w:pPr>
              <w:pStyle w:val="89"/>
              <w:spacing w:before="93" w:beforeLines="30" w:after="93" w:afterLines="30" w:line="440" w:lineRule="exact"/>
              <w:jc w:val="center"/>
              <w:rPr>
                <w:rFonts w:hint="eastAsia" w:ascii="宋体" w:hAnsi="宋体" w:cs="宋体"/>
                <w:b/>
                <w:bCs w:val="0"/>
                <w:color w:val="auto"/>
                <w:spacing w:val="0"/>
                <w:szCs w:val="24"/>
                <w:shd w:val="clear" w:color="auto" w:fill="auto"/>
                <w:lang w:val="en-GB"/>
              </w:rPr>
            </w:pPr>
            <w:r>
              <w:rPr>
                <w:rFonts w:hint="eastAsia" w:ascii="宋体" w:hAnsi="宋体" w:cs="宋体"/>
                <w:b/>
                <w:bCs w:val="0"/>
                <w:color w:val="auto"/>
                <w:spacing w:val="0"/>
                <w:szCs w:val="24"/>
                <w:shd w:val="clear" w:color="auto" w:fill="auto"/>
                <w:lang w:val="en-GB"/>
              </w:rPr>
              <w:t>数量</w:t>
            </w:r>
          </w:p>
        </w:tc>
        <w:tc>
          <w:tcPr>
            <w:tcW w:w="827" w:type="dxa"/>
            <w:tcBorders>
              <w:top w:val="single" w:color="auto" w:sz="4" w:space="0"/>
              <w:left w:val="single" w:color="auto" w:sz="4" w:space="0"/>
              <w:bottom w:val="single" w:color="auto" w:sz="4" w:space="0"/>
              <w:right w:val="single" w:color="auto" w:sz="4" w:space="0"/>
            </w:tcBorders>
            <w:vAlign w:val="center"/>
          </w:tcPr>
          <w:p>
            <w:pPr>
              <w:pStyle w:val="89"/>
              <w:spacing w:before="93" w:beforeLines="30" w:after="93" w:afterLines="30" w:line="440" w:lineRule="exact"/>
              <w:jc w:val="center"/>
              <w:rPr>
                <w:rFonts w:hint="eastAsia" w:ascii="宋体" w:hAnsi="宋体" w:cs="宋体"/>
                <w:b/>
                <w:bCs w:val="0"/>
                <w:color w:val="auto"/>
                <w:spacing w:val="0"/>
                <w:szCs w:val="24"/>
                <w:shd w:val="clear" w:color="auto" w:fill="auto"/>
                <w:lang w:val="en-GB"/>
              </w:rPr>
            </w:pPr>
            <w:r>
              <w:rPr>
                <w:rFonts w:hint="eastAsia" w:ascii="宋体" w:hAnsi="宋体" w:cs="宋体"/>
                <w:b/>
                <w:bCs w:val="0"/>
                <w:color w:val="auto"/>
                <w:spacing w:val="0"/>
                <w:szCs w:val="24"/>
                <w:shd w:val="clear" w:color="auto" w:fill="auto"/>
                <w:lang w:val="en-GB"/>
              </w:rPr>
              <w:t>单价</w:t>
            </w:r>
          </w:p>
        </w:tc>
        <w:tc>
          <w:tcPr>
            <w:tcW w:w="1159" w:type="dxa"/>
            <w:tcBorders>
              <w:top w:val="single" w:color="auto" w:sz="4" w:space="0"/>
              <w:left w:val="single" w:color="auto" w:sz="4" w:space="0"/>
              <w:bottom w:val="single" w:color="auto" w:sz="4" w:space="0"/>
              <w:right w:val="single" w:color="auto" w:sz="4" w:space="0"/>
            </w:tcBorders>
            <w:vAlign w:val="center"/>
          </w:tcPr>
          <w:p>
            <w:pPr>
              <w:pStyle w:val="89"/>
              <w:spacing w:before="93" w:beforeLines="30" w:after="93" w:afterLines="30" w:line="440" w:lineRule="exact"/>
              <w:jc w:val="center"/>
              <w:rPr>
                <w:rFonts w:hint="eastAsia" w:ascii="宋体" w:hAnsi="宋体" w:cs="宋体"/>
                <w:b/>
                <w:bCs w:val="0"/>
                <w:color w:val="auto"/>
                <w:spacing w:val="0"/>
                <w:szCs w:val="24"/>
                <w:shd w:val="clear" w:color="auto" w:fill="auto"/>
                <w:lang w:val="en-GB"/>
              </w:rPr>
            </w:pPr>
            <w:r>
              <w:rPr>
                <w:rFonts w:hint="eastAsia" w:ascii="宋体" w:hAnsi="宋体" w:cs="宋体"/>
                <w:b/>
                <w:bCs w:val="0"/>
                <w:color w:val="auto"/>
                <w:spacing w:val="0"/>
                <w:szCs w:val="24"/>
                <w:shd w:val="clear" w:color="auto" w:fill="auto"/>
                <w:lang w:val="en-GB"/>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jc w:val="center"/>
              <w:rPr>
                <w:rFonts w:hint="eastAsia" w:ascii="宋体" w:hAnsi="宋体" w:eastAsia="宋体" w:cs="宋体"/>
                <w:color w:val="auto"/>
              </w:rPr>
            </w:pPr>
            <w:r>
              <w:rPr>
                <w:rFonts w:hint="eastAsia" w:ascii="宋体" w:hAnsi="宋体" w:eastAsia="宋体" w:cs="宋体"/>
                <w:color w:val="auto"/>
              </w:rPr>
              <w:t>1</w:t>
            </w:r>
          </w:p>
        </w:tc>
        <w:tc>
          <w:tcPr>
            <w:tcW w:w="2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hint="eastAsia" w:ascii="宋体" w:hAnsi="宋体" w:eastAsia="宋体" w:cs="宋体"/>
                <w:color w:val="auto"/>
                <w:lang w:val="de-DE"/>
              </w:rPr>
            </w:pPr>
          </w:p>
        </w:tc>
        <w:tc>
          <w:tcPr>
            <w:tcW w:w="2801"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00"/>
              <w:rPr>
                <w:rFonts w:hint="eastAsia" w:ascii="宋体" w:hAnsi="宋体" w:eastAsia="宋体" w:cs="宋体"/>
                <w:color w:val="auto"/>
              </w:rPr>
            </w:pPr>
          </w:p>
        </w:tc>
        <w:tc>
          <w:tcPr>
            <w:tcW w:w="686"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120"/>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c>
          <w:tcPr>
            <w:tcW w:w="1159"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jc w:val="center"/>
              <w:rPr>
                <w:rFonts w:hint="eastAsia" w:ascii="宋体" w:hAnsi="宋体" w:eastAsia="宋体" w:cs="宋体"/>
                <w:color w:val="auto"/>
              </w:rPr>
            </w:pPr>
            <w:r>
              <w:rPr>
                <w:rFonts w:hint="eastAsia" w:ascii="宋体" w:hAnsi="宋体" w:eastAsia="宋体" w:cs="宋体"/>
                <w:color w:val="auto"/>
              </w:rPr>
              <w:t>2</w:t>
            </w:r>
          </w:p>
        </w:tc>
        <w:tc>
          <w:tcPr>
            <w:tcW w:w="264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rPr>
            </w:pPr>
          </w:p>
        </w:tc>
        <w:tc>
          <w:tcPr>
            <w:tcW w:w="2801"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00"/>
              <w:rPr>
                <w:rFonts w:hint="eastAsia" w:ascii="宋体" w:hAnsi="宋体" w:eastAsia="宋体" w:cs="宋体"/>
                <w:color w:val="auto"/>
              </w:rPr>
            </w:pPr>
          </w:p>
        </w:tc>
        <w:tc>
          <w:tcPr>
            <w:tcW w:w="686"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120"/>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c>
          <w:tcPr>
            <w:tcW w:w="1159"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jc w:val="center"/>
              <w:rPr>
                <w:rFonts w:hint="eastAsia" w:ascii="宋体" w:hAnsi="宋体" w:eastAsia="宋体" w:cs="宋体"/>
                <w:color w:val="auto"/>
              </w:rPr>
            </w:pPr>
            <w:r>
              <w:rPr>
                <w:rFonts w:hint="eastAsia" w:ascii="宋体" w:hAnsi="宋体" w:eastAsia="宋体" w:cs="宋体"/>
                <w:color w:val="auto"/>
              </w:rPr>
              <w:t>3</w:t>
            </w:r>
          </w:p>
        </w:tc>
        <w:tc>
          <w:tcPr>
            <w:tcW w:w="264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rPr>
            </w:pPr>
          </w:p>
        </w:tc>
        <w:tc>
          <w:tcPr>
            <w:tcW w:w="2801"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00"/>
              <w:rPr>
                <w:rFonts w:hint="eastAsia" w:ascii="宋体" w:hAnsi="宋体" w:eastAsia="宋体" w:cs="宋体"/>
                <w:color w:val="auto"/>
              </w:rPr>
            </w:pPr>
          </w:p>
        </w:tc>
        <w:tc>
          <w:tcPr>
            <w:tcW w:w="686"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120"/>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c>
          <w:tcPr>
            <w:tcW w:w="1159"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jc w:val="center"/>
              <w:rPr>
                <w:rFonts w:hint="eastAsia" w:ascii="宋体" w:hAnsi="宋体" w:eastAsia="宋体" w:cs="宋体"/>
                <w:color w:val="auto"/>
              </w:rPr>
            </w:pPr>
            <w:r>
              <w:rPr>
                <w:rFonts w:hint="eastAsia" w:ascii="宋体" w:hAnsi="宋体" w:eastAsia="宋体" w:cs="宋体"/>
                <w:color w:val="auto"/>
              </w:rPr>
              <w:t>4</w:t>
            </w:r>
          </w:p>
        </w:tc>
        <w:tc>
          <w:tcPr>
            <w:tcW w:w="264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rPr>
            </w:pPr>
          </w:p>
        </w:tc>
        <w:tc>
          <w:tcPr>
            <w:tcW w:w="2801"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00"/>
              <w:rPr>
                <w:rFonts w:hint="eastAsia" w:ascii="宋体" w:hAnsi="宋体" w:eastAsia="宋体" w:cs="宋体"/>
                <w:color w:val="auto"/>
              </w:rPr>
            </w:pPr>
          </w:p>
        </w:tc>
        <w:tc>
          <w:tcPr>
            <w:tcW w:w="686"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120"/>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c>
          <w:tcPr>
            <w:tcW w:w="1159"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jc w:val="center"/>
              <w:rPr>
                <w:rFonts w:hint="eastAsia" w:ascii="宋体" w:hAnsi="宋体" w:eastAsia="宋体" w:cs="宋体"/>
                <w:color w:val="auto"/>
              </w:rPr>
            </w:pPr>
            <w:r>
              <w:rPr>
                <w:rFonts w:hint="eastAsia" w:ascii="宋体" w:hAnsi="宋体" w:eastAsia="宋体" w:cs="宋体"/>
                <w:color w:val="auto"/>
              </w:rPr>
              <w:t>5</w:t>
            </w:r>
          </w:p>
        </w:tc>
        <w:tc>
          <w:tcPr>
            <w:tcW w:w="264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rPr>
            </w:pPr>
          </w:p>
        </w:tc>
        <w:tc>
          <w:tcPr>
            <w:tcW w:w="2801"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00"/>
              <w:rPr>
                <w:rFonts w:hint="eastAsia" w:ascii="宋体" w:hAnsi="宋体" w:eastAsia="宋体" w:cs="宋体"/>
                <w:color w:val="auto"/>
              </w:rPr>
            </w:pPr>
          </w:p>
        </w:tc>
        <w:tc>
          <w:tcPr>
            <w:tcW w:w="686"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120"/>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c>
          <w:tcPr>
            <w:tcW w:w="1159"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jc w:val="center"/>
              <w:rPr>
                <w:rFonts w:hint="eastAsia" w:ascii="宋体" w:hAnsi="宋体" w:eastAsia="宋体" w:cs="宋体"/>
                <w:color w:val="auto"/>
              </w:rPr>
            </w:pPr>
            <w:r>
              <w:rPr>
                <w:rFonts w:hint="eastAsia" w:ascii="宋体" w:hAnsi="宋体" w:eastAsia="宋体" w:cs="宋体"/>
                <w:color w:val="auto"/>
              </w:rPr>
              <w:t>…</w:t>
            </w:r>
          </w:p>
        </w:tc>
        <w:tc>
          <w:tcPr>
            <w:tcW w:w="26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rPr>
            </w:pPr>
          </w:p>
        </w:tc>
        <w:tc>
          <w:tcPr>
            <w:tcW w:w="2801"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00"/>
              <w:rPr>
                <w:rFonts w:hint="eastAsia" w:ascii="宋体" w:hAnsi="宋体" w:eastAsia="宋体" w:cs="宋体"/>
                <w:color w:val="auto"/>
              </w:rPr>
            </w:pPr>
          </w:p>
        </w:tc>
        <w:tc>
          <w:tcPr>
            <w:tcW w:w="686"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120"/>
              <w:rPr>
                <w:rFonts w:hint="eastAsia" w:ascii="宋体" w:hAnsi="宋体" w:eastAsia="宋体" w:cs="宋体"/>
                <w:color w:val="auto"/>
              </w:rPr>
            </w:pPr>
          </w:p>
        </w:tc>
        <w:tc>
          <w:tcPr>
            <w:tcW w:w="827"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c>
          <w:tcPr>
            <w:tcW w:w="1159" w:type="dxa"/>
            <w:tcBorders>
              <w:top w:val="single" w:color="auto" w:sz="4" w:space="0"/>
              <w:left w:val="single" w:color="auto" w:sz="4" w:space="0"/>
              <w:bottom w:val="single" w:color="auto" w:sz="4" w:space="0"/>
              <w:right w:val="single" w:color="auto" w:sz="4" w:space="0"/>
            </w:tcBorders>
            <w:vAlign w:val="center"/>
          </w:tcPr>
          <w:p>
            <w:pPr>
              <w:tabs>
                <w:tab w:val="left" w:pos="360"/>
              </w:tabs>
              <w:spacing w:before="67" w:line="0" w:lineRule="atLeast"/>
              <w:ind w:right="-357" w:firstLine="240"/>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3431" w:type="dxa"/>
            <w:gridSpan w:val="2"/>
            <w:vMerge w:val="restart"/>
            <w:tcBorders>
              <w:top w:val="single" w:color="auto" w:sz="4" w:space="0"/>
              <w:left w:val="single" w:color="auto" w:sz="4" w:space="0"/>
              <w:right w:val="single" w:color="auto" w:sz="4" w:space="0"/>
            </w:tcBorders>
            <w:vAlign w:val="top"/>
          </w:tcPr>
          <w:p>
            <w:pPr>
              <w:autoSpaceDE w:val="0"/>
              <w:autoSpaceDN w:val="0"/>
              <w:adjustRightInd w:val="0"/>
              <w:jc w:val="center"/>
              <w:rPr>
                <w:rFonts w:hint="eastAsia" w:ascii="宋体" w:hAnsi="宋体" w:eastAsia="宋体" w:cs="宋体"/>
                <w:b/>
                <w:color w:val="auto"/>
                <w:sz w:val="24"/>
                <w:szCs w:val="21"/>
              </w:rPr>
            </w:pPr>
          </w:p>
          <w:p>
            <w:pPr>
              <w:autoSpaceDE w:val="0"/>
              <w:autoSpaceDN w:val="0"/>
              <w:adjustRightInd w:val="0"/>
              <w:jc w:val="center"/>
              <w:rPr>
                <w:rFonts w:hint="eastAsia" w:ascii="宋体" w:hAnsi="宋体" w:eastAsia="宋体" w:cs="宋体"/>
                <w:color w:val="auto"/>
                <w:sz w:val="24"/>
                <w:szCs w:val="21"/>
              </w:rPr>
            </w:pPr>
            <w:r>
              <w:rPr>
                <w:rFonts w:hint="eastAsia" w:ascii="宋体" w:hAnsi="宋体" w:eastAsia="宋体" w:cs="宋体"/>
                <w:b/>
                <w:color w:val="auto"/>
                <w:sz w:val="24"/>
                <w:szCs w:val="21"/>
              </w:rPr>
              <w:t>投标总额</w:t>
            </w:r>
          </w:p>
        </w:tc>
        <w:tc>
          <w:tcPr>
            <w:tcW w:w="6300" w:type="dxa"/>
            <w:gridSpan w:val="5"/>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szCs w:val="21"/>
              </w:rPr>
            </w:pPr>
            <w:r>
              <w:rPr>
                <w:rFonts w:hint="eastAsia" w:ascii="宋体" w:hAnsi="宋体" w:eastAsia="宋体" w:cs="宋体"/>
                <w:b/>
                <w:color w:val="auto"/>
                <w:sz w:val="24"/>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3431" w:type="dxa"/>
            <w:gridSpan w:val="2"/>
            <w:vMerge w:val="continue"/>
            <w:tcBorders>
              <w:left w:val="single" w:color="auto" w:sz="4" w:space="0"/>
              <w:bottom w:val="single" w:color="auto" w:sz="4" w:space="0"/>
              <w:right w:val="single" w:color="auto" w:sz="4" w:space="0"/>
            </w:tcBorders>
            <w:vAlign w:val="top"/>
          </w:tcPr>
          <w:p>
            <w:pPr>
              <w:jc w:val="center"/>
              <w:rPr>
                <w:rFonts w:hint="eastAsia" w:ascii="宋体" w:hAnsi="宋体" w:eastAsia="宋体" w:cs="宋体"/>
                <w:color w:val="auto"/>
              </w:rPr>
            </w:pPr>
          </w:p>
        </w:tc>
        <w:tc>
          <w:tcPr>
            <w:tcW w:w="6300" w:type="dxa"/>
            <w:gridSpan w:val="5"/>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rPr>
            </w:pPr>
            <w:r>
              <w:rPr>
                <w:rFonts w:hint="eastAsia" w:ascii="宋体" w:hAnsi="宋体" w:eastAsia="宋体" w:cs="宋体"/>
                <w:b/>
                <w:color w:val="auto"/>
                <w:sz w:val="24"/>
                <w:szCs w:val="21"/>
              </w:rPr>
              <w:t>（大写）</w:t>
            </w:r>
          </w:p>
        </w:tc>
      </w:tr>
    </w:tbl>
    <w:p>
      <w:pPr>
        <w:spacing w:before="468" w:beforeLines="150" w:line="440" w:lineRule="exact"/>
        <w:rPr>
          <w:rFonts w:hint="eastAsia" w:ascii="宋体" w:hAnsi="宋体" w:cs="宋体"/>
          <w:color w:val="auto"/>
          <w:sz w:val="24"/>
          <w:u w:val="single"/>
          <w:lang w:val="en-GB"/>
        </w:rPr>
      </w:pPr>
      <w:r>
        <w:rPr>
          <w:rFonts w:hint="eastAsia" w:ascii="宋体" w:hAnsi="宋体" w:cs="宋体"/>
          <w:color w:val="auto"/>
          <w:sz w:val="24"/>
          <w:lang w:val="en-GB"/>
        </w:rPr>
        <w:t>投标人名称：</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（公章）</w:t>
      </w:r>
    </w:p>
    <w:p>
      <w:pPr>
        <w:spacing w:before="468" w:beforeLines="150" w:line="440" w:lineRule="exact"/>
        <w:rPr>
          <w:rFonts w:hint="eastAsia" w:ascii="宋体" w:hAnsi="宋体" w:cs="宋体"/>
          <w:color w:val="auto"/>
          <w:sz w:val="24"/>
          <w:lang w:val="en-GB"/>
        </w:rPr>
      </w:pPr>
      <w:r>
        <w:rPr>
          <w:rFonts w:hint="eastAsia" w:ascii="宋体" w:hAnsi="宋体" w:cs="宋体"/>
          <w:color w:val="auto"/>
          <w:sz w:val="24"/>
          <w:lang w:val="en-GB"/>
        </w:rPr>
        <w:t>被授权人：</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GB"/>
        </w:rPr>
        <w:t xml:space="preserve">     </w:t>
      </w:r>
      <w:r>
        <w:rPr>
          <w:rFonts w:hint="eastAsia" w:ascii="宋体" w:hAnsi="宋体" w:cs="宋体"/>
          <w:bCs/>
          <w:color w:val="auto"/>
          <w:sz w:val="24"/>
          <w:u w:val="single"/>
          <w:lang w:val="en-GB"/>
        </w:rPr>
        <w:t>（亲笔签名）</w:t>
      </w:r>
    </w:p>
    <w:p>
      <w:pPr>
        <w:spacing w:before="156" w:beforeLines="50" w:after="156" w:afterLines="50" w:line="440" w:lineRule="exact"/>
        <w:rPr>
          <w:rFonts w:hint="eastAsia" w:ascii="宋体" w:hAnsi="宋体" w:cs="宋体"/>
          <w:b/>
          <w:bCs/>
          <w:color w:val="auto"/>
          <w:sz w:val="24"/>
          <w:lang w:val="en-GB"/>
        </w:rPr>
      </w:pPr>
      <w:r>
        <w:rPr>
          <w:rFonts w:hint="eastAsia" w:ascii="宋体" w:hAnsi="宋体" w:cs="宋体"/>
          <w:b/>
          <w:bCs/>
          <w:color w:val="auto"/>
          <w:sz w:val="24"/>
          <w:lang w:val="en-GB"/>
        </w:rPr>
        <w:t>注：</w:t>
      </w:r>
    </w:p>
    <w:p>
      <w:pPr>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rPr>
        <w:t>1、</w:t>
      </w:r>
      <w:r>
        <w:rPr>
          <w:rFonts w:hint="eastAsia" w:ascii="宋体" w:hAnsi="宋体" w:cs="宋体"/>
          <w:color w:val="auto"/>
          <w:sz w:val="24"/>
          <w:lang w:val="en-GB"/>
        </w:rPr>
        <w:t>此表为表样，行数可自行添加，但表式不变；</w:t>
      </w:r>
    </w:p>
    <w:p>
      <w:pPr>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rPr>
        <w:t>2、</w:t>
      </w:r>
      <w:r>
        <w:rPr>
          <w:rFonts w:hint="eastAsia" w:ascii="宋体" w:hAnsi="宋体" w:cs="宋体"/>
          <w:color w:val="auto"/>
          <w:sz w:val="24"/>
          <w:lang w:val="en-GB"/>
        </w:rPr>
        <w:t>相关安装调试费用、质保及人员培训、后续服务及其他所有费用由投标人自行计算填列；</w:t>
      </w:r>
    </w:p>
    <w:p>
      <w:pPr>
        <w:spacing w:line="440" w:lineRule="exact"/>
        <w:ind w:firstLine="480" w:firstLineChars="200"/>
        <w:rPr>
          <w:rFonts w:hint="eastAsia" w:ascii="宋体" w:hAnsi="宋体" w:cs="宋体"/>
          <w:color w:val="auto"/>
          <w:sz w:val="24"/>
          <w:lang w:val="en-GB"/>
        </w:rPr>
      </w:pPr>
      <w:r>
        <w:rPr>
          <w:rFonts w:hint="eastAsia" w:ascii="宋体" w:hAnsi="宋体" w:cs="宋体"/>
          <w:color w:val="auto"/>
          <w:sz w:val="24"/>
        </w:rPr>
        <w:t>3、</w:t>
      </w:r>
      <w:r>
        <w:rPr>
          <w:rFonts w:hint="eastAsia" w:ascii="宋体" w:hAnsi="宋体" w:cs="宋体"/>
          <w:color w:val="auto"/>
          <w:sz w:val="24"/>
          <w:lang w:val="en-GB"/>
        </w:rPr>
        <w:t>总价=单价×数量，数量由投标人自行计算并填表；</w:t>
      </w:r>
    </w:p>
    <w:p>
      <w:pPr>
        <w:spacing w:line="440" w:lineRule="exact"/>
        <w:ind w:firstLine="480" w:firstLineChars="200"/>
        <w:rPr>
          <w:rFonts w:hint="eastAsia"/>
          <w:color w:val="auto"/>
          <w:lang w:val="en-GB"/>
        </w:rPr>
      </w:pPr>
      <w:r>
        <w:rPr>
          <w:rFonts w:hint="eastAsia" w:ascii="宋体" w:hAnsi="宋体" w:cs="宋体"/>
          <w:color w:val="auto"/>
          <w:sz w:val="24"/>
        </w:rPr>
        <w:t>4、</w:t>
      </w:r>
      <w:r>
        <w:rPr>
          <w:rFonts w:hint="eastAsia" w:ascii="宋体" w:hAnsi="宋体" w:cs="宋体"/>
          <w:color w:val="auto"/>
          <w:sz w:val="24"/>
          <w:lang w:val="en-GB"/>
        </w:rPr>
        <w:t>“投标报价明细表”中“投标报价总计”数应当等于“投标一览表”中“投标报价总计”数。</w:t>
      </w:r>
    </w:p>
    <w:bookmarkEnd w:id="135"/>
    <w:bookmarkEnd w:id="136"/>
    <w:bookmarkEnd w:id="137"/>
    <w:bookmarkEnd w:id="138"/>
    <w:p>
      <w:pPr>
        <w:pStyle w:val="2"/>
        <w:numPr>
          <w:ilvl w:val="2"/>
          <w:numId w:val="0"/>
        </w:numPr>
        <w:spacing w:before="0" w:after="0" w:line="360" w:lineRule="auto"/>
        <w:jc w:val="both"/>
        <w:rPr>
          <w:rFonts w:hint="eastAsia" w:ascii="宋体" w:hAnsi="宋体" w:eastAsia="宋体" w:cs="宋体"/>
          <w:b/>
          <w:bCs/>
          <w:color w:val="auto"/>
          <w:sz w:val="32"/>
          <w:szCs w:val="32"/>
        </w:rPr>
      </w:pPr>
      <w:bookmarkStart w:id="139" w:name="_Toc491437833"/>
      <w:bookmarkStart w:id="140" w:name="_Toc462068979"/>
      <w:bookmarkStart w:id="141" w:name="_Toc417386187"/>
      <w:bookmarkStart w:id="142" w:name="_Toc508276023"/>
    </w:p>
    <w:p>
      <w:pPr>
        <w:rPr>
          <w:rFonts w:hint="eastAsia" w:ascii="宋体" w:hAnsi="宋体" w:eastAsia="宋体" w:cs="宋体"/>
          <w:b/>
          <w:bCs/>
          <w:color w:val="auto"/>
          <w:sz w:val="32"/>
          <w:szCs w:val="32"/>
        </w:rPr>
      </w:pPr>
    </w:p>
    <w:p>
      <w:pPr>
        <w:pStyle w:val="2"/>
        <w:numPr>
          <w:ilvl w:val="2"/>
          <w:numId w:val="0"/>
        </w:numPr>
        <w:spacing w:before="0" w:after="0" w:line="360" w:lineRule="auto"/>
        <w:jc w:val="both"/>
        <w:rPr>
          <w:rFonts w:hint="eastAsia" w:ascii="宋体" w:hAnsi="宋体" w:eastAsia="宋体" w:cs="宋体"/>
          <w:color w:val="auto"/>
        </w:rPr>
      </w:pPr>
      <w:r>
        <w:rPr>
          <w:rFonts w:hint="eastAsia" w:ascii="宋体" w:hAnsi="宋体" w:eastAsia="宋体" w:cs="宋体"/>
          <w:b/>
          <w:bCs/>
          <w:color w:val="auto"/>
          <w:sz w:val="32"/>
          <w:szCs w:val="32"/>
        </w:rPr>
        <w:t>表3</w:t>
      </w:r>
    </w:p>
    <w:p>
      <w:pPr>
        <w:pStyle w:val="2"/>
        <w:numPr>
          <w:ilvl w:val="2"/>
          <w:numId w:val="0"/>
        </w:numPr>
        <w:spacing w:before="0" w:after="0" w:line="360" w:lineRule="auto"/>
        <w:jc w:val="center"/>
        <w:rPr>
          <w:rFonts w:hint="eastAsia" w:ascii="宋体" w:hAnsi="宋体" w:eastAsia="宋体" w:cs="宋体"/>
          <w:b w:val="0"/>
          <w:color w:val="auto"/>
          <w:szCs w:val="32"/>
        </w:rPr>
      </w:pPr>
      <w:r>
        <w:rPr>
          <w:rFonts w:hint="eastAsia" w:ascii="宋体" w:hAnsi="宋体" w:eastAsia="宋体" w:cs="宋体"/>
          <w:b/>
          <w:bCs/>
          <w:color w:val="auto"/>
          <w:sz w:val="32"/>
          <w:szCs w:val="32"/>
        </w:rPr>
        <w:t>授权委托书</w:t>
      </w:r>
      <w:bookmarkEnd w:id="139"/>
      <w:bookmarkEnd w:id="140"/>
      <w:bookmarkEnd w:id="141"/>
      <w:bookmarkEnd w:id="142"/>
    </w:p>
    <w:p>
      <w:pPr>
        <w:shd w:val="clear" w:color="auto" w:fill="FFFFFF"/>
        <w:spacing w:line="360" w:lineRule="auto"/>
        <w:rPr>
          <w:rFonts w:hint="eastAsia" w:ascii="宋体" w:hAnsi="宋体" w:eastAsia="宋体" w:cs="宋体"/>
          <w:b/>
          <w:color w:val="auto"/>
          <w:sz w:val="28"/>
        </w:rPr>
      </w:pPr>
    </w:p>
    <w:p>
      <w:pPr>
        <w:shd w:val="clear" w:color="auto" w:fill="FFFFFF"/>
        <w:spacing w:line="360" w:lineRule="auto"/>
        <w:rPr>
          <w:rFonts w:hint="eastAsia" w:ascii="宋体" w:hAnsi="宋体" w:eastAsia="宋体" w:cs="宋体"/>
          <w:b/>
          <w:color w:val="auto"/>
          <w:sz w:val="28"/>
        </w:rPr>
      </w:pPr>
      <w:r>
        <w:rPr>
          <w:rFonts w:hint="eastAsia" w:ascii="宋体" w:hAnsi="宋体" w:eastAsia="宋体" w:cs="宋体"/>
          <w:b/>
          <w:color w:val="auto"/>
          <w:sz w:val="28"/>
        </w:rPr>
        <w:t xml:space="preserve">致 </w:t>
      </w:r>
      <w:r>
        <w:rPr>
          <w:rFonts w:hint="eastAsia" w:ascii="宋体" w:hAnsi="宋体" w:eastAsia="宋体" w:cs="宋体"/>
          <w:b/>
          <w:color w:val="auto"/>
          <w:sz w:val="28"/>
          <w:lang w:eastAsia="zh-CN"/>
        </w:rPr>
        <w:t>海南中联华夏项目管理有限公司</w:t>
      </w:r>
      <w:r>
        <w:rPr>
          <w:rFonts w:hint="eastAsia" w:ascii="宋体" w:hAnsi="宋体" w:eastAsia="宋体" w:cs="宋体"/>
          <w:b/>
          <w:color w:val="auto"/>
          <w:sz w:val="28"/>
        </w:rPr>
        <w:t>：</w:t>
      </w:r>
    </w:p>
    <w:p>
      <w:pPr>
        <w:shd w:val="clear" w:color="auto" w:fill="FFFFFF"/>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本授权书声明：</w:t>
      </w:r>
    </w:p>
    <w:p>
      <w:pPr>
        <w:shd w:val="clear" w:color="auto" w:fill="FFFFFF"/>
        <w:snapToGrid w:val="0"/>
        <w:spacing w:line="360" w:lineRule="auto"/>
        <w:rPr>
          <w:rFonts w:hint="eastAsia" w:ascii="宋体" w:hAnsi="宋体" w:eastAsia="宋体" w:cs="宋体"/>
          <w:color w:val="auto"/>
          <w:sz w:val="24"/>
          <w:u w:val="single"/>
        </w:rPr>
      </w:pPr>
      <w:r>
        <w:rPr>
          <w:rFonts w:hint="eastAsia" w:ascii="宋体" w:hAnsi="宋体" w:eastAsia="宋体" w:cs="宋体"/>
          <w:color w:val="auto"/>
          <w:sz w:val="24"/>
        </w:rPr>
        <w:t>委托人：</w:t>
      </w:r>
      <w:r>
        <w:rPr>
          <w:rFonts w:hint="eastAsia" w:ascii="宋体" w:hAnsi="宋体" w:eastAsia="宋体" w:cs="宋体"/>
          <w:color w:val="auto"/>
          <w:sz w:val="24"/>
          <w:u w:val="single"/>
        </w:rPr>
        <w:t xml:space="preserve">                                            </w:t>
      </w:r>
    </w:p>
    <w:p>
      <w:pPr>
        <w:shd w:val="clear" w:color="auto" w:fill="FFFFFF"/>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法定代表人：</w:t>
      </w:r>
      <w:r>
        <w:rPr>
          <w:rFonts w:hint="eastAsia" w:ascii="宋体" w:hAnsi="宋体" w:eastAsia="宋体" w:cs="宋体"/>
          <w:color w:val="auto"/>
          <w:sz w:val="24"/>
          <w:u w:val="single"/>
        </w:rPr>
        <w:t xml:space="preserve">          </w:t>
      </w:r>
    </w:p>
    <w:p>
      <w:pPr>
        <w:shd w:val="clear" w:color="auto" w:fill="FFFFFF"/>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受托人：姓名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出生日期：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shd w:val="clear" w:color="auto" w:fill="FFFFFF"/>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所在单位：</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p>
    <w:p>
      <w:pPr>
        <w:shd w:val="clear" w:color="auto" w:fill="FFFFFF"/>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身 份 证：</w:t>
      </w:r>
      <w:r>
        <w:rPr>
          <w:rFonts w:hint="eastAsia" w:ascii="宋体" w:hAnsi="宋体" w:eastAsia="宋体" w:cs="宋体"/>
          <w:color w:val="auto"/>
          <w:sz w:val="24"/>
          <w:u w:val="single"/>
        </w:rPr>
        <w:t xml:space="preserve">                </w:t>
      </w:r>
      <w:r>
        <w:rPr>
          <w:rFonts w:hint="eastAsia" w:ascii="宋体" w:hAnsi="宋体" w:eastAsia="宋体" w:cs="宋体"/>
          <w:color w:val="auto"/>
          <w:sz w:val="24"/>
        </w:rPr>
        <w:t>联系方式:</w:t>
      </w:r>
      <w:r>
        <w:rPr>
          <w:rFonts w:hint="eastAsia" w:ascii="宋体" w:hAnsi="宋体" w:eastAsia="宋体" w:cs="宋体"/>
          <w:color w:val="auto"/>
          <w:sz w:val="24"/>
          <w:u w:val="single"/>
        </w:rPr>
        <w:t xml:space="preserve">                    </w:t>
      </w:r>
    </w:p>
    <w:p>
      <w:pPr>
        <w:shd w:val="clear" w:color="auto" w:fill="FFFFFF"/>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兹委托受托人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代表我方参加</w:t>
      </w:r>
      <w:r>
        <w:rPr>
          <w:rFonts w:hint="eastAsia" w:ascii="宋体" w:hAnsi="宋体" w:eastAsia="宋体" w:cs="宋体"/>
          <w:color w:val="auto"/>
          <w:sz w:val="24"/>
          <w:lang w:eastAsia="zh-CN"/>
        </w:rPr>
        <w:t>海南中联华夏项目管理有限公司</w:t>
      </w:r>
      <w:r>
        <w:rPr>
          <w:rFonts w:hint="eastAsia" w:ascii="宋体" w:hAnsi="宋体" w:eastAsia="宋体" w:cs="宋体"/>
          <w:color w:val="auto"/>
          <w:sz w:val="24"/>
        </w:rPr>
        <w:t>组织的</w:t>
      </w:r>
      <w:r>
        <w:rPr>
          <w:rFonts w:hint="eastAsia" w:ascii="宋体" w:hAnsi="宋体" w:cs="宋体"/>
          <w:b/>
          <w:bCs/>
          <w:color w:val="auto"/>
          <w:kern w:val="0"/>
          <w:sz w:val="24"/>
          <w:u w:val="single"/>
          <w:lang w:eastAsia="zh-CN"/>
        </w:rPr>
        <w:t>海口市房地楼幢测绘及编制不动产单元编码项目</w:t>
      </w:r>
      <w:r>
        <w:rPr>
          <w:rFonts w:hint="eastAsia" w:ascii="宋体" w:hAnsi="宋体" w:eastAsia="宋体" w:cs="宋体"/>
          <w:color w:val="auto"/>
          <w:sz w:val="24"/>
        </w:rPr>
        <w:t>（项目编号为：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ZLHX201</w:t>
      </w:r>
      <w:r>
        <w:rPr>
          <w:rFonts w:hint="eastAsia" w:ascii="宋体" w:hAnsi="宋体" w:cs="宋体"/>
          <w:color w:val="auto"/>
          <w:sz w:val="24"/>
          <w:u w:val="single"/>
          <w:lang w:val="en-US" w:eastAsia="zh-CN"/>
        </w:rPr>
        <w:t>9</w:t>
      </w:r>
      <w:r>
        <w:rPr>
          <w:rFonts w:hint="eastAsia" w:ascii="宋体" w:hAnsi="宋体" w:eastAsia="宋体" w:cs="宋体"/>
          <w:color w:val="auto"/>
          <w:sz w:val="24"/>
          <w:u w:val="single"/>
          <w:lang w:eastAsia="zh-CN"/>
        </w:rPr>
        <w:t>-0</w:t>
      </w:r>
      <w:r>
        <w:rPr>
          <w:rFonts w:hint="eastAsia" w:ascii="宋体" w:hAnsi="宋体" w:cs="宋体"/>
          <w:color w:val="auto"/>
          <w:sz w:val="24"/>
          <w:u w:val="single"/>
          <w:lang w:val="en-US" w:eastAsia="zh-CN"/>
        </w:rPr>
        <w:t>0</w:t>
      </w:r>
      <w:r>
        <w:rPr>
          <w:rFonts w:hint="eastAsia" w:ascii="宋体" w:hAnsi="宋体" w:eastAsia="宋体" w:cs="宋体"/>
          <w:color w:val="auto"/>
          <w:sz w:val="24"/>
          <w:u w:val="single"/>
          <w:lang w:eastAsia="zh-CN"/>
        </w:rPr>
        <w:t>8</w:t>
      </w:r>
      <w:r>
        <w:rPr>
          <w:rFonts w:hint="eastAsia" w:ascii="宋体" w:hAnsi="宋体" w:eastAsia="宋体" w:cs="宋体"/>
          <w:color w:val="auto"/>
          <w:sz w:val="24"/>
          <w:u w:val="single"/>
        </w:rPr>
        <w:t xml:space="preserve"> </w:t>
      </w:r>
      <w:r>
        <w:rPr>
          <w:rFonts w:hint="eastAsia" w:ascii="宋体" w:hAnsi="宋体" w:eastAsia="宋体" w:cs="宋体"/>
          <w:color w:val="auto"/>
          <w:sz w:val="24"/>
        </w:rPr>
        <w:t>）的招标活动，并授权其全权办理以下事宜：</w:t>
      </w:r>
    </w:p>
    <w:p>
      <w:pPr>
        <w:shd w:val="clear" w:color="auto" w:fill="FFFFFF"/>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1、参加投标活动；</w:t>
      </w:r>
    </w:p>
    <w:p>
      <w:pPr>
        <w:shd w:val="clear" w:color="auto" w:fill="FFFFFF"/>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2、出席开标评标会议；</w:t>
      </w:r>
    </w:p>
    <w:p>
      <w:pPr>
        <w:shd w:val="clear" w:color="auto" w:fill="FFFFFF"/>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3、签订与中标事宜有关的合同；</w:t>
      </w:r>
    </w:p>
    <w:p>
      <w:pPr>
        <w:shd w:val="clear" w:color="auto" w:fill="FFFFFF"/>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4、负责合同的履行、服务以及在合同履行过程中有关事宜的洽谈和处理。</w:t>
      </w:r>
    </w:p>
    <w:p>
      <w:pPr>
        <w:shd w:val="clear" w:color="auto" w:fill="FFFFFF"/>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受托人在办理上述事宜过程中以其自己的名义所签署的所有文件我方均予以承认。受托人无转委托权。</w:t>
      </w:r>
    </w:p>
    <w:p>
      <w:pPr>
        <w:shd w:val="clear" w:color="auto" w:fill="FFFFFF"/>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委托期限：至上述事宜处理完毕止。</w:t>
      </w:r>
    </w:p>
    <w:p>
      <w:pPr>
        <w:shd w:val="clear" w:color="auto" w:fill="FFFFFF"/>
        <w:snapToGrid w:val="0"/>
        <w:spacing w:line="360" w:lineRule="auto"/>
        <w:ind w:firstLine="3840" w:firstLineChars="1600"/>
        <w:rPr>
          <w:rFonts w:hint="eastAsia" w:ascii="宋体" w:hAnsi="宋体" w:eastAsia="宋体" w:cs="宋体"/>
          <w:color w:val="auto"/>
          <w:sz w:val="24"/>
        </w:rPr>
      </w:pPr>
    </w:p>
    <w:p>
      <w:pPr>
        <w:shd w:val="clear" w:color="auto" w:fill="FFFFFF"/>
        <w:snapToGrid w:val="0"/>
        <w:spacing w:line="360" w:lineRule="auto"/>
        <w:ind w:firstLine="3840" w:firstLineChars="1600"/>
        <w:rPr>
          <w:rFonts w:hint="eastAsia" w:ascii="宋体" w:hAnsi="宋体" w:eastAsia="宋体" w:cs="宋体"/>
          <w:color w:val="auto"/>
          <w:sz w:val="24"/>
          <w:u w:val="single"/>
        </w:rPr>
      </w:pPr>
      <w:r>
        <w:rPr>
          <w:rFonts w:hint="eastAsia" w:ascii="宋体" w:hAnsi="宋体" w:eastAsia="宋体" w:cs="宋体"/>
          <w:color w:val="auto"/>
          <w:sz w:val="24"/>
        </w:rPr>
        <w:t xml:space="preserve">委托单位   </w:t>
      </w:r>
      <w:r>
        <w:rPr>
          <w:rFonts w:hint="eastAsia" w:ascii="宋体" w:hAnsi="宋体" w:eastAsia="宋体" w:cs="宋体"/>
          <w:color w:val="auto"/>
          <w:sz w:val="24"/>
          <w:u w:val="single"/>
        </w:rPr>
        <w:t xml:space="preserve"> （公章）          </w:t>
      </w:r>
    </w:p>
    <w:p>
      <w:pPr>
        <w:shd w:val="clear" w:color="auto" w:fill="FFFFFF"/>
        <w:snapToGrid w:val="0"/>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法定代表人 </w:t>
      </w:r>
      <w:r>
        <w:rPr>
          <w:rFonts w:hint="eastAsia" w:ascii="宋体" w:hAnsi="宋体" w:eastAsia="宋体" w:cs="宋体"/>
          <w:color w:val="auto"/>
          <w:sz w:val="24"/>
          <w:u w:val="single"/>
        </w:rPr>
        <w:t xml:space="preserve"> （签名或私章）      </w:t>
      </w:r>
    </w:p>
    <w:p>
      <w:pPr>
        <w:shd w:val="clear" w:color="auto" w:fill="FFFFFF"/>
        <w:snapToGrid w:val="0"/>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受托人 </w:t>
      </w:r>
      <w:r>
        <w:rPr>
          <w:rFonts w:hint="eastAsia" w:ascii="宋体" w:hAnsi="宋体" w:eastAsia="宋体" w:cs="宋体"/>
          <w:color w:val="auto"/>
          <w:sz w:val="24"/>
          <w:u w:val="single"/>
        </w:rPr>
        <w:t xml:space="preserve"> （签名或私章）          </w:t>
      </w:r>
    </w:p>
    <w:p>
      <w:pPr>
        <w:shd w:val="clear" w:color="auto" w:fill="FFFFFF"/>
        <w:snapToGrid w:val="0"/>
        <w:spacing w:line="360" w:lineRule="auto"/>
        <w:ind w:firstLine="3960" w:firstLineChars="16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pStyle w:val="2"/>
        <w:numPr>
          <w:ilvl w:val="2"/>
          <w:numId w:val="0"/>
        </w:numPr>
        <w:spacing w:before="0" w:after="0" w:line="360" w:lineRule="auto"/>
        <w:jc w:val="both"/>
        <w:rPr>
          <w:rFonts w:hint="eastAsia" w:ascii="宋体" w:hAnsi="宋体" w:eastAsia="宋体" w:cs="宋体"/>
          <w:color w:val="auto"/>
        </w:rPr>
      </w:pPr>
      <w:r>
        <w:rPr>
          <w:rFonts w:hint="eastAsia" w:ascii="宋体" w:hAnsi="宋体" w:eastAsia="宋体" w:cs="宋体"/>
          <w:color w:val="auto"/>
          <w:sz w:val="24"/>
        </w:rPr>
        <w:br w:type="page"/>
      </w:r>
      <w:bookmarkStart w:id="143" w:name="_Toc492628939"/>
      <w:bookmarkStart w:id="144" w:name="_Toc508276024"/>
      <w:r>
        <w:rPr>
          <w:rFonts w:hint="eastAsia" w:ascii="宋体" w:hAnsi="宋体" w:eastAsia="宋体" w:cs="宋体"/>
          <w:b/>
          <w:bCs/>
          <w:color w:val="auto"/>
          <w:sz w:val="32"/>
          <w:szCs w:val="32"/>
        </w:rPr>
        <w:t>表</w:t>
      </w:r>
      <w:bookmarkEnd w:id="143"/>
      <w:r>
        <w:rPr>
          <w:rFonts w:hint="eastAsia" w:ascii="宋体" w:hAnsi="宋体" w:eastAsia="宋体" w:cs="宋体"/>
          <w:b/>
          <w:bCs/>
          <w:color w:val="auto"/>
          <w:sz w:val="32"/>
          <w:szCs w:val="32"/>
        </w:rPr>
        <w:t>4</w:t>
      </w:r>
    </w:p>
    <w:p>
      <w:pPr>
        <w:pStyle w:val="2"/>
        <w:numPr>
          <w:ilvl w:val="2"/>
          <w:numId w:val="0"/>
        </w:numPr>
        <w:spacing w:before="0" w:after="0" w:line="360" w:lineRule="auto"/>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rPr>
        <w:t>参加政府采购活动前三年内，在经营活动中没有重大违法记录的声明函</w:t>
      </w:r>
      <w:bookmarkEnd w:id="144"/>
    </w:p>
    <w:p>
      <w:pPr>
        <w:pStyle w:val="2"/>
        <w:numPr>
          <w:ilvl w:val="2"/>
          <w:numId w:val="0"/>
        </w:numPr>
        <w:spacing w:before="0" w:after="0" w:line="360" w:lineRule="auto"/>
        <w:jc w:val="both"/>
        <w:rPr>
          <w:rFonts w:hint="eastAsia" w:ascii="宋体" w:hAnsi="宋体" w:eastAsia="宋体" w:cs="宋体"/>
          <w:b/>
          <w:bCs/>
          <w:color w:val="auto"/>
          <w:sz w:val="28"/>
          <w:szCs w:val="28"/>
        </w:rPr>
      </w:pPr>
    </w:p>
    <w:p>
      <w:pPr>
        <w:pStyle w:val="2"/>
        <w:numPr>
          <w:ilvl w:val="2"/>
          <w:numId w:val="0"/>
        </w:numPr>
        <w:spacing w:before="0" w:after="0" w:line="360" w:lineRule="auto"/>
        <w:jc w:val="both"/>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lang w:eastAsia="zh-CN"/>
        </w:rPr>
        <w:t>海南中联华夏项目管理有限公司</w:t>
      </w:r>
    </w:p>
    <w:p>
      <w:pPr>
        <w:tabs>
          <w:tab w:val="left" w:pos="630"/>
        </w:tabs>
        <w:spacing w:line="360" w:lineRule="auto"/>
        <w:rPr>
          <w:rFonts w:hint="eastAsia" w:ascii="宋体" w:hAnsi="宋体" w:eastAsia="宋体" w:cs="宋体"/>
          <w:color w:val="auto"/>
        </w:rPr>
      </w:pPr>
    </w:p>
    <w:p>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为响应贵公司组织的</w:t>
      </w:r>
      <w:r>
        <w:rPr>
          <w:rFonts w:hint="eastAsia" w:ascii="宋体" w:hAnsi="宋体" w:cs="宋体"/>
          <w:color w:val="auto"/>
          <w:sz w:val="24"/>
          <w:szCs w:val="24"/>
          <w:u w:val="single"/>
          <w:lang w:eastAsia="zh-CN"/>
        </w:rPr>
        <w:t>海口市房地楼幢测绘及编制不动产单元编码项目</w:t>
      </w:r>
      <w:r>
        <w:rPr>
          <w:rFonts w:hint="eastAsia" w:ascii="宋体" w:hAnsi="宋体" w:eastAsia="宋体" w:cs="宋体"/>
          <w:color w:val="auto"/>
          <w:sz w:val="24"/>
        </w:rPr>
        <w:t>（项目编号为：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ZLHX201</w:t>
      </w:r>
      <w:r>
        <w:rPr>
          <w:rFonts w:hint="eastAsia" w:ascii="宋体" w:hAnsi="宋体" w:cs="宋体"/>
          <w:color w:val="auto"/>
          <w:sz w:val="24"/>
          <w:u w:val="single"/>
          <w:lang w:val="en-US" w:eastAsia="zh-CN"/>
        </w:rPr>
        <w:t>9</w:t>
      </w:r>
      <w:r>
        <w:rPr>
          <w:rFonts w:hint="eastAsia" w:ascii="宋体" w:hAnsi="宋体" w:eastAsia="宋体" w:cs="宋体"/>
          <w:color w:val="auto"/>
          <w:sz w:val="24"/>
          <w:u w:val="single"/>
          <w:lang w:eastAsia="zh-CN"/>
        </w:rPr>
        <w:t>-0</w:t>
      </w:r>
      <w:r>
        <w:rPr>
          <w:rFonts w:hint="eastAsia" w:ascii="宋体" w:hAnsi="宋体" w:cs="宋体"/>
          <w:color w:val="auto"/>
          <w:sz w:val="24"/>
          <w:u w:val="single"/>
          <w:lang w:val="en-US" w:eastAsia="zh-CN"/>
        </w:rPr>
        <w:t>0</w:t>
      </w:r>
      <w:r>
        <w:rPr>
          <w:rFonts w:hint="eastAsia" w:ascii="宋体" w:hAnsi="宋体" w:eastAsia="宋体" w:cs="宋体"/>
          <w:color w:val="auto"/>
          <w:sz w:val="24"/>
          <w:u w:val="single"/>
          <w:lang w:eastAsia="zh-CN"/>
        </w:rPr>
        <w:t>8</w:t>
      </w:r>
      <w:r>
        <w:rPr>
          <w:rFonts w:hint="eastAsia" w:ascii="宋体" w:hAnsi="宋体" w:eastAsia="宋体" w:cs="宋体"/>
          <w:color w:val="auto"/>
          <w:sz w:val="24"/>
          <w:u w:val="single"/>
        </w:rPr>
        <w:t xml:space="preserve"> </w:t>
      </w:r>
      <w:r>
        <w:rPr>
          <w:rFonts w:hint="eastAsia" w:ascii="宋体" w:hAnsi="宋体" w:eastAsia="宋体" w:cs="宋体"/>
          <w:color w:val="auto"/>
          <w:sz w:val="24"/>
        </w:rPr>
        <w:t>）货物及服务的招标采购活动，我司声明如下：</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本项目招标公告前三年内</w:t>
      </w:r>
      <w:r>
        <w:rPr>
          <w:rFonts w:hint="eastAsia" w:ascii="宋体" w:hAnsi="宋体" w:eastAsia="宋体" w:cs="宋体"/>
          <w:color w:val="auto"/>
          <w:sz w:val="24"/>
        </w:rPr>
        <w:t>，我司</w:t>
      </w:r>
      <w:r>
        <w:rPr>
          <w:rFonts w:hint="eastAsia" w:ascii="宋体" w:hAnsi="宋体" w:eastAsia="宋体" w:cs="宋体"/>
          <w:bCs/>
          <w:color w:val="auto"/>
          <w:sz w:val="24"/>
          <w:lang w:val="en-GB"/>
        </w:rPr>
        <w:t>在经营活动中</w:t>
      </w:r>
      <w:r>
        <w:rPr>
          <w:rFonts w:hint="eastAsia" w:ascii="宋体" w:hAnsi="宋体" w:eastAsia="宋体" w:cs="宋体"/>
          <w:color w:val="auto"/>
          <w:sz w:val="24"/>
        </w:rPr>
        <w:t>没有</w:t>
      </w:r>
      <w:r>
        <w:rPr>
          <w:rFonts w:hint="eastAsia" w:ascii="宋体" w:hAnsi="宋体" w:eastAsia="宋体" w:cs="宋体"/>
          <w:color w:val="auto"/>
          <w:sz w:val="24"/>
          <w:szCs w:val="24"/>
        </w:rPr>
        <w:t>被列入失信被执行人、重大税收违法案件当事人名单、政府采购严重违法失信行为记录名单等重大违法记录。</w:t>
      </w:r>
    </w:p>
    <w:p>
      <w:pPr>
        <w:spacing w:line="44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如有虚假，我司愿意接受相关处罚。</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440" w:lineRule="exact"/>
        <w:ind w:firstLine="480" w:firstLineChars="200"/>
        <w:rPr>
          <w:rFonts w:hint="eastAsia" w:ascii="宋体" w:hAnsi="宋体" w:eastAsia="宋体" w:cs="宋体"/>
          <w:color w:val="auto"/>
          <w:sz w:val="24"/>
          <w:szCs w:val="24"/>
        </w:rPr>
      </w:pP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投标人名称：              （公章）</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地址：                               邮编：          </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电话：              传真：             </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授权代表：   （签字或私章）            职务：                  </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日期：                  </w:t>
      </w:r>
    </w:p>
    <w:p>
      <w:pPr>
        <w:spacing w:line="440" w:lineRule="exact"/>
        <w:ind w:firstLine="480" w:firstLineChars="200"/>
        <w:rPr>
          <w:rFonts w:hint="eastAsia" w:ascii="宋体" w:hAnsi="宋体" w:eastAsia="宋体" w:cs="宋体"/>
          <w:color w:val="auto"/>
          <w:sz w:val="24"/>
          <w:szCs w:val="24"/>
        </w:rPr>
      </w:pPr>
    </w:p>
    <w:p>
      <w:pPr>
        <w:spacing w:line="440" w:lineRule="exact"/>
        <w:ind w:firstLine="480" w:firstLineChars="200"/>
        <w:rPr>
          <w:rFonts w:hint="eastAsia" w:ascii="宋体" w:hAnsi="宋体" w:eastAsia="宋体" w:cs="宋体"/>
          <w:color w:val="auto"/>
          <w:sz w:val="24"/>
          <w:szCs w:val="24"/>
        </w:rPr>
      </w:pP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注：提供信用中国或中国政府采购网信用查询页面截图</w:t>
      </w:r>
    </w:p>
    <w:p>
      <w:pPr>
        <w:spacing w:line="440" w:lineRule="exact"/>
        <w:ind w:firstLine="480" w:firstLineChars="200"/>
        <w:rPr>
          <w:rFonts w:hint="eastAsia" w:ascii="宋体" w:hAnsi="宋体" w:eastAsia="宋体" w:cs="宋体"/>
          <w:color w:val="auto"/>
          <w:sz w:val="24"/>
          <w:szCs w:val="24"/>
        </w:rPr>
      </w:pPr>
    </w:p>
    <w:p>
      <w:pPr>
        <w:spacing w:line="440" w:lineRule="exact"/>
        <w:ind w:firstLine="480" w:firstLineChars="200"/>
        <w:rPr>
          <w:rFonts w:hint="eastAsia" w:ascii="宋体" w:hAnsi="宋体" w:eastAsia="宋体" w:cs="宋体"/>
          <w:color w:val="auto"/>
          <w:sz w:val="24"/>
          <w:szCs w:val="24"/>
        </w:rPr>
      </w:pPr>
    </w:p>
    <w:p>
      <w:pPr>
        <w:spacing w:line="440" w:lineRule="exact"/>
        <w:ind w:firstLine="480" w:firstLineChars="200"/>
        <w:rPr>
          <w:rFonts w:hint="eastAsia" w:ascii="宋体" w:hAnsi="宋体" w:eastAsia="宋体" w:cs="宋体"/>
          <w:color w:val="auto"/>
        </w:rPr>
      </w:pPr>
      <w:r>
        <w:rPr>
          <w:rFonts w:hint="eastAsia" w:ascii="宋体" w:hAnsi="宋体" w:eastAsia="宋体" w:cs="宋体"/>
          <w:color w:val="auto"/>
          <w:sz w:val="24"/>
          <w:szCs w:val="24"/>
        </w:rPr>
        <w:br w:type="page"/>
      </w:r>
      <w:bookmarkStart w:id="145" w:name="_Toc417386188"/>
      <w:bookmarkStart w:id="146" w:name="_Toc508276025"/>
      <w:bookmarkStart w:id="147" w:name="_Toc462068981"/>
      <w:bookmarkStart w:id="148" w:name="_Toc491437834"/>
      <w:r>
        <w:rPr>
          <w:rFonts w:hint="eastAsia" w:ascii="宋体" w:hAnsi="宋体" w:eastAsia="宋体" w:cs="宋体"/>
          <w:b/>
          <w:bCs/>
          <w:color w:val="auto"/>
          <w:sz w:val="32"/>
          <w:szCs w:val="32"/>
        </w:rPr>
        <w:t>表5</w:t>
      </w:r>
    </w:p>
    <w:p>
      <w:pPr>
        <w:pStyle w:val="2"/>
        <w:numPr>
          <w:ilvl w:val="2"/>
          <w:numId w:val="0"/>
        </w:numPr>
        <w:spacing w:before="0" w:after="0"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投标人项目业绩表</w:t>
      </w:r>
      <w:bookmarkEnd w:id="145"/>
      <w:bookmarkEnd w:id="146"/>
      <w:bookmarkEnd w:id="147"/>
      <w:bookmarkEnd w:id="148"/>
    </w:p>
    <w:p>
      <w:pPr>
        <w:spacing w:line="360" w:lineRule="auto"/>
        <w:rPr>
          <w:rFonts w:hint="eastAsia" w:ascii="宋体" w:hAnsi="宋体" w:eastAsia="宋体" w:cs="宋体"/>
          <w:color w:val="auto"/>
          <w:sz w:val="24"/>
        </w:rPr>
      </w:pPr>
    </w:p>
    <w:p>
      <w:pPr>
        <w:spacing w:line="360" w:lineRule="auto"/>
        <w:rPr>
          <w:rFonts w:hint="eastAsia" w:ascii="宋体" w:hAnsi="宋体" w:eastAsia="宋体" w:cs="宋体"/>
          <w:color w:val="auto"/>
          <w:sz w:val="24"/>
          <w:lang w:val="en-US" w:eastAsia="zh-CN"/>
        </w:rPr>
      </w:pPr>
      <w:r>
        <w:rPr>
          <w:rFonts w:hint="eastAsia" w:ascii="宋体" w:hAnsi="宋体" w:eastAsia="宋体" w:cs="宋体"/>
          <w:color w:val="auto"/>
          <w:sz w:val="24"/>
        </w:rPr>
        <w:t>项目名称：</w:t>
      </w:r>
      <w:r>
        <w:rPr>
          <w:rFonts w:hint="eastAsia" w:ascii="宋体" w:hAnsi="宋体" w:cs="宋体"/>
          <w:color w:val="auto"/>
          <w:sz w:val="24"/>
          <w:szCs w:val="24"/>
          <w:u w:val="single"/>
          <w:lang w:eastAsia="zh-CN"/>
        </w:rPr>
        <w:t>海口市房地楼幢测绘及编制不动产单元编码项目</w:t>
      </w:r>
      <w:r>
        <w:rPr>
          <w:rFonts w:hint="eastAsia" w:ascii="宋体" w:hAnsi="宋体" w:eastAsia="宋体" w:cs="宋体"/>
          <w:color w:val="auto"/>
          <w:sz w:val="24"/>
          <w:szCs w:val="24"/>
        </w:rPr>
        <w:t xml:space="preserve">  </w:t>
      </w: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 xml:space="preserve">              </w:t>
      </w:r>
    </w:p>
    <w:p>
      <w:pPr>
        <w:spacing w:line="360" w:lineRule="auto"/>
        <w:rPr>
          <w:rFonts w:hint="eastAsia" w:ascii="宋体" w:hAnsi="宋体" w:eastAsia="宋体" w:cs="宋体"/>
          <w:color w:val="auto"/>
          <w:sz w:val="24"/>
          <w:u w:val="single"/>
          <w:lang w:eastAsia="zh-CN"/>
        </w:rPr>
      </w:pPr>
      <w:r>
        <w:rPr>
          <w:rFonts w:hint="eastAsia" w:ascii="宋体" w:hAnsi="宋体" w:eastAsia="宋体" w:cs="宋体"/>
          <w:color w:val="auto"/>
          <w:sz w:val="24"/>
        </w:rPr>
        <w:t>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ZLHX201</w:t>
      </w:r>
      <w:r>
        <w:rPr>
          <w:rFonts w:hint="eastAsia" w:ascii="宋体" w:hAnsi="宋体" w:cs="宋体"/>
          <w:color w:val="auto"/>
          <w:sz w:val="24"/>
          <w:u w:val="single"/>
          <w:lang w:val="en-US" w:eastAsia="zh-CN"/>
        </w:rPr>
        <w:t>9</w:t>
      </w:r>
      <w:r>
        <w:rPr>
          <w:rFonts w:hint="eastAsia" w:ascii="宋体" w:hAnsi="宋体" w:eastAsia="宋体" w:cs="宋体"/>
          <w:color w:val="auto"/>
          <w:sz w:val="24"/>
          <w:u w:val="single"/>
          <w:lang w:eastAsia="zh-CN"/>
        </w:rPr>
        <w:t>-0</w:t>
      </w:r>
      <w:r>
        <w:rPr>
          <w:rFonts w:hint="eastAsia" w:ascii="宋体" w:hAnsi="宋体" w:cs="宋体"/>
          <w:color w:val="auto"/>
          <w:sz w:val="24"/>
          <w:u w:val="single"/>
          <w:lang w:val="en-US" w:eastAsia="zh-CN"/>
        </w:rPr>
        <w:t>0</w:t>
      </w:r>
      <w:r>
        <w:rPr>
          <w:rFonts w:hint="eastAsia" w:ascii="宋体" w:hAnsi="宋体" w:eastAsia="宋体" w:cs="宋体"/>
          <w:color w:val="auto"/>
          <w:sz w:val="24"/>
          <w:u w:val="single"/>
          <w:lang w:eastAsia="zh-CN"/>
        </w:rPr>
        <w:t>8</w:t>
      </w:r>
    </w:p>
    <w:tbl>
      <w:tblPr>
        <w:tblStyle w:val="6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18"/>
        <w:gridCol w:w="1881"/>
        <w:gridCol w:w="1198"/>
        <w:gridCol w:w="1196"/>
        <w:gridCol w:w="1774"/>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rPr>
            </w:pPr>
            <w:r>
              <w:rPr>
                <w:rFonts w:hint="eastAsia" w:ascii="宋体" w:hAnsi="宋体" w:eastAsia="宋体" w:cs="宋体"/>
                <w:b/>
                <w:color w:val="auto"/>
              </w:rPr>
              <w:t>序号</w:t>
            </w:r>
          </w:p>
        </w:tc>
        <w:tc>
          <w:tcPr>
            <w:tcW w:w="15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rPr>
            </w:pPr>
            <w:r>
              <w:rPr>
                <w:rFonts w:hint="eastAsia" w:ascii="宋体" w:hAnsi="宋体" w:eastAsia="宋体" w:cs="宋体"/>
                <w:b/>
                <w:color w:val="auto"/>
              </w:rPr>
              <w:t>项目名称</w:t>
            </w:r>
          </w:p>
        </w:tc>
        <w:tc>
          <w:tcPr>
            <w:tcW w:w="18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rPr>
            </w:pPr>
            <w:r>
              <w:rPr>
                <w:rFonts w:hint="eastAsia" w:ascii="宋体" w:hAnsi="宋体" w:eastAsia="宋体" w:cs="宋体"/>
                <w:b/>
                <w:color w:val="auto"/>
              </w:rPr>
              <w:t>项目内容</w:t>
            </w:r>
          </w:p>
        </w:tc>
        <w:tc>
          <w:tcPr>
            <w:tcW w:w="11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rPr>
            </w:pPr>
            <w:r>
              <w:rPr>
                <w:rFonts w:hint="eastAsia" w:ascii="宋体" w:hAnsi="宋体" w:eastAsia="宋体" w:cs="宋体"/>
                <w:b/>
                <w:color w:val="auto"/>
              </w:rPr>
              <w:t>合同金额</w:t>
            </w:r>
          </w:p>
        </w:tc>
        <w:tc>
          <w:tcPr>
            <w:tcW w:w="11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rPr>
            </w:pPr>
            <w:r>
              <w:rPr>
                <w:rFonts w:hint="eastAsia" w:ascii="宋体" w:hAnsi="宋体" w:eastAsia="宋体" w:cs="宋体"/>
                <w:b/>
                <w:color w:val="auto"/>
              </w:rPr>
              <w:t>签约时间</w:t>
            </w:r>
          </w:p>
        </w:tc>
        <w:tc>
          <w:tcPr>
            <w:tcW w:w="17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rPr>
            </w:pPr>
            <w:r>
              <w:rPr>
                <w:rFonts w:hint="eastAsia" w:ascii="宋体" w:hAnsi="宋体" w:eastAsia="宋体" w:cs="宋体"/>
                <w:b/>
                <w:color w:val="auto"/>
              </w:rPr>
              <w:t>业主联系人电话</w:t>
            </w:r>
          </w:p>
        </w:tc>
        <w:tc>
          <w:tcPr>
            <w:tcW w:w="7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rPr>
            </w:pPr>
            <w:r>
              <w:rPr>
                <w:rFonts w:hint="eastAsia" w:ascii="宋体" w:hAnsi="宋体" w:eastAsia="宋体" w:cs="宋体"/>
                <w:b/>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51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881"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eastAsia="宋体" w:cs="宋体"/>
                <w:b/>
                <w:color w:val="auto"/>
              </w:rPr>
            </w:pPr>
          </w:p>
        </w:tc>
        <w:tc>
          <w:tcPr>
            <w:tcW w:w="11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rPr>
            </w:pPr>
          </w:p>
        </w:tc>
        <w:tc>
          <w:tcPr>
            <w:tcW w:w="17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rPr>
            </w:pPr>
          </w:p>
        </w:tc>
        <w:tc>
          <w:tcPr>
            <w:tcW w:w="790"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51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881"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6"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774"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790"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51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881"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6"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774"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790"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51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881"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6"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774"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790"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51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881"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6"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774"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790"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51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881"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8"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196"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1774"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c>
          <w:tcPr>
            <w:tcW w:w="790"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color w:val="auto"/>
              </w:rPr>
            </w:pPr>
          </w:p>
        </w:tc>
      </w:tr>
    </w:tbl>
    <w:p>
      <w:pPr>
        <w:snapToGrid w:val="0"/>
        <w:spacing w:line="360" w:lineRule="auto"/>
        <w:rPr>
          <w:rFonts w:hint="eastAsia" w:ascii="宋体" w:hAnsi="宋体" w:eastAsia="宋体" w:cs="宋体"/>
          <w:color w:val="auto"/>
          <w:sz w:val="24"/>
        </w:rPr>
      </w:pPr>
    </w:p>
    <w:p>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投标人全称（公章）：            授权代表（签名或私章）：</w:t>
      </w:r>
    </w:p>
    <w:p>
      <w:pPr>
        <w:tabs>
          <w:tab w:val="left" w:pos="630"/>
        </w:tabs>
        <w:spacing w:line="360" w:lineRule="auto"/>
        <w:rPr>
          <w:rFonts w:hint="eastAsia" w:ascii="宋体" w:hAnsi="宋体" w:eastAsia="宋体" w:cs="宋体"/>
          <w:color w:val="auto"/>
        </w:rPr>
      </w:pPr>
      <w:r>
        <w:rPr>
          <w:rFonts w:hint="eastAsia" w:ascii="宋体" w:hAnsi="宋体" w:eastAsia="宋体" w:cs="宋体"/>
          <w:color w:val="auto"/>
        </w:rPr>
        <w:t xml:space="preserve"> </w:t>
      </w:r>
    </w:p>
    <w:p>
      <w:pPr>
        <w:widowControl/>
        <w:adjustRightInd w:val="0"/>
        <w:snapToGrid w:val="0"/>
        <w:spacing w:line="440" w:lineRule="exact"/>
        <w:jc w:val="left"/>
        <w:outlineLvl w:val="2"/>
        <w:rPr>
          <w:rFonts w:hint="eastAsia" w:ascii="宋体" w:hAnsi="宋体" w:eastAsia="宋体" w:cs="宋体"/>
          <w:color w:val="auto"/>
        </w:rPr>
      </w:pPr>
      <w:r>
        <w:rPr>
          <w:rFonts w:hint="eastAsia" w:ascii="宋体" w:hAnsi="宋体" w:eastAsia="宋体" w:cs="宋体"/>
          <w:color w:val="auto"/>
        </w:rPr>
        <w:t xml:space="preserve"> 注：1、在此表后面按顺序附上各项目的合同复印件。</w:t>
      </w: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宋体" w:hAnsi="宋体" w:eastAsia="宋体" w:cs="宋体"/>
          <w:color w:val="auto"/>
        </w:rPr>
      </w:pPr>
    </w:p>
    <w:p>
      <w:pPr>
        <w:widowControl/>
        <w:adjustRightInd w:val="0"/>
        <w:snapToGrid w:val="0"/>
        <w:spacing w:line="440" w:lineRule="exact"/>
        <w:jc w:val="left"/>
        <w:outlineLvl w:val="2"/>
        <w:rPr>
          <w:rFonts w:hint="eastAsia" w:asciiTheme="minorEastAsia" w:hAnsiTheme="minorEastAsia" w:eastAsiaTheme="minorEastAsia"/>
          <w:color w:val="auto"/>
          <w:sz w:val="24"/>
        </w:rPr>
      </w:pPr>
    </w:p>
    <w:p>
      <w:pPr>
        <w:spacing w:line="360" w:lineRule="auto"/>
        <w:rPr>
          <w:rFonts w:asciiTheme="minorEastAsia" w:hAnsiTheme="minorEastAsia" w:eastAsiaTheme="minorEastAsia"/>
          <w:color w:val="auto"/>
        </w:rPr>
      </w:pPr>
    </w:p>
    <w:p>
      <w:pPr>
        <w:pStyle w:val="2"/>
        <w:numPr>
          <w:ilvl w:val="2"/>
          <w:numId w:val="0"/>
        </w:numPr>
        <w:spacing w:before="0" w:after="0" w:line="360" w:lineRule="auto"/>
        <w:jc w:val="both"/>
        <w:rPr>
          <w:rFonts w:hint="eastAsia" w:ascii="宋体" w:hAnsi="宋体" w:eastAsia="宋体" w:cs="宋体"/>
          <w:color w:val="auto"/>
          <w:lang w:eastAsia="zh-CN"/>
        </w:rPr>
      </w:pPr>
      <w:r>
        <w:rPr>
          <w:rFonts w:hint="eastAsia" w:ascii="宋体" w:hAnsi="宋体" w:eastAsia="宋体" w:cs="宋体"/>
          <w:b/>
          <w:bCs/>
          <w:color w:val="auto"/>
          <w:sz w:val="32"/>
          <w:szCs w:val="32"/>
        </w:rPr>
        <w:t>表</w:t>
      </w:r>
      <w:r>
        <w:rPr>
          <w:rFonts w:hint="eastAsia" w:ascii="宋体" w:hAnsi="宋体" w:eastAsia="宋体" w:cs="宋体"/>
          <w:b/>
          <w:bCs/>
          <w:color w:val="auto"/>
          <w:sz w:val="32"/>
          <w:szCs w:val="32"/>
          <w:lang w:val="en-US" w:eastAsia="zh-CN"/>
        </w:rPr>
        <w:t>6</w:t>
      </w:r>
    </w:p>
    <w:p>
      <w:pPr>
        <w:spacing w:line="440" w:lineRule="exact"/>
        <w:jc w:val="center"/>
        <w:rPr>
          <w:rFonts w:hint="eastAsia" w:ascii="宋体" w:hAnsi="宋体" w:cs="宋体"/>
          <w:b/>
          <w:color w:val="auto"/>
          <w:sz w:val="30"/>
          <w:szCs w:val="30"/>
        </w:rPr>
      </w:pPr>
      <w:r>
        <w:rPr>
          <w:rFonts w:hint="eastAsia" w:ascii="宋体" w:hAnsi="宋体"/>
          <w:b/>
          <w:color w:val="auto"/>
          <w:sz w:val="30"/>
          <w:szCs w:val="30"/>
        </w:rPr>
        <w:t>现场勘察</w:t>
      </w:r>
      <w:r>
        <w:rPr>
          <w:rFonts w:hint="eastAsia" w:ascii="宋体" w:hAnsi="宋体"/>
          <w:b/>
          <w:color w:val="auto"/>
          <w:sz w:val="30"/>
          <w:szCs w:val="30"/>
          <w:lang w:val="zh-CN"/>
        </w:rPr>
        <w:t>确认函</w:t>
      </w:r>
      <w:r>
        <w:rPr>
          <w:rFonts w:hint="eastAsia" w:ascii="宋体" w:hAnsi="宋体" w:cs="宋体"/>
          <w:b/>
          <w:color w:val="auto"/>
          <w:sz w:val="30"/>
          <w:szCs w:val="30"/>
        </w:rPr>
        <w:t>（格式）</w:t>
      </w:r>
    </w:p>
    <w:p>
      <w:pPr>
        <w:pStyle w:val="140"/>
        <w:spacing w:before="156" w:beforeLines="50" w:after="312" w:afterLines="100" w:line="440" w:lineRule="exact"/>
        <w:jc w:val="center"/>
        <w:rPr>
          <w:rFonts w:hint="eastAsia" w:ascii="宋体" w:hAnsi="宋体"/>
          <w:b/>
          <w:bCs/>
          <w:color w:val="auto"/>
          <w:sz w:val="24"/>
          <w:szCs w:val="24"/>
        </w:rPr>
      </w:pPr>
      <w:r>
        <w:rPr>
          <w:rFonts w:hint="eastAsia" w:ascii="宋体" w:hAnsi="宋体"/>
          <w:b/>
          <w:bCs/>
          <w:color w:val="auto"/>
          <w:sz w:val="24"/>
          <w:szCs w:val="24"/>
        </w:rPr>
        <w:t>（项目编号：</w:t>
      </w:r>
      <w:r>
        <w:rPr>
          <w:rFonts w:hint="eastAsia" w:ascii="宋体" w:hAnsi="宋体"/>
          <w:b/>
          <w:bCs/>
          <w:color w:val="auto"/>
          <w:sz w:val="24"/>
          <w:szCs w:val="24"/>
          <w:u w:val="single"/>
        </w:rPr>
        <w:t>ZLHX201</w:t>
      </w:r>
      <w:r>
        <w:rPr>
          <w:rFonts w:hint="eastAsia" w:ascii="宋体" w:hAnsi="宋体"/>
          <w:b/>
          <w:bCs/>
          <w:color w:val="auto"/>
          <w:sz w:val="24"/>
          <w:szCs w:val="24"/>
          <w:u w:val="single"/>
          <w:lang w:val="en-US" w:eastAsia="zh-CN"/>
        </w:rPr>
        <w:t>9</w:t>
      </w:r>
      <w:r>
        <w:rPr>
          <w:rFonts w:hint="eastAsia" w:ascii="宋体" w:hAnsi="宋体"/>
          <w:b/>
          <w:bCs/>
          <w:color w:val="auto"/>
          <w:sz w:val="24"/>
          <w:szCs w:val="24"/>
          <w:u w:val="single"/>
        </w:rPr>
        <w:t>-0</w:t>
      </w:r>
      <w:r>
        <w:rPr>
          <w:rFonts w:hint="eastAsia" w:ascii="宋体" w:hAnsi="宋体"/>
          <w:b/>
          <w:bCs/>
          <w:color w:val="auto"/>
          <w:sz w:val="24"/>
          <w:szCs w:val="24"/>
          <w:u w:val="single"/>
          <w:lang w:val="en-US" w:eastAsia="zh-CN"/>
        </w:rPr>
        <w:t>08</w:t>
      </w:r>
      <w:r>
        <w:rPr>
          <w:rFonts w:hint="eastAsia" w:ascii="宋体" w:hAnsi="宋体"/>
          <w:b/>
          <w:bCs/>
          <w:color w:val="auto"/>
          <w:sz w:val="24"/>
          <w:szCs w:val="24"/>
        </w:rPr>
        <w:t>）</w:t>
      </w:r>
    </w:p>
    <w:p>
      <w:pPr>
        <w:pStyle w:val="140"/>
        <w:spacing w:line="440" w:lineRule="exact"/>
        <w:ind w:firstLine="480" w:firstLineChars="200"/>
        <w:rPr>
          <w:rFonts w:hint="eastAsia" w:ascii="宋体" w:hAnsi="宋体"/>
          <w:color w:val="auto"/>
          <w:sz w:val="24"/>
          <w:szCs w:val="24"/>
        </w:rPr>
      </w:pPr>
      <w:r>
        <w:rPr>
          <w:rFonts w:hint="eastAsia" w:ascii="宋体" w:hAnsi="宋体"/>
          <w:color w:val="auto"/>
          <w:sz w:val="24"/>
          <w:szCs w:val="24"/>
        </w:rPr>
        <w:t>我公司于</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日，就</w:t>
      </w:r>
      <w:r>
        <w:rPr>
          <w:rFonts w:hint="eastAsia" w:ascii="宋体" w:hAnsi="宋体"/>
          <w:b/>
          <w:bCs/>
          <w:color w:val="auto"/>
          <w:sz w:val="24"/>
          <w:szCs w:val="24"/>
          <w:u w:val="single"/>
        </w:rPr>
        <w:t>海口市不动产登记中心</w:t>
      </w:r>
      <w:r>
        <w:rPr>
          <w:rFonts w:hint="eastAsia" w:ascii="宋体" w:hAnsi="宋体"/>
          <w:color w:val="auto"/>
          <w:sz w:val="24"/>
          <w:szCs w:val="24"/>
        </w:rPr>
        <w:t>的</w:t>
      </w:r>
      <w:r>
        <w:rPr>
          <w:rFonts w:hint="eastAsia" w:ascii="宋体" w:hAnsi="宋体"/>
          <w:b/>
          <w:bCs/>
          <w:color w:val="auto"/>
          <w:sz w:val="24"/>
          <w:szCs w:val="24"/>
          <w:u w:val="single"/>
        </w:rPr>
        <w:t>海口市房地楼幢测绘及编制不动产单元编码项目</w:t>
      </w:r>
      <w:r>
        <w:rPr>
          <w:rFonts w:hint="eastAsia" w:ascii="宋体" w:hAnsi="宋体"/>
          <w:color w:val="auto"/>
          <w:sz w:val="24"/>
          <w:szCs w:val="24"/>
        </w:rPr>
        <w:t>的现场进行了实地踏勘，对现场情况都进行了了解和确认，并编制（或绘制）了相关实施方案。</w:t>
      </w:r>
    </w:p>
    <w:p>
      <w:pPr>
        <w:pStyle w:val="140"/>
        <w:spacing w:line="440" w:lineRule="exact"/>
        <w:ind w:firstLine="480" w:firstLineChars="200"/>
        <w:rPr>
          <w:rFonts w:hint="eastAsia" w:ascii="宋体" w:hAnsi="宋体"/>
          <w:color w:val="auto"/>
          <w:sz w:val="24"/>
          <w:szCs w:val="24"/>
        </w:rPr>
      </w:pPr>
    </w:p>
    <w:p>
      <w:pPr>
        <w:pStyle w:val="140"/>
        <w:spacing w:line="440" w:lineRule="exact"/>
        <w:ind w:firstLine="480" w:firstLineChars="200"/>
        <w:rPr>
          <w:rFonts w:hint="eastAsia" w:ascii="宋体" w:hAnsi="宋体"/>
          <w:color w:val="auto"/>
          <w:sz w:val="24"/>
          <w:szCs w:val="24"/>
        </w:rPr>
      </w:pPr>
    </w:p>
    <w:p>
      <w:pPr>
        <w:pStyle w:val="140"/>
        <w:spacing w:before="468" w:beforeLines="150" w:after="468" w:afterLines="150" w:line="440" w:lineRule="exact"/>
        <w:ind w:left="-420" w:leftChars="-200" w:right="-420" w:rightChars="-200"/>
        <w:rPr>
          <w:rFonts w:hint="eastAsia" w:ascii="宋体" w:hAnsi="宋体"/>
          <w:color w:val="auto"/>
          <w:sz w:val="24"/>
          <w:szCs w:val="24"/>
        </w:rPr>
      </w:pPr>
      <w:r>
        <w:rPr>
          <w:rFonts w:hint="eastAsia" w:ascii="宋体" w:hAnsi="宋体"/>
          <w:b/>
          <w:bCs/>
          <w:color w:val="auto"/>
          <w:sz w:val="24"/>
          <w:szCs w:val="24"/>
        </w:rPr>
        <w:t>踏勘单位：</w:t>
      </w:r>
      <w:r>
        <w:rPr>
          <w:rFonts w:hint="eastAsia" w:ascii="宋体" w:hAnsi="宋体"/>
          <w:color w:val="auto"/>
          <w:sz w:val="24"/>
          <w:szCs w:val="24"/>
          <w:u w:val="single"/>
        </w:rPr>
        <w:t xml:space="preserve">                   （盖章）</w:t>
      </w:r>
      <w:r>
        <w:rPr>
          <w:rFonts w:hint="eastAsia" w:ascii="宋体" w:hAnsi="宋体"/>
          <w:color w:val="auto"/>
          <w:sz w:val="24"/>
          <w:szCs w:val="24"/>
        </w:rPr>
        <w:t xml:space="preserve">       </w:t>
      </w:r>
      <w:r>
        <w:rPr>
          <w:rFonts w:hint="eastAsia" w:ascii="宋体" w:hAnsi="宋体"/>
          <w:b/>
          <w:bCs/>
          <w:color w:val="auto"/>
          <w:sz w:val="24"/>
          <w:szCs w:val="24"/>
        </w:rPr>
        <w:t>业主单位：</w:t>
      </w:r>
      <w:r>
        <w:rPr>
          <w:rFonts w:hint="eastAsia" w:ascii="宋体" w:hAnsi="宋体"/>
          <w:color w:val="auto"/>
          <w:sz w:val="24"/>
          <w:szCs w:val="24"/>
          <w:u w:val="single"/>
        </w:rPr>
        <w:t xml:space="preserve">                   </w:t>
      </w:r>
      <w:r>
        <w:rPr>
          <w:rFonts w:hint="eastAsia" w:ascii="宋体" w:hAnsi="宋体"/>
          <w:bCs/>
          <w:color w:val="auto"/>
          <w:sz w:val="24"/>
          <w:szCs w:val="24"/>
          <w:u w:val="single"/>
        </w:rPr>
        <w:t>（盖章）</w:t>
      </w:r>
    </w:p>
    <w:p>
      <w:pPr>
        <w:pStyle w:val="140"/>
        <w:spacing w:before="468" w:beforeLines="150" w:after="468" w:afterLines="150" w:line="440" w:lineRule="exact"/>
        <w:ind w:left="-420" w:leftChars="-200" w:right="-420" w:rightChars="-200"/>
        <w:jc w:val="left"/>
        <w:rPr>
          <w:rFonts w:hint="eastAsia" w:ascii="宋体" w:hAnsi="宋体"/>
          <w:b/>
          <w:bCs/>
          <w:color w:val="auto"/>
          <w:sz w:val="24"/>
          <w:szCs w:val="24"/>
          <w:u w:val="single"/>
        </w:rPr>
      </w:pPr>
      <w:r>
        <w:rPr>
          <w:rFonts w:hint="eastAsia" w:ascii="宋体" w:hAnsi="宋体"/>
          <w:b/>
          <w:bCs/>
          <w:color w:val="auto"/>
          <w:sz w:val="24"/>
          <w:szCs w:val="24"/>
        </w:rPr>
        <w:t>踏勘单位代表签名：</w:t>
      </w:r>
      <w:r>
        <w:rPr>
          <w:rFonts w:hint="eastAsia" w:ascii="宋体" w:hAnsi="宋体"/>
          <w:color w:val="auto"/>
          <w:sz w:val="24"/>
          <w:szCs w:val="24"/>
          <w:u w:val="single"/>
        </w:rPr>
        <w:t xml:space="preserve">   </w:t>
      </w:r>
      <w:r>
        <w:rPr>
          <w:rFonts w:hint="eastAsia" w:ascii="宋体" w:hAnsi="宋体"/>
          <w:b/>
          <w:color w:val="auto"/>
          <w:sz w:val="24"/>
          <w:szCs w:val="24"/>
          <w:u w:val="single"/>
        </w:rPr>
        <w:t xml:space="preserve">              </w:t>
      </w:r>
      <w:r>
        <w:rPr>
          <w:rFonts w:hint="eastAsia" w:ascii="宋体" w:hAnsi="宋体"/>
          <w:color w:val="auto"/>
          <w:sz w:val="24"/>
          <w:szCs w:val="24"/>
          <w:u w:val="single"/>
        </w:rPr>
        <w:t xml:space="preserve">  </w:t>
      </w:r>
      <w:r>
        <w:rPr>
          <w:rFonts w:hint="eastAsia" w:ascii="宋体" w:hAnsi="宋体"/>
          <w:color w:val="auto"/>
          <w:sz w:val="24"/>
          <w:szCs w:val="24"/>
        </w:rPr>
        <w:t xml:space="preserve">       </w:t>
      </w:r>
      <w:r>
        <w:rPr>
          <w:rFonts w:hint="eastAsia" w:ascii="宋体" w:hAnsi="宋体"/>
          <w:b/>
          <w:bCs/>
          <w:color w:val="auto"/>
          <w:sz w:val="24"/>
          <w:szCs w:val="24"/>
        </w:rPr>
        <w:t>业主单位代表签名：</w:t>
      </w:r>
      <w:r>
        <w:rPr>
          <w:rFonts w:hint="eastAsia" w:ascii="宋体" w:hAnsi="宋体"/>
          <w:color w:val="auto"/>
          <w:sz w:val="24"/>
          <w:szCs w:val="24"/>
          <w:u w:val="single"/>
        </w:rPr>
        <w:t xml:space="preserve">              </w:t>
      </w:r>
      <w:r>
        <w:rPr>
          <w:rFonts w:hint="eastAsia" w:ascii="宋体" w:hAnsi="宋体"/>
          <w:b/>
          <w:color w:val="auto"/>
          <w:sz w:val="24"/>
          <w:szCs w:val="24"/>
          <w:u w:val="single"/>
        </w:rPr>
        <w:t xml:space="preserve">     </w:t>
      </w:r>
    </w:p>
    <w:p>
      <w:pPr>
        <w:spacing w:before="468" w:beforeLines="150" w:after="468" w:afterLines="150" w:line="440" w:lineRule="exact"/>
        <w:ind w:left="-420" w:leftChars="-200" w:right="-420" w:rightChars="-200"/>
        <w:rPr>
          <w:rFonts w:hint="eastAsia" w:ascii="宋体" w:hAnsi="宋体"/>
          <w:color w:val="auto"/>
          <w:sz w:val="24"/>
        </w:rPr>
      </w:pPr>
      <w:r>
        <w:rPr>
          <w:rFonts w:hint="eastAsia" w:ascii="宋体" w:hAnsi="宋体"/>
          <w:b/>
          <w:bCs/>
          <w:color w:val="auto"/>
          <w:sz w:val="24"/>
        </w:rPr>
        <w:t>日期：</w:t>
      </w:r>
      <w:r>
        <w:rPr>
          <w:rFonts w:hint="eastAsia" w:ascii="宋体" w:hAnsi="宋体"/>
          <w:b/>
          <w:bCs/>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 xml:space="preserve">日                </w:t>
      </w:r>
      <w:r>
        <w:rPr>
          <w:rFonts w:hint="eastAsia" w:ascii="宋体" w:hAnsi="宋体"/>
          <w:b/>
          <w:bCs/>
          <w:color w:val="auto"/>
          <w:sz w:val="24"/>
        </w:rPr>
        <w:t>日期：</w:t>
      </w:r>
      <w:r>
        <w:rPr>
          <w:rFonts w:hint="eastAsia" w:ascii="宋体" w:hAnsi="宋体"/>
          <w:b/>
          <w:bCs/>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pPr>
        <w:spacing w:after="156" w:afterLines="50" w:line="440" w:lineRule="exact"/>
        <w:jc w:val="left"/>
        <w:rPr>
          <w:rFonts w:hint="eastAsia" w:ascii="宋体" w:hAnsi="宋体" w:cs="宋体"/>
          <w:b/>
          <w:bCs/>
          <w:color w:val="auto"/>
          <w:kern w:val="0"/>
          <w:sz w:val="30"/>
          <w:szCs w:val="30"/>
        </w:rPr>
      </w:pPr>
    </w:p>
    <w:p>
      <w:pPr>
        <w:spacing w:line="360" w:lineRule="auto"/>
        <w:rPr>
          <w:rFonts w:asciiTheme="minorEastAsia" w:hAnsiTheme="minorEastAsia" w:eastAsiaTheme="minorEastAsia"/>
          <w:color w:val="auto"/>
        </w:rPr>
      </w:pPr>
    </w:p>
    <w:p>
      <w:pPr>
        <w:spacing w:line="360" w:lineRule="auto"/>
        <w:rPr>
          <w:rFonts w:asciiTheme="minorEastAsia" w:hAnsiTheme="minorEastAsia" w:eastAsiaTheme="minorEastAsia"/>
          <w:color w:val="auto"/>
        </w:rPr>
      </w:pPr>
    </w:p>
    <w:p>
      <w:pPr>
        <w:spacing w:line="360" w:lineRule="auto"/>
        <w:rPr>
          <w:rFonts w:asciiTheme="minorEastAsia" w:hAnsiTheme="minorEastAsia" w:eastAsiaTheme="minorEastAsia"/>
          <w:color w:val="auto"/>
        </w:rPr>
      </w:pPr>
    </w:p>
    <w:p>
      <w:pPr>
        <w:spacing w:line="360" w:lineRule="auto"/>
        <w:rPr>
          <w:rFonts w:asciiTheme="minorEastAsia" w:hAnsiTheme="minorEastAsia" w:eastAsiaTheme="minorEastAsia"/>
          <w:color w:val="auto"/>
        </w:rPr>
      </w:pPr>
    </w:p>
    <w:p>
      <w:pPr>
        <w:spacing w:line="360" w:lineRule="auto"/>
        <w:rPr>
          <w:rFonts w:asciiTheme="minorEastAsia" w:hAnsiTheme="minorEastAsia" w:eastAsiaTheme="minorEastAsia"/>
          <w:color w:val="auto"/>
        </w:rPr>
      </w:pPr>
    </w:p>
    <w:p>
      <w:pPr>
        <w:spacing w:line="360" w:lineRule="auto"/>
        <w:rPr>
          <w:rFonts w:asciiTheme="minorEastAsia" w:hAnsiTheme="minorEastAsia" w:eastAsiaTheme="minorEastAsia"/>
          <w:color w:val="auto"/>
        </w:rPr>
      </w:pPr>
    </w:p>
    <w:p>
      <w:pPr>
        <w:spacing w:line="360" w:lineRule="auto"/>
        <w:rPr>
          <w:rFonts w:asciiTheme="minorEastAsia" w:hAnsiTheme="minorEastAsia" w:eastAsiaTheme="minorEastAsia"/>
          <w:color w:val="auto"/>
        </w:rPr>
      </w:pPr>
    </w:p>
    <w:p>
      <w:pPr>
        <w:pStyle w:val="2"/>
        <w:numPr>
          <w:ilvl w:val="2"/>
          <w:numId w:val="0"/>
        </w:numPr>
        <w:rPr>
          <w:color w:val="auto"/>
        </w:rPr>
      </w:pPr>
    </w:p>
    <w:p>
      <w:pPr>
        <w:rPr>
          <w:rFonts w:asciiTheme="minorEastAsia" w:hAnsiTheme="minorEastAsia" w:eastAsiaTheme="minorEastAsia"/>
          <w:color w:val="auto"/>
        </w:rPr>
      </w:pPr>
    </w:p>
    <w:p>
      <w:pPr>
        <w:pStyle w:val="2"/>
        <w:numPr>
          <w:ilvl w:val="2"/>
          <w:numId w:val="0"/>
        </w:numPr>
        <w:rPr>
          <w:color w:val="auto"/>
        </w:rPr>
      </w:pPr>
    </w:p>
    <w:p>
      <w:pPr>
        <w:rPr>
          <w:color w:val="auto"/>
        </w:rPr>
      </w:pPr>
    </w:p>
    <w:p>
      <w:pPr>
        <w:pStyle w:val="3"/>
        <w:jc w:val="center"/>
        <w:rPr>
          <w:rFonts w:asciiTheme="minorEastAsia" w:hAnsiTheme="minorEastAsia" w:eastAsiaTheme="minorEastAsia"/>
          <w:color w:val="auto"/>
        </w:rPr>
      </w:pPr>
      <w:bookmarkStart w:id="149" w:name="_Toc507692328"/>
      <w:bookmarkStart w:id="150" w:name="_Toc23770"/>
      <w:bookmarkStart w:id="151" w:name="_Toc372097348"/>
      <w:r>
        <w:rPr>
          <w:rFonts w:hint="eastAsia" w:asciiTheme="minorEastAsia" w:hAnsiTheme="minorEastAsia" w:eastAsiaTheme="minorEastAsia"/>
          <w:color w:val="auto"/>
        </w:rPr>
        <w:t>第五章  拟签订合同主要条款和格式</w:t>
      </w:r>
      <w:bookmarkEnd w:id="149"/>
      <w:bookmarkEnd w:id="150"/>
      <w:bookmarkEnd w:id="151"/>
      <w:bookmarkStart w:id="152" w:name="_Toc372097349"/>
      <w:bookmarkStart w:id="153" w:name="_Toc28"/>
    </w:p>
    <w:p>
      <w:pPr>
        <w:tabs>
          <w:tab w:val="center" w:pos="4394"/>
        </w:tabs>
        <w:spacing w:line="360" w:lineRule="auto"/>
        <w:jc w:val="center"/>
        <w:rPr>
          <w:rFonts w:asciiTheme="minorEastAsia" w:hAnsiTheme="minorEastAsia" w:eastAsiaTheme="minorEastAsia"/>
          <w:b/>
          <w:color w:val="auto"/>
          <w:sz w:val="30"/>
          <w:szCs w:val="30"/>
        </w:rPr>
      </w:pPr>
      <w:r>
        <w:rPr>
          <w:rFonts w:hint="eastAsia" w:asciiTheme="minorEastAsia" w:hAnsiTheme="minorEastAsia" w:eastAsiaTheme="minorEastAsia"/>
          <w:b/>
          <w:color w:val="auto"/>
          <w:sz w:val="30"/>
          <w:szCs w:val="30"/>
        </w:rPr>
        <w:t>海口市房地楼幢测绘及编制不动产单元编码项目</w:t>
      </w:r>
    </w:p>
    <w:p>
      <w:pPr>
        <w:tabs>
          <w:tab w:val="center" w:pos="4394"/>
        </w:tabs>
        <w:spacing w:line="360" w:lineRule="auto"/>
        <w:jc w:val="center"/>
        <w:rPr>
          <w:rFonts w:hint="eastAsia" w:ascii="宋体" w:hAnsi="宋体" w:cs="宋体"/>
          <w:b/>
          <w:color w:val="auto"/>
          <w:sz w:val="32"/>
          <w:szCs w:val="32"/>
        </w:rPr>
      </w:pPr>
      <w:r>
        <w:rPr>
          <w:rFonts w:asciiTheme="minorEastAsia" w:hAnsiTheme="minorEastAsia" w:eastAsiaTheme="minorEastAsia"/>
          <w:b/>
          <w:color w:val="auto"/>
          <w:sz w:val="30"/>
          <w:szCs w:val="30"/>
        </w:rPr>
        <w:t>合 同</w:t>
      </w:r>
      <w:r>
        <w:rPr>
          <w:rFonts w:hint="eastAsia" w:ascii="宋体" w:hAnsi="宋体" w:cs="宋体"/>
          <w:b/>
          <w:color w:val="auto"/>
          <w:sz w:val="32"/>
          <w:szCs w:val="32"/>
        </w:rPr>
        <w:t>（仅供参考）</w:t>
      </w:r>
    </w:p>
    <w:p>
      <w:pPr>
        <w:adjustRightInd w:val="0"/>
        <w:snapToGrid w:val="0"/>
        <w:spacing w:line="360" w:lineRule="auto"/>
        <w:jc w:val="center"/>
        <w:rPr>
          <w:rFonts w:asciiTheme="minorEastAsia" w:hAnsiTheme="minorEastAsia" w:eastAsiaTheme="minorEastAsia"/>
          <w:b/>
          <w:color w:val="auto"/>
          <w:sz w:val="30"/>
          <w:szCs w:val="30"/>
        </w:rPr>
      </w:pP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采购人：</w:t>
      </w:r>
    </w:p>
    <w:p>
      <w:pPr>
        <w:adjustRightInd w:val="0"/>
        <w:snapToGrid w:val="0"/>
        <w:spacing w:line="440" w:lineRule="exact"/>
        <w:ind w:firstLine="420" w:firstLineChars="175"/>
        <w:rPr>
          <w:rFonts w:asciiTheme="minorEastAsia" w:hAnsiTheme="minorEastAsia" w:eastAsiaTheme="minorEastAsia"/>
          <w:color w:val="auto"/>
          <w:sz w:val="24"/>
          <w:u w:val="single"/>
        </w:rPr>
      </w:pPr>
      <w:r>
        <w:rPr>
          <w:rFonts w:hint="eastAsia" w:asciiTheme="minorEastAsia" w:hAnsiTheme="minorEastAsia" w:eastAsiaTheme="minorEastAsia"/>
          <w:color w:val="auto"/>
          <w:sz w:val="24"/>
        </w:rPr>
        <w:t>承包方：</w:t>
      </w:r>
    </w:p>
    <w:p>
      <w:pPr>
        <w:tabs>
          <w:tab w:val="center" w:pos="4394"/>
        </w:tabs>
        <w:spacing w:line="440" w:lineRule="exact"/>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采购人委托中标人承担海口市主城区不动产权籍调查机载激光雷达航测工作。</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 xml:space="preserve">第一条 本合同签订依据 </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1.1《中华人民共和国合同法》、《中华人民共和国</w:t>
      </w:r>
      <w:r>
        <w:rPr>
          <w:rFonts w:hint="eastAsia" w:asciiTheme="minorEastAsia" w:hAnsiTheme="minorEastAsia" w:eastAsiaTheme="minorEastAsia"/>
          <w:color w:val="auto"/>
          <w:sz w:val="24"/>
        </w:rPr>
        <w:t>测绘</w:t>
      </w:r>
      <w:r>
        <w:rPr>
          <w:rFonts w:asciiTheme="minorEastAsia" w:hAnsiTheme="minorEastAsia" w:eastAsiaTheme="minorEastAsia"/>
          <w:color w:val="auto"/>
          <w:sz w:val="24"/>
        </w:rPr>
        <w:t>法》。</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 xml:space="preserve">2 </w:t>
      </w:r>
      <w:r>
        <w:rPr>
          <w:rFonts w:asciiTheme="minorEastAsia" w:hAnsiTheme="minorEastAsia" w:eastAsiaTheme="minorEastAsia"/>
          <w:color w:val="auto"/>
          <w:sz w:val="24"/>
        </w:rPr>
        <w:t>国家及地方有关建设工程管理法规和规章。</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 xml:space="preserve">3 </w:t>
      </w:r>
      <w:r>
        <w:rPr>
          <w:rFonts w:asciiTheme="minorEastAsia" w:hAnsiTheme="minorEastAsia" w:eastAsiaTheme="minorEastAsia"/>
          <w:color w:val="auto"/>
          <w:sz w:val="24"/>
        </w:rPr>
        <w:t>建设工程批准文件。</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 xml:space="preserve">第二条 </w:t>
      </w:r>
      <w:r>
        <w:rPr>
          <w:rFonts w:hint="eastAsia" w:asciiTheme="minorEastAsia" w:hAnsiTheme="minorEastAsia" w:eastAsiaTheme="minorEastAsia"/>
          <w:b/>
          <w:color w:val="auto"/>
          <w:sz w:val="24"/>
        </w:rPr>
        <w:t>测绘</w:t>
      </w:r>
      <w:r>
        <w:rPr>
          <w:rFonts w:asciiTheme="minorEastAsia" w:hAnsiTheme="minorEastAsia" w:eastAsiaTheme="minorEastAsia"/>
          <w:b/>
          <w:color w:val="auto"/>
          <w:sz w:val="24"/>
        </w:rPr>
        <w:t>依据</w:t>
      </w:r>
    </w:p>
    <w:p>
      <w:pPr>
        <w:snapToGrid w:val="0"/>
        <w:spacing w:line="440" w:lineRule="exact"/>
        <w:ind w:firstLine="470" w:firstLineChars="196"/>
        <w:rPr>
          <w:rFonts w:asciiTheme="minorEastAsia" w:hAnsiTheme="minorEastAsia" w:eastAsiaTheme="minorEastAsia"/>
          <w:color w:val="auto"/>
          <w:sz w:val="24"/>
        </w:rPr>
      </w:pPr>
      <w:r>
        <w:rPr>
          <w:rFonts w:asciiTheme="minorEastAsia" w:hAnsiTheme="minorEastAsia" w:eastAsiaTheme="minorEastAsia"/>
          <w:color w:val="auto"/>
          <w:sz w:val="24"/>
        </w:rPr>
        <w:t>2.1</w:t>
      </w:r>
      <w:r>
        <w:rPr>
          <w:rFonts w:hint="eastAsia" w:asciiTheme="minorEastAsia" w:hAnsiTheme="minorEastAsia" w:eastAsiaTheme="minorEastAsia"/>
          <w:color w:val="auto"/>
          <w:sz w:val="24"/>
        </w:rPr>
        <w:t>现行最新的标准、规范、规程、强制性条文以及地方政府关于工程测绘方面的文件、规定。</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2.2采购人提交的基础资料</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2</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.1提供工程航测任务委托书、技术要求和工作范围内的楼幢调查表。</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2</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2.2提供航测工作范围已有的技术资料。</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 xml:space="preserve">第三条 合同文件的优先次序 </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构成本合同的文件可视为是能互相说明的，如果合同文件存在</w:t>
      </w:r>
      <w:r>
        <w:rPr>
          <w:rFonts w:hint="eastAsia" w:asciiTheme="minorEastAsia" w:hAnsiTheme="minorEastAsia" w:eastAsiaTheme="minorEastAsia"/>
          <w:color w:val="auto"/>
          <w:sz w:val="24"/>
        </w:rPr>
        <w:t>歧义</w:t>
      </w:r>
      <w:r>
        <w:rPr>
          <w:rFonts w:asciiTheme="minorEastAsia" w:hAnsiTheme="minorEastAsia" w:eastAsiaTheme="minorEastAsia"/>
          <w:color w:val="auto"/>
          <w:sz w:val="24"/>
        </w:rPr>
        <w:t>或不一致，则根据如下优先次序来判断</w:t>
      </w:r>
      <w:r>
        <w:rPr>
          <w:rFonts w:hint="eastAsia" w:asciiTheme="minorEastAsia" w:hAnsiTheme="minorEastAsia" w:eastAsiaTheme="minorEastAsia"/>
          <w:color w:val="auto"/>
          <w:sz w:val="24"/>
        </w:rPr>
        <w:t>：</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3.1合同书</w:t>
      </w:r>
      <w:r>
        <w:rPr>
          <w:rFonts w:hint="eastAsia" w:asciiTheme="minorEastAsia" w:hAnsiTheme="minorEastAsia" w:eastAsiaTheme="minorEastAsia"/>
          <w:color w:val="auto"/>
          <w:sz w:val="24"/>
        </w:rPr>
        <w:t>。</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3.</w:t>
      </w:r>
      <w:r>
        <w:rPr>
          <w:rFonts w:hint="eastAsia" w:asciiTheme="minorEastAsia" w:hAnsiTheme="minorEastAsia" w:eastAsiaTheme="minorEastAsia"/>
          <w:color w:val="auto"/>
          <w:sz w:val="24"/>
        </w:rPr>
        <w:t>2</w:t>
      </w:r>
      <w:r>
        <w:rPr>
          <w:rFonts w:asciiTheme="minorEastAsia" w:hAnsiTheme="minorEastAsia" w:eastAsiaTheme="minorEastAsia"/>
          <w:color w:val="auto"/>
          <w:sz w:val="24"/>
        </w:rPr>
        <w:t>采购人要求及委托书</w:t>
      </w:r>
      <w:r>
        <w:rPr>
          <w:rFonts w:hint="eastAsia" w:asciiTheme="minorEastAsia" w:hAnsiTheme="minorEastAsia" w:eastAsiaTheme="minorEastAsia"/>
          <w:color w:val="auto"/>
          <w:sz w:val="24"/>
        </w:rPr>
        <w:t>。</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第四条</w:t>
      </w:r>
      <w:r>
        <w:rPr>
          <w:rFonts w:hint="eastAsia" w:asciiTheme="minorEastAsia" w:hAnsiTheme="minorEastAsia" w:eastAsiaTheme="minorEastAsia"/>
          <w:b/>
          <w:color w:val="auto"/>
          <w:sz w:val="24"/>
        </w:rPr>
        <w:t xml:space="preserve"> 工程</w:t>
      </w:r>
      <w:r>
        <w:rPr>
          <w:rFonts w:asciiTheme="minorEastAsia" w:hAnsiTheme="minorEastAsia" w:eastAsiaTheme="minorEastAsia"/>
          <w:b/>
          <w:color w:val="auto"/>
          <w:sz w:val="24"/>
        </w:rPr>
        <w:t>项目</w:t>
      </w:r>
      <w:r>
        <w:rPr>
          <w:rFonts w:hint="eastAsia" w:asciiTheme="minorEastAsia" w:hAnsiTheme="minorEastAsia" w:eastAsiaTheme="minorEastAsia"/>
          <w:b/>
          <w:color w:val="auto"/>
          <w:sz w:val="24"/>
        </w:rPr>
        <w:t>、工程地点</w:t>
      </w:r>
      <w:r>
        <w:rPr>
          <w:rFonts w:asciiTheme="minorEastAsia" w:hAnsiTheme="minorEastAsia" w:eastAsiaTheme="minorEastAsia"/>
          <w:b/>
          <w:color w:val="auto"/>
          <w:sz w:val="24"/>
        </w:rPr>
        <w:t>及</w:t>
      </w:r>
      <w:r>
        <w:rPr>
          <w:rFonts w:hint="eastAsia" w:asciiTheme="minorEastAsia" w:hAnsiTheme="minorEastAsia" w:eastAsiaTheme="minorEastAsia"/>
          <w:b/>
          <w:color w:val="auto"/>
          <w:sz w:val="24"/>
        </w:rPr>
        <w:t>工作</w:t>
      </w:r>
      <w:r>
        <w:rPr>
          <w:rFonts w:asciiTheme="minorEastAsia" w:hAnsiTheme="minorEastAsia" w:eastAsiaTheme="minorEastAsia"/>
          <w:b/>
          <w:color w:val="auto"/>
          <w:sz w:val="24"/>
        </w:rPr>
        <w:t>内容</w:t>
      </w:r>
    </w:p>
    <w:p>
      <w:pPr>
        <w:pStyle w:val="32"/>
        <w:spacing w:line="440" w:lineRule="exact"/>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工程项目：</w:t>
      </w:r>
    </w:p>
    <w:p>
      <w:pPr>
        <w:pStyle w:val="32"/>
        <w:spacing w:line="440" w:lineRule="exact"/>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工程地点：</w:t>
      </w:r>
    </w:p>
    <w:p>
      <w:pPr>
        <w:pStyle w:val="32"/>
        <w:spacing w:line="440" w:lineRule="exact"/>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工作内容：</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第五条 采购人向</w:t>
      </w:r>
      <w:r>
        <w:rPr>
          <w:rFonts w:hint="eastAsia" w:asciiTheme="minorEastAsia" w:hAnsiTheme="minorEastAsia" w:eastAsiaTheme="minorEastAsia"/>
          <w:b/>
          <w:color w:val="auto"/>
          <w:sz w:val="24"/>
        </w:rPr>
        <w:t>承包</w:t>
      </w:r>
      <w:r>
        <w:rPr>
          <w:rFonts w:asciiTheme="minorEastAsia" w:hAnsiTheme="minorEastAsia" w:eastAsiaTheme="minorEastAsia"/>
          <w:b/>
          <w:color w:val="auto"/>
          <w:sz w:val="24"/>
        </w:rPr>
        <w:t>人提交有关资料、文件及时间</w:t>
      </w:r>
    </w:p>
    <w:p>
      <w:pPr>
        <w:adjustRightInd w:val="0"/>
        <w:snapToGrid w:val="0"/>
        <w:spacing w:line="440" w:lineRule="exact"/>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采购人根据承包人开展项目的实际需求，及时提供有关资料、文件。</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 xml:space="preserve">第六条 </w:t>
      </w:r>
      <w:r>
        <w:rPr>
          <w:rFonts w:hint="eastAsia" w:asciiTheme="minorEastAsia" w:hAnsiTheme="minorEastAsia" w:eastAsiaTheme="minorEastAsia"/>
          <w:b/>
          <w:color w:val="auto"/>
          <w:sz w:val="24"/>
        </w:rPr>
        <w:t>承包人</w:t>
      </w:r>
      <w:r>
        <w:rPr>
          <w:rFonts w:asciiTheme="minorEastAsia" w:hAnsiTheme="minorEastAsia" w:eastAsiaTheme="minorEastAsia"/>
          <w:b/>
          <w:color w:val="auto"/>
          <w:sz w:val="24"/>
        </w:rPr>
        <w:t>向采购人交付的</w:t>
      </w:r>
      <w:r>
        <w:rPr>
          <w:rFonts w:hint="eastAsia" w:asciiTheme="minorEastAsia" w:hAnsiTheme="minorEastAsia" w:eastAsiaTheme="minorEastAsia"/>
          <w:b/>
          <w:color w:val="auto"/>
          <w:sz w:val="24"/>
        </w:rPr>
        <w:t>成果</w:t>
      </w:r>
      <w:r>
        <w:rPr>
          <w:rFonts w:asciiTheme="minorEastAsia" w:hAnsiTheme="minorEastAsia" w:eastAsiaTheme="minorEastAsia"/>
          <w:b/>
          <w:color w:val="auto"/>
          <w:sz w:val="24"/>
        </w:rPr>
        <w:t>文件</w:t>
      </w:r>
      <w:r>
        <w:rPr>
          <w:rFonts w:hint="eastAsia" w:asciiTheme="minorEastAsia" w:hAnsiTheme="minorEastAsia" w:eastAsiaTheme="minorEastAsia"/>
          <w:b/>
          <w:color w:val="auto"/>
          <w:sz w:val="24"/>
        </w:rPr>
        <w:t>地点、时间及份数：</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6</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1提交资料的地点：</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6</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2提交资料的时间：按照采购人的要求及时提交。</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6</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3提交资料的份数：按照采购人的要求提交纸质文件   份、电子文件   份。</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6</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4资料验收办法</w:t>
      </w:r>
    </w:p>
    <w:p>
      <w:pPr>
        <w:adjustRightInd w:val="0"/>
        <w:snapToGrid w:val="0"/>
        <w:spacing w:line="440" w:lineRule="exact"/>
        <w:ind w:firstLine="900" w:firstLineChars="375"/>
        <w:rPr>
          <w:rFonts w:asciiTheme="minorEastAsia" w:hAnsiTheme="minorEastAsia" w:eastAsiaTheme="minorEastAsia"/>
          <w:color w:val="auto"/>
          <w:sz w:val="24"/>
        </w:rPr>
      </w:pPr>
      <w:r>
        <w:rPr>
          <w:rFonts w:hint="eastAsia" w:asciiTheme="minorEastAsia" w:hAnsiTheme="minorEastAsia" w:eastAsiaTheme="minorEastAsia"/>
          <w:color w:val="auto"/>
          <w:sz w:val="24"/>
        </w:rPr>
        <w:t>资料按国家有关规范进行验收。</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 xml:space="preserve">第七条 费用 </w:t>
      </w:r>
    </w:p>
    <w:p>
      <w:pPr>
        <w:adjustRightInd w:val="0"/>
        <w:snapToGrid w:val="0"/>
        <w:spacing w:line="440" w:lineRule="exact"/>
        <w:ind w:firstLine="540" w:firstLineChars="225"/>
        <w:rPr>
          <w:rFonts w:asciiTheme="minorEastAsia" w:hAnsiTheme="minorEastAsia" w:eastAsiaTheme="minorEastAsia"/>
          <w:color w:val="auto"/>
          <w:sz w:val="24"/>
        </w:rPr>
      </w:pPr>
      <w:r>
        <w:rPr>
          <w:rFonts w:hint="eastAsia" w:asciiTheme="minorEastAsia" w:hAnsiTheme="minorEastAsia" w:eastAsiaTheme="minorEastAsia"/>
          <w:color w:val="auto"/>
          <w:sz w:val="24"/>
        </w:rPr>
        <w:t>项目费用</w:t>
      </w:r>
      <w:r>
        <w:rPr>
          <w:rFonts w:asciiTheme="minorEastAsia" w:hAnsiTheme="minorEastAsia" w:eastAsiaTheme="minorEastAsia"/>
          <w:color w:val="auto"/>
          <w:sz w:val="24"/>
        </w:rPr>
        <w:t>为中标价</w:t>
      </w:r>
      <w:r>
        <w:rPr>
          <w:rFonts w:hint="eastAsia" w:asciiTheme="minorEastAsia" w:hAnsiTheme="minorEastAsia" w:eastAsiaTheme="minorEastAsia"/>
          <w:color w:val="auto"/>
          <w:sz w:val="24"/>
        </w:rPr>
        <w:t>（包干价）。</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 xml:space="preserve">第八条 支付方式 </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8.1</w:t>
      </w:r>
      <w:r>
        <w:rPr>
          <w:rFonts w:hint="eastAsia" w:asciiTheme="minorEastAsia" w:hAnsiTheme="minorEastAsia" w:eastAsiaTheme="minorEastAsia"/>
          <w:b/>
          <w:color w:val="auto"/>
          <w:sz w:val="24"/>
        </w:rPr>
        <w:t>预付款</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设备</w:t>
      </w:r>
      <w:r>
        <w:rPr>
          <w:rFonts w:asciiTheme="minorEastAsia" w:hAnsiTheme="minorEastAsia" w:eastAsiaTheme="minorEastAsia"/>
          <w:color w:val="auto"/>
          <w:sz w:val="24"/>
        </w:rPr>
        <w:t>人员进场后支付中标价</w:t>
      </w:r>
      <w:r>
        <w:rPr>
          <w:rFonts w:hint="eastAsia" w:asciiTheme="minorEastAsia" w:hAnsiTheme="minorEastAsia" w:eastAsiaTheme="minorEastAsia"/>
          <w:color w:val="auto"/>
          <w:sz w:val="24"/>
        </w:rPr>
        <w:t>30</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w:t>
      </w:r>
    </w:p>
    <w:p>
      <w:pPr>
        <w:adjustRightInd w:val="0"/>
        <w:snapToGrid w:val="0"/>
        <w:spacing w:line="440" w:lineRule="exact"/>
        <w:ind w:firstLine="422" w:firstLineChars="175"/>
        <w:rPr>
          <w:rFonts w:asciiTheme="minorEastAsia" w:hAnsiTheme="minorEastAsia" w:eastAsiaTheme="minorEastAsia"/>
          <w:b/>
          <w:color w:val="auto"/>
          <w:sz w:val="24"/>
        </w:rPr>
      </w:pPr>
      <w:r>
        <w:rPr>
          <w:rFonts w:hint="eastAsia" w:asciiTheme="minorEastAsia" w:hAnsiTheme="minorEastAsia" w:eastAsiaTheme="minorEastAsia"/>
          <w:b/>
          <w:color w:val="auto"/>
          <w:sz w:val="24"/>
        </w:rPr>
        <w:t>8.2进度款</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按</w:t>
      </w:r>
      <w:r>
        <w:rPr>
          <w:rFonts w:asciiTheme="minorEastAsia" w:hAnsiTheme="minorEastAsia" w:eastAsiaTheme="minorEastAsia"/>
          <w:color w:val="auto"/>
          <w:sz w:val="24"/>
        </w:rPr>
        <w:t>数据提交成果</w:t>
      </w:r>
      <w:r>
        <w:rPr>
          <w:rFonts w:hint="eastAsia" w:asciiTheme="minorEastAsia" w:hAnsiTheme="minorEastAsia" w:eastAsiaTheme="minorEastAsia"/>
          <w:color w:val="auto"/>
          <w:sz w:val="24"/>
        </w:rPr>
        <w:t>进度</w:t>
      </w:r>
      <w:r>
        <w:rPr>
          <w:rFonts w:asciiTheme="minorEastAsia" w:hAnsiTheme="minorEastAsia" w:eastAsiaTheme="minorEastAsia"/>
          <w:color w:val="auto"/>
          <w:sz w:val="24"/>
        </w:rPr>
        <w:t>支付数据成果费用的</w:t>
      </w:r>
      <w:r>
        <w:rPr>
          <w:rFonts w:hint="eastAsia" w:asciiTheme="minorEastAsia" w:hAnsiTheme="minorEastAsia" w:eastAsiaTheme="minorEastAsia"/>
          <w:color w:val="auto"/>
          <w:sz w:val="24"/>
        </w:rPr>
        <w:t>65</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w:t>
      </w:r>
    </w:p>
    <w:p>
      <w:pPr>
        <w:adjustRightInd w:val="0"/>
        <w:snapToGrid w:val="0"/>
        <w:spacing w:line="440" w:lineRule="exact"/>
        <w:ind w:firstLine="422" w:firstLineChars="175"/>
        <w:rPr>
          <w:rFonts w:asciiTheme="minorEastAsia" w:hAnsiTheme="minorEastAsia" w:eastAsiaTheme="minorEastAsia"/>
          <w:b/>
          <w:color w:val="auto"/>
          <w:sz w:val="24"/>
        </w:rPr>
      </w:pPr>
      <w:r>
        <w:rPr>
          <w:rFonts w:hint="eastAsia" w:asciiTheme="minorEastAsia" w:hAnsiTheme="minorEastAsia" w:eastAsiaTheme="minorEastAsia"/>
          <w:b/>
          <w:color w:val="auto"/>
          <w:sz w:val="24"/>
        </w:rPr>
        <w:t>8.3尾款</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承包人提交成果文件或完成技术服务后，根据采购人要求开具相应发票，完成</w:t>
      </w:r>
      <w:r>
        <w:rPr>
          <w:rFonts w:asciiTheme="minorEastAsia" w:hAnsiTheme="minorEastAsia" w:eastAsiaTheme="minorEastAsia"/>
          <w:color w:val="auto"/>
          <w:sz w:val="24"/>
        </w:rPr>
        <w:t>剩余</w:t>
      </w:r>
      <w:r>
        <w:rPr>
          <w:rFonts w:hint="eastAsia" w:asciiTheme="minorEastAsia" w:hAnsiTheme="minorEastAsia" w:eastAsiaTheme="minorEastAsia"/>
          <w:color w:val="auto"/>
          <w:sz w:val="24"/>
        </w:rPr>
        <w:t>5</w:t>
      </w:r>
      <w:r>
        <w:rPr>
          <w:rFonts w:asciiTheme="minorEastAsia" w:hAnsiTheme="minorEastAsia" w:eastAsiaTheme="minorEastAsia"/>
          <w:color w:val="auto"/>
          <w:sz w:val="24"/>
        </w:rPr>
        <w:t>%尾款支付</w:t>
      </w:r>
    </w:p>
    <w:bookmarkEnd w:id="152"/>
    <w:bookmarkEnd w:id="153"/>
    <w:p>
      <w:pPr>
        <w:adjustRightInd w:val="0"/>
        <w:snapToGrid w:val="0"/>
        <w:spacing w:line="440" w:lineRule="exact"/>
        <w:ind w:firstLine="422" w:firstLineChars="175"/>
        <w:rPr>
          <w:rFonts w:asciiTheme="minorEastAsia" w:hAnsiTheme="minorEastAsia" w:eastAsiaTheme="minorEastAsia"/>
          <w:b/>
          <w:color w:val="auto"/>
          <w:sz w:val="24"/>
        </w:rPr>
      </w:pPr>
      <w:r>
        <w:rPr>
          <w:rFonts w:hint="eastAsia" w:asciiTheme="minorEastAsia" w:hAnsiTheme="minorEastAsia" w:eastAsiaTheme="minorEastAsia"/>
          <w:b/>
          <w:color w:val="auto"/>
          <w:sz w:val="24"/>
        </w:rPr>
        <w:t>第九条 采购人、承包人责任</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w:t>
      </w:r>
      <w:r>
        <w:rPr>
          <w:rFonts w:asciiTheme="minorEastAsia" w:hAnsiTheme="minorEastAsia" w:eastAsiaTheme="minorEastAsia"/>
          <w:color w:val="auto"/>
          <w:sz w:val="24"/>
        </w:rPr>
        <w:t xml:space="preserve">.1 </w:t>
      </w:r>
      <w:r>
        <w:rPr>
          <w:rFonts w:hint="eastAsia" w:asciiTheme="minorEastAsia" w:hAnsiTheme="minorEastAsia" w:eastAsiaTheme="minorEastAsia"/>
          <w:color w:val="auto"/>
          <w:sz w:val="24"/>
        </w:rPr>
        <w:t>采购人责任</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w:t>
      </w:r>
      <w:r>
        <w:rPr>
          <w:rFonts w:asciiTheme="minorEastAsia" w:hAnsiTheme="minorEastAsia" w:eastAsiaTheme="minorEastAsia"/>
          <w:color w:val="auto"/>
          <w:sz w:val="24"/>
        </w:rPr>
        <w:t>.1.1</w:t>
      </w:r>
      <w:r>
        <w:rPr>
          <w:rFonts w:hint="eastAsia" w:asciiTheme="minorEastAsia" w:hAnsiTheme="minorEastAsia" w:eastAsiaTheme="minorEastAsia"/>
          <w:color w:val="auto"/>
          <w:sz w:val="24"/>
        </w:rPr>
        <w:t>采购人委托任务时，须以书面形式向承包人明确航测任务及技术要求，并按第二条规定提供文件资料。</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9.1.2航测过程中的变更工作量，采购人按程序确认后以实际发生的工作量支付费用。</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9.1.3本合同有关条款规定和补充协议中采购人应负的其他责任。</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w:t>
      </w:r>
      <w:r>
        <w:rPr>
          <w:rFonts w:asciiTheme="minorEastAsia" w:hAnsiTheme="minorEastAsia" w:eastAsiaTheme="minorEastAsia"/>
          <w:color w:val="auto"/>
          <w:sz w:val="24"/>
        </w:rPr>
        <w:t xml:space="preserve">.2 </w:t>
      </w:r>
      <w:r>
        <w:rPr>
          <w:rFonts w:hint="eastAsia" w:asciiTheme="minorEastAsia" w:hAnsiTheme="minorEastAsia" w:eastAsiaTheme="minorEastAsia"/>
          <w:color w:val="auto"/>
          <w:sz w:val="24"/>
        </w:rPr>
        <w:t>承包人责任</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1 承包人应按国家最新技术规范、标准、规程和采购人的任务委托书及技术要求进行工作，按本合同规定的时间提交质量合格的成果资料，并对其负责。承包人应根据采购方的要求，及时到达现场并完成各项技术服务工作。</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9.2.2</w:t>
      </w:r>
      <w:r>
        <w:rPr>
          <w:rFonts w:asciiTheme="minorEastAsia" w:hAnsiTheme="minorEastAsia" w:eastAsiaTheme="minorEastAsia"/>
          <w:color w:val="auto"/>
          <w:sz w:val="24"/>
        </w:rPr>
        <w:t>若现场需要看守，特别是在有毒、有害等危险现场作业时，</w:t>
      </w:r>
      <w:r>
        <w:rPr>
          <w:rFonts w:hint="eastAsia" w:asciiTheme="minorEastAsia" w:hAnsiTheme="minorEastAsia" w:eastAsiaTheme="minorEastAsia"/>
          <w:color w:val="auto"/>
          <w:sz w:val="24"/>
        </w:rPr>
        <w:t>承包方应派人负责安全保卫工作，按国家有关规定，对从事危险作业的现场人员进行保健防护，费用由承包方承担。</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9.2.3由于承包人提供的成果资料质量不合格，承包人应负责无偿给予补充完善使其达到质量合格；若承包人无力补充完善，需另委托其他单位时，承包人应承担已发生的全部费用；或因质量造成重大经济损失或工程事故时，承包人除应负法律责任和免收直接受损部分的航测费外，并根据损失程度向采购人支付赔偿金。</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9.2.4由于承包人不能按照合同约定的工期完成任务，在采购人提出整改要求后仍无法满足的情况下，采购人可另行委托其他单位完成，承包人应承担全部已发生费用。</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9</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2.5本合同有关条款规定和补充协议中承包人应负的其它责任。</w:t>
      </w:r>
    </w:p>
    <w:p>
      <w:pPr>
        <w:adjustRightInd w:val="0"/>
        <w:snapToGrid w:val="0"/>
        <w:spacing w:line="440" w:lineRule="exact"/>
        <w:ind w:firstLine="422" w:firstLineChars="175"/>
        <w:rPr>
          <w:rFonts w:asciiTheme="minorEastAsia" w:hAnsiTheme="minorEastAsia" w:eastAsiaTheme="minorEastAsia"/>
          <w:b/>
          <w:color w:val="auto"/>
          <w:sz w:val="24"/>
        </w:rPr>
      </w:pPr>
      <w:r>
        <w:rPr>
          <w:rFonts w:hint="eastAsia" w:asciiTheme="minorEastAsia" w:hAnsiTheme="minorEastAsia" w:eastAsiaTheme="minorEastAsia"/>
          <w:b/>
          <w:color w:val="auto"/>
          <w:sz w:val="24"/>
        </w:rPr>
        <w:t>第</w:t>
      </w:r>
      <w:r>
        <w:rPr>
          <w:rFonts w:asciiTheme="minorEastAsia" w:hAnsiTheme="minorEastAsia" w:eastAsiaTheme="minorEastAsia"/>
          <w:b/>
          <w:color w:val="auto"/>
          <w:sz w:val="24"/>
        </w:rPr>
        <w:t>十</w:t>
      </w:r>
      <w:r>
        <w:rPr>
          <w:rFonts w:hint="eastAsia" w:asciiTheme="minorEastAsia" w:hAnsiTheme="minorEastAsia" w:eastAsiaTheme="minorEastAsia"/>
          <w:b/>
          <w:color w:val="auto"/>
          <w:sz w:val="24"/>
        </w:rPr>
        <w:t>条Q</w:t>
      </w:r>
      <w:r>
        <w:rPr>
          <w:rFonts w:asciiTheme="minorEastAsia" w:hAnsiTheme="minorEastAsia" w:eastAsiaTheme="minorEastAsia"/>
          <w:b/>
          <w:color w:val="auto"/>
          <w:sz w:val="24"/>
        </w:rPr>
        <w:t>HSE管理</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10</w:t>
      </w:r>
      <w:r>
        <w:rPr>
          <w:rFonts w:asciiTheme="minorEastAsia" w:hAnsiTheme="minorEastAsia" w:eastAsiaTheme="minorEastAsia"/>
          <w:color w:val="auto"/>
          <w:sz w:val="24"/>
        </w:rPr>
        <w:t xml:space="preserve">.1 </w:t>
      </w:r>
      <w:r>
        <w:rPr>
          <w:rFonts w:hint="eastAsia" w:asciiTheme="minorEastAsia" w:hAnsiTheme="minorEastAsia" w:eastAsiaTheme="minorEastAsia"/>
          <w:color w:val="auto"/>
          <w:sz w:val="24"/>
        </w:rPr>
        <w:t>承包方</w:t>
      </w:r>
      <w:r>
        <w:rPr>
          <w:rFonts w:asciiTheme="minorEastAsia" w:hAnsiTheme="minorEastAsia" w:eastAsiaTheme="minorEastAsia"/>
          <w:color w:val="auto"/>
          <w:sz w:val="24"/>
        </w:rPr>
        <w:t>应当遵守</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中华人民共和国安全生产法</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中华人民共和国环境保护法》等相关法律法规，符合国家有关标准、行业标准规定。有健全的</w:t>
      </w:r>
      <w:r>
        <w:rPr>
          <w:rFonts w:hint="eastAsia" w:asciiTheme="minorEastAsia" w:hAnsiTheme="minorEastAsia" w:eastAsiaTheme="minorEastAsia"/>
          <w:color w:val="auto"/>
          <w:sz w:val="24"/>
        </w:rPr>
        <w:t>Q</w:t>
      </w:r>
      <w:r>
        <w:rPr>
          <w:rFonts w:asciiTheme="minorEastAsia" w:hAnsiTheme="minorEastAsia" w:eastAsiaTheme="minorEastAsia"/>
          <w:color w:val="auto"/>
          <w:sz w:val="24"/>
        </w:rPr>
        <w:t>HSE责任制、</w:t>
      </w:r>
      <w:r>
        <w:rPr>
          <w:rFonts w:hint="eastAsia" w:asciiTheme="minorEastAsia" w:hAnsiTheme="minorEastAsia" w:eastAsiaTheme="minorEastAsia"/>
          <w:color w:val="auto"/>
          <w:sz w:val="24"/>
        </w:rPr>
        <w:t>Q</w:t>
      </w:r>
      <w:r>
        <w:rPr>
          <w:rFonts w:asciiTheme="minorEastAsia" w:hAnsiTheme="minorEastAsia" w:eastAsiaTheme="minorEastAsia"/>
          <w:color w:val="auto"/>
          <w:sz w:val="24"/>
        </w:rPr>
        <w:t>HSE操作规程和具体的</w:t>
      </w:r>
      <w:r>
        <w:rPr>
          <w:rFonts w:hint="eastAsia" w:asciiTheme="minorEastAsia" w:hAnsiTheme="minorEastAsia" w:eastAsiaTheme="minorEastAsia"/>
          <w:color w:val="auto"/>
          <w:sz w:val="24"/>
        </w:rPr>
        <w:t>Q</w:t>
      </w:r>
      <w:r>
        <w:rPr>
          <w:rFonts w:asciiTheme="minorEastAsia" w:hAnsiTheme="minorEastAsia" w:eastAsiaTheme="minorEastAsia"/>
          <w:color w:val="auto"/>
          <w:sz w:val="24"/>
        </w:rPr>
        <w:t>HSE措施。</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10</w:t>
      </w:r>
      <w:r>
        <w:rPr>
          <w:rFonts w:asciiTheme="minorEastAsia" w:hAnsiTheme="minorEastAsia" w:eastAsiaTheme="minorEastAsia"/>
          <w:color w:val="auto"/>
          <w:sz w:val="24"/>
        </w:rPr>
        <w:t xml:space="preserve">.2 </w:t>
      </w:r>
      <w:r>
        <w:rPr>
          <w:rFonts w:hint="eastAsia" w:asciiTheme="minorEastAsia" w:hAnsiTheme="minorEastAsia" w:eastAsiaTheme="minorEastAsia"/>
          <w:color w:val="auto"/>
          <w:sz w:val="24"/>
        </w:rPr>
        <w:t>承包方</w:t>
      </w:r>
      <w:r>
        <w:rPr>
          <w:rFonts w:asciiTheme="minorEastAsia" w:hAnsiTheme="minorEastAsia" w:eastAsiaTheme="minorEastAsia"/>
          <w:color w:val="auto"/>
          <w:sz w:val="24"/>
        </w:rPr>
        <w:t>对</w:t>
      </w:r>
      <w:r>
        <w:rPr>
          <w:rFonts w:hint="eastAsia" w:asciiTheme="minorEastAsia" w:hAnsiTheme="minorEastAsia" w:eastAsiaTheme="minorEastAsia"/>
          <w:color w:val="auto"/>
          <w:sz w:val="24"/>
        </w:rPr>
        <w:t>航测</w:t>
      </w:r>
      <w:r>
        <w:rPr>
          <w:rFonts w:asciiTheme="minorEastAsia" w:hAnsiTheme="minorEastAsia" w:eastAsiaTheme="minorEastAsia"/>
          <w:color w:val="auto"/>
          <w:sz w:val="24"/>
        </w:rPr>
        <w:t>区域内的水源及生态环境负保护责任，并有环境保护的措施。作业队伍生活、工作区域卫生整洁</w:t>
      </w:r>
      <w:r>
        <w:rPr>
          <w:rFonts w:hint="eastAsia" w:asciiTheme="minorEastAsia" w:hAnsiTheme="minorEastAsia" w:eastAsiaTheme="minorEastAsia"/>
          <w:color w:val="auto"/>
          <w:sz w:val="24"/>
        </w:rPr>
        <w:t>，航测</w:t>
      </w:r>
      <w:r>
        <w:rPr>
          <w:rFonts w:asciiTheme="minorEastAsia" w:hAnsiTheme="minorEastAsia" w:eastAsiaTheme="minorEastAsia"/>
          <w:color w:val="auto"/>
          <w:sz w:val="24"/>
        </w:rPr>
        <w:t>结束后应当清理废料（污水、污油、电缆、包装纸、袋等）、生活垃圾等。</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10</w:t>
      </w:r>
      <w:r>
        <w:rPr>
          <w:rFonts w:asciiTheme="minorEastAsia" w:hAnsiTheme="minorEastAsia" w:eastAsiaTheme="minorEastAsia"/>
          <w:color w:val="auto"/>
          <w:sz w:val="24"/>
        </w:rPr>
        <w:t>.3在</w:t>
      </w:r>
      <w:r>
        <w:rPr>
          <w:rFonts w:hint="eastAsia" w:asciiTheme="minorEastAsia" w:hAnsiTheme="minorEastAsia" w:eastAsiaTheme="minorEastAsia"/>
          <w:color w:val="auto"/>
          <w:sz w:val="24"/>
        </w:rPr>
        <w:t>航测施工过程中，承包方应严格执行QHSE管理体系规定，并按照采购方的QHSE管理要求提供有关记录文件。承包方应遵守有关安全生产管理规定，采取有效措施防止发生安全事故，若发生安全事故由承包方承担责任。</w:t>
      </w:r>
    </w:p>
    <w:p>
      <w:pPr>
        <w:adjustRightInd w:val="0"/>
        <w:snapToGrid w:val="0"/>
        <w:spacing w:line="440" w:lineRule="exact"/>
        <w:ind w:firstLine="422" w:firstLineChars="175"/>
        <w:rPr>
          <w:rFonts w:asciiTheme="minorEastAsia" w:hAnsiTheme="minorEastAsia" w:eastAsiaTheme="minorEastAsia"/>
          <w:b/>
          <w:color w:val="auto"/>
          <w:sz w:val="24"/>
        </w:rPr>
      </w:pPr>
      <w:r>
        <w:rPr>
          <w:rFonts w:hint="eastAsia" w:asciiTheme="minorEastAsia" w:hAnsiTheme="minorEastAsia" w:eastAsiaTheme="minorEastAsia"/>
          <w:b/>
          <w:color w:val="auto"/>
          <w:sz w:val="24"/>
        </w:rPr>
        <w:t>第</w:t>
      </w:r>
      <w:r>
        <w:rPr>
          <w:rFonts w:asciiTheme="minorEastAsia" w:hAnsiTheme="minorEastAsia" w:eastAsiaTheme="minorEastAsia"/>
          <w:b/>
          <w:color w:val="auto"/>
          <w:sz w:val="24"/>
        </w:rPr>
        <w:t>十一</w:t>
      </w:r>
      <w:r>
        <w:rPr>
          <w:rFonts w:hint="eastAsia" w:asciiTheme="minorEastAsia" w:hAnsiTheme="minorEastAsia" w:eastAsiaTheme="minorEastAsia"/>
          <w:b/>
          <w:color w:val="auto"/>
          <w:sz w:val="24"/>
        </w:rPr>
        <w:t>条</w:t>
      </w:r>
      <w:r>
        <w:rPr>
          <w:rFonts w:asciiTheme="minorEastAsia" w:hAnsiTheme="minorEastAsia" w:eastAsiaTheme="minorEastAsia"/>
          <w:b/>
          <w:color w:val="auto"/>
          <w:sz w:val="24"/>
        </w:rPr>
        <w:t xml:space="preserve"> 廉洁经营</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11</w:t>
      </w:r>
      <w:r>
        <w:rPr>
          <w:rFonts w:asciiTheme="minorEastAsia" w:hAnsiTheme="minorEastAsia" w:eastAsiaTheme="minorEastAsia"/>
          <w:color w:val="auto"/>
          <w:sz w:val="24"/>
        </w:rPr>
        <w:t>.1 双方在公开、公平、公正的前提下达成并履行本协议，承诺本方及其工作人员不从事任何商业贿赂和不正当竞争行为。</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11</w:t>
      </w:r>
      <w:r>
        <w:rPr>
          <w:rFonts w:asciiTheme="minorEastAsia" w:hAnsiTheme="minorEastAsia" w:eastAsiaTheme="minorEastAsia"/>
          <w:color w:val="auto"/>
          <w:sz w:val="24"/>
        </w:rPr>
        <w:t>.2双方签署的廉洁经营协议</w:t>
      </w:r>
      <w:r>
        <w:rPr>
          <w:rFonts w:hint="eastAsia" w:asciiTheme="minorEastAsia" w:hAnsiTheme="minorEastAsia" w:eastAsiaTheme="minorEastAsia"/>
          <w:color w:val="auto"/>
          <w:sz w:val="24"/>
        </w:rPr>
        <w:t>书（</w:t>
      </w:r>
      <w:r>
        <w:rPr>
          <w:rFonts w:asciiTheme="minorEastAsia" w:hAnsiTheme="minorEastAsia" w:eastAsiaTheme="minorEastAsia"/>
          <w:color w:val="auto"/>
          <w:sz w:val="24"/>
        </w:rPr>
        <w:t>责任书、承诺书、声明书</w:t>
      </w:r>
      <w:r>
        <w:rPr>
          <w:rFonts w:hint="eastAsia" w:asciiTheme="minorEastAsia" w:hAnsiTheme="minorEastAsia" w:eastAsiaTheme="minorEastAsia"/>
          <w:color w:val="auto"/>
          <w:sz w:val="24"/>
        </w:rPr>
        <w:t>或</w:t>
      </w:r>
      <w:r>
        <w:rPr>
          <w:rFonts w:asciiTheme="minorEastAsia" w:hAnsiTheme="minorEastAsia" w:eastAsiaTheme="minorEastAsia"/>
          <w:color w:val="auto"/>
          <w:sz w:val="24"/>
        </w:rPr>
        <w:t>保证书</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均构成本协议的组成部分，应严格遵守，共同执行。</w:t>
      </w:r>
    </w:p>
    <w:p>
      <w:pPr>
        <w:adjustRightInd w:val="0"/>
        <w:snapToGrid w:val="0"/>
        <w:spacing w:line="440" w:lineRule="exact"/>
        <w:ind w:firstLine="422" w:firstLineChars="175"/>
        <w:rPr>
          <w:rFonts w:asciiTheme="minorEastAsia" w:hAnsiTheme="minorEastAsia" w:eastAsiaTheme="minorEastAsia"/>
          <w:b/>
          <w:color w:val="auto"/>
          <w:sz w:val="24"/>
        </w:rPr>
      </w:pPr>
      <w:r>
        <w:rPr>
          <w:rFonts w:hint="eastAsia" w:asciiTheme="minorEastAsia" w:hAnsiTheme="minorEastAsia" w:eastAsiaTheme="minorEastAsia"/>
          <w:b/>
          <w:color w:val="auto"/>
          <w:sz w:val="24"/>
        </w:rPr>
        <w:t>第十二条</w:t>
      </w:r>
      <w:r>
        <w:rPr>
          <w:rFonts w:asciiTheme="minorEastAsia" w:hAnsiTheme="minorEastAsia" w:eastAsiaTheme="minorEastAsia"/>
          <w:b/>
          <w:color w:val="auto"/>
          <w:sz w:val="24"/>
        </w:rPr>
        <w:t xml:space="preserve">  保密</w:t>
      </w:r>
      <w:r>
        <w:rPr>
          <w:rFonts w:hint="eastAsia" w:asciiTheme="minorEastAsia" w:hAnsiTheme="minorEastAsia" w:eastAsiaTheme="minorEastAsia"/>
          <w:b/>
          <w:color w:val="auto"/>
          <w:sz w:val="24"/>
        </w:rPr>
        <w:t>及知识产权</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本协议以及采购</w:t>
      </w:r>
      <w:r>
        <w:rPr>
          <w:rFonts w:hint="eastAsia" w:asciiTheme="minorEastAsia" w:hAnsiTheme="minorEastAsia" w:eastAsiaTheme="minorEastAsia"/>
          <w:color w:val="auto"/>
          <w:sz w:val="24"/>
        </w:rPr>
        <w:t>方</w:t>
      </w:r>
      <w:r>
        <w:rPr>
          <w:rFonts w:asciiTheme="minorEastAsia" w:hAnsiTheme="minorEastAsia" w:eastAsiaTheme="minorEastAsia"/>
          <w:color w:val="auto"/>
          <w:sz w:val="24"/>
        </w:rPr>
        <w:t>提供的文件资料以及其它与执行协议有关的信息、资料，</w:t>
      </w:r>
      <w:r>
        <w:rPr>
          <w:rFonts w:hint="eastAsia" w:asciiTheme="minorEastAsia" w:hAnsiTheme="minorEastAsia" w:eastAsiaTheme="minorEastAsia"/>
          <w:color w:val="auto"/>
          <w:sz w:val="24"/>
        </w:rPr>
        <w:t>承包方</w:t>
      </w:r>
      <w:r>
        <w:rPr>
          <w:rFonts w:asciiTheme="minorEastAsia" w:hAnsiTheme="minorEastAsia" w:eastAsiaTheme="minorEastAsia"/>
          <w:color w:val="auto"/>
          <w:sz w:val="24"/>
        </w:rPr>
        <w:t>在面对第三方时均应保密。在未征得采购</w:t>
      </w:r>
      <w:r>
        <w:rPr>
          <w:rFonts w:hint="eastAsia" w:asciiTheme="minorEastAsia" w:hAnsiTheme="minorEastAsia" w:eastAsiaTheme="minorEastAsia"/>
          <w:color w:val="auto"/>
          <w:sz w:val="24"/>
        </w:rPr>
        <w:t>方</w:t>
      </w:r>
      <w:r>
        <w:rPr>
          <w:rFonts w:asciiTheme="minorEastAsia" w:hAnsiTheme="minorEastAsia" w:eastAsiaTheme="minorEastAsia"/>
          <w:color w:val="auto"/>
          <w:sz w:val="24"/>
        </w:rPr>
        <w:t>同意前，不得以任何理由、任何方式向第三方扩散、转让、泄露或在刊物上发表。</w:t>
      </w:r>
      <w:r>
        <w:rPr>
          <w:rFonts w:hint="eastAsia" w:asciiTheme="minorEastAsia" w:hAnsiTheme="minorEastAsia" w:eastAsiaTheme="minorEastAsia"/>
          <w:color w:val="auto"/>
          <w:sz w:val="24"/>
        </w:rPr>
        <w:t>在现场工作的航测人员，应遵守采购人的安全保卫及其它有关的规章制度，承担其有关资料保密义务。</w:t>
      </w:r>
    </w:p>
    <w:p>
      <w:pPr>
        <w:adjustRightInd w:val="0"/>
        <w:snapToGrid w:val="0"/>
        <w:spacing w:line="440" w:lineRule="exact"/>
        <w:ind w:firstLine="422" w:firstLineChars="175"/>
        <w:rPr>
          <w:rFonts w:asciiTheme="minorEastAsia" w:hAnsiTheme="minorEastAsia" w:eastAsiaTheme="minorEastAsia"/>
          <w:b/>
          <w:color w:val="auto"/>
          <w:sz w:val="24"/>
        </w:rPr>
      </w:pPr>
      <w:r>
        <w:rPr>
          <w:rFonts w:hint="eastAsia" w:asciiTheme="minorEastAsia" w:hAnsiTheme="minorEastAsia" w:eastAsiaTheme="minorEastAsia"/>
          <w:b/>
          <w:color w:val="auto"/>
          <w:sz w:val="24"/>
        </w:rPr>
        <w:t>第</w:t>
      </w:r>
      <w:r>
        <w:rPr>
          <w:rFonts w:asciiTheme="minorEastAsia" w:hAnsiTheme="minorEastAsia" w:eastAsiaTheme="minorEastAsia"/>
          <w:b/>
          <w:color w:val="auto"/>
          <w:sz w:val="24"/>
        </w:rPr>
        <w:t>十三</w:t>
      </w:r>
      <w:r>
        <w:rPr>
          <w:rFonts w:hint="eastAsia" w:asciiTheme="minorEastAsia" w:hAnsiTheme="minorEastAsia" w:eastAsiaTheme="minorEastAsia"/>
          <w:b/>
          <w:color w:val="auto"/>
          <w:sz w:val="24"/>
        </w:rPr>
        <w:t>条</w:t>
      </w:r>
      <w:r>
        <w:rPr>
          <w:rFonts w:asciiTheme="minorEastAsia" w:hAnsiTheme="minorEastAsia" w:eastAsiaTheme="minorEastAsia"/>
          <w:b/>
          <w:color w:val="auto"/>
          <w:sz w:val="24"/>
        </w:rPr>
        <w:t xml:space="preserve"> 违约责任 </w:t>
      </w:r>
    </w:p>
    <w:p>
      <w:pPr>
        <w:adjustRightInd w:val="0"/>
        <w:snapToGrid w:val="0"/>
        <w:spacing w:line="440" w:lineRule="exact"/>
        <w:ind w:firstLine="420" w:firstLineChars="175"/>
        <w:rPr>
          <w:rFonts w:asciiTheme="minorEastAsia" w:hAnsiTheme="minorEastAsia" w:eastAsiaTheme="minorEastAsia"/>
          <w:color w:val="auto"/>
          <w:sz w:val="24"/>
        </w:rPr>
      </w:pPr>
      <w:r>
        <w:rPr>
          <w:rFonts w:hint="eastAsia" w:asciiTheme="minorEastAsia" w:hAnsiTheme="minorEastAsia" w:eastAsiaTheme="minorEastAsia"/>
          <w:color w:val="auto"/>
          <w:sz w:val="24"/>
        </w:rPr>
        <w:t>13.1若承包方技术人员、设备无法满足现场的工期或质量要求时，采购方有权利调整承包方的工作量。</w:t>
      </w:r>
    </w:p>
    <w:p>
      <w:pPr>
        <w:adjustRightInd w:val="0"/>
        <w:snapToGrid w:val="0"/>
        <w:spacing w:line="440" w:lineRule="exact"/>
        <w:ind w:firstLine="420" w:firstLineChars="175"/>
        <w:rPr>
          <w:rFonts w:asciiTheme="minorEastAsia" w:hAnsiTheme="minorEastAsia" w:eastAsiaTheme="minorEastAsia"/>
          <w:dstrike/>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3</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2</w:t>
      </w:r>
      <w:r>
        <w:rPr>
          <w:rFonts w:asciiTheme="minorEastAsia" w:hAnsiTheme="minorEastAsia" w:eastAsiaTheme="minorEastAsia"/>
          <w:color w:val="auto"/>
          <w:sz w:val="24"/>
        </w:rPr>
        <w:t>协议履行期间，由于工程停建或采购</w:t>
      </w:r>
      <w:r>
        <w:rPr>
          <w:rFonts w:hint="eastAsia" w:asciiTheme="minorEastAsia" w:hAnsiTheme="minorEastAsia" w:eastAsiaTheme="minorEastAsia"/>
          <w:color w:val="auto"/>
          <w:sz w:val="24"/>
        </w:rPr>
        <w:t>方</w:t>
      </w:r>
      <w:r>
        <w:rPr>
          <w:rFonts w:asciiTheme="minorEastAsia" w:hAnsiTheme="minorEastAsia" w:eastAsiaTheme="minorEastAsia"/>
          <w:color w:val="auto"/>
          <w:sz w:val="24"/>
        </w:rPr>
        <w:t>要求解除协议时，已进行</w:t>
      </w:r>
      <w:r>
        <w:rPr>
          <w:rFonts w:hint="eastAsia" w:asciiTheme="minorEastAsia" w:hAnsiTheme="minorEastAsia" w:eastAsiaTheme="minorEastAsia"/>
          <w:color w:val="auto"/>
          <w:sz w:val="24"/>
        </w:rPr>
        <w:t>航测</w:t>
      </w:r>
      <w:r>
        <w:rPr>
          <w:rFonts w:asciiTheme="minorEastAsia" w:hAnsiTheme="minorEastAsia" w:eastAsiaTheme="minorEastAsia"/>
          <w:color w:val="auto"/>
          <w:sz w:val="24"/>
        </w:rPr>
        <w:t>工作的，</w:t>
      </w:r>
      <w:r>
        <w:rPr>
          <w:rFonts w:hint="eastAsia" w:asciiTheme="minorEastAsia" w:hAnsiTheme="minorEastAsia" w:eastAsiaTheme="minorEastAsia"/>
          <w:color w:val="auto"/>
          <w:sz w:val="24"/>
        </w:rPr>
        <w:t>按工作量完成情况支付相应比例的航测费；承包方擅自中止航测项目，承包方已完成的工作量不予支付费用。</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3</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3</w:t>
      </w:r>
      <w:r>
        <w:rPr>
          <w:rFonts w:asciiTheme="minorEastAsia" w:hAnsiTheme="minorEastAsia" w:eastAsiaTheme="minorEastAsia"/>
          <w:color w:val="auto"/>
          <w:sz w:val="24"/>
        </w:rPr>
        <w:t>承包方违反第九条,每发生一次应向采购方支付工程款总额的100％作为赔偿损失。造成采购方损失的</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应予赔偿。</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3</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4</w:t>
      </w:r>
      <w:r>
        <w:rPr>
          <w:rFonts w:asciiTheme="minorEastAsia" w:hAnsiTheme="minorEastAsia" w:eastAsiaTheme="minorEastAsia"/>
          <w:color w:val="auto"/>
          <w:sz w:val="24"/>
        </w:rPr>
        <w:t>承包方不得擅自转包</w:t>
      </w:r>
      <w:r>
        <w:rPr>
          <w:rFonts w:hint="eastAsia" w:asciiTheme="minorEastAsia" w:hAnsiTheme="minorEastAsia" w:eastAsiaTheme="minorEastAsia"/>
          <w:color w:val="auto"/>
          <w:sz w:val="24"/>
        </w:rPr>
        <w:t>航测</w:t>
      </w:r>
      <w:r>
        <w:rPr>
          <w:rFonts w:asciiTheme="minorEastAsia" w:hAnsiTheme="minorEastAsia" w:eastAsiaTheme="minorEastAsia"/>
          <w:color w:val="auto"/>
          <w:sz w:val="24"/>
        </w:rPr>
        <w:t>工作量，否则采购方有权解除协议。</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3</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5</w:t>
      </w:r>
      <w:r>
        <w:rPr>
          <w:rFonts w:asciiTheme="minorEastAsia" w:hAnsiTheme="minorEastAsia" w:eastAsiaTheme="minorEastAsia"/>
          <w:color w:val="auto"/>
          <w:sz w:val="24"/>
        </w:rPr>
        <w:t>由于不可抗力致使</w:t>
      </w:r>
      <w:r>
        <w:rPr>
          <w:rFonts w:hint="eastAsia" w:asciiTheme="minorEastAsia" w:hAnsiTheme="minorEastAsia" w:eastAsiaTheme="minorEastAsia"/>
          <w:color w:val="auto"/>
          <w:sz w:val="24"/>
        </w:rPr>
        <w:t>航测</w:t>
      </w:r>
      <w:r>
        <w:rPr>
          <w:rFonts w:asciiTheme="minorEastAsia" w:hAnsiTheme="minorEastAsia" w:eastAsiaTheme="minorEastAsia"/>
          <w:color w:val="auto"/>
          <w:sz w:val="24"/>
        </w:rPr>
        <w:t xml:space="preserve">工作无法履行时，双方应按有关法律规定及时协商处理。 </w:t>
      </w:r>
    </w:p>
    <w:p>
      <w:pPr>
        <w:adjustRightInd w:val="0"/>
        <w:snapToGrid w:val="0"/>
        <w:spacing w:line="440" w:lineRule="exact"/>
        <w:ind w:firstLine="422" w:firstLineChars="175"/>
        <w:rPr>
          <w:rFonts w:asciiTheme="minorEastAsia" w:hAnsiTheme="minorEastAsia" w:eastAsiaTheme="minorEastAsia"/>
          <w:b/>
          <w:color w:val="auto"/>
          <w:sz w:val="24"/>
        </w:rPr>
      </w:pPr>
      <w:r>
        <w:rPr>
          <w:rFonts w:asciiTheme="minorEastAsia" w:hAnsiTheme="minorEastAsia" w:eastAsiaTheme="minorEastAsia"/>
          <w:b/>
          <w:color w:val="auto"/>
          <w:sz w:val="24"/>
        </w:rPr>
        <w:t>第</w:t>
      </w:r>
      <w:r>
        <w:rPr>
          <w:rFonts w:hint="eastAsia" w:asciiTheme="minorEastAsia" w:hAnsiTheme="minorEastAsia" w:eastAsiaTheme="minorEastAsia"/>
          <w:b/>
          <w:color w:val="auto"/>
          <w:sz w:val="24"/>
        </w:rPr>
        <w:t>十四</w:t>
      </w:r>
      <w:r>
        <w:rPr>
          <w:rFonts w:asciiTheme="minorEastAsia" w:hAnsiTheme="minorEastAsia" w:eastAsiaTheme="minorEastAsia"/>
          <w:b/>
          <w:color w:val="auto"/>
          <w:sz w:val="24"/>
        </w:rPr>
        <w:t>条 争议的解决</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4</w:t>
      </w:r>
      <w:r>
        <w:rPr>
          <w:rFonts w:asciiTheme="minorEastAsia" w:hAnsiTheme="minorEastAsia" w:eastAsiaTheme="minorEastAsia"/>
          <w:color w:val="auto"/>
          <w:sz w:val="24"/>
        </w:rPr>
        <w:t xml:space="preserve">.1本协议执行过程中的未尽事宜，双方应本着实事求是友好协商的态度加以解决。双方协商一致的，签订补充协议。补充协议与本协议具有同等效力。双方应当努力营造诚信和谐的合同关系，加强沟通，避免纠纷的发生。 </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4</w:t>
      </w:r>
      <w:r>
        <w:rPr>
          <w:rFonts w:asciiTheme="minorEastAsia" w:hAnsiTheme="minorEastAsia" w:eastAsiaTheme="minorEastAsia"/>
          <w:color w:val="auto"/>
          <w:sz w:val="24"/>
        </w:rPr>
        <w:t>.2 不能避免的纠纷，在双方协商过程中和未达成一致意见时及之后的任何时间，除采购方明示暂停的外，承包方都有义务继续进行</w:t>
      </w:r>
      <w:r>
        <w:rPr>
          <w:rFonts w:hint="eastAsia" w:asciiTheme="minorEastAsia" w:hAnsiTheme="minorEastAsia" w:eastAsiaTheme="minorEastAsia"/>
          <w:color w:val="auto"/>
          <w:sz w:val="24"/>
        </w:rPr>
        <w:t>航测</w:t>
      </w:r>
      <w:r>
        <w:rPr>
          <w:rFonts w:asciiTheme="minorEastAsia" w:hAnsiTheme="minorEastAsia" w:eastAsiaTheme="minorEastAsia"/>
          <w:color w:val="auto"/>
          <w:sz w:val="24"/>
        </w:rPr>
        <w:t>工作</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不得因此停工、怠工。</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4</w:t>
      </w:r>
      <w:r>
        <w:rPr>
          <w:rFonts w:asciiTheme="minorEastAsia" w:hAnsiTheme="minorEastAsia" w:eastAsiaTheme="minorEastAsia"/>
          <w:color w:val="auto"/>
          <w:sz w:val="24"/>
        </w:rPr>
        <w:t>.3在严格信守上述约定后</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双方发生的争议</w:t>
      </w:r>
      <w:r>
        <w:rPr>
          <w:rFonts w:hint="eastAsia" w:asciiTheme="minorEastAsia" w:hAnsiTheme="minorEastAsia" w:eastAsiaTheme="minorEastAsia"/>
          <w:color w:val="auto"/>
          <w:sz w:val="24"/>
        </w:rPr>
        <w:t>时</w:t>
      </w:r>
      <w:r>
        <w:rPr>
          <w:rFonts w:asciiTheme="minorEastAsia" w:hAnsiTheme="minorEastAsia" w:eastAsiaTheme="minorEastAsia"/>
          <w:color w:val="auto"/>
          <w:sz w:val="24"/>
        </w:rPr>
        <w:t>，采购</w:t>
      </w:r>
      <w:r>
        <w:rPr>
          <w:rFonts w:hint="eastAsia" w:asciiTheme="minorEastAsia" w:hAnsiTheme="minorEastAsia" w:eastAsiaTheme="minorEastAsia"/>
          <w:color w:val="auto"/>
          <w:sz w:val="24"/>
        </w:rPr>
        <w:t>方</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承包方</w:t>
      </w:r>
      <w:r>
        <w:rPr>
          <w:rFonts w:asciiTheme="minorEastAsia" w:hAnsiTheme="minorEastAsia" w:eastAsiaTheme="minorEastAsia"/>
          <w:color w:val="auto"/>
          <w:sz w:val="24"/>
        </w:rPr>
        <w:t>应及时协商解决，协商不成时，采购</w:t>
      </w:r>
      <w:r>
        <w:rPr>
          <w:rFonts w:hint="eastAsia" w:asciiTheme="minorEastAsia" w:hAnsiTheme="minorEastAsia" w:eastAsiaTheme="minorEastAsia"/>
          <w:color w:val="auto"/>
          <w:sz w:val="24"/>
        </w:rPr>
        <w:t>方</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承包方</w:t>
      </w:r>
      <w:r>
        <w:rPr>
          <w:rFonts w:asciiTheme="minorEastAsia" w:hAnsiTheme="minorEastAsia" w:eastAsiaTheme="minorEastAsia"/>
          <w:color w:val="auto"/>
          <w:sz w:val="24"/>
        </w:rPr>
        <w:t>同意由仲裁。</w:t>
      </w:r>
    </w:p>
    <w:p>
      <w:pPr>
        <w:adjustRightInd w:val="0"/>
        <w:snapToGrid w:val="0"/>
        <w:spacing w:line="440" w:lineRule="exact"/>
        <w:ind w:firstLine="422" w:firstLineChars="175"/>
        <w:rPr>
          <w:rFonts w:asciiTheme="minorEastAsia" w:hAnsiTheme="minorEastAsia" w:eastAsiaTheme="minorEastAsia"/>
          <w:b/>
          <w:color w:val="auto"/>
          <w:sz w:val="24"/>
        </w:rPr>
      </w:pPr>
      <w:r>
        <w:rPr>
          <w:rFonts w:hint="eastAsia" w:asciiTheme="minorEastAsia" w:hAnsiTheme="minorEastAsia" w:eastAsiaTheme="minorEastAsia"/>
          <w:b/>
          <w:color w:val="auto"/>
          <w:sz w:val="24"/>
        </w:rPr>
        <w:t xml:space="preserve">第十五条 </w:t>
      </w:r>
      <w:r>
        <w:rPr>
          <w:rFonts w:asciiTheme="minorEastAsia" w:hAnsiTheme="minorEastAsia" w:eastAsiaTheme="minorEastAsia"/>
          <w:b/>
          <w:color w:val="auto"/>
          <w:sz w:val="24"/>
        </w:rPr>
        <w:t>其它约定</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5</w:t>
      </w:r>
      <w:r>
        <w:rPr>
          <w:rFonts w:asciiTheme="minorEastAsia" w:hAnsiTheme="minorEastAsia" w:eastAsiaTheme="minorEastAsia"/>
          <w:color w:val="auto"/>
          <w:sz w:val="24"/>
        </w:rPr>
        <w:t xml:space="preserve">.1 本协议自双方代表签字盖章后生效。 </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5</w:t>
      </w:r>
      <w:r>
        <w:rPr>
          <w:rFonts w:asciiTheme="minorEastAsia" w:hAnsiTheme="minorEastAsia" w:eastAsiaTheme="minorEastAsia"/>
          <w:color w:val="auto"/>
          <w:sz w:val="24"/>
        </w:rPr>
        <w:t xml:space="preserve">.2 本协议未尽事宜，经双方协商一致，签订补充协议，补充协议与本协议具有同等效力。 </w:t>
      </w:r>
    </w:p>
    <w:p>
      <w:pPr>
        <w:adjustRightInd w:val="0"/>
        <w:snapToGrid w:val="0"/>
        <w:spacing w:line="440" w:lineRule="exact"/>
        <w:ind w:firstLine="420" w:firstLineChars="175"/>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5</w:t>
      </w:r>
      <w:r>
        <w:rPr>
          <w:rFonts w:asciiTheme="minorEastAsia" w:hAnsiTheme="minorEastAsia" w:eastAsiaTheme="minorEastAsia"/>
          <w:color w:val="auto"/>
          <w:sz w:val="24"/>
        </w:rPr>
        <w:t>.3本协议一式</w:t>
      </w:r>
      <w:r>
        <w:rPr>
          <w:rFonts w:hint="eastAsia" w:asciiTheme="minorEastAsia" w:hAnsiTheme="minorEastAsia" w:eastAsiaTheme="minorEastAsia"/>
          <w:color w:val="auto"/>
          <w:sz w:val="24"/>
        </w:rPr>
        <w:t>六份，采购方四份，承包方二份。</w:t>
      </w:r>
    </w:p>
    <w:tbl>
      <w:tblPr>
        <w:tblStyle w:val="65"/>
        <w:tblpPr w:leftFromText="180" w:rightFromText="180" w:vertAnchor="text" w:horzAnchor="margin" w:tblpXSpec="right" w:tblpY="244"/>
        <w:tblW w:w="9214" w:type="dxa"/>
        <w:tblInd w:w="0" w:type="dxa"/>
        <w:tblLayout w:type="fixed"/>
        <w:tblCellMar>
          <w:top w:w="0" w:type="dxa"/>
          <w:left w:w="108" w:type="dxa"/>
          <w:bottom w:w="0" w:type="dxa"/>
          <w:right w:w="108" w:type="dxa"/>
        </w:tblCellMar>
      </w:tblPr>
      <w:tblGrid>
        <w:gridCol w:w="1668"/>
        <w:gridCol w:w="3160"/>
        <w:gridCol w:w="1800"/>
        <w:gridCol w:w="2586"/>
      </w:tblGrid>
      <w:tr>
        <w:tblPrEx>
          <w:tblLayout w:type="fixed"/>
          <w:tblCellMar>
            <w:top w:w="0" w:type="dxa"/>
            <w:left w:w="108" w:type="dxa"/>
            <w:bottom w:w="0" w:type="dxa"/>
            <w:right w:w="108" w:type="dxa"/>
          </w:tblCellMar>
        </w:tblPrEx>
        <w:trPr>
          <w:trHeight w:val="283" w:hRule="atLeast"/>
        </w:trPr>
        <w:tc>
          <w:tcPr>
            <w:tcW w:w="1668" w:type="dxa"/>
          </w:tcPr>
          <w:p>
            <w:pPr>
              <w:pStyle w:val="55"/>
              <w:spacing w:before="0" w:beforeAutospacing="0" w:after="0" w:afterAutospacing="0" w:line="440" w:lineRule="exact"/>
              <w:ind w:left="-178" w:leftChars="-85" w:right="-107" w:rightChars="-51" w:firstLine="151" w:firstLineChars="63"/>
              <w:rPr>
                <w:rFonts w:hint="default" w:asciiTheme="minorEastAsia" w:hAnsiTheme="minorEastAsia" w:eastAsiaTheme="minorEastAsia"/>
                <w:color w:val="auto"/>
              </w:rPr>
            </w:pPr>
            <w:r>
              <w:rPr>
                <w:rFonts w:asciiTheme="minorEastAsia" w:hAnsiTheme="minorEastAsia" w:eastAsiaTheme="minorEastAsia"/>
                <w:color w:val="auto"/>
              </w:rPr>
              <w:t>采购人名称：</w:t>
            </w:r>
          </w:p>
        </w:tc>
        <w:tc>
          <w:tcPr>
            <w:tcW w:w="3160" w:type="dxa"/>
          </w:tcPr>
          <w:p>
            <w:pPr>
              <w:pStyle w:val="55"/>
              <w:spacing w:before="0" w:beforeAutospacing="0" w:after="0" w:afterAutospacing="0" w:line="440" w:lineRule="exact"/>
              <w:rPr>
                <w:rFonts w:hint="default" w:asciiTheme="minorEastAsia" w:hAnsiTheme="minorEastAsia" w:eastAsiaTheme="minorEastAsia"/>
                <w:color w:val="auto"/>
              </w:rPr>
            </w:pPr>
            <w:r>
              <w:rPr>
                <w:rFonts w:asciiTheme="minorEastAsia" w:hAnsiTheme="minorEastAsia" w:eastAsiaTheme="minorEastAsia"/>
                <w:color w:val="auto"/>
              </w:rPr>
              <w:t>（盖章）</w:t>
            </w:r>
          </w:p>
        </w:tc>
        <w:tc>
          <w:tcPr>
            <w:tcW w:w="1800" w:type="dxa"/>
          </w:tcPr>
          <w:p>
            <w:pPr>
              <w:pStyle w:val="55"/>
              <w:spacing w:before="0" w:beforeAutospacing="0" w:after="0" w:afterAutospacing="0" w:line="440" w:lineRule="exact"/>
              <w:ind w:left="-107" w:leftChars="-51" w:right="-107" w:rightChars="-51"/>
              <w:rPr>
                <w:rFonts w:hint="default" w:asciiTheme="minorEastAsia" w:hAnsiTheme="minorEastAsia" w:eastAsiaTheme="minorEastAsia"/>
                <w:color w:val="auto"/>
              </w:rPr>
            </w:pPr>
            <w:r>
              <w:rPr>
                <w:rFonts w:asciiTheme="minorEastAsia" w:hAnsiTheme="minorEastAsia" w:eastAsiaTheme="minorEastAsia"/>
                <w:color w:val="auto"/>
              </w:rPr>
              <w:t>承包方名称：</w:t>
            </w:r>
          </w:p>
        </w:tc>
        <w:tc>
          <w:tcPr>
            <w:tcW w:w="2586" w:type="dxa"/>
          </w:tcPr>
          <w:p>
            <w:pPr>
              <w:pStyle w:val="55"/>
              <w:spacing w:before="0" w:beforeAutospacing="0" w:after="0" w:afterAutospacing="0" w:line="440" w:lineRule="exact"/>
              <w:rPr>
                <w:rFonts w:hint="default" w:asciiTheme="minorEastAsia" w:hAnsiTheme="minorEastAsia" w:eastAsiaTheme="minorEastAsia"/>
                <w:color w:val="auto"/>
              </w:rPr>
            </w:pPr>
            <w:r>
              <w:rPr>
                <w:rFonts w:asciiTheme="minorEastAsia" w:hAnsiTheme="minorEastAsia" w:eastAsiaTheme="minorEastAsia"/>
                <w:color w:val="auto"/>
              </w:rPr>
              <w:t>（盖章）</w:t>
            </w:r>
          </w:p>
        </w:tc>
      </w:tr>
      <w:tr>
        <w:tblPrEx>
          <w:tblLayout w:type="fixed"/>
          <w:tblCellMar>
            <w:top w:w="0" w:type="dxa"/>
            <w:left w:w="108" w:type="dxa"/>
            <w:bottom w:w="0" w:type="dxa"/>
            <w:right w:w="108" w:type="dxa"/>
          </w:tblCellMar>
        </w:tblPrEx>
        <w:trPr>
          <w:trHeight w:val="283" w:hRule="atLeast"/>
        </w:trPr>
        <w:tc>
          <w:tcPr>
            <w:tcW w:w="1668" w:type="dxa"/>
          </w:tcPr>
          <w:p>
            <w:pPr>
              <w:pStyle w:val="55"/>
              <w:spacing w:before="0" w:beforeAutospacing="0" w:after="0" w:afterAutospacing="0" w:line="440" w:lineRule="exact"/>
              <w:ind w:left="-178" w:leftChars="-85" w:right="-107" w:rightChars="-51" w:firstLine="151" w:firstLineChars="63"/>
              <w:rPr>
                <w:rFonts w:hint="default" w:asciiTheme="minorEastAsia" w:hAnsiTheme="minorEastAsia" w:eastAsiaTheme="minorEastAsia"/>
                <w:color w:val="auto"/>
              </w:rPr>
            </w:pPr>
            <w:r>
              <w:rPr>
                <w:rFonts w:asciiTheme="minorEastAsia" w:hAnsiTheme="minorEastAsia" w:eastAsiaTheme="minorEastAsia"/>
                <w:color w:val="auto"/>
              </w:rPr>
              <w:t>法定代表人：　</w:t>
            </w:r>
          </w:p>
        </w:tc>
        <w:tc>
          <w:tcPr>
            <w:tcW w:w="3160" w:type="dxa"/>
          </w:tcPr>
          <w:p>
            <w:pPr>
              <w:pStyle w:val="55"/>
              <w:spacing w:before="0" w:beforeAutospacing="0" w:after="0" w:afterAutospacing="0" w:line="440" w:lineRule="exact"/>
              <w:rPr>
                <w:rFonts w:hint="default" w:asciiTheme="minorEastAsia" w:hAnsiTheme="minorEastAsia" w:eastAsiaTheme="minorEastAsia"/>
                <w:color w:val="auto"/>
              </w:rPr>
            </w:pPr>
            <w:r>
              <w:rPr>
                <w:rFonts w:asciiTheme="minorEastAsia" w:hAnsiTheme="minorEastAsia" w:eastAsiaTheme="minorEastAsia"/>
                <w:color w:val="auto"/>
              </w:rPr>
              <w:t>（签字）</w:t>
            </w:r>
          </w:p>
        </w:tc>
        <w:tc>
          <w:tcPr>
            <w:tcW w:w="1800" w:type="dxa"/>
          </w:tcPr>
          <w:p>
            <w:pPr>
              <w:pStyle w:val="55"/>
              <w:spacing w:before="0" w:beforeAutospacing="0" w:after="0" w:afterAutospacing="0" w:line="440" w:lineRule="exact"/>
              <w:ind w:left="-107" w:leftChars="-51" w:right="-107" w:rightChars="-51"/>
              <w:rPr>
                <w:rFonts w:hint="default" w:asciiTheme="minorEastAsia" w:hAnsiTheme="minorEastAsia" w:eastAsiaTheme="minorEastAsia"/>
                <w:color w:val="auto"/>
              </w:rPr>
            </w:pPr>
            <w:r>
              <w:rPr>
                <w:rFonts w:asciiTheme="minorEastAsia" w:hAnsiTheme="minorEastAsia" w:eastAsiaTheme="minorEastAsia"/>
                <w:color w:val="auto"/>
              </w:rPr>
              <w:t xml:space="preserve">法定代表人： </w:t>
            </w:r>
          </w:p>
        </w:tc>
        <w:tc>
          <w:tcPr>
            <w:tcW w:w="2586" w:type="dxa"/>
          </w:tcPr>
          <w:p>
            <w:pPr>
              <w:pStyle w:val="55"/>
              <w:spacing w:before="0" w:beforeAutospacing="0" w:after="0" w:afterAutospacing="0" w:line="440" w:lineRule="exact"/>
              <w:rPr>
                <w:rFonts w:hint="default" w:asciiTheme="minorEastAsia" w:hAnsiTheme="minorEastAsia" w:eastAsiaTheme="minorEastAsia"/>
                <w:color w:val="auto"/>
              </w:rPr>
            </w:pPr>
            <w:r>
              <w:rPr>
                <w:rFonts w:asciiTheme="minorEastAsia" w:hAnsiTheme="minorEastAsia" w:eastAsiaTheme="minorEastAsia"/>
                <w:color w:val="auto"/>
              </w:rPr>
              <w:t>（签字）</w:t>
            </w:r>
          </w:p>
        </w:tc>
      </w:tr>
      <w:tr>
        <w:tblPrEx>
          <w:tblLayout w:type="fixed"/>
          <w:tblCellMar>
            <w:top w:w="0" w:type="dxa"/>
            <w:left w:w="108" w:type="dxa"/>
            <w:bottom w:w="0" w:type="dxa"/>
            <w:right w:w="108" w:type="dxa"/>
          </w:tblCellMar>
        </w:tblPrEx>
        <w:trPr>
          <w:trHeight w:val="283" w:hRule="atLeast"/>
        </w:trPr>
        <w:tc>
          <w:tcPr>
            <w:tcW w:w="1668" w:type="dxa"/>
          </w:tcPr>
          <w:p>
            <w:pPr>
              <w:pStyle w:val="55"/>
              <w:spacing w:before="0" w:beforeAutospacing="0" w:after="0" w:afterAutospacing="0" w:line="440" w:lineRule="exact"/>
              <w:ind w:left="-178" w:leftChars="-85" w:right="-107" w:rightChars="-51" w:firstLine="151" w:firstLineChars="63"/>
              <w:rPr>
                <w:rFonts w:hint="default" w:asciiTheme="minorEastAsia" w:hAnsiTheme="minorEastAsia" w:eastAsiaTheme="minorEastAsia"/>
                <w:color w:val="auto"/>
              </w:rPr>
            </w:pPr>
            <w:r>
              <w:rPr>
                <w:rFonts w:asciiTheme="minorEastAsia" w:hAnsiTheme="minorEastAsia" w:eastAsiaTheme="minorEastAsia"/>
                <w:color w:val="auto"/>
              </w:rPr>
              <w:t xml:space="preserve">委托代理人： </w:t>
            </w:r>
          </w:p>
        </w:tc>
        <w:tc>
          <w:tcPr>
            <w:tcW w:w="3160" w:type="dxa"/>
          </w:tcPr>
          <w:p>
            <w:pPr>
              <w:pStyle w:val="55"/>
              <w:spacing w:before="0" w:beforeAutospacing="0" w:after="0" w:afterAutospacing="0" w:line="440" w:lineRule="exact"/>
              <w:rPr>
                <w:rFonts w:hint="default" w:asciiTheme="minorEastAsia" w:hAnsiTheme="minorEastAsia" w:eastAsiaTheme="minorEastAsia"/>
                <w:color w:val="auto"/>
              </w:rPr>
            </w:pPr>
            <w:r>
              <w:rPr>
                <w:rFonts w:asciiTheme="minorEastAsia" w:hAnsiTheme="minorEastAsia" w:eastAsiaTheme="minorEastAsia"/>
                <w:color w:val="auto"/>
              </w:rPr>
              <w:t>（签字）</w:t>
            </w:r>
          </w:p>
        </w:tc>
        <w:tc>
          <w:tcPr>
            <w:tcW w:w="1800" w:type="dxa"/>
          </w:tcPr>
          <w:p>
            <w:pPr>
              <w:pStyle w:val="55"/>
              <w:spacing w:before="0" w:beforeAutospacing="0" w:after="0" w:afterAutospacing="0" w:line="440" w:lineRule="exact"/>
              <w:ind w:left="-107" w:leftChars="-51" w:right="-107" w:rightChars="-51"/>
              <w:rPr>
                <w:rFonts w:hint="default" w:asciiTheme="minorEastAsia" w:hAnsiTheme="minorEastAsia" w:eastAsiaTheme="minorEastAsia"/>
                <w:color w:val="auto"/>
              </w:rPr>
            </w:pPr>
            <w:r>
              <w:rPr>
                <w:rFonts w:asciiTheme="minorEastAsia" w:hAnsiTheme="minorEastAsia" w:eastAsiaTheme="minorEastAsia"/>
                <w:color w:val="auto"/>
              </w:rPr>
              <w:t xml:space="preserve">委托代理人： </w:t>
            </w:r>
          </w:p>
        </w:tc>
        <w:tc>
          <w:tcPr>
            <w:tcW w:w="2586" w:type="dxa"/>
          </w:tcPr>
          <w:p>
            <w:pPr>
              <w:pStyle w:val="55"/>
              <w:spacing w:before="0" w:beforeAutospacing="0" w:after="0" w:afterAutospacing="0" w:line="440" w:lineRule="exact"/>
              <w:rPr>
                <w:rFonts w:hint="default" w:asciiTheme="minorEastAsia" w:hAnsiTheme="minorEastAsia" w:eastAsiaTheme="minorEastAsia"/>
                <w:color w:val="auto"/>
              </w:rPr>
            </w:pPr>
            <w:r>
              <w:rPr>
                <w:rFonts w:asciiTheme="minorEastAsia" w:hAnsiTheme="minorEastAsia" w:eastAsiaTheme="minorEastAsia"/>
                <w:color w:val="auto"/>
              </w:rPr>
              <w:t>（签字）</w:t>
            </w:r>
          </w:p>
        </w:tc>
      </w:tr>
      <w:tr>
        <w:tblPrEx>
          <w:tblLayout w:type="fixed"/>
          <w:tblCellMar>
            <w:top w:w="0" w:type="dxa"/>
            <w:left w:w="108" w:type="dxa"/>
            <w:bottom w:w="0" w:type="dxa"/>
            <w:right w:w="108" w:type="dxa"/>
          </w:tblCellMar>
        </w:tblPrEx>
        <w:trPr>
          <w:trHeight w:val="283" w:hRule="atLeast"/>
        </w:trPr>
        <w:tc>
          <w:tcPr>
            <w:tcW w:w="1668" w:type="dxa"/>
          </w:tcPr>
          <w:p>
            <w:pPr>
              <w:pStyle w:val="55"/>
              <w:spacing w:before="0" w:beforeAutospacing="0" w:after="0" w:afterAutospacing="0" w:line="440" w:lineRule="exact"/>
              <w:ind w:left="-178" w:leftChars="-85" w:right="-107" w:rightChars="-51" w:firstLine="151" w:firstLineChars="63"/>
              <w:rPr>
                <w:rFonts w:hint="default" w:asciiTheme="minorEastAsia" w:hAnsiTheme="minorEastAsia" w:eastAsiaTheme="minorEastAsia"/>
                <w:color w:val="auto"/>
              </w:rPr>
            </w:pPr>
            <w:r>
              <w:rPr>
                <w:rFonts w:asciiTheme="minorEastAsia" w:hAnsiTheme="minorEastAsia" w:eastAsiaTheme="minorEastAsia"/>
                <w:color w:val="auto"/>
              </w:rPr>
              <w:t>地    址：</w:t>
            </w:r>
          </w:p>
        </w:tc>
        <w:tc>
          <w:tcPr>
            <w:tcW w:w="3160" w:type="dxa"/>
          </w:tcPr>
          <w:p>
            <w:pPr>
              <w:pStyle w:val="55"/>
              <w:spacing w:before="0" w:beforeAutospacing="0" w:after="0" w:afterAutospacing="0" w:line="440" w:lineRule="exact"/>
              <w:rPr>
                <w:rFonts w:hint="default" w:asciiTheme="minorEastAsia" w:hAnsiTheme="minorEastAsia" w:eastAsiaTheme="minorEastAsia"/>
                <w:color w:val="auto"/>
              </w:rPr>
            </w:pPr>
          </w:p>
        </w:tc>
        <w:tc>
          <w:tcPr>
            <w:tcW w:w="1800" w:type="dxa"/>
          </w:tcPr>
          <w:p>
            <w:pPr>
              <w:pStyle w:val="55"/>
              <w:spacing w:before="0" w:beforeAutospacing="0" w:after="0" w:afterAutospacing="0" w:line="440" w:lineRule="exact"/>
              <w:ind w:left="-107" w:leftChars="-51" w:right="-107" w:rightChars="-51"/>
              <w:rPr>
                <w:rFonts w:hint="default" w:asciiTheme="minorEastAsia" w:hAnsiTheme="minorEastAsia" w:eastAsiaTheme="minorEastAsia"/>
                <w:color w:val="auto"/>
              </w:rPr>
            </w:pPr>
            <w:r>
              <w:rPr>
                <w:rFonts w:asciiTheme="minorEastAsia" w:hAnsiTheme="minorEastAsia" w:eastAsiaTheme="minorEastAsia"/>
                <w:color w:val="auto"/>
              </w:rPr>
              <w:t>地    址：</w:t>
            </w:r>
          </w:p>
        </w:tc>
        <w:tc>
          <w:tcPr>
            <w:tcW w:w="2586" w:type="dxa"/>
          </w:tcPr>
          <w:p>
            <w:pPr>
              <w:pStyle w:val="55"/>
              <w:spacing w:before="0" w:beforeAutospacing="0" w:after="0" w:afterAutospacing="0" w:line="440" w:lineRule="exact"/>
              <w:rPr>
                <w:rFonts w:hint="default" w:asciiTheme="minorEastAsia" w:hAnsiTheme="minorEastAsia" w:eastAsiaTheme="minorEastAsia"/>
                <w:color w:val="auto"/>
              </w:rPr>
            </w:pPr>
          </w:p>
        </w:tc>
      </w:tr>
      <w:tr>
        <w:tblPrEx>
          <w:tblLayout w:type="fixed"/>
          <w:tblCellMar>
            <w:top w:w="0" w:type="dxa"/>
            <w:left w:w="108" w:type="dxa"/>
            <w:bottom w:w="0" w:type="dxa"/>
            <w:right w:w="108" w:type="dxa"/>
          </w:tblCellMar>
        </w:tblPrEx>
        <w:trPr>
          <w:trHeight w:val="283" w:hRule="atLeast"/>
        </w:trPr>
        <w:tc>
          <w:tcPr>
            <w:tcW w:w="1668" w:type="dxa"/>
          </w:tcPr>
          <w:p>
            <w:pPr>
              <w:pStyle w:val="55"/>
              <w:spacing w:before="0" w:beforeAutospacing="0" w:after="0" w:afterAutospacing="0" w:line="440" w:lineRule="exact"/>
              <w:ind w:left="-178" w:leftChars="-85" w:right="-107" w:rightChars="-51" w:firstLine="151" w:firstLineChars="63"/>
              <w:rPr>
                <w:rFonts w:hint="default" w:asciiTheme="minorEastAsia" w:hAnsiTheme="minorEastAsia" w:eastAsiaTheme="minorEastAsia"/>
                <w:color w:val="auto"/>
              </w:rPr>
            </w:pPr>
            <w:r>
              <w:rPr>
                <w:rFonts w:asciiTheme="minorEastAsia" w:hAnsiTheme="minorEastAsia" w:eastAsiaTheme="minorEastAsia"/>
                <w:color w:val="auto"/>
              </w:rPr>
              <w:t>邮政编码：</w:t>
            </w:r>
          </w:p>
        </w:tc>
        <w:tc>
          <w:tcPr>
            <w:tcW w:w="3160" w:type="dxa"/>
          </w:tcPr>
          <w:p>
            <w:pPr>
              <w:pStyle w:val="55"/>
              <w:spacing w:before="0" w:beforeAutospacing="0" w:after="0" w:afterAutospacing="0" w:line="440" w:lineRule="exact"/>
              <w:rPr>
                <w:rFonts w:hint="default" w:asciiTheme="minorEastAsia" w:hAnsiTheme="minorEastAsia" w:eastAsiaTheme="minorEastAsia"/>
                <w:color w:val="auto"/>
              </w:rPr>
            </w:pPr>
          </w:p>
        </w:tc>
        <w:tc>
          <w:tcPr>
            <w:tcW w:w="1800" w:type="dxa"/>
          </w:tcPr>
          <w:p>
            <w:pPr>
              <w:pStyle w:val="55"/>
              <w:spacing w:before="0" w:beforeAutospacing="0" w:after="0" w:afterAutospacing="0" w:line="440" w:lineRule="exact"/>
              <w:ind w:left="-107" w:leftChars="-51" w:right="-107" w:rightChars="-51"/>
              <w:rPr>
                <w:rFonts w:hint="default" w:asciiTheme="minorEastAsia" w:hAnsiTheme="minorEastAsia" w:eastAsiaTheme="minorEastAsia"/>
                <w:color w:val="auto"/>
              </w:rPr>
            </w:pPr>
            <w:r>
              <w:rPr>
                <w:rFonts w:asciiTheme="minorEastAsia" w:hAnsiTheme="minorEastAsia" w:eastAsiaTheme="minorEastAsia"/>
                <w:color w:val="auto"/>
              </w:rPr>
              <w:t>邮政编码：</w:t>
            </w:r>
          </w:p>
        </w:tc>
        <w:tc>
          <w:tcPr>
            <w:tcW w:w="2586" w:type="dxa"/>
          </w:tcPr>
          <w:p>
            <w:pPr>
              <w:pStyle w:val="55"/>
              <w:spacing w:before="0" w:beforeAutospacing="0" w:after="0" w:afterAutospacing="0" w:line="440" w:lineRule="exact"/>
              <w:rPr>
                <w:rFonts w:hint="default" w:asciiTheme="minorEastAsia" w:hAnsiTheme="minorEastAsia" w:eastAsiaTheme="minorEastAsia"/>
                <w:color w:val="auto"/>
              </w:rPr>
            </w:pPr>
          </w:p>
        </w:tc>
      </w:tr>
      <w:tr>
        <w:tblPrEx>
          <w:tblLayout w:type="fixed"/>
          <w:tblCellMar>
            <w:top w:w="0" w:type="dxa"/>
            <w:left w:w="108" w:type="dxa"/>
            <w:bottom w:w="0" w:type="dxa"/>
            <w:right w:w="108" w:type="dxa"/>
          </w:tblCellMar>
        </w:tblPrEx>
        <w:trPr>
          <w:trHeight w:val="283" w:hRule="atLeast"/>
        </w:trPr>
        <w:tc>
          <w:tcPr>
            <w:tcW w:w="1668" w:type="dxa"/>
          </w:tcPr>
          <w:p>
            <w:pPr>
              <w:pStyle w:val="55"/>
              <w:spacing w:before="0" w:beforeAutospacing="0" w:after="0" w:afterAutospacing="0" w:line="440" w:lineRule="exact"/>
              <w:ind w:left="-178" w:leftChars="-85" w:right="-107" w:rightChars="-51" w:firstLine="151" w:firstLineChars="63"/>
              <w:rPr>
                <w:rFonts w:hint="default" w:asciiTheme="minorEastAsia" w:hAnsiTheme="minorEastAsia" w:eastAsiaTheme="minorEastAsia"/>
                <w:color w:val="auto"/>
              </w:rPr>
            </w:pPr>
            <w:r>
              <w:rPr>
                <w:rFonts w:asciiTheme="minorEastAsia" w:hAnsiTheme="minorEastAsia" w:eastAsiaTheme="minorEastAsia"/>
                <w:color w:val="auto"/>
              </w:rPr>
              <w:t>电　　话：</w:t>
            </w:r>
          </w:p>
        </w:tc>
        <w:tc>
          <w:tcPr>
            <w:tcW w:w="3160" w:type="dxa"/>
          </w:tcPr>
          <w:p>
            <w:pPr>
              <w:pStyle w:val="55"/>
              <w:spacing w:before="0" w:beforeAutospacing="0" w:after="0" w:afterAutospacing="0" w:line="440" w:lineRule="exact"/>
              <w:rPr>
                <w:rFonts w:hint="default" w:asciiTheme="minorEastAsia" w:hAnsiTheme="minorEastAsia" w:eastAsiaTheme="minorEastAsia"/>
                <w:color w:val="auto"/>
              </w:rPr>
            </w:pPr>
          </w:p>
        </w:tc>
        <w:tc>
          <w:tcPr>
            <w:tcW w:w="1800" w:type="dxa"/>
          </w:tcPr>
          <w:p>
            <w:pPr>
              <w:pStyle w:val="55"/>
              <w:spacing w:before="0" w:beforeAutospacing="0" w:after="0" w:afterAutospacing="0" w:line="440" w:lineRule="exact"/>
              <w:ind w:left="-107" w:leftChars="-51" w:right="-107" w:rightChars="-51"/>
              <w:rPr>
                <w:rFonts w:hint="default" w:asciiTheme="minorEastAsia" w:hAnsiTheme="minorEastAsia" w:eastAsiaTheme="minorEastAsia"/>
                <w:color w:val="auto"/>
              </w:rPr>
            </w:pPr>
            <w:r>
              <w:rPr>
                <w:rFonts w:asciiTheme="minorEastAsia" w:hAnsiTheme="minorEastAsia" w:eastAsiaTheme="minorEastAsia"/>
                <w:color w:val="auto"/>
              </w:rPr>
              <w:t>电　　话：</w:t>
            </w:r>
          </w:p>
        </w:tc>
        <w:tc>
          <w:tcPr>
            <w:tcW w:w="2586" w:type="dxa"/>
          </w:tcPr>
          <w:p>
            <w:pPr>
              <w:pStyle w:val="55"/>
              <w:spacing w:before="0" w:beforeAutospacing="0" w:after="0" w:afterAutospacing="0" w:line="440" w:lineRule="exact"/>
              <w:rPr>
                <w:rFonts w:hint="default" w:asciiTheme="minorEastAsia" w:hAnsiTheme="minorEastAsia" w:eastAsiaTheme="minorEastAsia"/>
                <w:color w:val="auto"/>
              </w:rPr>
            </w:pPr>
          </w:p>
        </w:tc>
      </w:tr>
      <w:tr>
        <w:tblPrEx>
          <w:tblLayout w:type="fixed"/>
          <w:tblCellMar>
            <w:top w:w="0" w:type="dxa"/>
            <w:left w:w="108" w:type="dxa"/>
            <w:bottom w:w="0" w:type="dxa"/>
            <w:right w:w="108" w:type="dxa"/>
          </w:tblCellMar>
        </w:tblPrEx>
        <w:trPr>
          <w:trHeight w:val="283" w:hRule="atLeast"/>
        </w:trPr>
        <w:tc>
          <w:tcPr>
            <w:tcW w:w="1668" w:type="dxa"/>
          </w:tcPr>
          <w:p>
            <w:pPr>
              <w:pStyle w:val="55"/>
              <w:spacing w:before="0" w:beforeAutospacing="0" w:after="0" w:afterAutospacing="0" w:line="440" w:lineRule="exact"/>
              <w:ind w:left="-178" w:leftChars="-85" w:right="-107" w:rightChars="-51" w:firstLine="151" w:firstLineChars="63"/>
              <w:rPr>
                <w:rFonts w:hint="default" w:asciiTheme="minorEastAsia" w:hAnsiTheme="minorEastAsia" w:eastAsiaTheme="minorEastAsia"/>
                <w:color w:val="auto"/>
              </w:rPr>
            </w:pPr>
            <w:r>
              <w:rPr>
                <w:rFonts w:asciiTheme="minorEastAsia" w:hAnsiTheme="minorEastAsia" w:eastAsiaTheme="minorEastAsia"/>
                <w:color w:val="auto"/>
              </w:rPr>
              <w:t>传　　真：</w:t>
            </w:r>
          </w:p>
        </w:tc>
        <w:tc>
          <w:tcPr>
            <w:tcW w:w="3160" w:type="dxa"/>
          </w:tcPr>
          <w:p>
            <w:pPr>
              <w:pStyle w:val="55"/>
              <w:spacing w:before="0" w:beforeAutospacing="0" w:after="0" w:afterAutospacing="0" w:line="440" w:lineRule="exact"/>
              <w:rPr>
                <w:rFonts w:hint="default" w:asciiTheme="minorEastAsia" w:hAnsiTheme="minorEastAsia" w:eastAsiaTheme="minorEastAsia"/>
                <w:color w:val="auto"/>
              </w:rPr>
            </w:pPr>
          </w:p>
        </w:tc>
        <w:tc>
          <w:tcPr>
            <w:tcW w:w="1800" w:type="dxa"/>
          </w:tcPr>
          <w:p>
            <w:pPr>
              <w:pStyle w:val="55"/>
              <w:spacing w:before="0" w:beforeAutospacing="0" w:after="0" w:afterAutospacing="0" w:line="440" w:lineRule="exact"/>
              <w:ind w:left="-107" w:leftChars="-51" w:right="-107" w:rightChars="-51"/>
              <w:rPr>
                <w:rFonts w:hint="default" w:asciiTheme="minorEastAsia" w:hAnsiTheme="minorEastAsia" w:eastAsiaTheme="minorEastAsia"/>
                <w:color w:val="auto"/>
              </w:rPr>
            </w:pPr>
            <w:r>
              <w:rPr>
                <w:rFonts w:asciiTheme="minorEastAsia" w:hAnsiTheme="minorEastAsia" w:eastAsiaTheme="minorEastAsia"/>
                <w:color w:val="auto"/>
              </w:rPr>
              <w:t>传　　真：</w:t>
            </w:r>
          </w:p>
        </w:tc>
        <w:tc>
          <w:tcPr>
            <w:tcW w:w="2586" w:type="dxa"/>
          </w:tcPr>
          <w:p>
            <w:pPr>
              <w:pStyle w:val="55"/>
              <w:spacing w:before="0" w:beforeAutospacing="0" w:after="0" w:afterAutospacing="0" w:line="440" w:lineRule="exact"/>
              <w:rPr>
                <w:rFonts w:hint="default" w:asciiTheme="minorEastAsia" w:hAnsiTheme="minorEastAsia" w:eastAsiaTheme="minorEastAsia"/>
                <w:color w:val="auto"/>
              </w:rPr>
            </w:pPr>
          </w:p>
        </w:tc>
      </w:tr>
      <w:tr>
        <w:tblPrEx>
          <w:tblLayout w:type="fixed"/>
          <w:tblCellMar>
            <w:top w:w="0" w:type="dxa"/>
            <w:left w:w="108" w:type="dxa"/>
            <w:bottom w:w="0" w:type="dxa"/>
            <w:right w:w="108" w:type="dxa"/>
          </w:tblCellMar>
        </w:tblPrEx>
        <w:trPr>
          <w:trHeight w:val="283" w:hRule="atLeast"/>
        </w:trPr>
        <w:tc>
          <w:tcPr>
            <w:tcW w:w="1668" w:type="dxa"/>
          </w:tcPr>
          <w:p>
            <w:pPr>
              <w:pStyle w:val="55"/>
              <w:spacing w:before="0" w:beforeAutospacing="0" w:after="0" w:afterAutospacing="0" w:line="440" w:lineRule="exact"/>
              <w:ind w:left="-178" w:leftChars="-85" w:right="-107" w:rightChars="-51" w:firstLine="151" w:firstLineChars="63"/>
              <w:rPr>
                <w:rFonts w:hint="default" w:asciiTheme="minorEastAsia" w:hAnsiTheme="minorEastAsia" w:eastAsiaTheme="minorEastAsia"/>
                <w:color w:val="auto"/>
              </w:rPr>
            </w:pPr>
            <w:r>
              <w:rPr>
                <w:rFonts w:asciiTheme="minorEastAsia" w:hAnsiTheme="minorEastAsia" w:eastAsiaTheme="minorEastAsia"/>
                <w:color w:val="auto"/>
              </w:rPr>
              <w:t>开户银行：</w:t>
            </w:r>
          </w:p>
        </w:tc>
        <w:tc>
          <w:tcPr>
            <w:tcW w:w="3160" w:type="dxa"/>
          </w:tcPr>
          <w:p>
            <w:pPr>
              <w:pStyle w:val="55"/>
              <w:spacing w:before="0" w:beforeAutospacing="0" w:after="0" w:afterAutospacing="0" w:line="440" w:lineRule="exact"/>
              <w:rPr>
                <w:rFonts w:hint="default" w:asciiTheme="minorEastAsia" w:hAnsiTheme="minorEastAsia" w:eastAsiaTheme="minorEastAsia"/>
                <w:color w:val="auto"/>
                <w:kern w:val="2"/>
              </w:rPr>
            </w:pPr>
          </w:p>
        </w:tc>
        <w:tc>
          <w:tcPr>
            <w:tcW w:w="1800" w:type="dxa"/>
          </w:tcPr>
          <w:p>
            <w:pPr>
              <w:pStyle w:val="55"/>
              <w:spacing w:before="0" w:beforeAutospacing="0" w:after="0" w:afterAutospacing="0" w:line="440" w:lineRule="exact"/>
              <w:ind w:left="-107" w:leftChars="-51" w:right="-107" w:rightChars="-51"/>
              <w:rPr>
                <w:rFonts w:hint="default" w:asciiTheme="minorEastAsia" w:hAnsiTheme="minorEastAsia" w:eastAsiaTheme="minorEastAsia"/>
                <w:color w:val="auto"/>
              </w:rPr>
            </w:pPr>
            <w:r>
              <w:rPr>
                <w:rFonts w:asciiTheme="minorEastAsia" w:hAnsiTheme="minorEastAsia" w:eastAsiaTheme="minorEastAsia"/>
                <w:color w:val="auto"/>
              </w:rPr>
              <w:t>开户银行：</w:t>
            </w:r>
          </w:p>
        </w:tc>
        <w:tc>
          <w:tcPr>
            <w:tcW w:w="2586" w:type="dxa"/>
          </w:tcPr>
          <w:p>
            <w:pPr>
              <w:pStyle w:val="55"/>
              <w:spacing w:before="0" w:beforeAutospacing="0" w:after="0" w:afterAutospacing="0" w:line="440" w:lineRule="exact"/>
              <w:rPr>
                <w:rFonts w:hint="default" w:asciiTheme="minorEastAsia" w:hAnsiTheme="minorEastAsia" w:eastAsiaTheme="minorEastAsia"/>
                <w:color w:val="auto"/>
              </w:rPr>
            </w:pPr>
          </w:p>
        </w:tc>
      </w:tr>
      <w:tr>
        <w:tblPrEx>
          <w:tblLayout w:type="fixed"/>
          <w:tblCellMar>
            <w:top w:w="0" w:type="dxa"/>
            <w:left w:w="108" w:type="dxa"/>
            <w:bottom w:w="0" w:type="dxa"/>
            <w:right w:w="108" w:type="dxa"/>
          </w:tblCellMar>
        </w:tblPrEx>
        <w:trPr>
          <w:trHeight w:val="283" w:hRule="atLeast"/>
        </w:trPr>
        <w:tc>
          <w:tcPr>
            <w:tcW w:w="1668" w:type="dxa"/>
          </w:tcPr>
          <w:p>
            <w:pPr>
              <w:pStyle w:val="55"/>
              <w:spacing w:before="0" w:beforeAutospacing="0" w:after="0" w:afterAutospacing="0" w:line="440" w:lineRule="exact"/>
              <w:ind w:left="-178" w:leftChars="-85" w:right="-107" w:rightChars="-51" w:firstLine="151" w:firstLineChars="63"/>
              <w:rPr>
                <w:rFonts w:hint="default" w:asciiTheme="minorEastAsia" w:hAnsiTheme="minorEastAsia" w:eastAsiaTheme="minorEastAsia"/>
                <w:color w:val="auto"/>
              </w:rPr>
            </w:pPr>
            <w:r>
              <w:rPr>
                <w:rFonts w:asciiTheme="minorEastAsia" w:hAnsiTheme="minorEastAsia" w:eastAsiaTheme="minorEastAsia"/>
                <w:color w:val="auto"/>
              </w:rPr>
              <w:t>银行帐号：</w:t>
            </w:r>
          </w:p>
        </w:tc>
        <w:tc>
          <w:tcPr>
            <w:tcW w:w="3160" w:type="dxa"/>
          </w:tcPr>
          <w:p>
            <w:pPr>
              <w:pStyle w:val="55"/>
              <w:spacing w:before="0" w:beforeAutospacing="0" w:after="0" w:afterAutospacing="0" w:line="440" w:lineRule="exact"/>
              <w:rPr>
                <w:rFonts w:hint="default" w:asciiTheme="minorEastAsia" w:hAnsiTheme="minorEastAsia" w:eastAsiaTheme="minorEastAsia"/>
                <w:color w:val="auto"/>
              </w:rPr>
            </w:pPr>
          </w:p>
        </w:tc>
        <w:tc>
          <w:tcPr>
            <w:tcW w:w="1800" w:type="dxa"/>
          </w:tcPr>
          <w:p>
            <w:pPr>
              <w:pStyle w:val="55"/>
              <w:spacing w:before="0" w:beforeAutospacing="0" w:after="0" w:afterAutospacing="0" w:line="440" w:lineRule="exact"/>
              <w:ind w:left="-107" w:leftChars="-51" w:right="-107" w:rightChars="-51"/>
              <w:rPr>
                <w:rFonts w:hint="default" w:asciiTheme="minorEastAsia" w:hAnsiTheme="minorEastAsia" w:eastAsiaTheme="minorEastAsia"/>
                <w:color w:val="auto"/>
              </w:rPr>
            </w:pPr>
            <w:r>
              <w:rPr>
                <w:rFonts w:asciiTheme="minorEastAsia" w:hAnsiTheme="minorEastAsia" w:eastAsiaTheme="minorEastAsia"/>
                <w:color w:val="auto"/>
              </w:rPr>
              <w:t>银行帐号：</w:t>
            </w:r>
          </w:p>
        </w:tc>
        <w:tc>
          <w:tcPr>
            <w:tcW w:w="2586" w:type="dxa"/>
          </w:tcPr>
          <w:p>
            <w:pPr>
              <w:pStyle w:val="55"/>
              <w:spacing w:before="0" w:beforeAutospacing="0" w:after="0" w:afterAutospacing="0" w:line="440" w:lineRule="exact"/>
              <w:rPr>
                <w:rFonts w:hint="default" w:asciiTheme="minorEastAsia" w:hAnsiTheme="minorEastAsia" w:eastAsiaTheme="minorEastAsia"/>
                <w:color w:val="auto"/>
              </w:rPr>
            </w:pPr>
          </w:p>
        </w:tc>
      </w:tr>
    </w:tbl>
    <w:p>
      <w:pPr>
        <w:pStyle w:val="3"/>
        <w:jc w:val="left"/>
        <w:rPr>
          <w:rFonts w:asciiTheme="minorEastAsia" w:hAnsiTheme="minorEastAsia" w:eastAsiaTheme="minorEastAsia"/>
          <w:color w:val="auto"/>
        </w:rPr>
      </w:pPr>
      <w:bookmarkStart w:id="154" w:name="_Toc507692329"/>
    </w:p>
    <w:p>
      <w:pPr>
        <w:rPr>
          <w:rFonts w:asciiTheme="minorEastAsia" w:hAnsiTheme="minorEastAsia" w:eastAsiaTheme="minorEastAsia"/>
          <w:color w:val="auto"/>
        </w:rPr>
      </w:pPr>
    </w:p>
    <w:p>
      <w:pPr>
        <w:pStyle w:val="3"/>
        <w:jc w:val="left"/>
        <w:rPr>
          <w:rFonts w:asciiTheme="minorEastAsia" w:hAnsiTheme="minorEastAsia" w:eastAsiaTheme="minorEastAsia"/>
          <w:color w:val="auto"/>
        </w:rPr>
      </w:pPr>
    </w:p>
    <w:p>
      <w:pPr>
        <w:rPr>
          <w:color w:val="auto"/>
        </w:rPr>
      </w:pPr>
    </w:p>
    <w:bookmarkEnd w:id="154"/>
    <w:p>
      <w:pPr>
        <w:adjustRightInd w:val="0"/>
        <w:snapToGrid w:val="0"/>
        <w:spacing w:line="440" w:lineRule="exact"/>
        <w:ind w:firstLine="420" w:firstLineChars="175"/>
        <w:jc w:val="center"/>
        <w:rPr>
          <w:rFonts w:asciiTheme="minorEastAsia" w:hAnsiTheme="minorEastAsia" w:eastAsiaTheme="minorEastAsia"/>
          <w:color w:val="auto"/>
          <w:sz w:val="24"/>
        </w:rPr>
      </w:pPr>
    </w:p>
    <w:sectPr>
      <w:headerReference r:id="rId8" w:type="first"/>
      <w:footerReference r:id="rId11" w:type="first"/>
      <w:headerReference r:id="rId6" w:type="default"/>
      <w:footerReference r:id="rId9" w:type="default"/>
      <w:headerReference r:id="rId7" w:type="even"/>
      <w:footerReference r:id="rId10" w:type="even"/>
      <w:pgSz w:w="11907" w:h="16840"/>
      <w:pgMar w:top="1440" w:right="1418" w:bottom="1440"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Plotter">
    <w:altName w:val="Arial"/>
    <w:panose1 w:val="00000000000000000000"/>
    <w:charset w:val="00"/>
    <w:family w:val="auto"/>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Optima">
    <w:altName w:val="Arial"/>
    <w:panose1 w:val="00000000000000000000"/>
    <w:charset w:val="00"/>
    <w:family w:val="auto"/>
    <w:pitch w:val="default"/>
    <w:sig w:usb0="00000000" w:usb1="00000000" w:usb2="00000000" w:usb3="00000000" w:csb0="00000093"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ì.">
    <w:altName w:val="黑体"/>
    <w:panose1 w:val="00000000000000000000"/>
    <w:charset w:val="86"/>
    <w:family w:val="auto"/>
    <w:pitch w:val="default"/>
    <w:sig w:usb0="00000000" w:usb1="00000000" w:usb2="00000010" w:usb3="00000000" w:csb0="00040000" w:csb1="00000000"/>
  </w:font>
  <w:font w:name="Arial Rounded MT Bold">
    <w:altName w:val="Arial"/>
    <w:panose1 w:val="020F0704030504030204"/>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79</w:t>
                          </w:r>
                          <w:r>
                            <w:rPr>
                              <w:rFonts w:hint="eastAsia"/>
                              <w:lang w:eastAsia="zh-CN"/>
                            </w:rPr>
                            <w:fldChar w:fldCharType="end"/>
                          </w:r>
                          <w:r>
                            <w:rPr>
                              <w:rFonts w:hint="eastAsia"/>
                              <w:lang w:eastAsia="zh-CN"/>
                            </w:rPr>
                            <w:t xml:space="preserve"> 页</w:t>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Ettn9xgEAAGsDAAAOAAAAAAAAAAEAIAAAAB4BAABkcnMvZTJvRG9jLnht&#10;bFBLBQYAAAAABgAGAFkBAABWBQAAAAA=&#10;">
              <v:fill on="f" focussize="0,0"/>
              <v:stroke on="f"/>
              <v:imagedata o:title=""/>
              <o:lock v:ext="edit" aspectratio="f"/>
              <v:textbox inset="0mm,0mm,0mm,0mm" style="mso-fit-shape-to-text:t;">
                <w:txbxContent>
                  <w:p>
                    <w:pPr>
                      <w:pStyle w:val="3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79</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39"/>
                            <w:jc w:val="both"/>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CBfEV/vQEAAGIDAAAOAAAAAAAAAAEAIAAAAB4BAABkcnMvZTJvRG9jLnhtbFBLBQYAAAAA&#10;BgAGAFkBAABNBQAAAAA=&#10;">
              <v:fill on="f" focussize="0,0"/>
              <v:stroke on="f"/>
              <v:imagedata o:title=""/>
              <o:lock v:ext="edit" aspectratio="f"/>
              <v:textbox inset="0mm,0mm,0mm,0mm" style="mso-fit-shape-to-text:t;">
                <w:txbxContent>
                  <w:p>
                    <w:pPr>
                      <w:pStyle w:val="39"/>
                      <w:jc w:val="both"/>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rPr>
      <w:t>第</w:t>
    </w:r>
    <w:r>
      <w:fldChar w:fldCharType="begin"/>
    </w:r>
    <w:r>
      <w:instrText xml:space="preserve">page</w:instrText>
    </w:r>
    <w:r>
      <w:fldChar w:fldCharType="separate"/>
    </w:r>
    <w:r>
      <w:t>1</w:t>
    </w:r>
    <w:r>
      <w:fldChar w:fldCharType="end"/>
    </w:r>
    <w:r>
      <w:rPr>
        <w:rFonts w:hint="eastAsia"/>
      </w:rPr>
      <w:t>页共49页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 共 </w:t>
                          </w:r>
                          <w:r>
                            <w:rPr>
                              <w:rFonts w:hint="eastAsia"/>
                              <w:lang w:val="en-US" w:eastAsia="zh-CN"/>
                            </w:rPr>
                            <w:t>66</w:t>
                          </w:r>
                          <w:r>
                            <w:rPr>
                              <w:rFonts w:hint="eastAsia"/>
                              <w:lang w:eastAsia="zh-CN"/>
                            </w:rPr>
                            <w:t xml:space="preserve"> 页</w:t>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wuC/2xgEAAG0DAAAOAAAAAAAAAAEAIAAAAB4BAABkcnMvZTJvRG9jLnht&#10;bFBLBQYAAAAABgAGAFkBAABWBQAAAAA=&#10;">
              <v:fill on="f" focussize="0,0"/>
              <v:stroke on="f"/>
              <v:imagedata o:title=""/>
              <o:lock v:ext="edit" aspectratio="f"/>
              <v:textbox inset="0mm,0mm,0mm,0mm" style="mso-fit-shape-to-text:t;">
                <w:txbxContent>
                  <w:p>
                    <w:pPr>
                      <w:pStyle w:val="3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 共 </w:t>
                    </w:r>
                    <w:r>
                      <w:rPr>
                        <w:rFonts w:hint="eastAsia"/>
                        <w:lang w:val="en-US" w:eastAsia="zh-CN"/>
                      </w:rPr>
                      <w:t>66</w:t>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1"/>
      </w:pBdr>
      <w:ind w:left="720" w:hanging="720" w:hangingChars="400"/>
      <w:jc w:val="both"/>
      <w:rPr>
        <w:rFonts w:hint="eastAsia" w:eastAsia="宋体"/>
        <w:szCs w:val="21"/>
        <w:lang w:val="en-US" w:eastAsia="zh-CN"/>
      </w:rPr>
    </w:pPr>
    <w:r>
      <w:rPr>
        <w:rFonts w:hint="eastAsia"/>
        <w:szCs w:val="21"/>
        <w:lang w:eastAsia="zh-CN"/>
      </w:rPr>
      <w:t>海南中联华夏项目管理有限公司</w:t>
    </w:r>
    <w:r>
      <w:rPr>
        <w:rFonts w:hint="eastAsia"/>
        <w:szCs w:val="21"/>
        <w:lang w:val="en-US" w:eastAsia="zh-CN"/>
      </w:rPr>
      <w:t xml:space="preserve">                                                       ZLHX2019-008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tentative="0">
      <w:start w:val="1"/>
      <w:numFmt w:val="decimal"/>
      <w:pStyle w:val="406"/>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413" w:hanging="42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7"/>
    <w:multiLevelType w:val="multilevel"/>
    <w:tmpl w:val="00000007"/>
    <w:lvl w:ilvl="0" w:tentative="0">
      <w:start w:val="1"/>
      <w:numFmt w:val="upperRoman"/>
      <w:suff w:val="space"/>
      <w:lvlText w:val="第 %1 卷 "/>
      <w:lvlJc w:val="center"/>
      <w:rPr>
        <w:rFonts w:hint="eastAsia"/>
      </w:rPr>
    </w:lvl>
    <w:lvl w:ilvl="1" w:tentative="0">
      <w:start w:val="1"/>
      <w:numFmt w:val="chineseCountingThousand"/>
      <w:suff w:val="nothing"/>
      <w:lvlText w:val="第%2章"/>
      <w:lvlJc w:val="left"/>
      <w:rPr>
        <w:rFonts w:hint="eastAsia"/>
      </w:rPr>
    </w:lvl>
    <w:lvl w:ilvl="2" w:tentative="0">
      <w:start w:val="1"/>
      <w:numFmt w:val="decimal"/>
      <w:pStyle w:val="2"/>
      <w:suff w:val="space"/>
      <w:lvlText w:val="%3"/>
      <w:lvlJc w:val="left"/>
      <w:pPr>
        <w:ind w:left="-792"/>
      </w:pPr>
      <w:rPr>
        <w:rFonts w:hint="eastAsia" w:ascii="楷体_GB2312" w:hAnsi="Arial" w:eastAsia="楷体_GB2312"/>
        <w:sz w:val="24"/>
      </w:rPr>
    </w:lvl>
    <w:lvl w:ilvl="3" w:tentative="0">
      <w:start w:val="1"/>
      <w:numFmt w:val="decimal"/>
      <w:pStyle w:val="5"/>
      <w:suff w:val="space"/>
      <w:lvlText w:val="%3.%4"/>
      <w:lvlJc w:val="left"/>
      <w:pPr>
        <w:ind w:left="200"/>
      </w:pPr>
      <w:rPr>
        <w:rFonts w:hint="default" w:hAnsi="Arial"/>
      </w:rPr>
    </w:lvl>
    <w:lvl w:ilvl="4" w:tentative="0">
      <w:start w:val="1"/>
      <w:numFmt w:val="decimal"/>
      <w:pStyle w:val="6"/>
      <w:suff w:val="space"/>
      <w:lvlText w:val="%3.%4.%5"/>
      <w:lvlJc w:val="left"/>
      <w:pPr>
        <w:ind w:left="-792"/>
      </w:pPr>
      <w:rPr>
        <w:rFonts w:hint="eastAsia" w:ascii="宋体" w:hAnsi="Arial" w:eastAsia="宋体"/>
      </w:rPr>
    </w:lvl>
    <w:lvl w:ilvl="5" w:tentative="0">
      <w:start w:val="1"/>
      <w:numFmt w:val="decimal"/>
      <w:pStyle w:val="7"/>
      <w:suff w:val="space"/>
      <w:lvlText w:val="%3.%4.%5.%6"/>
      <w:lvlJc w:val="left"/>
      <w:pPr>
        <w:ind w:left="200"/>
      </w:pPr>
      <w:rPr>
        <w:rFonts w:hint="eastAsia" w:ascii="宋体" w:hAnsi="Arial" w:eastAsia="宋体"/>
      </w:rPr>
    </w:lvl>
    <w:lvl w:ilvl="6" w:tentative="0">
      <w:start w:val="1"/>
      <w:numFmt w:val="decimal"/>
      <w:pStyle w:val="8"/>
      <w:suff w:val="space"/>
      <w:lvlText w:val="%7）"/>
      <w:lvlJc w:val="left"/>
      <w:rPr>
        <w:rFonts w:hint="eastAsia"/>
      </w:rPr>
    </w:lvl>
    <w:lvl w:ilvl="7" w:tentative="0">
      <w:start w:val="1"/>
      <w:numFmt w:val="lowerLetter"/>
      <w:pStyle w:val="9"/>
      <w:suff w:val="space"/>
      <w:lvlText w:val="%8."/>
      <w:lvlJc w:val="left"/>
      <w:pPr>
        <w:ind w:left="200"/>
      </w:pPr>
      <w:rPr>
        <w:rFonts w:hint="eastAsia"/>
      </w:rPr>
    </w:lvl>
    <w:lvl w:ilvl="8" w:tentative="0">
      <w:start w:val="1"/>
      <w:numFmt w:val="decimal"/>
      <w:pStyle w:val="10"/>
      <w:lvlText w:val="%1.%2.%3.%4.%5.%6.%7.%8.%9"/>
      <w:lvlJc w:val="left"/>
      <w:pPr>
        <w:tabs>
          <w:tab w:val="left" w:pos="1984"/>
        </w:tabs>
        <w:ind w:left="1984" w:hanging="1584"/>
      </w:pPr>
      <w:rPr>
        <w:rFonts w:hint="eastAsia"/>
      </w:rPr>
    </w:lvl>
  </w:abstractNum>
  <w:abstractNum w:abstractNumId="2">
    <w:nsid w:val="0000001A"/>
    <w:multiLevelType w:val="multilevel"/>
    <w:tmpl w:val="0000001A"/>
    <w:lvl w:ilvl="0" w:tentative="0">
      <w:start w:val="1"/>
      <w:numFmt w:val="bullet"/>
      <w:lvlText w:val=""/>
      <w:lvlJc w:val="left"/>
      <w:pPr>
        <w:tabs>
          <w:tab w:val="left" w:pos="2405"/>
        </w:tabs>
        <w:ind w:left="2405" w:hanging="420"/>
      </w:pPr>
      <w:rPr>
        <w:rFonts w:hint="default" w:ascii="Wingdings" w:hAnsi="Wingdings"/>
      </w:rPr>
    </w:lvl>
    <w:lvl w:ilvl="1" w:tentative="0">
      <w:start w:val="1"/>
      <w:numFmt w:val="bullet"/>
      <w:lvlText w:val=""/>
      <w:lvlJc w:val="left"/>
      <w:pPr>
        <w:tabs>
          <w:tab w:val="left" w:pos="2825"/>
        </w:tabs>
        <w:ind w:left="2825" w:hanging="420"/>
      </w:pPr>
      <w:rPr>
        <w:rFonts w:hint="default" w:ascii="Wingdings" w:hAnsi="Wingdings"/>
      </w:rPr>
    </w:lvl>
    <w:lvl w:ilvl="2" w:tentative="0">
      <w:start w:val="1"/>
      <w:numFmt w:val="bullet"/>
      <w:lvlText w:val=""/>
      <w:lvlJc w:val="left"/>
      <w:pPr>
        <w:tabs>
          <w:tab w:val="left" w:pos="3245"/>
        </w:tabs>
        <w:ind w:left="3245" w:hanging="420"/>
      </w:pPr>
      <w:rPr>
        <w:rFonts w:hint="default" w:ascii="Wingdings" w:hAnsi="Wingdings"/>
      </w:rPr>
    </w:lvl>
    <w:lvl w:ilvl="3" w:tentative="0">
      <w:start w:val="1"/>
      <w:numFmt w:val="bullet"/>
      <w:lvlText w:val=""/>
      <w:lvlJc w:val="left"/>
      <w:pPr>
        <w:tabs>
          <w:tab w:val="left" w:pos="3665"/>
        </w:tabs>
        <w:ind w:left="3665" w:hanging="420"/>
      </w:pPr>
      <w:rPr>
        <w:rFonts w:hint="default" w:ascii="Wingdings" w:hAnsi="Wingdings"/>
      </w:rPr>
    </w:lvl>
    <w:lvl w:ilvl="4" w:tentative="0">
      <w:start w:val="1"/>
      <w:numFmt w:val="bullet"/>
      <w:lvlText w:val=""/>
      <w:lvlJc w:val="left"/>
      <w:pPr>
        <w:tabs>
          <w:tab w:val="left" w:pos="4085"/>
        </w:tabs>
        <w:ind w:left="4085" w:hanging="420"/>
      </w:pPr>
      <w:rPr>
        <w:rFonts w:hint="default" w:ascii="Wingdings" w:hAnsi="Wingdings"/>
      </w:rPr>
    </w:lvl>
    <w:lvl w:ilvl="5" w:tentative="0">
      <w:start w:val="1"/>
      <w:numFmt w:val="bullet"/>
      <w:lvlText w:val=""/>
      <w:lvlJc w:val="left"/>
      <w:pPr>
        <w:tabs>
          <w:tab w:val="left" w:pos="4505"/>
        </w:tabs>
        <w:ind w:left="4505" w:hanging="420"/>
      </w:pPr>
      <w:rPr>
        <w:rFonts w:hint="default" w:ascii="Wingdings" w:hAnsi="Wingdings"/>
      </w:rPr>
    </w:lvl>
    <w:lvl w:ilvl="6" w:tentative="0">
      <w:start w:val="1"/>
      <w:numFmt w:val="bullet"/>
      <w:lvlText w:val=""/>
      <w:lvlJc w:val="left"/>
      <w:pPr>
        <w:tabs>
          <w:tab w:val="left" w:pos="4925"/>
        </w:tabs>
        <w:ind w:left="4925" w:hanging="420"/>
      </w:pPr>
      <w:rPr>
        <w:rFonts w:hint="default" w:ascii="Wingdings" w:hAnsi="Wingdings"/>
      </w:rPr>
    </w:lvl>
    <w:lvl w:ilvl="7" w:tentative="0">
      <w:start w:val="1"/>
      <w:numFmt w:val="bullet"/>
      <w:lvlText w:val=""/>
      <w:lvlJc w:val="left"/>
      <w:pPr>
        <w:tabs>
          <w:tab w:val="left" w:pos="5345"/>
        </w:tabs>
        <w:ind w:left="5345" w:hanging="420"/>
      </w:pPr>
      <w:rPr>
        <w:rFonts w:hint="default" w:ascii="Wingdings" w:hAnsi="Wingdings"/>
      </w:rPr>
    </w:lvl>
    <w:lvl w:ilvl="8" w:tentative="0">
      <w:start w:val="1"/>
      <w:numFmt w:val="bullet"/>
      <w:lvlText w:val=""/>
      <w:lvlJc w:val="left"/>
      <w:pPr>
        <w:tabs>
          <w:tab w:val="left" w:pos="5765"/>
        </w:tabs>
        <w:ind w:left="5765" w:hanging="420"/>
      </w:pPr>
      <w:rPr>
        <w:rFonts w:hint="default" w:ascii="Wingdings" w:hAnsi="Wingdings"/>
      </w:rPr>
    </w:lvl>
  </w:abstractNum>
  <w:abstractNum w:abstractNumId="3">
    <w:nsid w:val="0E743011"/>
    <w:multiLevelType w:val="multilevel"/>
    <w:tmpl w:val="0E743011"/>
    <w:lvl w:ilvl="0" w:tentative="0">
      <w:start w:val="1"/>
      <w:numFmt w:val="bullet"/>
      <w:pStyle w:val="279"/>
      <w:lvlText w:val="●"/>
      <w:lvlJc w:val="left"/>
      <w:pPr>
        <w:tabs>
          <w:tab w:val="left" w:pos="0"/>
        </w:tabs>
        <w:ind w:left="0" w:firstLine="567"/>
      </w:pPr>
      <w:rPr>
        <w:rFonts w:hint="default" w:ascii="Times New Roman" w:hAnsi="Times New Roman" w:eastAsia="宋体" w:cs="Times New Roman"/>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22A830E4"/>
    <w:multiLevelType w:val="multilevel"/>
    <w:tmpl w:val="22A830E4"/>
    <w:lvl w:ilvl="0" w:tentative="0">
      <w:start w:val="1"/>
      <w:numFmt w:val="bullet"/>
      <w:lvlText w:val=""/>
      <w:lvlJc w:val="left"/>
      <w:pPr>
        <w:ind w:left="860" w:hanging="420"/>
      </w:pPr>
      <w:rPr>
        <w:rFonts w:hint="default" w:ascii="Wingdings" w:hAnsi="Wingdings"/>
      </w:rPr>
    </w:lvl>
    <w:lvl w:ilvl="1" w:tentative="0">
      <w:start w:val="1"/>
      <w:numFmt w:val="bullet"/>
      <w:lvlText w:val=""/>
      <w:lvlJc w:val="left"/>
      <w:pPr>
        <w:ind w:left="1280" w:hanging="420"/>
      </w:pPr>
      <w:rPr>
        <w:rFonts w:hint="default" w:ascii="Wingdings" w:hAnsi="Wingdings"/>
      </w:rPr>
    </w:lvl>
    <w:lvl w:ilvl="2" w:tentative="0">
      <w:start w:val="1"/>
      <w:numFmt w:val="bullet"/>
      <w:lvlText w:val=""/>
      <w:lvlJc w:val="left"/>
      <w:pPr>
        <w:ind w:left="1700" w:hanging="420"/>
      </w:pPr>
      <w:rPr>
        <w:rFonts w:hint="default" w:ascii="Wingdings" w:hAnsi="Wingdings"/>
      </w:rPr>
    </w:lvl>
    <w:lvl w:ilvl="3" w:tentative="0">
      <w:start w:val="1"/>
      <w:numFmt w:val="bullet"/>
      <w:lvlText w:val=""/>
      <w:lvlJc w:val="left"/>
      <w:pPr>
        <w:ind w:left="2120" w:hanging="420"/>
      </w:pPr>
      <w:rPr>
        <w:rFonts w:hint="default" w:ascii="Wingdings" w:hAnsi="Wingdings"/>
      </w:rPr>
    </w:lvl>
    <w:lvl w:ilvl="4" w:tentative="0">
      <w:start w:val="1"/>
      <w:numFmt w:val="bullet"/>
      <w:lvlText w:val=""/>
      <w:lvlJc w:val="left"/>
      <w:pPr>
        <w:ind w:left="2540" w:hanging="420"/>
      </w:pPr>
      <w:rPr>
        <w:rFonts w:hint="default" w:ascii="Wingdings" w:hAnsi="Wingdings"/>
      </w:rPr>
    </w:lvl>
    <w:lvl w:ilvl="5" w:tentative="0">
      <w:start w:val="1"/>
      <w:numFmt w:val="bullet"/>
      <w:lvlText w:val=""/>
      <w:lvlJc w:val="left"/>
      <w:pPr>
        <w:ind w:left="2960" w:hanging="420"/>
      </w:pPr>
      <w:rPr>
        <w:rFonts w:hint="default" w:ascii="Wingdings" w:hAnsi="Wingdings"/>
      </w:rPr>
    </w:lvl>
    <w:lvl w:ilvl="6" w:tentative="0">
      <w:start w:val="1"/>
      <w:numFmt w:val="bullet"/>
      <w:lvlText w:val=""/>
      <w:lvlJc w:val="left"/>
      <w:pPr>
        <w:ind w:left="3380" w:hanging="420"/>
      </w:pPr>
      <w:rPr>
        <w:rFonts w:hint="default" w:ascii="Wingdings" w:hAnsi="Wingdings"/>
      </w:rPr>
    </w:lvl>
    <w:lvl w:ilvl="7" w:tentative="0">
      <w:start w:val="1"/>
      <w:numFmt w:val="bullet"/>
      <w:lvlText w:val=""/>
      <w:lvlJc w:val="left"/>
      <w:pPr>
        <w:ind w:left="3800" w:hanging="420"/>
      </w:pPr>
      <w:rPr>
        <w:rFonts w:hint="default" w:ascii="Wingdings" w:hAnsi="Wingdings"/>
      </w:rPr>
    </w:lvl>
    <w:lvl w:ilvl="8" w:tentative="0">
      <w:start w:val="1"/>
      <w:numFmt w:val="bullet"/>
      <w:lvlText w:val=""/>
      <w:lvlJc w:val="left"/>
      <w:pPr>
        <w:ind w:left="4220" w:hanging="420"/>
      </w:pPr>
      <w:rPr>
        <w:rFonts w:hint="default" w:ascii="Wingdings" w:hAnsi="Wingdings"/>
      </w:rPr>
    </w:lvl>
  </w:abstractNum>
  <w:abstractNum w:abstractNumId="5">
    <w:nsid w:val="29560DD4"/>
    <w:multiLevelType w:val="multilevel"/>
    <w:tmpl w:val="29560DD4"/>
    <w:lvl w:ilvl="0" w:tentative="0">
      <w:start w:val="1"/>
      <w:numFmt w:val="decimal"/>
      <w:pStyle w:val="281"/>
      <w:lvlText w:val="表3-%1 "/>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80010A9"/>
    <w:multiLevelType w:val="multilevel"/>
    <w:tmpl w:val="380010A9"/>
    <w:lvl w:ilvl="0" w:tentative="0">
      <w:start w:val="1"/>
      <w:numFmt w:val="decimal"/>
      <w:pStyle w:val="283"/>
      <w:lvlText w:val="%1"/>
      <w:lvlJc w:val="center"/>
      <w:pPr>
        <w:tabs>
          <w:tab w:val="left" w:pos="144"/>
        </w:tabs>
        <w:ind w:left="144" w:hanging="144"/>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432"/>
        </w:tabs>
        <w:ind w:left="432" w:hanging="720"/>
      </w:pPr>
      <w:rPr>
        <w:rFonts w:hint="eastAsia"/>
      </w:rPr>
    </w:lvl>
    <w:lvl w:ilvl="3" w:tentative="0">
      <w:start w:val="1"/>
      <w:numFmt w:val="decimal"/>
      <w:lvlText w:val="%1.%2.%3.%4"/>
      <w:lvlJc w:val="left"/>
      <w:pPr>
        <w:tabs>
          <w:tab w:val="left" w:pos="576"/>
        </w:tabs>
        <w:ind w:left="576" w:hanging="864"/>
      </w:pPr>
      <w:rPr>
        <w:rFonts w:hint="eastAsia"/>
      </w:rPr>
    </w:lvl>
    <w:lvl w:ilvl="4" w:tentative="0">
      <w:start w:val="1"/>
      <w:numFmt w:val="decimal"/>
      <w:lvlText w:val="%1.%2.%3.%4.%5"/>
      <w:lvlJc w:val="left"/>
      <w:pPr>
        <w:tabs>
          <w:tab w:val="left" w:pos="720"/>
        </w:tabs>
        <w:ind w:left="720" w:hanging="1008"/>
      </w:pPr>
      <w:rPr>
        <w:rFonts w:hint="eastAsia"/>
      </w:rPr>
    </w:lvl>
    <w:lvl w:ilvl="5" w:tentative="0">
      <w:start w:val="1"/>
      <w:numFmt w:val="decimal"/>
      <w:lvlText w:val="%1.%2.%3.%4.%5.%6"/>
      <w:lvlJc w:val="left"/>
      <w:pPr>
        <w:tabs>
          <w:tab w:val="left" w:pos="864"/>
        </w:tabs>
        <w:ind w:left="864" w:hanging="1152"/>
      </w:pPr>
      <w:rPr>
        <w:rFonts w:hint="eastAsia"/>
      </w:rPr>
    </w:lvl>
    <w:lvl w:ilvl="6" w:tentative="0">
      <w:start w:val="1"/>
      <w:numFmt w:val="decimal"/>
      <w:lvlText w:val="%1.%2.%3.%4.%5.%6.%7"/>
      <w:lvlJc w:val="left"/>
      <w:pPr>
        <w:tabs>
          <w:tab w:val="left" w:pos="1008"/>
        </w:tabs>
        <w:ind w:left="1008" w:hanging="1296"/>
      </w:pPr>
      <w:rPr>
        <w:rFonts w:hint="eastAsia"/>
      </w:rPr>
    </w:lvl>
    <w:lvl w:ilvl="7" w:tentative="0">
      <w:start w:val="1"/>
      <w:numFmt w:val="decimal"/>
      <w:lvlText w:val="%1.%2.%3.%4.%5.%6.%7.%8"/>
      <w:lvlJc w:val="left"/>
      <w:pPr>
        <w:tabs>
          <w:tab w:val="left" w:pos="1152"/>
        </w:tabs>
        <w:ind w:left="1152" w:hanging="1440"/>
      </w:pPr>
      <w:rPr>
        <w:rFonts w:hint="eastAsia"/>
      </w:rPr>
    </w:lvl>
    <w:lvl w:ilvl="8" w:tentative="0">
      <w:start w:val="1"/>
      <w:numFmt w:val="decimal"/>
      <w:lvlText w:val="%1.%2.%3.%4.%5.%6.%7.%8.%9"/>
      <w:lvlJc w:val="left"/>
      <w:pPr>
        <w:tabs>
          <w:tab w:val="left" w:pos="1296"/>
        </w:tabs>
        <w:ind w:left="1296" w:hanging="1584"/>
      </w:pPr>
      <w:rPr>
        <w:rFonts w:hint="eastAsia"/>
      </w:rPr>
    </w:lvl>
  </w:abstractNum>
  <w:abstractNum w:abstractNumId="7">
    <w:nsid w:val="57E07988"/>
    <w:multiLevelType w:val="multilevel"/>
    <w:tmpl w:val="57E07988"/>
    <w:lvl w:ilvl="0" w:tentative="0">
      <w:start w:val="1"/>
      <w:numFmt w:val="decimal"/>
      <w:pStyle w:val="285"/>
      <w:lvlText w:val="%1 "/>
      <w:lvlJc w:val="center"/>
      <w:pPr>
        <w:tabs>
          <w:tab w:val="left" w:pos="144"/>
        </w:tabs>
        <w:ind w:left="144" w:hanging="144"/>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432"/>
        </w:tabs>
        <w:ind w:left="432" w:hanging="720"/>
      </w:pPr>
      <w:rPr>
        <w:rFonts w:hint="eastAsia"/>
      </w:rPr>
    </w:lvl>
    <w:lvl w:ilvl="3" w:tentative="0">
      <w:start w:val="1"/>
      <w:numFmt w:val="decimal"/>
      <w:lvlText w:val="%1.%2.%3.%4"/>
      <w:lvlJc w:val="left"/>
      <w:pPr>
        <w:tabs>
          <w:tab w:val="left" w:pos="576"/>
        </w:tabs>
        <w:ind w:left="576" w:hanging="864"/>
      </w:pPr>
      <w:rPr>
        <w:rFonts w:hint="eastAsia"/>
      </w:rPr>
    </w:lvl>
    <w:lvl w:ilvl="4" w:tentative="0">
      <w:start w:val="1"/>
      <w:numFmt w:val="decimal"/>
      <w:lvlText w:val="%1.%2.%3.%4.%5"/>
      <w:lvlJc w:val="left"/>
      <w:pPr>
        <w:tabs>
          <w:tab w:val="left" w:pos="720"/>
        </w:tabs>
        <w:ind w:left="720" w:hanging="1008"/>
      </w:pPr>
      <w:rPr>
        <w:rFonts w:hint="eastAsia"/>
      </w:rPr>
    </w:lvl>
    <w:lvl w:ilvl="5" w:tentative="0">
      <w:start w:val="1"/>
      <w:numFmt w:val="decimal"/>
      <w:lvlText w:val="%1.%2.%3.%4.%5.%6"/>
      <w:lvlJc w:val="left"/>
      <w:pPr>
        <w:tabs>
          <w:tab w:val="left" w:pos="864"/>
        </w:tabs>
        <w:ind w:left="864" w:hanging="1152"/>
      </w:pPr>
      <w:rPr>
        <w:rFonts w:hint="eastAsia"/>
      </w:rPr>
    </w:lvl>
    <w:lvl w:ilvl="6" w:tentative="0">
      <w:start w:val="1"/>
      <w:numFmt w:val="decimal"/>
      <w:lvlText w:val="%1.%2.%3.%4.%5.%6.%7"/>
      <w:lvlJc w:val="left"/>
      <w:pPr>
        <w:tabs>
          <w:tab w:val="left" w:pos="1008"/>
        </w:tabs>
        <w:ind w:left="1008" w:hanging="1296"/>
      </w:pPr>
      <w:rPr>
        <w:rFonts w:hint="eastAsia"/>
      </w:rPr>
    </w:lvl>
    <w:lvl w:ilvl="7" w:tentative="0">
      <w:start w:val="1"/>
      <w:numFmt w:val="decimal"/>
      <w:lvlText w:val="%1.%2.%3.%4.%5.%6.%7.%8"/>
      <w:lvlJc w:val="left"/>
      <w:pPr>
        <w:tabs>
          <w:tab w:val="left" w:pos="1152"/>
        </w:tabs>
        <w:ind w:left="1152" w:hanging="1440"/>
      </w:pPr>
      <w:rPr>
        <w:rFonts w:hint="eastAsia"/>
      </w:rPr>
    </w:lvl>
    <w:lvl w:ilvl="8" w:tentative="0">
      <w:start w:val="1"/>
      <w:numFmt w:val="decimal"/>
      <w:lvlText w:val="%1.%2.%3.%4.%5.%6.%7.%8.%9"/>
      <w:lvlJc w:val="left"/>
      <w:pPr>
        <w:tabs>
          <w:tab w:val="left" w:pos="1296"/>
        </w:tabs>
        <w:ind w:left="1296" w:hanging="1584"/>
      </w:pPr>
      <w:rPr>
        <w:rFonts w:hint="eastAsia"/>
      </w:rPr>
    </w:lvl>
  </w:abstractNum>
  <w:abstractNum w:abstractNumId="8">
    <w:nsid w:val="5E3141D9"/>
    <w:multiLevelType w:val="multilevel"/>
    <w:tmpl w:val="5E3141D9"/>
    <w:lvl w:ilvl="0" w:tentative="0">
      <w:start w:val="1"/>
      <w:numFmt w:val="decimal"/>
      <w:pStyle w:val="143"/>
      <w:lvlText w:val="%1."/>
      <w:lvlJc w:val="left"/>
      <w:pPr>
        <w:tabs>
          <w:tab w:val="left" w:pos="0"/>
        </w:tabs>
        <w:ind w:left="284" w:hanging="284"/>
      </w:pPr>
      <w:rPr>
        <w:rFonts w:hint="default" w:hAnsi="Times New Roman"/>
      </w:rPr>
    </w:lvl>
    <w:lvl w:ilvl="1" w:tentative="0">
      <w:start w:val="1"/>
      <w:numFmt w:val="decimal"/>
      <w:isLgl/>
      <w:lvlText w:val="%1.%2"/>
      <w:lvlJc w:val="left"/>
      <w:pPr>
        <w:tabs>
          <w:tab w:val="left" w:pos="0"/>
        </w:tabs>
        <w:ind w:left="405" w:hanging="405"/>
      </w:pPr>
      <w:rPr>
        <w:rFonts w:hint="default" w:hAnsi="Times New Roman"/>
      </w:rPr>
    </w:lvl>
    <w:lvl w:ilvl="2" w:tentative="0">
      <w:start w:val="1"/>
      <w:numFmt w:val="decimal"/>
      <w:isLgl/>
      <w:lvlText w:val="%1.%2.%3"/>
      <w:lvlJc w:val="left"/>
      <w:pPr>
        <w:tabs>
          <w:tab w:val="left" w:pos="0"/>
        </w:tabs>
        <w:ind w:left="720" w:hanging="720"/>
      </w:pPr>
      <w:rPr>
        <w:rFonts w:hint="default" w:hAnsi="Times New Roman"/>
      </w:rPr>
    </w:lvl>
    <w:lvl w:ilvl="3" w:tentative="0">
      <w:start w:val="1"/>
      <w:numFmt w:val="decimal"/>
      <w:isLgl/>
      <w:lvlText w:val="%1.%2.%3.%4"/>
      <w:lvlJc w:val="left"/>
      <w:pPr>
        <w:tabs>
          <w:tab w:val="left" w:pos="0"/>
        </w:tabs>
        <w:ind w:left="720" w:hanging="720"/>
      </w:pPr>
      <w:rPr>
        <w:rFonts w:hint="default" w:hAnsi="Times New Roman"/>
      </w:rPr>
    </w:lvl>
    <w:lvl w:ilvl="4" w:tentative="0">
      <w:start w:val="1"/>
      <w:numFmt w:val="decimal"/>
      <w:isLgl/>
      <w:lvlText w:val="%1.%2.%3.%4.%5"/>
      <w:lvlJc w:val="left"/>
      <w:pPr>
        <w:tabs>
          <w:tab w:val="left" w:pos="0"/>
        </w:tabs>
        <w:ind w:left="1080" w:hanging="1080"/>
      </w:pPr>
      <w:rPr>
        <w:rFonts w:hint="default" w:hAnsi="Times New Roman"/>
      </w:rPr>
    </w:lvl>
    <w:lvl w:ilvl="5" w:tentative="0">
      <w:start w:val="1"/>
      <w:numFmt w:val="decimal"/>
      <w:isLgl/>
      <w:lvlText w:val="%1.%2.%3.%4.%5.%6"/>
      <w:lvlJc w:val="left"/>
      <w:pPr>
        <w:tabs>
          <w:tab w:val="left" w:pos="0"/>
        </w:tabs>
        <w:ind w:left="1080" w:hanging="1080"/>
      </w:pPr>
      <w:rPr>
        <w:rFonts w:hint="default" w:hAnsi="Times New Roman"/>
      </w:rPr>
    </w:lvl>
    <w:lvl w:ilvl="6" w:tentative="0">
      <w:start w:val="1"/>
      <w:numFmt w:val="decimal"/>
      <w:isLgl/>
      <w:lvlText w:val="%1.%2.%3.%4.%5.%6.%7"/>
      <w:lvlJc w:val="left"/>
      <w:pPr>
        <w:tabs>
          <w:tab w:val="left" w:pos="0"/>
        </w:tabs>
        <w:ind w:left="1440" w:hanging="1440"/>
      </w:pPr>
      <w:rPr>
        <w:rFonts w:hint="default" w:hAnsi="Times New Roman"/>
      </w:rPr>
    </w:lvl>
    <w:lvl w:ilvl="7" w:tentative="0">
      <w:start w:val="1"/>
      <w:numFmt w:val="decimal"/>
      <w:isLgl/>
      <w:lvlText w:val="%1.%2.%3.%4.%5.%6.%7.%8"/>
      <w:lvlJc w:val="left"/>
      <w:pPr>
        <w:tabs>
          <w:tab w:val="left" w:pos="0"/>
        </w:tabs>
        <w:ind w:left="1440" w:hanging="1440"/>
      </w:pPr>
      <w:rPr>
        <w:rFonts w:hint="default" w:hAnsi="Times New Roman"/>
      </w:rPr>
    </w:lvl>
    <w:lvl w:ilvl="8" w:tentative="0">
      <w:start w:val="1"/>
      <w:numFmt w:val="decimal"/>
      <w:isLgl/>
      <w:lvlText w:val="%1.%2.%3.%4.%5.%6.%7.%8.%9"/>
      <w:lvlJc w:val="left"/>
      <w:pPr>
        <w:tabs>
          <w:tab w:val="left" w:pos="0"/>
        </w:tabs>
        <w:ind w:left="1800" w:hanging="1800"/>
      </w:pPr>
      <w:rPr>
        <w:rFonts w:hint="default" w:hAnsi="Times New Roman"/>
      </w:rPr>
    </w:lvl>
  </w:abstractNum>
  <w:abstractNum w:abstractNumId="9">
    <w:nsid w:val="6A37163D"/>
    <w:multiLevelType w:val="multilevel"/>
    <w:tmpl w:val="6A37163D"/>
    <w:lvl w:ilvl="0" w:tentative="0">
      <w:start w:val="1"/>
      <w:numFmt w:val="decimal"/>
      <w:lvlText w:val="%1、"/>
      <w:lvlJc w:val="left"/>
      <w:pPr>
        <w:tabs>
          <w:tab w:val="left" w:pos="1305"/>
        </w:tabs>
        <w:ind w:left="1305" w:hanging="360"/>
      </w:pPr>
      <w:rPr>
        <w:rFonts w:hint="default"/>
      </w:rPr>
    </w:lvl>
    <w:lvl w:ilvl="1" w:tentative="0">
      <w:start w:val="1"/>
      <w:numFmt w:val="japaneseCounting"/>
      <w:lvlText w:val="%2、"/>
      <w:lvlJc w:val="left"/>
      <w:pPr>
        <w:tabs>
          <w:tab w:val="left" w:pos="1305"/>
        </w:tabs>
        <w:ind w:left="1305" w:hanging="465"/>
      </w:pPr>
      <w:rPr>
        <w:rFonts w:hint="default" w:cs="黑体"/>
      </w:rPr>
    </w:lvl>
    <w:lvl w:ilvl="2" w:tentative="0">
      <w:start w:val="1"/>
      <w:numFmt w:val="decimal"/>
      <w:lvlText w:val="%3)"/>
      <w:lvlJc w:val="left"/>
      <w:pPr>
        <w:tabs>
          <w:tab w:val="left" w:pos="382"/>
        </w:tabs>
        <w:ind w:left="382" w:hanging="240"/>
      </w:pPr>
      <w:rPr>
        <w:rFonts w:hint="default"/>
      </w:rPr>
    </w:lvl>
    <w:lvl w:ilvl="3" w:tentative="0">
      <w:start w:val="1"/>
      <w:numFmt w:val="decimal"/>
      <w:lvlText w:val="%4）"/>
      <w:lvlJc w:val="left"/>
      <w:pPr>
        <w:tabs>
          <w:tab w:val="left" w:pos="2040"/>
        </w:tabs>
        <w:ind w:left="2040" w:hanging="360"/>
      </w:pPr>
      <w:rPr>
        <w:rFonts w:hint="default"/>
      </w:r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0">
    <w:nsid w:val="71767FE7"/>
    <w:multiLevelType w:val="multilevel"/>
    <w:tmpl w:val="71767FE7"/>
    <w:lvl w:ilvl="0" w:tentative="0">
      <w:start w:val="1"/>
      <w:numFmt w:val="decimal"/>
      <w:pStyle w:val="280"/>
      <w:lvlText w:val="表2-%1 "/>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8"/>
  </w:num>
  <w:num w:numId="3">
    <w:abstractNumId w:val="3"/>
  </w:num>
  <w:num w:numId="4">
    <w:abstractNumId w:val="10"/>
  </w:num>
  <w:num w:numId="5">
    <w:abstractNumId w:val="5"/>
  </w:num>
  <w:num w:numId="6">
    <w:abstractNumId w:val="6"/>
  </w:num>
  <w:num w:numId="7">
    <w:abstractNumId w:val="7"/>
  </w:num>
  <w:num w:numId="8">
    <w:abstractNumId w:val="0"/>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99"/>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BFE"/>
    <w:rsid w:val="00003786"/>
    <w:rsid w:val="0000493E"/>
    <w:rsid w:val="00006230"/>
    <w:rsid w:val="00007AA5"/>
    <w:rsid w:val="00011C85"/>
    <w:rsid w:val="00012888"/>
    <w:rsid w:val="00013448"/>
    <w:rsid w:val="00013C41"/>
    <w:rsid w:val="00014117"/>
    <w:rsid w:val="000141F2"/>
    <w:rsid w:val="00014304"/>
    <w:rsid w:val="000144E2"/>
    <w:rsid w:val="000158CF"/>
    <w:rsid w:val="000165C2"/>
    <w:rsid w:val="0002010D"/>
    <w:rsid w:val="00020B61"/>
    <w:rsid w:val="000257C7"/>
    <w:rsid w:val="00026676"/>
    <w:rsid w:val="00026A4F"/>
    <w:rsid w:val="00027124"/>
    <w:rsid w:val="00027965"/>
    <w:rsid w:val="00027F57"/>
    <w:rsid w:val="00030954"/>
    <w:rsid w:val="00032586"/>
    <w:rsid w:val="00032E28"/>
    <w:rsid w:val="00032ECB"/>
    <w:rsid w:val="00032EEE"/>
    <w:rsid w:val="00034FB2"/>
    <w:rsid w:val="000353D9"/>
    <w:rsid w:val="000358FE"/>
    <w:rsid w:val="000361A3"/>
    <w:rsid w:val="00036737"/>
    <w:rsid w:val="000373C3"/>
    <w:rsid w:val="00037614"/>
    <w:rsid w:val="00041234"/>
    <w:rsid w:val="000423F6"/>
    <w:rsid w:val="00042C28"/>
    <w:rsid w:val="00044409"/>
    <w:rsid w:val="000451DC"/>
    <w:rsid w:val="00045B91"/>
    <w:rsid w:val="00046867"/>
    <w:rsid w:val="00046A3F"/>
    <w:rsid w:val="000502E3"/>
    <w:rsid w:val="00052167"/>
    <w:rsid w:val="00055108"/>
    <w:rsid w:val="00055AE0"/>
    <w:rsid w:val="00055D59"/>
    <w:rsid w:val="0005623B"/>
    <w:rsid w:val="00057409"/>
    <w:rsid w:val="00060BE4"/>
    <w:rsid w:val="00063AF3"/>
    <w:rsid w:val="0006445B"/>
    <w:rsid w:val="00064EED"/>
    <w:rsid w:val="00067BC3"/>
    <w:rsid w:val="0007003C"/>
    <w:rsid w:val="00072B75"/>
    <w:rsid w:val="0007386C"/>
    <w:rsid w:val="00073A0E"/>
    <w:rsid w:val="00073CBA"/>
    <w:rsid w:val="00074152"/>
    <w:rsid w:val="0007491D"/>
    <w:rsid w:val="00074E9F"/>
    <w:rsid w:val="00077A63"/>
    <w:rsid w:val="00077DE6"/>
    <w:rsid w:val="000803B6"/>
    <w:rsid w:val="000821DB"/>
    <w:rsid w:val="000829D7"/>
    <w:rsid w:val="00083183"/>
    <w:rsid w:val="0008450F"/>
    <w:rsid w:val="00084A79"/>
    <w:rsid w:val="000858AF"/>
    <w:rsid w:val="00090593"/>
    <w:rsid w:val="00090CF8"/>
    <w:rsid w:val="00091250"/>
    <w:rsid w:val="000938A3"/>
    <w:rsid w:val="00093C46"/>
    <w:rsid w:val="00094023"/>
    <w:rsid w:val="000941EE"/>
    <w:rsid w:val="000973CD"/>
    <w:rsid w:val="00097805"/>
    <w:rsid w:val="000A0F89"/>
    <w:rsid w:val="000A10E8"/>
    <w:rsid w:val="000A16E3"/>
    <w:rsid w:val="000A1A38"/>
    <w:rsid w:val="000A1DC5"/>
    <w:rsid w:val="000A2237"/>
    <w:rsid w:val="000A387F"/>
    <w:rsid w:val="000A3C41"/>
    <w:rsid w:val="000A4458"/>
    <w:rsid w:val="000B0255"/>
    <w:rsid w:val="000B03C0"/>
    <w:rsid w:val="000B1679"/>
    <w:rsid w:val="000B2825"/>
    <w:rsid w:val="000B3332"/>
    <w:rsid w:val="000B3B16"/>
    <w:rsid w:val="000B5FD4"/>
    <w:rsid w:val="000B6098"/>
    <w:rsid w:val="000B61E1"/>
    <w:rsid w:val="000B68A4"/>
    <w:rsid w:val="000B6DD9"/>
    <w:rsid w:val="000C3743"/>
    <w:rsid w:val="000C3CEF"/>
    <w:rsid w:val="000C5D76"/>
    <w:rsid w:val="000C648E"/>
    <w:rsid w:val="000D0067"/>
    <w:rsid w:val="000D012C"/>
    <w:rsid w:val="000D0282"/>
    <w:rsid w:val="000D268D"/>
    <w:rsid w:val="000D377B"/>
    <w:rsid w:val="000D4C21"/>
    <w:rsid w:val="000D52A3"/>
    <w:rsid w:val="000D6F3D"/>
    <w:rsid w:val="000E1151"/>
    <w:rsid w:val="000E241F"/>
    <w:rsid w:val="000E6C1B"/>
    <w:rsid w:val="000E6EB0"/>
    <w:rsid w:val="000E6F2A"/>
    <w:rsid w:val="000F01DF"/>
    <w:rsid w:val="000F37EC"/>
    <w:rsid w:val="000F4302"/>
    <w:rsid w:val="000F4FC4"/>
    <w:rsid w:val="0010314A"/>
    <w:rsid w:val="001037F3"/>
    <w:rsid w:val="00105CD8"/>
    <w:rsid w:val="001102B1"/>
    <w:rsid w:val="00112715"/>
    <w:rsid w:val="0011444D"/>
    <w:rsid w:val="0011467D"/>
    <w:rsid w:val="00116191"/>
    <w:rsid w:val="001170E9"/>
    <w:rsid w:val="00120A27"/>
    <w:rsid w:val="00120E9C"/>
    <w:rsid w:val="00121D7D"/>
    <w:rsid w:val="00122444"/>
    <w:rsid w:val="001244A3"/>
    <w:rsid w:val="001249BC"/>
    <w:rsid w:val="001254B2"/>
    <w:rsid w:val="001265CE"/>
    <w:rsid w:val="0012676C"/>
    <w:rsid w:val="001268C1"/>
    <w:rsid w:val="001303F4"/>
    <w:rsid w:val="00130EB5"/>
    <w:rsid w:val="00133AF6"/>
    <w:rsid w:val="001348DB"/>
    <w:rsid w:val="00134BF8"/>
    <w:rsid w:val="0013614F"/>
    <w:rsid w:val="00137449"/>
    <w:rsid w:val="001379CD"/>
    <w:rsid w:val="00140585"/>
    <w:rsid w:val="001406E9"/>
    <w:rsid w:val="00145060"/>
    <w:rsid w:val="00150DE5"/>
    <w:rsid w:val="00151031"/>
    <w:rsid w:val="00152A67"/>
    <w:rsid w:val="001556D0"/>
    <w:rsid w:val="00160862"/>
    <w:rsid w:val="00163B87"/>
    <w:rsid w:val="00165FC5"/>
    <w:rsid w:val="00166005"/>
    <w:rsid w:val="00170883"/>
    <w:rsid w:val="00170B16"/>
    <w:rsid w:val="00171207"/>
    <w:rsid w:val="001725C5"/>
    <w:rsid w:val="00172A27"/>
    <w:rsid w:val="001731F2"/>
    <w:rsid w:val="001741CE"/>
    <w:rsid w:val="0017571B"/>
    <w:rsid w:val="00175BA9"/>
    <w:rsid w:val="00177B23"/>
    <w:rsid w:val="00180393"/>
    <w:rsid w:val="0018093D"/>
    <w:rsid w:val="0018105B"/>
    <w:rsid w:val="00181D56"/>
    <w:rsid w:val="00182D19"/>
    <w:rsid w:val="0018379B"/>
    <w:rsid w:val="00183EC1"/>
    <w:rsid w:val="00184E7B"/>
    <w:rsid w:val="00185E2C"/>
    <w:rsid w:val="00187354"/>
    <w:rsid w:val="001915A9"/>
    <w:rsid w:val="00191DDD"/>
    <w:rsid w:val="00193ECD"/>
    <w:rsid w:val="00195147"/>
    <w:rsid w:val="001971E0"/>
    <w:rsid w:val="001972EE"/>
    <w:rsid w:val="001A1401"/>
    <w:rsid w:val="001A1F0D"/>
    <w:rsid w:val="001A21EB"/>
    <w:rsid w:val="001A2F2F"/>
    <w:rsid w:val="001A34B3"/>
    <w:rsid w:val="001A3B1B"/>
    <w:rsid w:val="001A5B5B"/>
    <w:rsid w:val="001A6043"/>
    <w:rsid w:val="001A6909"/>
    <w:rsid w:val="001A7C2B"/>
    <w:rsid w:val="001B0020"/>
    <w:rsid w:val="001B03E2"/>
    <w:rsid w:val="001B1E3C"/>
    <w:rsid w:val="001B2369"/>
    <w:rsid w:val="001B3ABC"/>
    <w:rsid w:val="001B3F95"/>
    <w:rsid w:val="001B3F9C"/>
    <w:rsid w:val="001B6BB4"/>
    <w:rsid w:val="001C0FAC"/>
    <w:rsid w:val="001C10C9"/>
    <w:rsid w:val="001C2CB1"/>
    <w:rsid w:val="001C2FC5"/>
    <w:rsid w:val="001C38A0"/>
    <w:rsid w:val="001C3F6A"/>
    <w:rsid w:val="001C505B"/>
    <w:rsid w:val="001C5E71"/>
    <w:rsid w:val="001C630E"/>
    <w:rsid w:val="001C647C"/>
    <w:rsid w:val="001C77FD"/>
    <w:rsid w:val="001D0B82"/>
    <w:rsid w:val="001D2994"/>
    <w:rsid w:val="001D3D24"/>
    <w:rsid w:val="001D4518"/>
    <w:rsid w:val="001D4C0E"/>
    <w:rsid w:val="001D4D24"/>
    <w:rsid w:val="001D6F6B"/>
    <w:rsid w:val="001E0658"/>
    <w:rsid w:val="001E1ABE"/>
    <w:rsid w:val="001E3C94"/>
    <w:rsid w:val="001E417F"/>
    <w:rsid w:val="001E41CA"/>
    <w:rsid w:val="001E4369"/>
    <w:rsid w:val="001E66E2"/>
    <w:rsid w:val="001F347E"/>
    <w:rsid w:val="001F3CE9"/>
    <w:rsid w:val="001F43DC"/>
    <w:rsid w:val="001F4A37"/>
    <w:rsid w:val="001F7558"/>
    <w:rsid w:val="001F78F3"/>
    <w:rsid w:val="002027CE"/>
    <w:rsid w:val="00203E20"/>
    <w:rsid w:val="0020596C"/>
    <w:rsid w:val="00205A4A"/>
    <w:rsid w:val="0020644B"/>
    <w:rsid w:val="00206C3D"/>
    <w:rsid w:val="00210051"/>
    <w:rsid w:val="00211150"/>
    <w:rsid w:val="002121A7"/>
    <w:rsid w:val="002121D4"/>
    <w:rsid w:val="002123D8"/>
    <w:rsid w:val="00212C2F"/>
    <w:rsid w:val="00212FC7"/>
    <w:rsid w:val="0021318F"/>
    <w:rsid w:val="0021552A"/>
    <w:rsid w:val="00216B10"/>
    <w:rsid w:val="00216D17"/>
    <w:rsid w:val="00220430"/>
    <w:rsid w:val="002209DD"/>
    <w:rsid w:val="00221963"/>
    <w:rsid w:val="00223AC0"/>
    <w:rsid w:val="00224ECA"/>
    <w:rsid w:val="00225F4B"/>
    <w:rsid w:val="0022764D"/>
    <w:rsid w:val="00232F1A"/>
    <w:rsid w:val="00234099"/>
    <w:rsid w:val="00234858"/>
    <w:rsid w:val="00234C53"/>
    <w:rsid w:val="0023738C"/>
    <w:rsid w:val="00237F9F"/>
    <w:rsid w:val="0024045A"/>
    <w:rsid w:val="00241E76"/>
    <w:rsid w:val="00242CED"/>
    <w:rsid w:val="00246615"/>
    <w:rsid w:val="00246A46"/>
    <w:rsid w:val="0024767C"/>
    <w:rsid w:val="00247A35"/>
    <w:rsid w:val="00247DA2"/>
    <w:rsid w:val="00247EEB"/>
    <w:rsid w:val="00253381"/>
    <w:rsid w:val="00256272"/>
    <w:rsid w:val="002566BE"/>
    <w:rsid w:val="00256947"/>
    <w:rsid w:val="002601FC"/>
    <w:rsid w:val="002622CC"/>
    <w:rsid w:val="00262326"/>
    <w:rsid w:val="002636B6"/>
    <w:rsid w:val="0026537A"/>
    <w:rsid w:val="00265E32"/>
    <w:rsid w:val="002661B9"/>
    <w:rsid w:val="00271A06"/>
    <w:rsid w:val="00273B8B"/>
    <w:rsid w:val="00274EEC"/>
    <w:rsid w:val="00276898"/>
    <w:rsid w:val="00276C8D"/>
    <w:rsid w:val="00277B45"/>
    <w:rsid w:val="00277BA2"/>
    <w:rsid w:val="002802AA"/>
    <w:rsid w:val="00280815"/>
    <w:rsid w:val="00281540"/>
    <w:rsid w:val="00282A75"/>
    <w:rsid w:val="002832A6"/>
    <w:rsid w:val="00284565"/>
    <w:rsid w:val="0028562E"/>
    <w:rsid w:val="002860B7"/>
    <w:rsid w:val="00286BFA"/>
    <w:rsid w:val="00286D38"/>
    <w:rsid w:val="00287E0A"/>
    <w:rsid w:val="00291C3F"/>
    <w:rsid w:val="00293227"/>
    <w:rsid w:val="002938EB"/>
    <w:rsid w:val="00294887"/>
    <w:rsid w:val="002949B9"/>
    <w:rsid w:val="002967B7"/>
    <w:rsid w:val="00296BC6"/>
    <w:rsid w:val="00297384"/>
    <w:rsid w:val="0029760D"/>
    <w:rsid w:val="00297E52"/>
    <w:rsid w:val="002A0802"/>
    <w:rsid w:val="002A0B65"/>
    <w:rsid w:val="002A25AD"/>
    <w:rsid w:val="002A38B8"/>
    <w:rsid w:val="002A4AA4"/>
    <w:rsid w:val="002A50F7"/>
    <w:rsid w:val="002A5C81"/>
    <w:rsid w:val="002B07DB"/>
    <w:rsid w:val="002B47D1"/>
    <w:rsid w:val="002B5802"/>
    <w:rsid w:val="002B6547"/>
    <w:rsid w:val="002B71AF"/>
    <w:rsid w:val="002B7ABC"/>
    <w:rsid w:val="002B7F37"/>
    <w:rsid w:val="002C0064"/>
    <w:rsid w:val="002C038D"/>
    <w:rsid w:val="002C31B6"/>
    <w:rsid w:val="002C411B"/>
    <w:rsid w:val="002C61CB"/>
    <w:rsid w:val="002C63B5"/>
    <w:rsid w:val="002C6574"/>
    <w:rsid w:val="002C7513"/>
    <w:rsid w:val="002D03C7"/>
    <w:rsid w:val="002D0C5C"/>
    <w:rsid w:val="002D1CC4"/>
    <w:rsid w:val="002D2ACE"/>
    <w:rsid w:val="002D3FED"/>
    <w:rsid w:val="002D44C0"/>
    <w:rsid w:val="002D48DA"/>
    <w:rsid w:val="002D5349"/>
    <w:rsid w:val="002D62BA"/>
    <w:rsid w:val="002D676E"/>
    <w:rsid w:val="002D67BD"/>
    <w:rsid w:val="002D7C13"/>
    <w:rsid w:val="002D7E84"/>
    <w:rsid w:val="002E03BF"/>
    <w:rsid w:val="002E169B"/>
    <w:rsid w:val="002E1A85"/>
    <w:rsid w:val="002E313D"/>
    <w:rsid w:val="002E32CA"/>
    <w:rsid w:val="002E5CA0"/>
    <w:rsid w:val="002E6AF1"/>
    <w:rsid w:val="002E6DE8"/>
    <w:rsid w:val="002E74AC"/>
    <w:rsid w:val="002F1C60"/>
    <w:rsid w:val="002F2FD5"/>
    <w:rsid w:val="002F68F8"/>
    <w:rsid w:val="002F6FC3"/>
    <w:rsid w:val="002F705F"/>
    <w:rsid w:val="002F74FC"/>
    <w:rsid w:val="002F79F8"/>
    <w:rsid w:val="002F7C3A"/>
    <w:rsid w:val="00300CFA"/>
    <w:rsid w:val="003032FF"/>
    <w:rsid w:val="00304EAF"/>
    <w:rsid w:val="00305F87"/>
    <w:rsid w:val="00306CF8"/>
    <w:rsid w:val="003071FD"/>
    <w:rsid w:val="00307697"/>
    <w:rsid w:val="00307A7D"/>
    <w:rsid w:val="0031095C"/>
    <w:rsid w:val="003121ED"/>
    <w:rsid w:val="003126A7"/>
    <w:rsid w:val="003140B4"/>
    <w:rsid w:val="00316050"/>
    <w:rsid w:val="00316681"/>
    <w:rsid w:val="00316BB1"/>
    <w:rsid w:val="00317BEF"/>
    <w:rsid w:val="00321A86"/>
    <w:rsid w:val="003238B0"/>
    <w:rsid w:val="003319A0"/>
    <w:rsid w:val="00332685"/>
    <w:rsid w:val="00335A20"/>
    <w:rsid w:val="00335E1D"/>
    <w:rsid w:val="00336387"/>
    <w:rsid w:val="00337D9B"/>
    <w:rsid w:val="00337F0C"/>
    <w:rsid w:val="00340123"/>
    <w:rsid w:val="003417DD"/>
    <w:rsid w:val="00344B61"/>
    <w:rsid w:val="00345AB3"/>
    <w:rsid w:val="00345D6D"/>
    <w:rsid w:val="0034641B"/>
    <w:rsid w:val="00346797"/>
    <w:rsid w:val="00346C6A"/>
    <w:rsid w:val="00350875"/>
    <w:rsid w:val="003510C2"/>
    <w:rsid w:val="003523C4"/>
    <w:rsid w:val="00352D4A"/>
    <w:rsid w:val="003538B2"/>
    <w:rsid w:val="00356D70"/>
    <w:rsid w:val="00356DF5"/>
    <w:rsid w:val="00357C65"/>
    <w:rsid w:val="0036210F"/>
    <w:rsid w:val="003637BA"/>
    <w:rsid w:val="00363984"/>
    <w:rsid w:val="00363E40"/>
    <w:rsid w:val="00364029"/>
    <w:rsid w:val="00364CB4"/>
    <w:rsid w:val="003704EE"/>
    <w:rsid w:val="00374279"/>
    <w:rsid w:val="00376CCA"/>
    <w:rsid w:val="00377722"/>
    <w:rsid w:val="00377893"/>
    <w:rsid w:val="003838CD"/>
    <w:rsid w:val="00384750"/>
    <w:rsid w:val="00385006"/>
    <w:rsid w:val="00385D8B"/>
    <w:rsid w:val="00386131"/>
    <w:rsid w:val="00392A93"/>
    <w:rsid w:val="00393859"/>
    <w:rsid w:val="0039416F"/>
    <w:rsid w:val="00395D64"/>
    <w:rsid w:val="003961D0"/>
    <w:rsid w:val="003976DE"/>
    <w:rsid w:val="003A2C84"/>
    <w:rsid w:val="003A3AFB"/>
    <w:rsid w:val="003A3BEB"/>
    <w:rsid w:val="003A43A6"/>
    <w:rsid w:val="003A4BC5"/>
    <w:rsid w:val="003A7B72"/>
    <w:rsid w:val="003B035D"/>
    <w:rsid w:val="003B0FC4"/>
    <w:rsid w:val="003B58BA"/>
    <w:rsid w:val="003B7129"/>
    <w:rsid w:val="003B7F11"/>
    <w:rsid w:val="003C003F"/>
    <w:rsid w:val="003C27BB"/>
    <w:rsid w:val="003C3BF4"/>
    <w:rsid w:val="003C5B58"/>
    <w:rsid w:val="003C74CE"/>
    <w:rsid w:val="003D027A"/>
    <w:rsid w:val="003D0ACA"/>
    <w:rsid w:val="003D0B76"/>
    <w:rsid w:val="003D0BB5"/>
    <w:rsid w:val="003D0E2B"/>
    <w:rsid w:val="003D0F2D"/>
    <w:rsid w:val="003D1970"/>
    <w:rsid w:val="003D1C98"/>
    <w:rsid w:val="003D5C18"/>
    <w:rsid w:val="003D5F41"/>
    <w:rsid w:val="003D68CE"/>
    <w:rsid w:val="003D73C8"/>
    <w:rsid w:val="003D7ACD"/>
    <w:rsid w:val="003E07E6"/>
    <w:rsid w:val="003E1A4B"/>
    <w:rsid w:val="003E2036"/>
    <w:rsid w:val="003E3815"/>
    <w:rsid w:val="003E3A74"/>
    <w:rsid w:val="003E4F79"/>
    <w:rsid w:val="003E737D"/>
    <w:rsid w:val="003E7A6C"/>
    <w:rsid w:val="003E7FBC"/>
    <w:rsid w:val="003E7FCE"/>
    <w:rsid w:val="003F1F4A"/>
    <w:rsid w:val="003F2665"/>
    <w:rsid w:val="003F3EEE"/>
    <w:rsid w:val="003F4FB0"/>
    <w:rsid w:val="003F5B2B"/>
    <w:rsid w:val="003F5CC4"/>
    <w:rsid w:val="003F637C"/>
    <w:rsid w:val="003F74DA"/>
    <w:rsid w:val="003F7CF7"/>
    <w:rsid w:val="0040013A"/>
    <w:rsid w:val="00400CA1"/>
    <w:rsid w:val="004029AA"/>
    <w:rsid w:val="00403144"/>
    <w:rsid w:val="00404A58"/>
    <w:rsid w:val="00404F5E"/>
    <w:rsid w:val="00405700"/>
    <w:rsid w:val="00407C30"/>
    <w:rsid w:val="00410655"/>
    <w:rsid w:val="00412FF2"/>
    <w:rsid w:val="00413525"/>
    <w:rsid w:val="00414AB3"/>
    <w:rsid w:val="00414AC1"/>
    <w:rsid w:val="0041594B"/>
    <w:rsid w:val="00415CEC"/>
    <w:rsid w:val="00416182"/>
    <w:rsid w:val="00417BBA"/>
    <w:rsid w:val="00417D2F"/>
    <w:rsid w:val="00420388"/>
    <w:rsid w:val="0042081D"/>
    <w:rsid w:val="00421721"/>
    <w:rsid w:val="00421820"/>
    <w:rsid w:val="00423FAC"/>
    <w:rsid w:val="004240CD"/>
    <w:rsid w:val="00426532"/>
    <w:rsid w:val="00426A84"/>
    <w:rsid w:val="00426AB1"/>
    <w:rsid w:val="00427433"/>
    <w:rsid w:val="00427F33"/>
    <w:rsid w:val="00430184"/>
    <w:rsid w:val="00430669"/>
    <w:rsid w:val="004313FA"/>
    <w:rsid w:val="004317DC"/>
    <w:rsid w:val="004350DF"/>
    <w:rsid w:val="004373F6"/>
    <w:rsid w:val="00437404"/>
    <w:rsid w:val="00437FB3"/>
    <w:rsid w:val="00440272"/>
    <w:rsid w:val="00440C89"/>
    <w:rsid w:val="00440DDD"/>
    <w:rsid w:val="004419E7"/>
    <w:rsid w:val="00442CF3"/>
    <w:rsid w:val="00442D85"/>
    <w:rsid w:val="00443743"/>
    <w:rsid w:val="0044509A"/>
    <w:rsid w:val="00445B0E"/>
    <w:rsid w:val="00446EEF"/>
    <w:rsid w:val="00451979"/>
    <w:rsid w:val="00451EAE"/>
    <w:rsid w:val="0045257D"/>
    <w:rsid w:val="004526B1"/>
    <w:rsid w:val="004542C4"/>
    <w:rsid w:val="0045580D"/>
    <w:rsid w:val="00455FE7"/>
    <w:rsid w:val="00455FFA"/>
    <w:rsid w:val="00456F66"/>
    <w:rsid w:val="004613A0"/>
    <w:rsid w:val="004622D6"/>
    <w:rsid w:val="00462DBD"/>
    <w:rsid w:val="0046353B"/>
    <w:rsid w:val="00467539"/>
    <w:rsid w:val="00467D55"/>
    <w:rsid w:val="00470142"/>
    <w:rsid w:val="004724F1"/>
    <w:rsid w:val="00474C25"/>
    <w:rsid w:val="00475888"/>
    <w:rsid w:val="00475ED8"/>
    <w:rsid w:val="00476FC1"/>
    <w:rsid w:val="004776AC"/>
    <w:rsid w:val="00477A4F"/>
    <w:rsid w:val="00480E6F"/>
    <w:rsid w:val="004821C1"/>
    <w:rsid w:val="0048384F"/>
    <w:rsid w:val="0049100C"/>
    <w:rsid w:val="00491827"/>
    <w:rsid w:val="0049240B"/>
    <w:rsid w:val="00493131"/>
    <w:rsid w:val="004932D9"/>
    <w:rsid w:val="00493ECB"/>
    <w:rsid w:val="00494514"/>
    <w:rsid w:val="00494FD0"/>
    <w:rsid w:val="004965F7"/>
    <w:rsid w:val="00496B6C"/>
    <w:rsid w:val="00496F98"/>
    <w:rsid w:val="004973B9"/>
    <w:rsid w:val="004A14AC"/>
    <w:rsid w:val="004A245E"/>
    <w:rsid w:val="004A299C"/>
    <w:rsid w:val="004A39D6"/>
    <w:rsid w:val="004A4D19"/>
    <w:rsid w:val="004A4FA8"/>
    <w:rsid w:val="004A57B7"/>
    <w:rsid w:val="004A57E2"/>
    <w:rsid w:val="004A6196"/>
    <w:rsid w:val="004A7C97"/>
    <w:rsid w:val="004B0C5D"/>
    <w:rsid w:val="004B0CD0"/>
    <w:rsid w:val="004B18BB"/>
    <w:rsid w:val="004B35D2"/>
    <w:rsid w:val="004B3F5C"/>
    <w:rsid w:val="004B5BAA"/>
    <w:rsid w:val="004B637D"/>
    <w:rsid w:val="004B6580"/>
    <w:rsid w:val="004B6996"/>
    <w:rsid w:val="004C0F5F"/>
    <w:rsid w:val="004C1478"/>
    <w:rsid w:val="004C2479"/>
    <w:rsid w:val="004C30E6"/>
    <w:rsid w:val="004C4117"/>
    <w:rsid w:val="004C6FFD"/>
    <w:rsid w:val="004C759E"/>
    <w:rsid w:val="004C7878"/>
    <w:rsid w:val="004D0DE7"/>
    <w:rsid w:val="004D1909"/>
    <w:rsid w:val="004D35D1"/>
    <w:rsid w:val="004D3CF3"/>
    <w:rsid w:val="004D4A94"/>
    <w:rsid w:val="004D5936"/>
    <w:rsid w:val="004D5A6A"/>
    <w:rsid w:val="004D6D05"/>
    <w:rsid w:val="004D7FE8"/>
    <w:rsid w:val="004E00CE"/>
    <w:rsid w:val="004E1F4D"/>
    <w:rsid w:val="004E2689"/>
    <w:rsid w:val="004E3139"/>
    <w:rsid w:val="004E4320"/>
    <w:rsid w:val="004E49EE"/>
    <w:rsid w:val="004E521D"/>
    <w:rsid w:val="004E66DD"/>
    <w:rsid w:val="004F0F42"/>
    <w:rsid w:val="004F1873"/>
    <w:rsid w:val="004F2CE6"/>
    <w:rsid w:val="004F6950"/>
    <w:rsid w:val="004F74A1"/>
    <w:rsid w:val="004F7500"/>
    <w:rsid w:val="004F7B7D"/>
    <w:rsid w:val="00501015"/>
    <w:rsid w:val="005013FE"/>
    <w:rsid w:val="005015F2"/>
    <w:rsid w:val="00503717"/>
    <w:rsid w:val="0050399E"/>
    <w:rsid w:val="00504594"/>
    <w:rsid w:val="005059DF"/>
    <w:rsid w:val="00506541"/>
    <w:rsid w:val="00506EDE"/>
    <w:rsid w:val="0050763D"/>
    <w:rsid w:val="00507A55"/>
    <w:rsid w:val="005116AD"/>
    <w:rsid w:val="0051273B"/>
    <w:rsid w:val="00515257"/>
    <w:rsid w:val="0051525B"/>
    <w:rsid w:val="00515651"/>
    <w:rsid w:val="005165B0"/>
    <w:rsid w:val="00516B95"/>
    <w:rsid w:val="005202A5"/>
    <w:rsid w:val="00521AA8"/>
    <w:rsid w:val="00522103"/>
    <w:rsid w:val="00522F86"/>
    <w:rsid w:val="00523181"/>
    <w:rsid w:val="00523396"/>
    <w:rsid w:val="005237A9"/>
    <w:rsid w:val="0052401D"/>
    <w:rsid w:val="00525482"/>
    <w:rsid w:val="00527941"/>
    <w:rsid w:val="00527CC8"/>
    <w:rsid w:val="00530F93"/>
    <w:rsid w:val="005312FE"/>
    <w:rsid w:val="00531348"/>
    <w:rsid w:val="00533AA4"/>
    <w:rsid w:val="00534668"/>
    <w:rsid w:val="005350A5"/>
    <w:rsid w:val="005358F5"/>
    <w:rsid w:val="00535C57"/>
    <w:rsid w:val="00535D67"/>
    <w:rsid w:val="00536D0D"/>
    <w:rsid w:val="00540881"/>
    <w:rsid w:val="005410BC"/>
    <w:rsid w:val="005410F1"/>
    <w:rsid w:val="00541230"/>
    <w:rsid w:val="00541DEC"/>
    <w:rsid w:val="00543234"/>
    <w:rsid w:val="0054629F"/>
    <w:rsid w:val="00550CDA"/>
    <w:rsid w:val="00553A7F"/>
    <w:rsid w:val="00554BAA"/>
    <w:rsid w:val="00554E93"/>
    <w:rsid w:val="00555373"/>
    <w:rsid w:val="00555FB5"/>
    <w:rsid w:val="005570E3"/>
    <w:rsid w:val="00557FB2"/>
    <w:rsid w:val="005602B3"/>
    <w:rsid w:val="00560371"/>
    <w:rsid w:val="00562032"/>
    <w:rsid w:val="005620F4"/>
    <w:rsid w:val="00562E2C"/>
    <w:rsid w:val="00562FF7"/>
    <w:rsid w:val="00563B2B"/>
    <w:rsid w:val="00564208"/>
    <w:rsid w:val="00567C22"/>
    <w:rsid w:val="0057029C"/>
    <w:rsid w:val="00570F20"/>
    <w:rsid w:val="0057172C"/>
    <w:rsid w:val="005724BA"/>
    <w:rsid w:val="00573131"/>
    <w:rsid w:val="00573FE9"/>
    <w:rsid w:val="005742A4"/>
    <w:rsid w:val="0057507B"/>
    <w:rsid w:val="00575E4E"/>
    <w:rsid w:val="00580ECA"/>
    <w:rsid w:val="0058182C"/>
    <w:rsid w:val="005853D6"/>
    <w:rsid w:val="00585999"/>
    <w:rsid w:val="00585A03"/>
    <w:rsid w:val="00585F1E"/>
    <w:rsid w:val="00586D58"/>
    <w:rsid w:val="005900C0"/>
    <w:rsid w:val="00590772"/>
    <w:rsid w:val="00592D0F"/>
    <w:rsid w:val="00593625"/>
    <w:rsid w:val="00593F09"/>
    <w:rsid w:val="00594565"/>
    <w:rsid w:val="00594663"/>
    <w:rsid w:val="00596736"/>
    <w:rsid w:val="00596C2B"/>
    <w:rsid w:val="00596DAD"/>
    <w:rsid w:val="005973DE"/>
    <w:rsid w:val="005A1251"/>
    <w:rsid w:val="005A163C"/>
    <w:rsid w:val="005A25BF"/>
    <w:rsid w:val="005A30C5"/>
    <w:rsid w:val="005A3D29"/>
    <w:rsid w:val="005A6BDD"/>
    <w:rsid w:val="005A7462"/>
    <w:rsid w:val="005B0670"/>
    <w:rsid w:val="005B08E2"/>
    <w:rsid w:val="005B1F2F"/>
    <w:rsid w:val="005B3AEB"/>
    <w:rsid w:val="005B47AA"/>
    <w:rsid w:val="005B4EB3"/>
    <w:rsid w:val="005B5345"/>
    <w:rsid w:val="005B53CB"/>
    <w:rsid w:val="005B68F5"/>
    <w:rsid w:val="005B6BA7"/>
    <w:rsid w:val="005C143F"/>
    <w:rsid w:val="005C1CE1"/>
    <w:rsid w:val="005C2201"/>
    <w:rsid w:val="005C26CA"/>
    <w:rsid w:val="005C4A51"/>
    <w:rsid w:val="005C4B67"/>
    <w:rsid w:val="005C51DA"/>
    <w:rsid w:val="005D024A"/>
    <w:rsid w:val="005D3832"/>
    <w:rsid w:val="005D3C3B"/>
    <w:rsid w:val="005D6000"/>
    <w:rsid w:val="005D66C5"/>
    <w:rsid w:val="005D6816"/>
    <w:rsid w:val="005D6E69"/>
    <w:rsid w:val="005D6FDB"/>
    <w:rsid w:val="005D7518"/>
    <w:rsid w:val="005E0461"/>
    <w:rsid w:val="005E1D36"/>
    <w:rsid w:val="005E2627"/>
    <w:rsid w:val="005E2909"/>
    <w:rsid w:val="005E46CB"/>
    <w:rsid w:val="005E4FCD"/>
    <w:rsid w:val="005E6156"/>
    <w:rsid w:val="005E63D9"/>
    <w:rsid w:val="005F183F"/>
    <w:rsid w:val="005F26E1"/>
    <w:rsid w:val="005F28AE"/>
    <w:rsid w:val="005F2E2D"/>
    <w:rsid w:val="005F46CF"/>
    <w:rsid w:val="005F51D3"/>
    <w:rsid w:val="005F5C6A"/>
    <w:rsid w:val="005F7177"/>
    <w:rsid w:val="005F77E1"/>
    <w:rsid w:val="00602236"/>
    <w:rsid w:val="00602C84"/>
    <w:rsid w:val="00606426"/>
    <w:rsid w:val="006075F4"/>
    <w:rsid w:val="00607863"/>
    <w:rsid w:val="006135C7"/>
    <w:rsid w:val="006138BA"/>
    <w:rsid w:val="00614E7C"/>
    <w:rsid w:val="00615DF5"/>
    <w:rsid w:val="00616152"/>
    <w:rsid w:val="006161DC"/>
    <w:rsid w:val="006162D5"/>
    <w:rsid w:val="006168CA"/>
    <w:rsid w:val="00617DD6"/>
    <w:rsid w:val="006201C4"/>
    <w:rsid w:val="00620E7E"/>
    <w:rsid w:val="00621044"/>
    <w:rsid w:val="006222DC"/>
    <w:rsid w:val="00622465"/>
    <w:rsid w:val="00623BB7"/>
    <w:rsid w:val="00624455"/>
    <w:rsid w:val="00624B06"/>
    <w:rsid w:val="00625CC9"/>
    <w:rsid w:val="00626462"/>
    <w:rsid w:val="00626C6D"/>
    <w:rsid w:val="00626F96"/>
    <w:rsid w:val="006274E0"/>
    <w:rsid w:val="006303BE"/>
    <w:rsid w:val="00630AA0"/>
    <w:rsid w:val="00635421"/>
    <w:rsid w:val="00635E33"/>
    <w:rsid w:val="00636202"/>
    <w:rsid w:val="00640E88"/>
    <w:rsid w:val="006410E3"/>
    <w:rsid w:val="00641E15"/>
    <w:rsid w:val="0064226F"/>
    <w:rsid w:val="0064267B"/>
    <w:rsid w:val="00643AEF"/>
    <w:rsid w:val="0064575F"/>
    <w:rsid w:val="00646A9A"/>
    <w:rsid w:val="00647618"/>
    <w:rsid w:val="006477DD"/>
    <w:rsid w:val="00650406"/>
    <w:rsid w:val="006507A1"/>
    <w:rsid w:val="00650CC4"/>
    <w:rsid w:val="00650F7F"/>
    <w:rsid w:val="006511E8"/>
    <w:rsid w:val="006527F5"/>
    <w:rsid w:val="00652F56"/>
    <w:rsid w:val="006534B2"/>
    <w:rsid w:val="0065469A"/>
    <w:rsid w:val="00656E89"/>
    <w:rsid w:val="00657C88"/>
    <w:rsid w:val="00660BBA"/>
    <w:rsid w:val="00661529"/>
    <w:rsid w:val="00661626"/>
    <w:rsid w:val="006628C0"/>
    <w:rsid w:val="00663821"/>
    <w:rsid w:val="0066436B"/>
    <w:rsid w:val="00665F46"/>
    <w:rsid w:val="0067007A"/>
    <w:rsid w:val="00670521"/>
    <w:rsid w:val="006730CE"/>
    <w:rsid w:val="0067370F"/>
    <w:rsid w:val="00676E1E"/>
    <w:rsid w:val="006775A5"/>
    <w:rsid w:val="006801EB"/>
    <w:rsid w:val="00680E68"/>
    <w:rsid w:val="00681C77"/>
    <w:rsid w:val="0068426E"/>
    <w:rsid w:val="00684BF1"/>
    <w:rsid w:val="00684DAD"/>
    <w:rsid w:val="00685B3F"/>
    <w:rsid w:val="006861D4"/>
    <w:rsid w:val="00686AD1"/>
    <w:rsid w:val="00687176"/>
    <w:rsid w:val="0068745C"/>
    <w:rsid w:val="00692D3E"/>
    <w:rsid w:val="00694AEA"/>
    <w:rsid w:val="00694DB9"/>
    <w:rsid w:val="00695DE4"/>
    <w:rsid w:val="00696502"/>
    <w:rsid w:val="00697669"/>
    <w:rsid w:val="006A007D"/>
    <w:rsid w:val="006A104B"/>
    <w:rsid w:val="006A1438"/>
    <w:rsid w:val="006A145E"/>
    <w:rsid w:val="006A1DF7"/>
    <w:rsid w:val="006A397E"/>
    <w:rsid w:val="006A68F7"/>
    <w:rsid w:val="006A75D8"/>
    <w:rsid w:val="006A7F21"/>
    <w:rsid w:val="006A7F30"/>
    <w:rsid w:val="006B04FD"/>
    <w:rsid w:val="006B2172"/>
    <w:rsid w:val="006B2E77"/>
    <w:rsid w:val="006B37C3"/>
    <w:rsid w:val="006B3D14"/>
    <w:rsid w:val="006B44BF"/>
    <w:rsid w:val="006B5B92"/>
    <w:rsid w:val="006B6EFD"/>
    <w:rsid w:val="006B6F61"/>
    <w:rsid w:val="006C2962"/>
    <w:rsid w:val="006C6EB5"/>
    <w:rsid w:val="006C77C7"/>
    <w:rsid w:val="006D20F3"/>
    <w:rsid w:val="006D244A"/>
    <w:rsid w:val="006D2BFF"/>
    <w:rsid w:val="006D3111"/>
    <w:rsid w:val="006D4168"/>
    <w:rsid w:val="006D5CE7"/>
    <w:rsid w:val="006D7314"/>
    <w:rsid w:val="006D781A"/>
    <w:rsid w:val="006E2074"/>
    <w:rsid w:val="006E2F06"/>
    <w:rsid w:val="006E47CB"/>
    <w:rsid w:val="006E47CD"/>
    <w:rsid w:val="006E6086"/>
    <w:rsid w:val="006E670B"/>
    <w:rsid w:val="006E6FCF"/>
    <w:rsid w:val="006E7184"/>
    <w:rsid w:val="006F0C11"/>
    <w:rsid w:val="006F11A1"/>
    <w:rsid w:val="006F2A8D"/>
    <w:rsid w:val="006F31F2"/>
    <w:rsid w:val="006F3360"/>
    <w:rsid w:val="006F4C6D"/>
    <w:rsid w:val="006F4E13"/>
    <w:rsid w:val="006F56E2"/>
    <w:rsid w:val="006F6316"/>
    <w:rsid w:val="006F6612"/>
    <w:rsid w:val="006F6EC6"/>
    <w:rsid w:val="007007D4"/>
    <w:rsid w:val="007018E1"/>
    <w:rsid w:val="00702AFA"/>
    <w:rsid w:val="00703A09"/>
    <w:rsid w:val="00704828"/>
    <w:rsid w:val="007050D2"/>
    <w:rsid w:val="007063AF"/>
    <w:rsid w:val="007105B6"/>
    <w:rsid w:val="00713278"/>
    <w:rsid w:val="007134C7"/>
    <w:rsid w:val="00713AC0"/>
    <w:rsid w:val="0071444B"/>
    <w:rsid w:val="007152F2"/>
    <w:rsid w:val="00715961"/>
    <w:rsid w:val="007173CF"/>
    <w:rsid w:val="00721F8F"/>
    <w:rsid w:val="00722D3A"/>
    <w:rsid w:val="00723A4E"/>
    <w:rsid w:val="007241E3"/>
    <w:rsid w:val="00724EE9"/>
    <w:rsid w:val="00725EEC"/>
    <w:rsid w:val="00726443"/>
    <w:rsid w:val="007267EF"/>
    <w:rsid w:val="00726C06"/>
    <w:rsid w:val="007270BF"/>
    <w:rsid w:val="007309F0"/>
    <w:rsid w:val="007317AB"/>
    <w:rsid w:val="007321A7"/>
    <w:rsid w:val="007324A9"/>
    <w:rsid w:val="00733C76"/>
    <w:rsid w:val="007345C5"/>
    <w:rsid w:val="00737A65"/>
    <w:rsid w:val="0074020A"/>
    <w:rsid w:val="00742BB5"/>
    <w:rsid w:val="007444EC"/>
    <w:rsid w:val="00746660"/>
    <w:rsid w:val="00750774"/>
    <w:rsid w:val="007529E6"/>
    <w:rsid w:val="00752E92"/>
    <w:rsid w:val="00753480"/>
    <w:rsid w:val="0075553D"/>
    <w:rsid w:val="00755A36"/>
    <w:rsid w:val="00756C9B"/>
    <w:rsid w:val="00757036"/>
    <w:rsid w:val="0075775D"/>
    <w:rsid w:val="00760106"/>
    <w:rsid w:val="00760266"/>
    <w:rsid w:val="007607A9"/>
    <w:rsid w:val="0076119A"/>
    <w:rsid w:val="00762813"/>
    <w:rsid w:val="0076287A"/>
    <w:rsid w:val="00762B1C"/>
    <w:rsid w:val="00762F76"/>
    <w:rsid w:val="00763562"/>
    <w:rsid w:val="00763F5D"/>
    <w:rsid w:val="00764126"/>
    <w:rsid w:val="0076482A"/>
    <w:rsid w:val="007661DC"/>
    <w:rsid w:val="00771593"/>
    <w:rsid w:val="00772360"/>
    <w:rsid w:val="0077371D"/>
    <w:rsid w:val="00773FC2"/>
    <w:rsid w:val="00773FFB"/>
    <w:rsid w:val="007752FB"/>
    <w:rsid w:val="0077641F"/>
    <w:rsid w:val="00776CB9"/>
    <w:rsid w:val="00777D0C"/>
    <w:rsid w:val="0078150E"/>
    <w:rsid w:val="00781A04"/>
    <w:rsid w:val="00782B0F"/>
    <w:rsid w:val="00782C02"/>
    <w:rsid w:val="00783009"/>
    <w:rsid w:val="007860FA"/>
    <w:rsid w:val="00787086"/>
    <w:rsid w:val="00787373"/>
    <w:rsid w:val="00787AF4"/>
    <w:rsid w:val="00787E4C"/>
    <w:rsid w:val="00790A48"/>
    <w:rsid w:val="00791597"/>
    <w:rsid w:val="00793F7F"/>
    <w:rsid w:val="00795640"/>
    <w:rsid w:val="0079613D"/>
    <w:rsid w:val="007964DF"/>
    <w:rsid w:val="00796C72"/>
    <w:rsid w:val="00796ED4"/>
    <w:rsid w:val="00796EE6"/>
    <w:rsid w:val="007A0810"/>
    <w:rsid w:val="007A0E82"/>
    <w:rsid w:val="007A0EA7"/>
    <w:rsid w:val="007A1883"/>
    <w:rsid w:val="007A1F23"/>
    <w:rsid w:val="007A2027"/>
    <w:rsid w:val="007A2A3E"/>
    <w:rsid w:val="007A35F5"/>
    <w:rsid w:val="007A3E9C"/>
    <w:rsid w:val="007A6676"/>
    <w:rsid w:val="007A7794"/>
    <w:rsid w:val="007A78C9"/>
    <w:rsid w:val="007A7EE5"/>
    <w:rsid w:val="007B0131"/>
    <w:rsid w:val="007B0226"/>
    <w:rsid w:val="007B0DFE"/>
    <w:rsid w:val="007B1C66"/>
    <w:rsid w:val="007B272A"/>
    <w:rsid w:val="007B36B8"/>
    <w:rsid w:val="007B5EED"/>
    <w:rsid w:val="007B6373"/>
    <w:rsid w:val="007B6D2E"/>
    <w:rsid w:val="007C04D8"/>
    <w:rsid w:val="007C1939"/>
    <w:rsid w:val="007C31E7"/>
    <w:rsid w:val="007C5A72"/>
    <w:rsid w:val="007D0966"/>
    <w:rsid w:val="007D1373"/>
    <w:rsid w:val="007D2FAE"/>
    <w:rsid w:val="007D48C3"/>
    <w:rsid w:val="007D4D39"/>
    <w:rsid w:val="007D5345"/>
    <w:rsid w:val="007D5A48"/>
    <w:rsid w:val="007D62DE"/>
    <w:rsid w:val="007D71DC"/>
    <w:rsid w:val="007D7FE5"/>
    <w:rsid w:val="007E1569"/>
    <w:rsid w:val="007E4B1A"/>
    <w:rsid w:val="007E62C0"/>
    <w:rsid w:val="007E7364"/>
    <w:rsid w:val="007F0871"/>
    <w:rsid w:val="007F2307"/>
    <w:rsid w:val="007F34F3"/>
    <w:rsid w:val="007F3525"/>
    <w:rsid w:val="007F3B78"/>
    <w:rsid w:val="007F3EAD"/>
    <w:rsid w:val="007F78B2"/>
    <w:rsid w:val="007F7DA6"/>
    <w:rsid w:val="00801012"/>
    <w:rsid w:val="00802B2F"/>
    <w:rsid w:val="00802BAE"/>
    <w:rsid w:val="0080304C"/>
    <w:rsid w:val="00804C73"/>
    <w:rsid w:val="00806428"/>
    <w:rsid w:val="00806463"/>
    <w:rsid w:val="008064F4"/>
    <w:rsid w:val="008137C6"/>
    <w:rsid w:val="00816068"/>
    <w:rsid w:val="00816B87"/>
    <w:rsid w:val="00820599"/>
    <w:rsid w:val="0082264D"/>
    <w:rsid w:val="00822DF8"/>
    <w:rsid w:val="00824FA6"/>
    <w:rsid w:val="0082617D"/>
    <w:rsid w:val="0082643B"/>
    <w:rsid w:val="00827AF0"/>
    <w:rsid w:val="0083037C"/>
    <w:rsid w:val="008317BE"/>
    <w:rsid w:val="008322F7"/>
    <w:rsid w:val="00832629"/>
    <w:rsid w:val="00832E69"/>
    <w:rsid w:val="008337E4"/>
    <w:rsid w:val="008340FB"/>
    <w:rsid w:val="00834F8E"/>
    <w:rsid w:val="00835800"/>
    <w:rsid w:val="008363F7"/>
    <w:rsid w:val="00836641"/>
    <w:rsid w:val="008370AC"/>
    <w:rsid w:val="00837280"/>
    <w:rsid w:val="00842092"/>
    <w:rsid w:val="008435B3"/>
    <w:rsid w:val="00843AC6"/>
    <w:rsid w:val="008503F4"/>
    <w:rsid w:val="00850F6D"/>
    <w:rsid w:val="00851112"/>
    <w:rsid w:val="0085335E"/>
    <w:rsid w:val="008535C9"/>
    <w:rsid w:val="0085396D"/>
    <w:rsid w:val="00855538"/>
    <w:rsid w:val="008566AA"/>
    <w:rsid w:val="008579FE"/>
    <w:rsid w:val="00857A8E"/>
    <w:rsid w:val="00860292"/>
    <w:rsid w:val="008604B7"/>
    <w:rsid w:val="008612A1"/>
    <w:rsid w:val="008621DE"/>
    <w:rsid w:val="008626C4"/>
    <w:rsid w:val="00863F52"/>
    <w:rsid w:val="00865594"/>
    <w:rsid w:val="00866FE3"/>
    <w:rsid w:val="00870E10"/>
    <w:rsid w:val="00871875"/>
    <w:rsid w:val="00874221"/>
    <w:rsid w:val="008751ED"/>
    <w:rsid w:val="00877999"/>
    <w:rsid w:val="00877A7B"/>
    <w:rsid w:val="008801BE"/>
    <w:rsid w:val="00881671"/>
    <w:rsid w:val="008816A0"/>
    <w:rsid w:val="00882799"/>
    <w:rsid w:val="00884481"/>
    <w:rsid w:val="00890909"/>
    <w:rsid w:val="00892625"/>
    <w:rsid w:val="00893CF9"/>
    <w:rsid w:val="008941B0"/>
    <w:rsid w:val="00894F2D"/>
    <w:rsid w:val="00895345"/>
    <w:rsid w:val="0089553E"/>
    <w:rsid w:val="008959CB"/>
    <w:rsid w:val="008969BE"/>
    <w:rsid w:val="0089768C"/>
    <w:rsid w:val="008A07D5"/>
    <w:rsid w:val="008A0A1D"/>
    <w:rsid w:val="008A18EC"/>
    <w:rsid w:val="008A248F"/>
    <w:rsid w:val="008A27BC"/>
    <w:rsid w:val="008A28AC"/>
    <w:rsid w:val="008A2AD2"/>
    <w:rsid w:val="008A4C57"/>
    <w:rsid w:val="008A557A"/>
    <w:rsid w:val="008A5589"/>
    <w:rsid w:val="008A6C70"/>
    <w:rsid w:val="008A6F31"/>
    <w:rsid w:val="008A75B5"/>
    <w:rsid w:val="008A7979"/>
    <w:rsid w:val="008B238E"/>
    <w:rsid w:val="008B38CE"/>
    <w:rsid w:val="008B3B2A"/>
    <w:rsid w:val="008B6731"/>
    <w:rsid w:val="008B6BAC"/>
    <w:rsid w:val="008B71EE"/>
    <w:rsid w:val="008C0335"/>
    <w:rsid w:val="008C06DB"/>
    <w:rsid w:val="008C5A3E"/>
    <w:rsid w:val="008C5D13"/>
    <w:rsid w:val="008C6DAF"/>
    <w:rsid w:val="008C7E1B"/>
    <w:rsid w:val="008D0162"/>
    <w:rsid w:val="008D07C3"/>
    <w:rsid w:val="008D2240"/>
    <w:rsid w:val="008D3788"/>
    <w:rsid w:val="008D527C"/>
    <w:rsid w:val="008D683A"/>
    <w:rsid w:val="008D7A43"/>
    <w:rsid w:val="008E0275"/>
    <w:rsid w:val="008E043F"/>
    <w:rsid w:val="008E074B"/>
    <w:rsid w:val="008E0EEB"/>
    <w:rsid w:val="008E0FBD"/>
    <w:rsid w:val="008E547D"/>
    <w:rsid w:val="008E558A"/>
    <w:rsid w:val="008E56B0"/>
    <w:rsid w:val="008E5DA8"/>
    <w:rsid w:val="008E7340"/>
    <w:rsid w:val="008E7B0A"/>
    <w:rsid w:val="008F03B5"/>
    <w:rsid w:val="008F0D9B"/>
    <w:rsid w:val="008F10F8"/>
    <w:rsid w:val="008F1427"/>
    <w:rsid w:val="008F2BA9"/>
    <w:rsid w:val="008F3E92"/>
    <w:rsid w:val="008F3F93"/>
    <w:rsid w:val="008F4B3F"/>
    <w:rsid w:val="008F5890"/>
    <w:rsid w:val="008F591E"/>
    <w:rsid w:val="008F684A"/>
    <w:rsid w:val="008F7DA1"/>
    <w:rsid w:val="0090163B"/>
    <w:rsid w:val="009030D7"/>
    <w:rsid w:val="00903160"/>
    <w:rsid w:val="00905F49"/>
    <w:rsid w:val="00907FA8"/>
    <w:rsid w:val="00911166"/>
    <w:rsid w:val="009124E0"/>
    <w:rsid w:val="00913542"/>
    <w:rsid w:val="00913909"/>
    <w:rsid w:val="0091567E"/>
    <w:rsid w:val="00915BF5"/>
    <w:rsid w:val="0091702B"/>
    <w:rsid w:val="00920E9F"/>
    <w:rsid w:val="00921636"/>
    <w:rsid w:val="009227E0"/>
    <w:rsid w:val="00927DFA"/>
    <w:rsid w:val="00931A98"/>
    <w:rsid w:val="00931F91"/>
    <w:rsid w:val="0093206A"/>
    <w:rsid w:val="009327AF"/>
    <w:rsid w:val="00933456"/>
    <w:rsid w:val="0093416D"/>
    <w:rsid w:val="00935C99"/>
    <w:rsid w:val="00936964"/>
    <w:rsid w:val="0093698A"/>
    <w:rsid w:val="00936FEF"/>
    <w:rsid w:val="00937458"/>
    <w:rsid w:val="009377FF"/>
    <w:rsid w:val="009424D1"/>
    <w:rsid w:val="00942704"/>
    <w:rsid w:val="00942871"/>
    <w:rsid w:val="009436D5"/>
    <w:rsid w:val="00945192"/>
    <w:rsid w:val="0094531A"/>
    <w:rsid w:val="009460C4"/>
    <w:rsid w:val="0094637E"/>
    <w:rsid w:val="0094752A"/>
    <w:rsid w:val="009514FA"/>
    <w:rsid w:val="00951F0B"/>
    <w:rsid w:val="009520DE"/>
    <w:rsid w:val="00952B94"/>
    <w:rsid w:val="0095433F"/>
    <w:rsid w:val="00955454"/>
    <w:rsid w:val="00955CAB"/>
    <w:rsid w:val="0095792F"/>
    <w:rsid w:val="00957B41"/>
    <w:rsid w:val="0096003E"/>
    <w:rsid w:val="0096060E"/>
    <w:rsid w:val="00962C99"/>
    <w:rsid w:val="009634DE"/>
    <w:rsid w:val="00965F3D"/>
    <w:rsid w:val="00966833"/>
    <w:rsid w:val="00971502"/>
    <w:rsid w:val="0097159D"/>
    <w:rsid w:val="00972025"/>
    <w:rsid w:val="00972229"/>
    <w:rsid w:val="00972B3A"/>
    <w:rsid w:val="00974A3F"/>
    <w:rsid w:val="00974C8A"/>
    <w:rsid w:val="00974CE4"/>
    <w:rsid w:val="00975BD8"/>
    <w:rsid w:val="00976552"/>
    <w:rsid w:val="00977503"/>
    <w:rsid w:val="0098099E"/>
    <w:rsid w:val="0098155F"/>
    <w:rsid w:val="0098193E"/>
    <w:rsid w:val="00981E5D"/>
    <w:rsid w:val="009820DC"/>
    <w:rsid w:val="00982772"/>
    <w:rsid w:val="00984D85"/>
    <w:rsid w:val="00985409"/>
    <w:rsid w:val="00993E2C"/>
    <w:rsid w:val="0099438D"/>
    <w:rsid w:val="009952C8"/>
    <w:rsid w:val="009A109C"/>
    <w:rsid w:val="009A1CBD"/>
    <w:rsid w:val="009A2B2D"/>
    <w:rsid w:val="009A4D36"/>
    <w:rsid w:val="009A6EDE"/>
    <w:rsid w:val="009B5EC4"/>
    <w:rsid w:val="009B7AEB"/>
    <w:rsid w:val="009C143D"/>
    <w:rsid w:val="009C2D4E"/>
    <w:rsid w:val="009C313B"/>
    <w:rsid w:val="009C31AC"/>
    <w:rsid w:val="009C384E"/>
    <w:rsid w:val="009C3FFD"/>
    <w:rsid w:val="009C41AC"/>
    <w:rsid w:val="009C5B89"/>
    <w:rsid w:val="009C5C6C"/>
    <w:rsid w:val="009C6C00"/>
    <w:rsid w:val="009D0392"/>
    <w:rsid w:val="009D0555"/>
    <w:rsid w:val="009D0821"/>
    <w:rsid w:val="009D1381"/>
    <w:rsid w:val="009D1517"/>
    <w:rsid w:val="009D3A75"/>
    <w:rsid w:val="009D4B64"/>
    <w:rsid w:val="009D4F53"/>
    <w:rsid w:val="009D63D3"/>
    <w:rsid w:val="009E0446"/>
    <w:rsid w:val="009E0924"/>
    <w:rsid w:val="009E262B"/>
    <w:rsid w:val="009E2DF7"/>
    <w:rsid w:val="009E475C"/>
    <w:rsid w:val="009E5EB5"/>
    <w:rsid w:val="009E7438"/>
    <w:rsid w:val="009F00C2"/>
    <w:rsid w:val="009F1C6C"/>
    <w:rsid w:val="009F3365"/>
    <w:rsid w:val="009F5C3A"/>
    <w:rsid w:val="00A00242"/>
    <w:rsid w:val="00A01455"/>
    <w:rsid w:val="00A024B9"/>
    <w:rsid w:val="00A0274B"/>
    <w:rsid w:val="00A034C9"/>
    <w:rsid w:val="00A04106"/>
    <w:rsid w:val="00A04C5E"/>
    <w:rsid w:val="00A05229"/>
    <w:rsid w:val="00A0550B"/>
    <w:rsid w:val="00A05A8B"/>
    <w:rsid w:val="00A05FE3"/>
    <w:rsid w:val="00A07F75"/>
    <w:rsid w:val="00A10554"/>
    <w:rsid w:val="00A11817"/>
    <w:rsid w:val="00A146A6"/>
    <w:rsid w:val="00A15B53"/>
    <w:rsid w:val="00A15E26"/>
    <w:rsid w:val="00A1715D"/>
    <w:rsid w:val="00A24143"/>
    <w:rsid w:val="00A246B1"/>
    <w:rsid w:val="00A26344"/>
    <w:rsid w:val="00A26C6E"/>
    <w:rsid w:val="00A27211"/>
    <w:rsid w:val="00A30061"/>
    <w:rsid w:val="00A31200"/>
    <w:rsid w:val="00A31434"/>
    <w:rsid w:val="00A324BE"/>
    <w:rsid w:val="00A3328A"/>
    <w:rsid w:val="00A41E03"/>
    <w:rsid w:val="00A42F5B"/>
    <w:rsid w:val="00A43514"/>
    <w:rsid w:val="00A510AC"/>
    <w:rsid w:val="00A55330"/>
    <w:rsid w:val="00A57100"/>
    <w:rsid w:val="00A57D84"/>
    <w:rsid w:val="00A60A0B"/>
    <w:rsid w:val="00A60B95"/>
    <w:rsid w:val="00A61E51"/>
    <w:rsid w:val="00A62764"/>
    <w:rsid w:val="00A62F6D"/>
    <w:rsid w:val="00A63920"/>
    <w:rsid w:val="00A63C05"/>
    <w:rsid w:val="00A64C3E"/>
    <w:rsid w:val="00A653AD"/>
    <w:rsid w:val="00A659E8"/>
    <w:rsid w:val="00A65FA6"/>
    <w:rsid w:val="00A669C1"/>
    <w:rsid w:val="00A71716"/>
    <w:rsid w:val="00A71A59"/>
    <w:rsid w:val="00A7229A"/>
    <w:rsid w:val="00A73BAF"/>
    <w:rsid w:val="00A742EA"/>
    <w:rsid w:val="00A74944"/>
    <w:rsid w:val="00A7660A"/>
    <w:rsid w:val="00A76F21"/>
    <w:rsid w:val="00A77429"/>
    <w:rsid w:val="00A77578"/>
    <w:rsid w:val="00A82FFB"/>
    <w:rsid w:val="00A83EAF"/>
    <w:rsid w:val="00A8404E"/>
    <w:rsid w:val="00A846C5"/>
    <w:rsid w:val="00A84CCD"/>
    <w:rsid w:val="00A87E71"/>
    <w:rsid w:val="00A9012B"/>
    <w:rsid w:val="00A9385F"/>
    <w:rsid w:val="00A93AB9"/>
    <w:rsid w:val="00A94286"/>
    <w:rsid w:val="00A94A78"/>
    <w:rsid w:val="00A96410"/>
    <w:rsid w:val="00A96BCD"/>
    <w:rsid w:val="00A97276"/>
    <w:rsid w:val="00A97820"/>
    <w:rsid w:val="00AA0A59"/>
    <w:rsid w:val="00AA3936"/>
    <w:rsid w:val="00AA3B95"/>
    <w:rsid w:val="00AA51DA"/>
    <w:rsid w:val="00AA590D"/>
    <w:rsid w:val="00AA5EDC"/>
    <w:rsid w:val="00AA6DF5"/>
    <w:rsid w:val="00AA7933"/>
    <w:rsid w:val="00AB0DBE"/>
    <w:rsid w:val="00AB3499"/>
    <w:rsid w:val="00AB4644"/>
    <w:rsid w:val="00AB46D9"/>
    <w:rsid w:val="00AB4702"/>
    <w:rsid w:val="00AB6FAE"/>
    <w:rsid w:val="00AC01DB"/>
    <w:rsid w:val="00AC4309"/>
    <w:rsid w:val="00AD10F2"/>
    <w:rsid w:val="00AD2FA2"/>
    <w:rsid w:val="00AD361E"/>
    <w:rsid w:val="00AD36B2"/>
    <w:rsid w:val="00AD439A"/>
    <w:rsid w:val="00AD4867"/>
    <w:rsid w:val="00AD4FAA"/>
    <w:rsid w:val="00AD5BB5"/>
    <w:rsid w:val="00AE070D"/>
    <w:rsid w:val="00AE3025"/>
    <w:rsid w:val="00AE334E"/>
    <w:rsid w:val="00AE3873"/>
    <w:rsid w:val="00AE5B69"/>
    <w:rsid w:val="00AF036E"/>
    <w:rsid w:val="00AF2343"/>
    <w:rsid w:val="00AF3368"/>
    <w:rsid w:val="00AF39D8"/>
    <w:rsid w:val="00AF476B"/>
    <w:rsid w:val="00AF568B"/>
    <w:rsid w:val="00AF648A"/>
    <w:rsid w:val="00AF7C2F"/>
    <w:rsid w:val="00AF7DC9"/>
    <w:rsid w:val="00B00A01"/>
    <w:rsid w:val="00B03096"/>
    <w:rsid w:val="00B059D2"/>
    <w:rsid w:val="00B0663E"/>
    <w:rsid w:val="00B07B70"/>
    <w:rsid w:val="00B112AC"/>
    <w:rsid w:val="00B115B7"/>
    <w:rsid w:val="00B1192F"/>
    <w:rsid w:val="00B121C5"/>
    <w:rsid w:val="00B1264F"/>
    <w:rsid w:val="00B12A0F"/>
    <w:rsid w:val="00B12D32"/>
    <w:rsid w:val="00B14761"/>
    <w:rsid w:val="00B15C71"/>
    <w:rsid w:val="00B20065"/>
    <w:rsid w:val="00B21C97"/>
    <w:rsid w:val="00B225D4"/>
    <w:rsid w:val="00B22B38"/>
    <w:rsid w:val="00B232B9"/>
    <w:rsid w:val="00B23B78"/>
    <w:rsid w:val="00B2534A"/>
    <w:rsid w:val="00B31608"/>
    <w:rsid w:val="00B31D86"/>
    <w:rsid w:val="00B33AC4"/>
    <w:rsid w:val="00B34072"/>
    <w:rsid w:val="00B344EE"/>
    <w:rsid w:val="00B345FE"/>
    <w:rsid w:val="00B356DE"/>
    <w:rsid w:val="00B35737"/>
    <w:rsid w:val="00B35AD7"/>
    <w:rsid w:val="00B35F7E"/>
    <w:rsid w:val="00B3641E"/>
    <w:rsid w:val="00B370E8"/>
    <w:rsid w:val="00B41A4D"/>
    <w:rsid w:val="00B43784"/>
    <w:rsid w:val="00B43A23"/>
    <w:rsid w:val="00B43E2F"/>
    <w:rsid w:val="00B44AB0"/>
    <w:rsid w:val="00B44F6F"/>
    <w:rsid w:val="00B4595D"/>
    <w:rsid w:val="00B46154"/>
    <w:rsid w:val="00B4626A"/>
    <w:rsid w:val="00B46CFD"/>
    <w:rsid w:val="00B46EDA"/>
    <w:rsid w:val="00B47F49"/>
    <w:rsid w:val="00B5125B"/>
    <w:rsid w:val="00B53218"/>
    <w:rsid w:val="00B5420E"/>
    <w:rsid w:val="00B546D1"/>
    <w:rsid w:val="00B55986"/>
    <w:rsid w:val="00B565F7"/>
    <w:rsid w:val="00B61ABD"/>
    <w:rsid w:val="00B62AD9"/>
    <w:rsid w:val="00B64275"/>
    <w:rsid w:val="00B64287"/>
    <w:rsid w:val="00B65722"/>
    <w:rsid w:val="00B66D15"/>
    <w:rsid w:val="00B67E17"/>
    <w:rsid w:val="00B67F75"/>
    <w:rsid w:val="00B7008A"/>
    <w:rsid w:val="00B70789"/>
    <w:rsid w:val="00B70C05"/>
    <w:rsid w:val="00B71292"/>
    <w:rsid w:val="00B718BE"/>
    <w:rsid w:val="00B72B02"/>
    <w:rsid w:val="00B734CD"/>
    <w:rsid w:val="00B809BB"/>
    <w:rsid w:val="00B82669"/>
    <w:rsid w:val="00B82704"/>
    <w:rsid w:val="00B82C2A"/>
    <w:rsid w:val="00B85B8A"/>
    <w:rsid w:val="00B90801"/>
    <w:rsid w:val="00B90930"/>
    <w:rsid w:val="00B91370"/>
    <w:rsid w:val="00B916F1"/>
    <w:rsid w:val="00B92EFE"/>
    <w:rsid w:val="00B931AC"/>
    <w:rsid w:val="00B9621D"/>
    <w:rsid w:val="00B96DDF"/>
    <w:rsid w:val="00B96FC2"/>
    <w:rsid w:val="00B977E7"/>
    <w:rsid w:val="00BA1F39"/>
    <w:rsid w:val="00BA2927"/>
    <w:rsid w:val="00BA4249"/>
    <w:rsid w:val="00BA5CC4"/>
    <w:rsid w:val="00BA6249"/>
    <w:rsid w:val="00BA6CC5"/>
    <w:rsid w:val="00BA7800"/>
    <w:rsid w:val="00BA7F47"/>
    <w:rsid w:val="00BB17BE"/>
    <w:rsid w:val="00BB3049"/>
    <w:rsid w:val="00BB3756"/>
    <w:rsid w:val="00BB3880"/>
    <w:rsid w:val="00BB389E"/>
    <w:rsid w:val="00BB5012"/>
    <w:rsid w:val="00BB5DC1"/>
    <w:rsid w:val="00BB6A89"/>
    <w:rsid w:val="00BC764E"/>
    <w:rsid w:val="00BC767E"/>
    <w:rsid w:val="00BD138B"/>
    <w:rsid w:val="00BD1DAF"/>
    <w:rsid w:val="00BD28B9"/>
    <w:rsid w:val="00BD2A41"/>
    <w:rsid w:val="00BE1949"/>
    <w:rsid w:val="00BE1D44"/>
    <w:rsid w:val="00BE2ACF"/>
    <w:rsid w:val="00BE6DCE"/>
    <w:rsid w:val="00BF1F1C"/>
    <w:rsid w:val="00BF2C8C"/>
    <w:rsid w:val="00BF2CEE"/>
    <w:rsid w:val="00BF5574"/>
    <w:rsid w:val="00BF6D0A"/>
    <w:rsid w:val="00BF6F75"/>
    <w:rsid w:val="00BF71A0"/>
    <w:rsid w:val="00BF76E5"/>
    <w:rsid w:val="00C00CB4"/>
    <w:rsid w:val="00C0510E"/>
    <w:rsid w:val="00C07873"/>
    <w:rsid w:val="00C10152"/>
    <w:rsid w:val="00C14168"/>
    <w:rsid w:val="00C15638"/>
    <w:rsid w:val="00C2149E"/>
    <w:rsid w:val="00C21C93"/>
    <w:rsid w:val="00C22556"/>
    <w:rsid w:val="00C226E1"/>
    <w:rsid w:val="00C22A49"/>
    <w:rsid w:val="00C2413A"/>
    <w:rsid w:val="00C32F62"/>
    <w:rsid w:val="00C335A5"/>
    <w:rsid w:val="00C33A58"/>
    <w:rsid w:val="00C34BDF"/>
    <w:rsid w:val="00C34E0E"/>
    <w:rsid w:val="00C34F7D"/>
    <w:rsid w:val="00C377E8"/>
    <w:rsid w:val="00C40FE0"/>
    <w:rsid w:val="00C41432"/>
    <w:rsid w:val="00C42301"/>
    <w:rsid w:val="00C4279B"/>
    <w:rsid w:val="00C446B6"/>
    <w:rsid w:val="00C45235"/>
    <w:rsid w:val="00C45545"/>
    <w:rsid w:val="00C461C1"/>
    <w:rsid w:val="00C4625F"/>
    <w:rsid w:val="00C47432"/>
    <w:rsid w:val="00C505DD"/>
    <w:rsid w:val="00C50AF9"/>
    <w:rsid w:val="00C51930"/>
    <w:rsid w:val="00C52603"/>
    <w:rsid w:val="00C52C3D"/>
    <w:rsid w:val="00C546B5"/>
    <w:rsid w:val="00C57C39"/>
    <w:rsid w:val="00C61238"/>
    <w:rsid w:val="00C61EA3"/>
    <w:rsid w:val="00C62B8D"/>
    <w:rsid w:val="00C63F46"/>
    <w:rsid w:val="00C64BEA"/>
    <w:rsid w:val="00C652FF"/>
    <w:rsid w:val="00C65FDB"/>
    <w:rsid w:val="00C66EB5"/>
    <w:rsid w:val="00C67057"/>
    <w:rsid w:val="00C67143"/>
    <w:rsid w:val="00C67263"/>
    <w:rsid w:val="00C708DB"/>
    <w:rsid w:val="00C72512"/>
    <w:rsid w:val="00C73C02"/>
    <w:rsid w:val="00C74E1D"/>
    <w:rsid w:val="00C75E77"/>
    <w:rsid w:val="00C7643F"/>
    <w:rsid w:val="00C80C42"/>
    <w:rsid w:val="00C80E8B"/>
    <w:rsid w:val="00C80FAB"/>
    <w:rsid w:val="00C82D9C"/>
    <w:rsid w:val="00C82F56"/>
    <w:rsid w:val="00C85F43"/>
    <w:rsid w:val="00C87098"/>
    <w:rsid w:val="00C9014A"/>
    <w:rsid w:val="00C91D82"/>
    <w:rsid w:val="00C92504"/>
    <w:rsid w:val="00C92B99"/>
    <w:rsid w:val="00C92F08"/>
    <w:rsid w:val="00C95048"/>
    <w:rsid w:val="00C97EED"/>
    <w:rsid w:val="00CA1E5A"/>
    <w:rsid w:val="00CA2197"/>
    <w:rsid w:val="00CA3A9A"/>
    <w:rsid w:val="00CA430C"/>
    <w:rsid w:val="00CA6BC1"/>
    <w:rsid w:val="00CA739E"/>
    <w:rsid w:val="00CB1D37"/>
    <w:rsid w:val="00CB4B73"/>
    <w:rsid w:val="00CB5553"/>
    <w:rsid w:val="00CB6246"/>
    <w:rsid w:val="00CB63DF"/>
    <w:rsid w:val="00CB6CCF"/>
    <w:rsid w:val="00CC1276"/>
    <w:rsid w:val="00CC167C"/>
    <w:rsid w:val="00CC1793"/>
    <w:rsid w:val="00CC322C"/>
    <w:rsid w:val="00CC3376"/>
    <w:rsid w:val="00CC38E7"/>
    <w:rsid w:val="00CC44A0"/>
    <w:rsid w:val="00CC45FC"/>
    <w:rsid w:val="00CC52BE"/>
    <w:rsid w:val="00CD0CB1"/>
    <w:rsid w:val="00CD166B"/>
    <w:rsid w:val="00CD23DB"/>
    <w:rsid w:val="00CD24FE"/>
    <w:rsid w:val="00CD574B"/>
    <w:rsid w:val="00CD645A"/>
    <w:rsid w:val="00CD67F8"/>
    <w:rsid w:val="00CD7309"/>
    <w:rsid w:val="00CE0962"/>
    <w:rsid w:val="00CE11EE"/>
    <w:rsid w:val="00CE147C"/>
    <w:rsid w:val="00CE1E64"/>
    <w:rsid w:val="00CE2186"/>
    <w:rsid w:val="00CE2662"/>
    <w:rsid w:val="00CE5B97"/>
    <w:rsid w:val="00CE5DCE"/>
    <w:rsid w:val="00CE6A02"/>
    <w:rsid w:val="00CE6EAA"/>
    <w:rsid w:val="00CF05B4"/>
    <w:rsid w:val="00CF0BAE"/>
    <w:rsid w:val="00CF0EDD"/>
    <w:rsid w:val="00CF2AB4"/>
    <w:rsid w:val="00CF55A0"/>
    <w:rsid w:val="00CF758C"/>
    <w:rsid w:val="00D0112D"/>
    <w:rsid w:val="00D019DC"/>
    <w:rsid w:val="00D019F6"/>
    <w:rsid w:val="00D01A1A"/>
    <w:rsid w:val="00D01ED9"/>
    <w:rsid w:val="00D02C04"/>
    <w:rsid w:val="00D035E4"/>
    <w:rsid w:val="00D05AEB"/>
    <w:rsid w:val="00D05D0A"/>
    <w:rsid w:val="00D06F07"/>
    <w:rsid w:val="00D14868"/>
    <w:rsid w:val="00D14CB5"/>
    <w:rsid w:val="00D14D46"/>
    <w:rsid w:val="00D15EE9"/>
    <w:rsid w:val="00D17295"/>
    <w:rsid w:val="00D201BA"/>
    <w:rsid w:val="00D20985"/>
    <w:rsid w:val="00D23284"/>
    <w:rsid w:val="00D23FC4"/>
    <w:rsid w:val="00D26CC7"/>
    <w:rsid w:val="00D32420"/>
    <w:rsid w:val="00D32A6C"/>
    <w:rsid w:val="00D33C45"/>
    <w:rsid w:val="00D33C8A"/>
    <w:rsid w:val="00D36132"/>
    <w:rsid w:val="00D371A0"/>
    <w:rsid w:val="00D40AD7"/>
    <w:rsid w:val="00D4243B"/>
    <w:rsid w:val="00D429C6"/>
    <w:rsid w:val="00D44047"/>
    <w:rsid w:val="00D446B2"/>
    <w:rsid w:val="00D469A1"/>
    <w:rsid w:val="00D46FBC"/>
    <w:rsid w:val="00D50E2A"/>
    <w:rsid w:val="00D51F32"/>
    <w:rsid w:val="00D52064"/>
    <w:rsid w:val="00D53E29"/>
    <w:rsid w:val="00D5648C"/>
    <w:rsid w:val="00D567DB"/>
    <w:rsid w:val="00D56B7D"/>
    <w:rsid w:val="00D57C0A"/>
    <w:rsid w:val="00D60361"/>
    <w:rsid w:val="00D60C91"/>
    <w:rsid w:val="00D61A37"/>
    <w:rsid w:val="00D61CFF"/>
    <w:rsid w:val="00D61FFA"/>
    <w:rsid w:val="00D6315F"/>
    <w:rsid w:val="00D63E65"/>
    <w:rsid w:val="00D65633"/>
    <w:rsid w:val="00D65BB3"/>
    <w:rsid w:val="00D65CDD"/>
    <w:rsid w:val="00D66E9F"/>
    <w:rsid w:val="00D7096F"/>
    <w:rsid w:val="00D71C38"/>
    <w:rsid w:val="00D71CFE"/>
    <w:rsid w:val="00D72DB7"/>
    <w:rsid w:val="00D7312B"/>
    <w:rsid w:val="00D74B96"/>
    <w:rsid w:val="00D74D9C"/>
    <w:rsid w:val="00D75754"/>
    <w:rsid w:val="00D7692A"/>
    <w:rsid w:val="00D769F8"/>
    <w:rsid w:val="00D76B16"/>
    <w:rsid w:val="00D82225"/>
    <w:rsid w:val="00D83E49"/>
    <w:rsid w:val="00D83FBC"/>
    <w:rsid w:val="00D85448"/>
    <w:rsid w:val="00D85466"/>
    <w:rsid w:val="00D86A5C"/>
    <w:rsid w:val="00D86D54"/>
    <w:rsid w:val="00D873C6"/>
    <w:rsid w:val="00D87F7B"/>
    <w:rsid w:val="00D9067D"/>
    <w:rsid w:val="00D91D0A"/>
    <w:rsid w:val="00D92058"/>
    <w:rsid w:val="00D920DE"/>
    <w:rsid w:val="00D92BED"/>
    <w:rsid w:val="00D937CB"/>
    <w:rsid w:val="00D96154"/>
    <w:rsid w:val="00DA0E3F"/>
    <w:rsid w:val="00DA1C60"/>
    <w:rsid w:val="00DA282F"/>
    <w:rsid w:val="00DA4766"/>
    <w:rsid w:val="00DA51BF"/>
    <w:rsid w:val="00DA51DF"/>
    <w:rsid w:val="00DA6948"/>
    <w:rsid w:val="00DB0057"/>
    <w:rsid w:val="00DB252D"/>
    <w:rsid w:val="00DB2D74"/>
    <w:rsid w:val="00DB304A"/>
    <w:rsid w:val="00DB36E1"/>
    <w:rsid w:val="00DB3985"/>
    <w:rsid w:val="00DB4A4B"/>
    <w:rsid w:val="00DB4ED2"/>
    <w:rsid w:val="00DB5C4A"/>
    <w:rsid w:val="00DB60A2"/>
    <w:rsid w:val="00DC04A6"/>
    <w:rsid w:val="00DC0C53"/>
    <w:rsid w:val="00DC19B4"/>
    <w:rsid w:val="00DC1B47"/>
    <w:rsid w:val="00DC2229"/>
    <w:rsid w:val="00DC2F9E"/>
    <w:rsid w:val="00DC37B2"/>
    <w:rsid w:val="00DC39D4"/>
    <w:rsid w:val="00DC5987"/>
    <w:rsid w:val="00DC6934"/>
    <w:rsid w:val="00DC755F"/>
    <w:rsid w:val="00DD0A6A"/>
    <w:rsid w:val="00DD3067"/>
    <w:rsid w:val="00DD406D"/>
    <w:rsid w:val="00DD573C"/>
    <w:rsid w:val="00DD5F5E"/>
    <w:rsid w:val="00DD7BF3"/>
    <w:rsid w:val="00DE1E39"/>
    <w:rsid w:val="00DE2D75"/>
    <w:rsid w:val="00DE39C8"/>
    <w:rsid w:val="00DE3F7E"/>
    <w:rsid w:val="00DE497F"/>
    <w:rsid w:val="00DE5831"/>
    <w:rsid w:val="00DE5907"/>
    <w:rsid w:val="00DE5E7D"/>
    <w:rsid w:val="00DE5FD9"/>
    <w:rsid w:val="00DE6FF6"/>
    <w:rsid w:val="00DF0E46"/>
    <w:rsid w:val="00DF28B5"/>
    <w:rsid w:val="00DF353B"/>
    <w:rsid w:val="00DF35C4"/>
    <w:rsid w:val="00DF4DC6"/>
    <w:rsid w:val="00DF614D"/>
    <w:rsid w:val="00DF6247"/>
    <w:rsid w:val="00DF6946"/>
    <w:rsid w:val="00DF7E96"/>
    <w:rsid w:val="00E00ADF"/>
    <w:rsid w:val="00E04A8B"/>
    <w:rsid w:val="00E04AFA"/>
    <w:rsid w:val="00E10717"/>
    <w:rsid w:val="00E1119D"/>
    <w:rsid w:val="00E11464"/>
    <w:rsid w:val="00E125E9"/>
    <w:rsid w:val="00E13A9C"/>
    <w:rsid w:val="00E13AB3"/>
    <w:rsid w:val="00E14312"/>
    <w:rsid w:val="00E1436F"/>
    <w:rsid w:val="00E16127"/>
    <w:rsid w:val="00E166E2"/>
    <w:rsid w:val="00E16A3E"/>
    <w:rsid w:val="00E17556"/>
    <w:rsid w:val="00E201B9"/>
    <w:rsid w:val="00E21D60"/>
    <w:rsid w:val="00E22405"/>
    <w:rsid w:val="00E23511"/>
    <w:rsid w:val="00E25479"/>
    <w:rsid w:val="00E25CAF"/>
    <w:rsid w:val="00E25CC8"/>
    <w:rsid w:val="00E300CD"/>
    <w:rsid w:val="00E30B5F"/>
    <w:rsid w:val="00E30E0F"/>
    <w:rsid w:val="00E317BD"/>
    <w:rsid w:val="00E3226B"/>
    <w:rsid w:val="00E33C53"/>
    <w:rsid w:val="00E33EBF"/>
    <w:rsid w:val="00E33F03"/>
    <w:rsid w:val="00E34822"/>
    <w:rsid w:val="00E35047"/>
    <w:rsid w:val="00E35590"/>
    <w:rsid w:val="00E36727"/>
    <w:rsid w:val="00E37BAA"/>
    <w:rsid w:val="00E40B93"/>
    <w:rsid w:val="00E41D72"/>
    <w:rsid w:val="00E41E89"/>
    <w:rsid w:val="00E440F1"/>
    <w:rsid w:val="00E4441E"/>
    <w:rsid w:val="00E46E2A"/>
    <w:rsid w:val="00E50840"/>
    <w:rsid w:val="00E518D2"/>
    <w:rsid w:val="00E52598"/>
    <w:rsid w:val="00E547B1"/>
    <w:rsid w:val="00E5792D"/>
    <w:rsid w:val="00E61BCD"/>
    <w:rsid w:val="00E624A1"/>
    <w:rsid w:val="00E62D33"/>
    <w:rsid w:val="00E6377D"/>
    <w:rsid w:val="00E63934"/>
    <w:rsid w:val="00E63AE4"/>
    <w:rsid w:val="00E63F17"/>
    <w:rsid w:val="00E644AC"/>
    <w:rsid w:val="00E6646F"/>
    <w:rsid w:val="00E664E5"/>
    <w:rsid w:val="00E66842"/>
    <w:rsid w:val="00E669EB"/>
    <w:rsid w:val="00E669F2"/>
    <w:rsid w:val="00E702CA"/>
    <w:rsid w:val="00E7561B"/>
    <w:rsid w:val="00E75B1B"/>
    <w:rsid w:val="00E842CD"/>
    <w:rsid w:val="00E850C1"/>
    <w:rsid w:val="00E85B6B"/>
    <w:rsid w:val="00E86735"/>
    <w:rsid w:val="00E870F1"/>
    <w:rsid w:val="00E878DC"/>
    <w:rsid w:val="00E939BB"/>
    <w:rsid w:val="00E94AA3"/>
    <w:rsid w:val="00E96D2B"/>
    <w:rsid w:val="00E973BF"/>
    <w:rsid w:val="00E9769A"/>
    <w:rsid w:val="00EA0497"/>
    <w:rsid w:val="00EA04F7"/>
    <w:rsid w:val="00EA18F3"/>
    <w:rsid w:val="00EA1DB8"/>
    <w:rsid w:val="00EA65CD"/>
    <w:rsid w:val="00EA6EBE"/>
    <w:rsid w:val="00EA7D77"/>
    <w:rsid w:val="00EB1ACF"/>
    <w:rsid w:val="00EB3015"/>
    <w:rsid w:val="00EB3DB7"/>
    <w:rsid w:val="00EB4823"/>
    <w:rsid w:val="00EC0CAE"/>
    <w:rsid w:val="00EC129E"/>
    <w:rsid w:val="00EC160D"/>
    <w:rsid w:val="00EC1FD6"/>
    <w:rsid w:val="00EC2A3D"/>
    <w:rsid w:val="00EC2D72"/>
    <w:rsid w:val="00EC313B"/>
    <w:rsid w:val="00EC4C06"/>
    <w:rsid w:val="00EC4F62"/>
    <w:rsid w:val="00EC5E02"/>
    <w:rsid w:val="00ED0800"/>
    <w:rsid w:val="00ED0F2D"/>
    <w:rsid w:val="00ED5A9A"/>
    <w:rsid w:val="00ED6E15"/>
    <w:rsid w:val="00ED770A"/>
    <w:rsid w:val="00EE3427"/>
    <w:rsid w:val="00EE3CF8"/>
    <w:rsid w:val="00EE3E02"/>
    <w:rsid w:val="00EE47DD"/>
    <w:rsid w:val="00EE6A67"/>
    <w:rsid w:val="00EE7DA7"/>
    <w:rsid w:val="00EF2985"/>
    <w:rsid w:val="00EF2A2D"/>
    <w:rsid w:val="00EF2A47"/>
    <w:rsid w:val="00EF346D"/>
    <w:rsid w:val="00EF4649"/>
    <w:rsid w:val="00EF5B1B"/>
    <w:rsid w:val="00EF6CBF"/>
    <w:rsid w:val="00F008F5"/>
    <w:rsid w:val="00F02214"/>
    <w:rsid w:val="00F0255A"/>
    <w:rsid w:val="00F029BA"/>
    <w:rsid w:val="00F02CE0"/>
    <w:rsid w:val="00F03B84"/>
    <w:rsid w:val="00F04C5D"/>
    <w:rsid w:val="00F05ADC"/>
    <w:rsid w:val="00F105F3"/>
    <w:rsid w:val="00F1146D"/>
    <w:rsid w:val="00F119B2"/>
    <w:rsid w:val="00F12BEB"/>
    <w:rsid w:val="00F12C91"/>
    <w:rsid w:val="00F1359B"/>
    <w:rsid w:val="00F14DEE"/>
    <w:rsid w:val="00F17734"/>
    <w:rsid w:val="00F21290"/>
    <w:rsid w:val="00F21592"/>
    <w:rsid w:val="00F21A0D"/>
    <w:rsid w:val="00F25E9B"/>
    <w:rsid w:val="00F26202"/>
    <w:rsid w:val="00F265AF"/>
    <w:rsid w:val="00F267FC"/>
    <w:rsid w:val="00F27FE5"/>
    <w:rsid w:val="00F303FF"/>
    <w:rsid w:val="00F3125C"/>
    <w:rsid w:val="00F324E6"/>
    <w:rsid w:val="00F33FF7"/>
    <w:rsid w:val="00F374BD"/>
    <w:rsid w:val="00F37F11"/>
    <w:rsid w:val="00F40CDB"/>
    <w:rsid w:val="00F40EC6"/>
    <w:rsid w:val="00F4104F"/>
    <w:rsid w:val="00F41A0D"/>
    <w:rsid w:val="00F43B08"/>
    <w:rsid w:val="00F44FFA"/>
    <w:rsid w:val="00F505EA"/>
    <w:rsid w:val="00F516EC"/>
    <w:rsid w:val="00F53882"/>
    <w:rsid w:val="00F57D80"/>
    <w:rsid w:val="00F60613"/>
    <w:rsid w:val="00F607BF"/>
    <w:rsid w:val="00F609E2"/>
    <w:rsid w:val="00F60A2E"/>
    <w:rsid w:val="00F63879"/>
    <w:rsid w:val="00F63903"/>
    <w:rsid w:val="00F64A95"/>
    <w:rsid w:val="00F668DB"/>
    <w:rsid w:val="00F670A1"/>
    <w:rsid w:val="00F74FC5"/>
    <w:rsid w:val="00F752ED"/>
    <w:rsid w:val="00F75C69"/>
    <w:rsid w:val="00F81097"/>
    <w:rsid w:val="00F82E75"/>
    <w:rsid w:val="00F83E98"/>
    <w:rsid w:val="00F851D6"/>
    <w:rsid w:val="00F85F2E"/>
    <w:rsid w:val="00F86955"/>
    <w:rsid w:val="00F874BC"/>
    <w:rsid w:val="00F9106A"/>
    <w:rsid w:val="00F92DC0"/>
    <w:rsid w:val="00F954EE"/>
    <w:rsid w:val="00F95565"/>
    <w:rsid w:val="00F957F8"/>
    <w:rsid w:val="00F97082"/>
    <w:rsid w:val="00FA0B1D"/>
    <w:rsid w:val="00FA349D"/>
    <w:rsid w:val="00FA3ADD"/>
    <w:rsid w:val="00FA4031"/>
    <w:rsid w:val="00FA544F"/>
    <w:rsid w:val="00FA5BE9"/>
    <w:rsid w:val="00FA6EFB"/>
    <w:rsid w:val="00FA7A87"/>
    <w:rsid w:val="00FA7F2E"/>
    <w:rsid w:val="00FB10BD"/>
    <w:rsid w:val="00FB18DA"/>
    <w:rsid w:val="00FB1F5D"/>
    <w:rsid w:val="00FB2095"/>
    <w:rsid w:val="00FB4ED3"/>
    <w:rsid w:val="00FB5146"/>
    <w:rsid w:val="00FB5D41"/>
    <w:rsid w:val="00FB70DD"/>
    <w:rsid w:val="00FB77AB"/>
    <w:rsid w:val="00FC5B90"/>
    <w:rsid w:val="00FC607A"/>
    <w:rsid w:val="00FC740C"/>
    <w:rsid w:val="00FD01CC"/>
    <w:rsid w:val="00FD05C5"/>
    <w:rsid w:val="00FD1FEB"/>
    <w:rsid w:val="00FD297B"/>
    <w:rsid w:val="00FD2FF0"/>
    <w:rsid w:val="00FD392C"/>
    <w:rsid w:val="00FD40A0"/>
    <w:rsid w:val="00FD4251"/>
    <w:rsid w:val="00FD54AE"/>
    <w:rsid w:val="00FD6998"/>
    <w:rsid w:val="00FE09DA"/>
    <w:rsid w:val="00FE561B"/>
    <w:rsid w:val="00FE5862"/>
    <w:rsid w:val="00FE7C7E"/>
    <w:rsid w:val="00FE7CA3"/>
    <w:rsid w:val="00FF1D6A"/>
    <w:rsid w:val="00FF5740"/>
    <w:rsid w:val="00FF77B1"/>
    <w:rsid w:val="01641F20"/>
    <w:rsid w:val="01680C5E"/>
    <w:rsid w:val="01CE3E86"/>
    <w:rsid w:val="028F3B05"/>
    <w:rsid w:val="02C51BCF"/>
    <w:rsid w:val="03752A59"/>
    <w:rsid w:val="049077BC"/>
    <w:rsid w:val="0571584D"/>
    <w:rsid w:val="0655141A"/>
    <w:rsid w:val="093766BB"/>
    <w:rsid w:val="0ABE1686"/>
    <w:rsid w:val="0BB23153"/>
    <w:rsid w:val="0E045D75"/>
    <w:rsid w:val="0EB45912"/>
    <w:rsid w:val="0EFD6D02"/>
    <w:rsid w:val="0FBD5F69"/>
    <w:rsid w:val="100F184B"/>
    <w:rsid w:val="101626F1"/>
    <w:rsid w:val="111B7D77"/>
    <w:rsid w:val="113F2892"/>
    <w:rsid w:val="115B4F87"/>
    <w:rsid w:val="12C24FF3"/>
    <w:rsid w:val="135F7E6B"/>
    <w:rsid w:val="137D4132"/>
    <w:rsid w:val="13EF53EC"/>
    <w:rsid w:val="142631FA"/>
    <w:rsid w:val="14F0548F"/>
    <w:rsid w:val="16B914AB"/>
    <w:rsid w:val="180B7D0F"/>
    <w:rsid w:val="19FA4017"/>
    <w:rsid w:val="1C524222"/>
    <w:rsid w:val="1CCF21E2"/>
    <w:rsid w:val="1DE13674"/>
    <w:rsid w:val="1E59039C"/>
    <w:rsid w:val="1EE31BCB"/>
    <w:rsid w:val="20497A7A"/>
    <w:rsid w:val="217E3CD6"/>
    <w:rsid w:val="236E10F4"/>
    <w:rsid w:val="23705FD1"/>
    <w:rsid w:val="23BC1493"/>
    <w:rsid w:val="248F408D"/>
    <w:rsid w:val="25455A60"/>
    <w:rsid w:val="27463CA0"/>
    <w:rsid w:val="281A764C"/>
    <w:rsid w:val="28F43F3F"/>
    <w:rsid w:val="29A23F62"/>
    <w:rsid w:val="2C0B0A5D"/>
    <w:rsid w:val="2CD07712"/>
    <w:rsid w:val="2CDA4959"/>
    <w:rsid w:val="2EC929AC"/>
    <w:rsid w:val="2F804E90"/>
    <w:rsid w:val="316D105F"/>
    <w:rsid w:val="31F92D39"/>
    <w:rsid w:val="325130C0"/>
    <w:rsid w:val="33B63B1C"/>
    <w:rsid w:val="343012F8"/>
    <w:rsid w:val="35877B57"/>
    <w:rsid w:val="37E51E3A"/>
    <w:rsid w:val="38C3554B"/>
    <w:rsid w:val="39F13CDD"/>
    <w:rsid w:val="3A0E726B"/>
    <w:rsid w:val="3ABE2DBF"/>
    <w:rsid w:val="3BD41BB4"/>
    <w:rsid w:val="3D0A4B54"/>
    <w:rsid w:val="3DCB0F79"/>
    <w:rsid w:val="3F6763ED"/>
    <w:rsid w:val="3F8E3C75"/>
    <w:rsid w:val="40886D66"/>
    <w:rsid w:val="4119724A"/>
    <w:rsid w:val="415D2979"/>
    <w:rsid w:val="42351A03"/>
    <w:rsid w:val="42D53D36"/>
    <w:rsid w:val="43AC7F3F"/>
    <w:rsid w:val="448F458B"/>
    <w:rsid w:val="44B476FE"/>
    <w:rsid w:val="4592661E"/>
    <w:rsid w:val="47BC6C04"/>
    <w:rsid w:val="49A62498"/>
    <w:rsid w:val="4A341C07"/>
    <w:rsid w:val="4A886323"/>
    <w:rsid w:val="4A90214D"/>
    <w:rsid w:val="4B835B73"/>
    <w:rsid w:val="4B8F2249"/>
    <w:rsid w:val="4F08575C"/>
    <w:rsid w:val="4F46621E"/>
    <w:rsid w:val="50136DFC"/>
    <w:rsid w:val="501D4CAC"/>
    <w:rsid w:val="50B86802"/>
    <w:rsid w:val="51AC310A"/>
    <w:rsid w:val="52834E60"/>
    <w:rsid w:val="52F3364F"/>
    <w:rsid w:val="543F3E50"/>
    <w:rsid w:val="54E72F1D"/>
    <w:rsid w:val="54F956D8"/>
    <w:rsid w:val="55532EC4"/>
    <w:rsid w:val="56456EC6"/>
    <w:rsid w:val="574A5644"/>
    <w:rsid w:val="58841EDE"/>
    <w:rsid w:val="58C253F9"/>
    <w:rsid w:val="58C6494E"/>
    <w:rsid w:val="58DF56DB"/>
    <w:rsid w:val="5ABE04EF"/>
    <w:rsid w:val="5E782F63"/>
    <w:rsid w:val="5ECD2844"/>
    <w:rsid w:val="5F9359B3"/>
    <w:rsid w:val="604C658D"/>
    <w:rsid w:val="623925C9"/>
    <w:rsid w:val="63416B66"/>
    <w:rsid w:val="64901A6B"/>
    <w:rsid w:val="663933C4"/>
    <w:rsid w:val="669B22E9"/>
    <w:rsid w:val="66F805E9"/>
    <w:rsid w:val="67F4311D"/>
    <w:rsid w:val="686C6BA7"/>
    <w:rsid w:val="687F6E2B"/>
    <w:rsid w:val="68E33EE5"/>
    <w:rsid w:val="6A8220BE"/>
    <w:rsid w:val="6C501B5B"/>
    <w:rsid w:val="6C7577F8"/>
    <w:rsid w:val="6D8063C9"/>
    <w:rsid w:val="6EE77C58"/>
    <w:rsid w:val="71A43758"/>
    <w:rsid w:val="71E42CF6"/>
    <w:rsid w:val="732449F8"/>
    <w:rsid w:val="75856060"/>
    <w:rsid w:val="760D04BC"/>
    <w:rsid w:val="76275BE5"/>
    <w:rsid w:val="77787E21"/>
    <w:rsid w:val="78290AF7"/>
    <w:rsid w:val="78990E6B"/>
    <w:rsid w:val="7A9415A9"/>
    <w:rsid w:val="7B2A6721"/>
    <w:rsid w:val="7BB5404E"/>
    <w:rsid w:val="7BC14370"/>
    <w:rsid w:val="7BCB341D"/>
    <w:rsid w:val="7D6F3815"/>
    <w:rsid w:val="7E3A3A26"/>
    <w:rsid w:val="7E3F3D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25"/>
    <w:qFormat/>
    <w:uiPriority w:val="0"/>
    <w:pPr>
      <w:keepNext/>
      <w:adjustRightInd w:val="0"/>
      <w:snapToGrid w:val="0"/>
      <w:spacing w:line="360" w:lineRule="auto"/>
      <w:outlineLvl w:val="0"/>
    </w:pPr>
    <w:rPr>
      <w:rFonts w:ascii="宋体"/>
      <w:b/>
      <w:kern w:val="44"/>
      <w:sz w:val="32"/>
      <w:szCs w:val="20"/>
    </w:rPr>
  </w:style>
  <w:style w:type="paragraph" w:styleId="4">
    <w:name w:val="heading 2"/>
    <w:basedOn w:val="1"/>
    <w:next w:val="1"/>
    <w:link w:val="326"/>
    <w:qFormat/>
    <w:uiPriority w:val="0"/>
    <w:pPr>
      <w:keepNext/>
      <w:adjustRightInd w:val="0"/>
      <w:snapToGrid w:val="0"/>
      <w:spacing w:line="360" w:lineRule="auto"/>
      <w:outlineLvl w:val="1"/>
    </w:pPr>
    <w:rPr>
      <w:rFonts w:ascii="宋体" w:hAnsi="Arial"/>
      <w:b/>
      <w:kern w:val="0"/>
      <w:sz w:val="24"/>
      <w:szCs w:val="20"/>
    </w:rPr>
  </w:style>
  <w:style w:type="paragraph" w:styleId="2">
    <w:name w:val="heading 3"/>
    <w:basedOn w:val="1"/>
    <w:next w:val="1"/>
    <w:link w:val="327"/>
    <w:qFormat/>
    <w:uiPriority w:val="0"/>
    <w:pPr>
      <w:keepNext/>
      <w:numPr>
        <w:ilvl w:val="2"/>
        <w:numId w:val="1"/>
      </w:numPr>
      <w:adjustRightInd w:val="0"/>
      <w:snapToGrid w:val="0"/>
      <w:spacing w:before="120" w:after="120" w:line="300" w:lineRule="auto"/>
      <w:outlineLvl w:val="2"/>
    </w:pPr>
    <w:rPr>
      <w:rFonts w:ascii="黑体" w:eastAsia="黑体"/>
      <w:sz w:val="24"/>
    </w:rPr>
  </w:style>
  <w:style w:type="paragraph" w:styleId="5">
    <w:name w:val="heading 4"/>
    <w:basedOn w:val="1"/>
    <w:next w:val="1"/>
    <w:link w:val="328"/>
    <w:qFormat/>
    <w:uiPriority w:val="0"/>
    <w:pPr>
      <w:keepNext/>
      <w:numPr>
        <w:ilvl w:val="3"/>
        <w:numId w:val="1"/>
      </w:numPr>
      <w:adjustRightInd w:val="0"/>
      <w:snapToGrid w:val="0"/>
      <w:spacing w:line="300" w:lineRule="auto"/>
      <w:ind w:left="0" w:firstLine="480"/>
      <w:outlineLvl w:val="3"/>
    </w:pPr>
    <w:rPr>
      <w:rFonts w:ascii="仿宋_GB2312" w:hAnsi="Arial"/>
      <w:kern w:val="0"/>
      <w:sz w:val="24"/>
      <w:szCs w:val="20"/>
    </w:rPr>
  </w:style>
  <w:style w:type="paragraph" w:styleId="6">
    <w:name w:val="heading 5"/>
    <w:basedOn w:val="1"/>
    <w:next w:val="1"/>
    <w:link w:val="329"/>
    <w:qFormat/>
    <w:uiPriority w:val="0"/>
    <w:pPr>
      <w:keepNext/>
      <w:numPr>
        <w:ilvl w:val="4"/>
        <w:numId w:val="1"/>
      </w:numPr>
      <w:adjustRightInd w:val="0"/>
      <w:snapToGrid w:val="0"/>
      <w:spacing w:line="300" w:lineRule="auto"/>
      <w:ind w:left="0" w:firstLine="480"/>
      <w:outlineLvl w:val="4"/>
    </w:pPr>
    <w:rPr>
      <w:rFonts w:ascii="仿宋_GB2312"/>
      <w:kern w:val="0"/>
      <w:sz w:val="24"/>
      <w:szCs w:val="20"/>
    </w:rPr>
  </w:style>
  <w:style w:type="paragraph" w:styleId="7">
    <w:name w:val="heading 6"/>
    <w:basedOn w:val="1"/>
    <w:next w:val="1"/>
    <w:link w:val="330"/>
    <w:qFormat/>
    <w:uiPriority w:val="0"/>
    <w:pPr>
      <w:keepNext/>
      <w:numPr>
        <w:ilvl w:val="5"/>
        <w:numId w:val="1"/>
      </w:numPr>
      <w:adjustRightInd w:val="0"/>
      <w:snapToGrid w:val="0"/>
      <w:spacing w:line="300" w:lineRule="auto"/>
      <w:ind w:left="0" w:firstLine="480"/>
      <w:outlineLvl w:val="5"/>
    </w:pPr>
    <w:rPr>
      <w:rFonts w:ascii="仿宋_GB2312" w:hAnsi="Arial"/>
      <w:kern w:val="0"/>
      <w:sz w:val="24"/>
      <w:szCs w:val="20"/>
    </w:rPr>
  </w:style>
  <w:style w:type="paragraph" w:styleId="8">
    <w:name w:val="heading 7"/>
    <w:basedOn w:val="1"/>
    <w:next w:val="1"/>
    <w:link w:val="331"/>
    <w:qFormat/>
    <w:uiPriority w:val="0"/>
    <w:pPr>
      <w:keepNext/>
      <w:numPr>
        <w:ilvl w:val="6"/>
        <w:numId w:val="1"/>
      </w:numPr>
      <w:adjustRightInd w:val="0"/>
      <w:snapToGrid w:val="0"/>
      <w:spacing w:line="300" w:lineRule="auto"/>
      <w:ind w:firstLine="480"/>
      <w:outlineLvl w:val="6"/>
    </w:pPr>
    <w:rPr>
      <w:rFonts w:ascii="仿宋_GB2312"/>
      <w:kern w:val="0"/>
      <w:sz w:val="24"/>
      <w:szCs w:val="20"/>
    </w:rPr>
  </w:style>
  <w:style w:type="paragraph" w:styleId="9">
    <w:name w:val="heading 8"/>
    <w:basedOn w:val="1"/>
    <w:next w:val="1"/>
    <w:link w:val="332"/>
    <w:qFormat/>
    <w:uiPriority w:val="0"/>
    <w:pPr>
      <w:keepNext/>
      <w:numPr>
        <w:ilvl w:val="7"/>
        <w:numId w:val="1"/>
      </w:numPr>
      <w:adjustRightInd w:val="0"/>
      <w:snapToGrid w:val="0"/>
      <w:spacing w:line="300" w:lineRule="auto"/>
      <w:ind w:left="0" w:firstLine="480"/>
      <w:outlineLvl w:val="7"/>
    </w:pPr>
    <w:rPr>
      <w:rFonts w:ascii="仿宋_GB2312" w:hAnsi="Arial"/>
      <w:kern w:val="0"/>
      <w:sz w:val="24"/>
      <w:szCs w:val="20"/>
    </w:rPr>
  </w:style>
  <w:style w:type="paragraph" w:styleId="10">
    <w:name w:val="heading 9"/>
    <w:basedOn w:val="1"/>
    <w:next w:val="1"/>
    <w:link w:val="333"/>
    <w:qFormat/>
    <w:uiPriority w:val="0"/>
    <w:pPr>
      <w:keepNext/>
      <w:keepLines/>
      <w:numPr>
        <w:ilvl w:val="8"/>
        <w:numId w:val="1"/>
      </w:numPr>
      <w:adjustRightInd w:val="0"/>
      <w:snapToGrid w:val="0"/>
      <w:spacing w:before="240" w:after="64" w:line="317" w:lineRule="auto"/>
      <w:outlineLvl w:val="8"/>
    </w:pPr>
    <w:rPr>
      <w:rFonts w:ascii="Arial" w:hAnsi="Arial" w:eastAsia="黑体"/>
      <w:kern w:val="0"/>
      <w:sz w:val="24"/>
      <w:szCs w:val="20"/>
    </w:rPr>
  </w:style>
  <w:style w:type="character" w:default="1" w:styleId="58">
    <w:name w:val="Default Paragraph Font"/>
    <w:semiHidden/>
    <w:unhideWhenUsed/>
    <w:qFormat/>
    <w:uiPriority w:val="1"/>
  </w:style>
  <w:style w:type="table" w:default="1" w:styleId="65">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349"/>
    <w:semiHidden/>
    <w:qFormat/>
    <w:uiPriority w:val="0"/>
    <w:rPr>
      <w:b/>
      <w:bCs/>
    </w:rPr>
  </w:style>
  <w:style w:type="paragraph" w:styleId="12">
    <w:name w:val="annotation text"/>
    <w:basedOn w:val="1"/>
    <w:link w:val="337"/>
    <w:qFormat/>
    <w:uiPriority w:val="0"/>
    <w:pPr>
      <w:jc w:val="left"/>
    </w:pPr>
    <w:rPr>
      <w:kern w:val="0"/>
      <w:sz w:val="20"/>
    </w:rPr>
  </w:style>
  <w:style w:type="paragraph" w:styleId="13">
    <w:name w:val="toc 7"/>
    <w:basedOn w:val="1"/>
    <w:next w:val="1"/>
    <w:qFormat/>
    <w:uiPriority w:val="0"/>
    <w:pPr>
      <w:ind w:left="2520" w:leftChars="1200"/>
    </w:pPr>
  </w:style>
  <w:style w:type="paragraph" w:styleId="14">
    <w:name w:val="Body Text First Indent"/>
    <w:basedOn w:val="15"/>
    <w:link w:val="388"/>
    <w:qFormat/>
    <w:uiPriority w:val="0"/>
    <w:pPr>
      <w:spacing w:beforeLines="15" w:after="60"/>
      <w:ind w:firstLine="200" w:firstLineChars="200"/>
    </w:pPr>
    <w:rPr>
      <w:rFonts w:ascii="宋体"/>
      <w:sz w:val="28"/>
    </w:rPr>
  </w:style>
  <w:style w:type="paragraph" w:styleId="15">
    <w:name w:val="Body Text"/>
    <w:basedOn w:val="1"/>
    <w:link w:val="342"/>
    <w:qFormat/>
    <w:uiPriority w:val="0"/>
    <w:pPr>
      <w:spacing w:after="120"/>
    </w:pPr>
  </w:style>
  <w:style w:type="paragraph" w:styleId="16">
    <w:name w:val="Note Heading"/>
    <w:basedOn w:val="1"/>
    <w:next w:val="1"/>
    <w:link w:val="351"/>
    <w:qFormat/>
    <w:uiPriority w:val="0"/>
    <w:pPr>
      <w:jc w:val="center"/>
    </w:pPr>
    <w:rPr>
      <w:kern w:val="0"/>
      <w:sz w:val="20"/>
    </w:rPr>
  </w:style>
  <w:style w:type="paragraph" w:styleId="17">
    <w:name w:val="index 8"/>
    <w:basedOn w:val="1"/>
    <w:next w:val="1"/>
    <w:semiHidden/>
    <w:qFormat/>
    <w:uiPriority w:val="0"/>
    <w:pPr>
      <w:ind w:left="1400" w:leftChars="1400"/>
    </w:pPr>
  </w:style>
  <w:style w:type="paragraph" w:styleId="18">
    <w:name w:val="Normal Indent"/>
    <w:basedOn w:val="1"/>
    <w:link w:val="324"/>
    <w:qFormat/>
    <w:uiPriority w:val="0"/>
    <w:pPr>
      <w:keepNext/>
      <w:adjustRightInd w:val="0"/>
      <w:snapToGrid w:val="0"/>
      <w:spacing w:line="300" w:lineRule="auto"/>
      <w:ind w:firstLine="200"/>
    </w:pPr>
    <w:rPr>
      <w:rFonts w:ascii="宋体"/>
      <w:kern w:val="0"/>
      <w:sz w:val="24"/>
      <w:szCs w:val="20"/>
    </w:rPr>
  </w:style>
  <w:style w:type="paragraph" w:styleId="19">
    <w:name w:val="caption"/>
    <w:basedOn w:val="1"/>
    <w:next w:val="1"/>
    <w:qFormat/>
    <w:uiPriority w:val="0"/>
    <w:pPr>
      <w:spacing w:before="152" w:after="160"/>
    </w:pPr>
    <w:rPr>
      <w:rFonts w:ascii="Arial" w:hAnsi="Arial" w:eastAsia="黑体" w:cs="Arial"/>
      <w:sz w:val="20"/>
      <w:szCs w:val="20"/>
    </w:rPr>
  </w:style>
  <w:style w:type="paragraph" w:styleId="20">
    <w:name w:val="index 5"/>
    <w:basedOn w:val="1"/>
    <w:next w:val="1"/>
    <w:semiHidden/>
    <w:qFormat/>
    <w:uiPriority w:val="0"/>
    <w:pPr>
      <w:ind w:left="800" w:leftChars="800"/>
    </w:pPr>
  </w:style>
  <w:style w:type="paragraph" w:styleId="21">
    <w:name w:val="List Bullet"/>
    <w:basedOn w:val="1"/>
    <w:qFormat/>
    <w:uiPriority w:val="0"/>
    <w:pPr>
      <w:tabs>
        <w:tab w:val="left" w:pos="360"/>
      </w:tabs>
      <w:ind w:left="360" w:hanging="200" w:hangingChars="200"/>
    </w:pPr>
  </w:style>
  <w:style w:type="paragraph" w:styleId="22">
    <w:name w:val="Document Map"/>
    <w:basedOn w:val="1"/>
    <w:link w:val="314"/>
    <w:qFormat/>
    <w:uiPriority w:val="0"/>
    <w:rPr>
      <w:rFonts w:ascii="宋体"/>
      <w:sz w:val="18"/>
      <w:szCs w:val="18"/>
    </w:rPr>
  </w:style>
  <w:style w:type="paragraph" w:styleId="23">
    <w:name w:val="index 6"/>
    <w:basedOn w:val="1"/>
    <w:next w:val="1"/>
    <w:semiHidden/>
    <w:qFormat/>
    <w:uiPriority w:val="0"/>
    <w:pPr>
      <w:ind w:left="1000" w:leftChars="1000"/>
    </w:pPr>
  </w:style>
  <w:style w:type="paragraph" w:styleId="24">
    <w:name w:val="Salutation"/>
    <w:basedOn w:val="1"/>
    <w:next w:val="1"/>
    <w:link w:val="350"/>
    <w:qFormat/>
    <w:uiPriority w:val="0"/>
    <w:rPr>
      <w:rFonts w:ascii="宋体" w:eastAsia="仿宋_GB2312"/>
      <w:kern w:val="0"/>
      <w:sz w:val="20"/>
      <w:szCs w:val="20"/>
    </w:rPr>
  </w:style>
  <w:style w:type="paragraph" w:styleId="25">
    <w:name w:val="Body Text 3"/>
    <w:basedOn w:val="1"/>
    <w:link w:val="336"/>
    <w:qFormat/>
    <w:uiPriority w:val="0"/>
    <w:rPr>
      <w:rFonts w:ascii="宋体"/>
      <w:kern w:val="0"/>
      <w:sz w:val="24"/>
      <w:szCs w:val="20"/>
    </w:rPr>
  </w:style>
  <w:style w:type="paragraph" w:styleId="26">
    <w:name w:val="Body Text Indent"/>
    <w:basedOn w:val="1"/>
    <w:link w:val="339"/>
    <w:qFormat/>
    <w:uiPriority w:val="0"/>
    <w:pPr>
      <w:spacing w:after="120"/>
      <w:ind w:left="420" w:leftChars="200"/>
    </w:pPr>
  </w:style>
  <w:style w:type="paragraph" w:styleId="27">
    <w:name w:val="Block Text"/>
    <w:basedOn w:val="1"/>
    <w:qFormat/>
    <w:uiPriority w:val="0"/>
    <w:pPr>
      <w:tabs>
        <w:tab w:val="left" w:pos="709"/>
        <w:tab w:val="right" w:pos="851"/>
        <w:tab w:val="right" w:pos="8504"/>
      </w:tabs>
      <w:ind w:left="710" w:right="274"/>
    </w:pPr>
    <w:rPr>
      <w:rFonts w:ascii="宋体" w:hAnsi="宋体"/>
      <w:color w:val="000000"/>
      <w:sz w:val="24"/>
      <w:szCs w:val="20"/>
    </w:rPr>
  </w:style>
  <w:style w:type="paragraph" w:styleId="28">
    <w:name w:val="List Bullet 2"/>
    <w:basedOn w:val="21"/>
    <w:qFormat/>
    <w:uiPriority w:val="0"/>
    <w:pPr>
      <w:widowControl/>
      <w:tabs>
        <w:tab w:val="left" w:pos="1460"/>
        <w:tab w:val="clear" w:pos="360"/>
      </w:tabs>
      <w:spacing w:after="220" w:line="220" w:lineRule="atLeast"/>
      <w:ind w:left="2160" w:right="720" w:firstLine="0" w:firstLineChars="0"/>
      <w:jc w:val="left"/>
    </w:pPr>
    <w:rPr>
      <w:kern w:val="0"/>
      <w:szCs w:val="20"/>
    </w:rPr>
  </w:style>
  <w:style w:type="paragraph" w:styleId="29">
    <w:name w:val="index 4"/>
    <w:basedOn w:val="1"/>
    <w:next w:val="1"/>
    <w:semiHidden/>
    <w:qFormat/>
    <w:uiPriority w:val="0"/>
    <w:pPr>
      <w:ind w:left="600" w:leftChars="600"/>
    </w:pPr>
  </w:style>
  <w:style w:type="paragraph" w:styleId="30">
    <w:name w:val="toc 5"/>
    <w:basedOn w:val="1"/>
    <w:next w:val="1"/>
    <w:qFormat/>
    <w:uiPriority w:val="0"/>
    <w:pPr>
      <w:ind w:left="1680" w:leftChars="800"/>
    </w:pPr>
  </w:style>
  <w:style w:type="paragraph" w:styleId="31">
    <w:name w:val="toc 3"/>
    <w:basedOn w:val="1"/>
    <w:next w:val="1"/>
    <w:qFormat/>
    <w:uiPriority w:val="0"/>
    <w:pPr>
      <w:ind w:left="840" w:leftChars="400"/>
    </w:pPr>
  </w:style>
  <w:style w:type="paragraph" w:styleId="32">
    <w:name w:val="Plain Text"/>
    <w:basedOn w:val="1"/>
    <w:link w:val="322"/>
    <w:qFormat/>
    <w:uiPriority w:val="0"/>
    <w:rPr>
      <w:rFonts w:ascii="宋体" w:hAnsi="Plotter"/>
      <w:szCs w:val="20"/>
    </w:rPr>
  </w:style>
  <w:style w:type="paragraph" w:styleId="33">
    <w:name w:val="toc 8"/>
    <w:basedOn w:val="1"/>
    <w:next w:val="1"/>
    <w:qFormat/>
    <w:uiPriority w:val="0"/>
    <w:pPr>
      <w:ind w:left="2940" w:leftChars="1400"/>
    </w:pPr>
  </w:style>
  <w:style w:type="paragraph" w:styleId="34">
    <w:name w:val="index 3"/>
    <w:basedOn w:val="1"/>
    <w:next w:val="1"/>
    <w:semiHidden/>
    <w:qFormat/>
    <w:uiPriority w:val="0"/>
    <w:pPr>
      <w:ind w:left="400" w:leftChars="400"/>
    </w:pPr>
  </w:style>
  <w:style w:type="paragraph" w:styleId="35">
    <w:name w:val="Date"/>
    <w:basedOn w:val="1"/>
    <w:next w:val="1"/>
    <w:link w:val="343"/>
    <w:qFormat/>
    <w:uiPriority w:val="0"/>
    <w:pPr>
      <w:ind w:left="100" w:leftChars="2500"/>
    </w:pPr>
  </w:style>
  <w:style w:type="paragraph" w:styleId="36">
    <w:name w:val="Body Text Indent 2"/>
    <w:basedOn w:val="1"/>
    <w:link w:val="345"/>
    <w:qFormat/>
    <w:uiPriority w:val="0"/>
    <w:pPr>
      <w:spacing w:after="120" w:line="480" w:lineRule="auto"/>
      <w:ind w:left="420" w:leftChars="200"/>
    </w:pPr>
  </w:style>
  <w:style w:type="paragraph" w:styleId="37">
    <w:name w:val="endnote text"/>
    <w:basedOn w:val="1"/>
    <w:semiHidden/>
    <w:qFormat/>
    <w:uiPriority w:val="0"/>
    <w:pPr>
      <w:widowControl/>
      <w:tabs>
        <w:tab w:val="left" w:pos="187"/>
      </w:tabs>
      <w:spacing w:after="120" w:line="220" w:lineRule="exact"/>
      <w:ind w:left="187" w:hanging="187"/>
      <w:jc w:val="left"/>
    </w:pPr>
    <w:rPr>
      <w:rFonts w:ascii="Arial" w:hAnsi="Arial" w:eastAsia="MS Mincho"/>
      <w:kern w:val="0"/>
      <w:sz w:val="18"/>
      <w:szCs w:val="20"/>
      <w:lang w:eastAsia="ja-JP"/>
    </w:rPr>
  </w:style>
  <w:style w:type="paragraph" w:styleId="38">
    <w:name w:val="Balloon Text"/>
    <w:basedOn w:val="1"/>
    <w:link w:val="317"/>
    <w:qFormat/>
    <w:uiPriority w:val="0"/>
    <w:rPr>
      <w:sz w:val="18"/>
      <w:szCs w:val="18"/>
    </w:rPr>
  </w:style>
  <w:style w:type="paragraph" w:styleId="39">
    <w:name w:val="footer"/>
    <w:basedOn w:val="1"/>
    <w:link w:val="316"/>
    <w:qFormat/>
    <w:uiPriority w:val="99"/>
    <w:pPr>
      <w:tabs>
        <w:tab w:val="center" w:pos="4153"/>
        <w:tab w:val="right" w:pos="8306"/>
      </w:tabs>
      <w:snapToGrid w:val="0"/>
      <w:jc w:val="center"/>
    </w:pPr>
    <w:rPr>
      <w:color w:val="000000"/>
      <w:kern w:val="0"/>
      <w:sz w:val="18"/>
      <w:szCs w:val="21"/>
    </w:rPr>
  </w:style>
  <w:style w:type="paragraph" w:styleId="40">
    <w:name w:val="Body Text First Indent 2"/>
    <w:basedOn w:val="26"/>
    <w:qFormat/>
    <w:uiPriority w:val="0"/>
    <w:pPr>
      <w:spacing w:after="0" w:line="240" w:lineRule="atLeast"/>
      <w:ind w:left="0" w:leftChars="0" w:firstLine="630"/>
    </w:pPr>
    <w:rPr>
      <w:rFonts w:ascii="宋体"/>
      <w:color w:val="0A0A0A"/>
      <w:sz w:val="28"/>
    </w:rPr>
  </w:style>
  <w:style w:type="paragraph" w:styleId="41">
    <w:name w:val="header"/>
    <w:basedOn w:val="1"/>
    <w:link w:val="321"/>
    <w:qFormat/>
    <w:uiPriority w:val="0"/>
    <w:pPr>
      <w:pBdr>
        <w:bottom w:val="single" w:color="auto" w:sz="6" w:space="1"/>
      </w:pBdr>
      <w:tabs>
        <w:tab w:val="center" w:pos="4153"/>
        <w:tab w:val="right" w:pos="8306"/>
      </w:tabs>
      <w:snapToGrid w:val="0"/>
      <w:jc w:val="center"/>
    </w:pPr>
    <w:rPr>
      <w:sz w:val="18"/>
      <w:szCs w:val="18"/>
    </w:rPr>
  </w:style>
  <w:style w:type="paragraph" w:styleId="42">
    <w:name w:val="toc 1"/>
    <w:basedOn w:val="1"/>
    <w:next w:val="1"/>
    <w:qFormat/>
    <w:uiPriority w:val="39"/>
  </w:style>
  <w:style w:type="paragraph" w:styleId="43">
    <w:name w:val="toc 4"/>
    <w:basedOn w:val="1"/>
    <w:next w:val="1"/>
    <w:qFormat/>
    <w:uiPriority w:val="0"/>
    <w:pPr>
      <w:ind w:left="1260" w:leftChars="600"/>
    </w:pPr>
  </w:style>
  <w:style w:type="paragraph" w:styleId="44">
    <w:name w:val="index heading"/>
    <w:basedOn w:val="1"/>
    <w:next w:val="45"/>
    <w:semiHidden/>
    <w:qFormat/>
    <w:uiPriority w:val="0"/>
  </w:style>
  <w:style w:type="paragraph" w:styleId="45">
    <w:name w:val="index 1"/>
    <w:basedOn w:val="1"/>
    <w:next w:val="1"/>
    <w:semiHidden/>
    <w:qFormat/>
    <w:uiPriority w:val="0"/>
    <w:pPr>
      <w:spacing w:line="220" w:lineRule="exact"/>
      <w:jc w:val="center"/>
    </w:pPr>
    <w:rPr>
      <w:rFonts w:ascii="仿宋_GB2312" w:eastAsia="仿宋_GB2312"/>
      <w:szCs w:val="21"/>
    </w:rPr>
  </w:style>
  <w:style w:type="paragraph" w:styleId="46">
    <w:name w:val="List"/>
    <w:basedOn w:val="1"/>
    <w:qFormat/>
    <w:uiPriority w:val="0"/>
    <w:pPr>
      <w:adjustRightInd w:val="0"/>
      <w:snapToGrid w:val="0"/>
      <w:spacing w:line="520" w:lineRule="atLeast"/>
      <w:ind w:left="200" w:hanging="200" w:hangingChars="200"/>
    </w:pPr>
    <w:rPr>
      <w:sz w:val="28"/>
    </w:rPr>
  </w:style>
  <w:style w:type="paragraph" w:styleId="47">
    <w:name w:val="footnote text"/>
    <w:basedOn w:val="1"/>
    <w:semiHidden/>
    <w:qFormat/>
    <w:uiPriority w:val="0"/>
    <w:pPr>
      <w:snapToGrid w:val="0"/>
      <w:jc w:val="left"/>
    </w:pPr>
    <w:rPr>
      <w:sz w:val="18"/>
      <w:szCs w:val="20"/>
    </w:rPr>
  </w:style>
  <w:style w:type="paragraph" w:styleId="48">
    <w:name w:val="toc 6"/>
    <w:basedOn w:val="1"/>
    <w:next w:val="1"/>
    <w:qFormat/>
    <w:uiPriority w:val="0"/>
    <w:pPr>
      <w:ind w:left="2100" w:leftChars="1000"/>
    </w:pPr>
  </w:style>
  <w:style w:type="paragraph" w:styleId="49">
    <w:name w:val="Body Text Indent 3"/>
    <w:basedOn w:val="1"/>
    <w:link w:val="340"/>
    <w:qFormat/>
    <w:uiPriority w:val="0"/>
    <w:pPr>
      <w:spacing w:line="360" w:lineRule="auto"/>
      <w:ind w:firstLine="420"/>
    </w:pPr>
    <w:rPr>
      <w:rFonts w:ascii="宋体" w:hAnsi="宋体"/>
      <w:sz w:val="24"/>
    </w:rPr>
  </w:style>
  <w:style w:type="paragraph" w:styleId="50">
    <w:name w:val="index 7"/>
    <w:basedOn w:val="1"/>
    <w:next w:val="1"/>
    <w:semiHidden/>
    <w:qFormat/>
    <w:uiPriority w:val="0"/>
    <w:pPr>
      <w:ind w:left="1200" w:leftChars="1200"/>
    </w:pPr>
  </w:style>
  <w:style w:type="paragraph" w:styleId="51">
    <w:name w:val="index 9"/>
    <w:basedOn w:val="1"/>
    <w:next w:val="1"/>
    <w:semiHidden/>
    <w:qFormat/>
    <w:uiPriority w:val="0"/>
    <w:pPr>
      <w:ind w:left="1600" w:leftChars="1600"/>
    </w:pPr>
  </w:style>
  <w:style w:type="paragraph" w:styleId="52">
    <w:name w:val="toc 2"/>
    <w:basedOn w:val="1"/>
    <w:next w:val="1"/>
    <w:qFormat/>
    <w:uiPriority w:val="39"/>
    <w:pPr>
      <w:ind w:left="420" w:leftChars="200"/>
    </w:pPr>
  </w:style>
  <w:style w:type="paragraph" w:styleId="53">
    <w:name w:val="toc 9"/>
    <w:basedOn w:val="1"/>
    <w:next w:val="1"/>
    <w:qFormat/>
    <w:uiPriority w:val="0"/>
    <w:pPr>
      <w:ind w:left="3360" w:leftChars="1600"/>
    </w:pPr>
  </w:style>
  <w:style w:type="paragraph" w:styleId="54">
    <w:name w:val="Body Text 2"/>
    <w:basedOn w:val="1"/>
    <w:link w:val="348"/>
    <w:qFormat/>
    <w:uiPriority w:val="0"/>
    <w:pPr>
      <w:spacing w:after="120" w:line="480" w:lineRule="auto"/>
    </w:pPr>
  </w:style>
  <w:style w:type="paragraph" w:styleId="55">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56">
    <w:name w:val="index 2"/>
    <w:basedOn w:val="1"/>
    <w:next w:val="1"/>
    <w:semiHidden/>
    <w:qFormat/>
    <w:uiPriority w:val="0"/>
    <w:pPr>
      <w:ind w:left="200" w:leftChars="200"/>
    </w:pPr>
  </w:style>
  <w:style w:type="paragraph" w:styleId="57">
    <w:name w:val="Title"/>
    <w:basedOn w:val="1"/>
    <w:link w:val="338"/>
    <w:qFormat/>
    <w:uiPriority w:val="0"/>
    <w:pPr>
      <w:adjustRightInd w:val="0"/>
      <w:snapToGrid w:val="0"/>
      <w:spacing w:before="100" w:beforeAutospacing="1" w:after="100" w:afterAutospacing="1" w:line="360" w:lineRule="auto"/>
      <w:jc w:val="center"/>
      <w:outlineLvl w:val="0"/>
    </w:pPr>
    <w:rPr>
      <w:rFonts w:ascii="黑体" w:hAnsi="Arial" w:eastAsia="黑体" w:cs="Arial"/>
      <w:bCs/>
      <w:sz w:val="84"/>
      <w:szCs w:val="32"/>
    </w:rPr>
  </w:style>
  <w:style w:type="character" w:styleId="59">
    <w:name w:val="Strong"/>
    <w:qFormat/>
    <w:uiPriority w:val="0"/>
    <w:rPr>
      <w:b/>
      <w:bCs/>
    </w:rPr>
  </w:style>
  <w:style w:type="character" w:styleId="60">
    <w:name w:val="page number"/>
    <w:basedOn w:val="58"/>
    <w:qFormat/>
    <w:uiPriority w:val="0"/>
  </w:style>
  <w:style w:type="character" w:styleId="61">
    <w:name w:val="Emphasis"/>
    <w:qFormat/>
    <w:uiPriority w:val="0"/>
    <w:rPr>
      <w:color w:val="CC0000"/>
    </w:rPr>
  </w:style>
  <w:style w:type="character" w:styleId="62">
    <w:name w:val="Hyperlink"/>
    <w:qFormat/>
    <w:uiPriority w:val="99"/>
    <w:rPr>
      <w:color w:val="0000FF"/>
      <w:u w:val="single"/>
    </w:rPr>
  </w:style>
  <w:style w:type="character" w:styleId="63">
    <w:name w:val="annotation reference"/>
    <w:semiHidden/>
    <w:qFormat/>
    <w:uiPriority w:val="0"/>
    <w:rPr>
      <w:sz w:val="21"/>
      <w:szCs w:val="21"/>
    </w:rPr>
  </w:style>
  <w:style w:type="character" w:styleId="64">
    <w:name w:val="footnote reference"/>
    <w:semiHidden/>
    <w:qFormat/>
    <w:uiPriority w:val="0"/>
    <w:rPr>
      <w:vertAlign w:val="superscript"/>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7">
    <w:name w:val="Table Elegant"/>
    <w:basedOn w:val="65"/>
    <w:qFormat/>
    <w:uiPriority w:val="0"/>
    <w:pPr>
      <w:widowControl w:val="0"/>
      <w:adjustRightInd w:val="0"/>
      <w:jc w:val="center"/>
      <w:textAlignment w:val="baseline"/>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blStylePr>
  </w:style>
  <w:style w:type="table" w:styleId="68">
    <w:name w:val="Table Grid 1"/>
    <w:basedOn w:val="65"/>
    <w:qFormat/>
    <w:uiPriority w:val="0"/>
    <w:pPr>
      <w:widowControl w:val="0"/>
      <w:adjustRightInd w:val="0"/>
      <w:snapToGrid w:val="0"/>
      <w:spacing w:beforeLines="15" w:afterLines="15" w:line="320" w:lineRule="atLeas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blStylePr>
    <w:tblStylePr w:type="lastCol">
      <w:rPr>
        <w:i/>
        <w:iCs/>
      </w:rPr>
      <w:tblPr>
        <w:tblLayout w:type="fixed"/>
      </w:tbl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paragraph" w:customStyle="1" w:styleId="69">
    <w:name w:val="zsb 正文"/>
    <w:basedOn w:val="1"/>
    <w:link w:val="318"/>
    <w:qFormat/>
    <w:uiPriority w:val="0"/>
    <w:pPr>
      <w:widowControl/>
      <w:adjustRightInd w:val="0"/>
      <w:snapToGrid w:val="0"/>
      <w:spacing w:line="520" w:lineRule="exact"/>
      <w:jc w:val="center"/>
    </w:pPr>
    <w:rPr>
      <w:rFonts w:ascii="宋体" w:hAnsi="Plotter"/>
      <w:sz w:val="24"/>
      <w:szCs w:val="20"/>
    </w:rPr>
  </w:style>
  <w:style w:type="paragraph" w:customStyle="1" w:styleId="70">
    <w:name w:val="样式 标题 4 +"/>
    <w:basedOn w:val="5"/>
    <w:link w:val="319"/>
    <w:qFormat/>
    <w:uiPriority w:val="0"/>
    <w:pPr>
      <w:keepLines/>
      <w:numPr>
        <w:numId w:val="0"/>
      </w:numPr>
      <w:adjustRightInd/>
      <w:snapToGrid/>
      <w:spacing w:before="280" w:after="290" w:line="360" w:lineRule="auto"/>
    </w:pPr>
    <w:rPr>
      <w:rFonts w:ascii="Arial" w:eastAsia="黑体"/>
    </w:rPr>
  </w:style>
  <w:style w:type="paragraph" w:customStyle="1" w:styleId="71">
    <w:name w:val="3"/>
    <w:basedOn w:val="1"/>
    <w:next w:val="32"/>
    <w:qFormat/>
    <w:uiPriority w:val="0"/>
    <w:rPr>
      <w:rFonts w:ascii="宋体" w:hAnsi="Plotter"/>
      <w:szCs w:val="20"/>
    </w:rPr>
  </w:style>
  <w:style w:type="paragraph" w:customStyle="1" w:styleId="72">
    <w:name w:val="_Style 6"/>
    <w:basedOn w:val="1"/>
    <w:qFormat/>
    <w:uiPriority w:val="0"/>
  </w:style>
  <w:style w:type="paragraph" w:customStyle="1" w:styleId="73">
    <w:name w:val="A正文"/>
    <w:basedOn w:val="1"/>
    <w:link w:val="320"/>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74">
    <w:name w:val="默认段落字体 Para Char Char Char Char Char Char Char"/>
    <w:basedOn w:val="1"/>
    <w:qFormat/>
    <w:uiPriority w:val="0"/>
    <w:pPr>
      <w:spacing w:line="360" w:lineRule="auto"/>
    </w:pPr>
  </w:style>
  <w:style w:type="paragraph" w:customStyle="1" w:styleId="75">
    <w:name w:val="reader-word-layer reader-word-s3-21"/>
    <w:basedOn w:val="1"/>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3-15 reader-word-s3-22"/>
    <w:basedOn w:val="1"/>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3-18"/>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样式5"/>
    <w:basedOn w:val="1"/>
    <w:qFormat/>
    <w:uiPriority w:val="0"/>
    <w:pPr>
      <w:adjustRightInd w:val="0"/>
      <w:snapToGrid w:val="0"/>
      <w:spacing w:line="360" w:lineRule="auto"/>
      <w:ind w:firstLine="480" w:firstLineChars="200"/>
      <w:jc w:val="left"/>
      <w:outlineLvl w:val="2"/>
    </w:pPr>
    <w:rPr>
      <w:rFonts w:ascii="宋体" w:hAnsi="Plotter"/>
      <w:snapToGrid w:val="0"/>
      <w:color w:val="000000"/>
      <w:sz w:val="24"/>
      <w:szCs w:val="20"/>
      <w:lang w:val="zh-CN"/>
    </w:rPr>
  </w:style>
  <w:style w:type="paragraph" w:customStyle="1" w:styleId="7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0">
    <w:name w:val="列出段落1"/>
    <w:basedOn w:val="1"/>
    <w:qFormat/>
    <w:uiPriority w:val="0"/>
    <w:pPr>
      <w:ind w:firstLine="420" w:firstLineChars="200"/>
    </w:pPr>
  </w:style>
  <w:style w:type="paragraph" w:customStyle="1" w:styleId="81">
    <w:name w:val="样式8"/>
    <w:basedOn w:val="1"/>
    <w:link w:val="323"/>
    <w:qFormat/>
    <w:uiPriority w:val="0"/>
    <w:pPr>
      <w:spacing w:line="360" w:lineRule="auto"/>
    </w:pPr>
    <w:rPr>
      <w:rFonts w:ascii="宋体" w:hAnsi="宋体"/>
      <w:sz w:val="24"/>
      <w:szCs w:val="20"/>
    </w:rPr>
  </w:style>
  <w:style w:type="paragraph" w:customStyle="1" w:styleId="82">
    <w:name w:val="Char Char Char Char Char Char Char Char Char Char"/>
    <w:basedOn w:val="1"/>
    <w:qFormat/>
    <w:uiPriority w:val="0"/>
    <w:pPr>
      <w:tabs>
        <w:tab w:val="left" w:pos="360"/>
      </w:tabs>
      <w:ind w:left="360" w:hanging="360" w:hangingChars="200"/>
    </w:pPr>
    <w:rPr>
      <w:sz w:val="24"/>
      <w:szCs w:val="20"/>
    </w:rPr>
  </w:style>
  <w:style w:type="paragraph" w:customStyle="1" w:styleId="83">
    <w:name w:val="样式 标题 3 + (中文) 黑体 小四 非加粗 段前: 7.8 磅 段后: 0 磅 行距: 固定值 20 磅"/>
    <w:basedOn w:val="2"/>
    <w:link w:val="383"/>
    <w:qFormat/>
    <w:uiPriority w:val="0"/>
    <w:pPr>
      <w:keepLines/>
      <w:numPr>
        <w:numId w:val="0"/>
      </w:numPr>
      <w:adjustRightInd/>
      <w:snapToGrid/>
      <w:spacing w:before="0" w:after="0" w:line="400" w:lineRule="exact"/>
    </w:pPr>
    <w:rPr>
      <w:rFonts w:ascii="Times New Roman" w:cs="宋体"/>
      <w:b/>
      <w:bCs/>
      <w:szCs w:val="32"/>
    </w:rPr>
  </w:style>
  <w:style w:type="paragraph" w:customStyle="1" w:styleId="84">
    <w:name w:val="样式 标题 2 + Times New Roman 四号 非加粗 段前: 5 磅 段后: 0 磅 行距: 固定值 20..."/>
    <w:basedOn w:val="4"/>
    <w:qFormat/>
    <w:uiPriority w:val="0"/>
    <w:pPr>
      <w:keepLines/>
      <w:adjustRightInd/>
      <w:snapToGrid/>
      <w:spacing w:before="100" w:line="400" w:lineRule="exact"/>
    </w:pPr>
    <w:rPr>
      <w:rFonts w:ascii="Times New Roman" w:hAnsi="Times New Roman" w:eastAsia="黑体" w:cs="宋体"/>
      <w:b w:val="0"/>
      <w:sz w:val="28"/>
    </w:rPr>
  </w:style>
  <w:style w:type="paragraph" w:customStyle="1" w:styleId="85">
    <w:name w:val="样式 标题 1 + 黑体 三号 非加粗 居中 段前: 6 磅 段后: 6 磅 行距: 固定值 20 磅"/>
    <w:basedOn w:val="3"/>
    <w:qFormat/>
    <w:uiPriority w:val="0"/>
    <w:pPr>
      <w:keepLines/>
      <w:adjustRightInd/>
      <w:snapToGrid/>
      <w:spacing w:before="120" w:after="120" w:line="400" w:lineRule="exact"/>
      <w:jc w:val="center"/>
    </w:pPr>
    <w:rPr>
      <w:rFonts w:ascii="黑体" w:hAnsi="黑体" w:eastAsia="黑体" w:cs="宋体"/>
      <w:b w:val="0"/>
    </w:rPr>
  </w:style>
  <w:style w:type="paragraph" w:customStyle="1" w:styleId="86">
    <w:name w:val="1"/>
    <w:basedOn w:val="1"/>
    <w:qFormat/>
    <w:uiPriority w:val="0"/>
  </w:style>
  <w:style w:type="paragraph" w:customStyle="1" w:styleId="87">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88">
    <w:name w:val="表格"/>
    <w:basedOn w:val="1"/>
    <w:qFormat/>
    <w:uiPriority w:val="0"/>
    <w:pPr>
      <w:jc w:val="center"/>
      <w:textAlignment w:val="center"/>
    </w:pPr>
    <w:rPr>
      <w:rFonts w:ascii="华文细黑" w:hAnsi="华文细黑"/>
      <w:kern w:val="0"/>
      <w:szCs w:val="20"/>
    </w:rPr>
  </w:style>
  <w:style w:type="paragraph" w:customStyle="1" w:styleId="89">
    <w:name w:val="表格文字"/>
    <w:basedOn w:val="1"/>
    <w:qFormat/>
    <w:uiPriority w:val="0"/>
    <w:pPr>
      <w:adjustRightInd w:val="0"/>
      <w:spacing w:line="420" w:lineRule="atLeast"/>
      <w:jc w:val="left"/>
      <w:textAlignment w:val="baseline"/>
    </w:pPr>
    <w:rPr>
      <w:kern w:val="0"/>
      <w:szCs w:val="20"/>
    </w:rPr>
  </w:style>
  <w:style w:type="paragraph" w:customStyle="1" w:styleId="90">
    <w:name w:val="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91">
    <w:name w:val="Char 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92">
    <w:name w:val="表格1"/>
    <w:basedOn w:val="32"/>
    <w:qFormat/>
    <w:uiPriority w:val="0"/>
    <w:pPr>
      <w:adjustRightInd w:val="0"/>
      <w:snapToGrid w:val="0"/>
      <w:spacing w:beforeLines="50" w:after="100"/>
      <w:jc w:val="center"/>
    </w:pPr>
    <w:rPr>
      <w:rFonts w:hAnsi="宋体"/>
      <w:bCs/>
      <w:color w:val="000000"/>
      <w:kern w:val="0"/>
      <w:sz w:val="18"/>
      <w:szCs w:val="30"/>
    </w:rPr>
  </w:style>
  <w:style w:type="paragraph" w:customStyle="1" w:styleId="93">
    <w:name w:val="正文用"/>
    <w:basedOn w:val="1"/>
    <w:link w:val="347"/>
    <w:qFormat/>
    <w:uiPriority w:val="0"/>
    <w:pPr>
      <w:spacing w:line="360" w:lineRule="exact"/>
      <w:ind w:firstLine="420" w:firstLineChars="200"/>
      <w:jc w:val="left"/>
    </w:pPr>
    <w:rPr>
      <w:kern w:val="0"/>
      <w:sz w:val="20"/>
      <w:szCs w:val="21"/>
    </w:rPr>
  </w:style>
  <w:style w:type="paragraph" w:customStyle="1" w:styleId="94">
    <w:name w:val="1名"/>
    <w:basedOn w:val="1"/>
    <w:qFormat/>
    <w:uiPriority w:val="0"/>
    <w:pPr>
      <w:tabs>
        <w:tab w:val="left" w:pos="2700"/>
      </w:tabs>
      <w:spacing w:before="120"/>
      <w:ind w:left="2700" w:hanging="1350"/>
    </w:pPr>
    <w:rPr>
      <w:rFonts w:ascii="宋体"/>
      <w:sz w:val="28"/>
    </w:rPr>
  </w:style>
  <w:style w:type="paragraph" w:customStyle="1" w:styleId="95">
    <w:name w:val="dl3"/>
    <w:basedOn w:val="1"/>
    <w:qFormat/>
    <w:uiPriority w:val="0"/>
    <w:pPr>
      <w:adjustRightInd w:val="0"/>
      <w:spacing w:line="312" w:lineRule="atLeast"/>
      <w:ind w:left="360"/>
      <w:textAlignment w:val="baseline"/>
    </w:pPr>
    <w:rPr>
      <w:kern w:val="0"/>
      <w:sz w:val="24"/>
      <w:szCs w:val="20"/>
    </w:rPr>
  </w:style>
  <w:style w:type="paragraph" w:customStyle="1" w:styleId="96">
    <w:name w:val="日期1"/>
    <w:basedOn w:val="1"/>
    <w:next w:val="1"/>
    <w:qFormat/>
    <w:uiPriority w:val="0"/>
    <w:pPr>
      <w:autoSpaceDE w:val="0"/>
      <w:autoSpaceDN w:val="0"/>
      <w:adjustRightInd w:val="0"/>
      <w:spacing w:line="315" w:lineRule="atLeast"/>
      <w:textAlignment w:val="baseline"/>
    </w:pPr>
    <w:rPr>
      <w:rFonts w:ascii="黑体" w:eastAsia="黑体"/>
      <w:kern w:val="0"/>
      <w:sz w:val="28"/>
      <w:szCs w:val="20"/>
    </w:rPr>
  </w:style>
  <w:style w:type="paragraph" w:customStyle="1" w:styleId="97">
    <w:name w:val="xl29"/>
    <w:basedOn w:val="1"/>
    <w:link w:val="384"/>
    <w:qFormat/>
    <w:uiPriority w:val="0"/>
    <w:pPr>
      <w:widowControl/>
      <w:spacing w:before="100" w:after="100"/>
      <w:jc w:val="center"/>
    </w:pPr>
    <w:rPr>
      <w:rFonts w:ascii="宋体" w:hAnsi="宋体"/>
      <w:kern w:val="0"/>
      <w:sz w:val="24"/>
      <w:szCs w:val="20"/>
    </w:rPr>
  </w:style>
  <w:style w:type="paragraph" w:customStyle="1" w:styleId="98">
    <w:name w:val="Section #"/>
    <w:next w:val="99"/>
    <w:qFormat/>
    <w:uiPriority w:val="0"/>
    <w:pPr>
      <w:widowControl w:val="0"/>
      <w:tabs>
        <w:tab w:val="left" w:pos="2636"/>
        <w:tab w:val="left" w:pos="3090"/>
      </w:tabs>
      <w:overflowPunct w:val="0"/>
      <w:autoSpaceDE w:val="0"/>
      <w:autoSpaceDN w:val="0"/>
      <w:adjustRightInd w:val="0"/>
      <w:spacing w:after="113" w:line="340" w:lineRule="atLeast"/>
      <w:jc w:val="center"/>
      <w:textAlignment w:val="baseline"/>
    </w:pPr>
    <w:rPr>
      <w:rFonts w:ascii="Optima" w:hAnsi="Optima" w:eastAsia="宋体" w:cs="Times New Roman"/>
      <w:b/>
      <w:sz w:val="30"/>
      <w:lang w:val="en-US" w:eastAsia="zh-CN" w:bidi="ar-SA"/>
    </w:rPr>
  </w:style>
  <w:style w:type="paragraph" w:customStyle="1" w:styleId="99">
    <w:name w:val="Title Headings"/>
    <w:qFormat/>
    <w:uiPriority w:val="0"/>
    <w:pPr>
      <w:widowControl w:val="0"/>
      <w:overflowPunct w:val="0"/>
      <w:autoSpaceDE w:val="0"/>
      <w:autoSpaceDN w:val="0"/>
      <w:adjustRightInd w:val="0"/>
      <w:spacing w:line="300" w:lineRule="auto"/>
      <w:ind w:hanging="105"/>
      <w:jc w:val="center"/>
      <w:textAlignment w:val="baseline"/>
    </w:pPr>
    <w:rPr>
      <w:rFonts w:ascii="Times New Roman" w:hAnsi="Times New Roman" w:eastAsia="宋体" w:cs="Times New Roman"/>
      <w:b/>
      <w:sz w:val="24"/>
      <w:lang w:val="en-US" w:eastAsia="zh-CN" w:bidi="ar-SA"/>
    </w:rPr>
  </w:style>
  <w:style w:type="paragraph" w:customStyle="1" w:styleId="100">
    <w:name w:val="标题3"/>
    <w:basedOn w:val="1"/>
    <w:qFormat/>
    <w:uiPriority w:val="0"/>
    <w:pPr>
      <w:spacing w:line="360" w:lineRule="auto"/>
      <w:ind w:firstLine="560" w:firstLineChars="200"/>
    </w:pPr>
    <w:rPr>
      <w:rFonts w:ascii="宋体" w:hAnsi="宋体"/>
      <w:spacing w:val="20"/>
      <w:sz w:val="24"/>
    </w:rPr>
  </w:style>
  <w:style w:type="paragraph" w:customStyle="1" w:styleId="101">
    <w:name w:val="内容"/>
    <w:basedOn w:val="1"/>
    <w:qFormat/>
    <w:uiPriority w:val="0"/>
    <w:pPr>
      <w:adjustRightInd w:val="0"/>
      <w:snapToGrid w:val="0"/>
      <w:spacing w:line="360" w:lineRule="auto"/>
      <w:ind w:left="100" w:leftChars="100" w:right="100" w:rightChars="100"/>
      <w:jc w:val="left"/>
    </w:pPr>
    <w:rPr>
      <w:sz w:val="28"/>
    </w:rPr>
  </w:style>
  <w:style w:type="paragraph" w:customStyle="1" w:styleId="102">
    <w:name w:val="xl26"/>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黑体" w:hAnsi="Arial Unicode MS" w:eastAsia="黑体" w:cs="Arial Unicode MS"/>
      <w:kern w:val="0"/>
      <w:szCs w:val="21"/>
    </w:rPr>
  </w:style>
  <w:style w:type="paragraph" w:customStyle="1" w:styleId="103">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104">
    <w:name w:val="样式2"/>
    <w:basedOn w:val="32"/>
    <w:qFormat/>
    <w:uiPriority w:val="0"/>
    <w:pPr>
      <w:jc w:val="center"/>
    </w:pPr>
    <w:rPr>
      <w:rFonts w:hAnsi="宋体"/>
      <w:kern w:val="0"/>
      <w:sz w:val="20"/>
      <w:szCs w:val="24"/>
    </w:rPr>
  </w:style>
  <w:style w:type="paragraph" w:customStyle="1" w:styleId="105">
    <w:name w:val="样式4"/>
    <w:basedOn w:val="18"/>
    <w:qFormat/>
    <w:uiPriority w:val="0"/>
    <w:pPr>
      <w:adjustRightInd/>
      <w:snapToGrid/>
      <w:spacing w:line="360" w:lineRule="auto"/>
      <w:ind w:firstLine="0"/>
    </w:pPr>
    <w:rPr>
      <w:rFonts w:hAnsi="宋体"/>
      <w:color w:val="000000"/>
      <w:kern w:val="2"/>
    </w:rPr>
  </w:style>
  <w:style w:type="paragraph" w:customStyle="1" w:styleId="106">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8">
    <w:name w:val="正文文本缩进1"/>
    <w:basedOn w:val="1"/>
    <w:qFormat/>
    <w:uiPriority w:val="0"/>
    <w:pPr>
      <w:adjustRightInd w:val="0"/>
      <w:spacing w:line="360" w:lineRule="atLeast"/>
      <w:ind w:left="280" w:firstLine="560"/>
      <w:jc w:val="left"/>
      <w:textAlignment w:val="baseline"/>
    </w:pPr>
    <w:rPr>
      <w:kern w:val="0"/>
      <w:sz w:val="24"/>
    </w:rPr>
  </w:style>
  <w:style w:type="paragraph" w:customStyle="1" w:styleId="109">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olor w:val="000000"/>
      <w:kern w:val="0"/>
      <w:sz w:val="20"/>
      <w:szCs w:val="20"/>
    </w:rPr>
  </w:style>
  <w:style w:type="paragraph" w:customStyle="1" w:styleId="110">
    <w:name w:val="xl37"/>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color w:val="FF0000"/>
      <w:kern w:val="0"/>
      <w:sz w:val="24"/>
    </w:rPr>
  </w:style>
  <w:style w:type="paragraph" w:customStyle="1" w:styleId="111">
    <w:name w:val="样式1"/>
    <w:basedOn w:val="18"/>
    <w:qFormat/>
    <w:uiPriority w:val="0"/>
    <w:pPr>
      <w:tabs>
        <w:tab w:val="left" w:pos="-120"/>
        <w:tab w:val="left" w:pos="765"/>
        <w:tab w:val="left" w:pos="1140"/>
      </w:tabs>
      <w:ind w:left="1140" w:firstLine="480"/>
      <w:outlineLvl w:val="3"/>
    </w:pPr>
    <w:rPr>
      <w:rFonts w:hAnsi="Calibri"/>
    </w:rPr>
  </w:style>
  <w:style w:type="paragraph" w:customStyle="1" w:styleId="112">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1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14">
    <w:name w:val="xl25"/>
    <w:basedOn w:val="1"/>
    <w:qFormat/>
    <w:uiPriority w:val="0"/>
    <w:pPr>
      <w:widowControl/>
      <w:spacing w:before="100" w:beforeAutospacing="1" w:after="100" w:afterAutospacing="1"/>
      <w:jc w:val="center"/>
    </w:pPr>
    <w:rPr>
      <w:rFonts w:hint="eastAsia" w:ascii="宋体" w:hAnsi="宋体"/>
      <w:color w:val="000000"/>
      <w:kern w:val="0"/>
      <w:sz w:val="22"/>
      <w:szCs w:val="22"/>
    </w:rPr>
  </w:style>
  <w:style w:type="paragraph" w:customStyle="1" w:styleId="1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1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17">
    <w:name w:val="分项1"/>
    <w:basedOn w:val="1"/>
    <w:qFormat/>
    <w:uiPriority w:val="0"/>
    <w:pPr>
      <w:snapToGrid w:val="0"/>
      <w:spacing w:before="120"/>
    </w:pPr>
    <w:rPr>
      <w:sz w:val="24"/>
      <w:szCs w:val="20"/>
    </w:rPr>
  </w:style>
  <w:style w:type="paragraph" w:customStyle="1" w:styleId="118">
    <w:name w:val="正文1"/>
    <w:qFormat/>
    <w:uiPriority w:val="0"/>
    <w:pPr>
      <w:widowControl w:val="0"/>
      <w:adjustRightInd w:val="0"/>
      <w:spacing w:line="360" w:lineRule="atLeast"/>
      <w:ind w:firstLine="454"/>
      <w:textAlignment w:val="baseline"/>
    </w:pPr>
    <w:rPr>
      <w:rFonts w:ascii="宋体" w:hAnsi="Times New Roman" w:eastAsia="宋体" w:cs="Times New Roman"/>
      <w:sz w:val="24"/>
      <w:lang w:val="en-US" w:eastAsia="zh-CN" w:bidi="ar-SA"/>
    </w:rPr>
  </w:style>
  <w:style w:type="paragraph" w:customStyle="1" w:styleId="119">
    <w:name w:val="xl47"/>
    <w:basedOn w:val="1"/>
    <w:qFormat/>
    <w:uiPriority w:val="0"/>
    <w:pPr>
      <w:widowControl/>
      <w:pBdr>
        <w:left w:val="single" w:color="auto" w:sz="8" w:space="0"/>
        <w:bottom w:val="single" w:color="auto" w:sz="8" w:space="0"/>
        <w:right w:val="single" w:color="auto" w:sz="4" w:space="0"/>
      </w:pBdr>
      <w:spacing w:before="100" w:after="100"/>
      <w:jc w:val="center"/>
    </w:pPr>
    <w:rPr>
      <w:kern w:val="0"/>
      <w:sz w:val="24"/>
      <w:szCs w:val="20"/>
    </w:rPr>
  </w:style>
  <w:style w:type="paragraph" w:customStyle="1" w:styleId="120">
    <w:name w:val="纯文本1"/>
    <w:basedOn w:val="1"/>
    <w:qFormat/>
    <w:uiPriority w:val="0"/>
    <w:pPr>
      <w:adjustRightInd w:val="0"/>
      <w:jc w:val="left"/>
      <w:textAlignment w:val="baseline"/>
    </w:pPr>
    <w:rPr>
      <w:rFonts w:ascii="宋体" w:hAnsi="Courier New"/>
      <w:szCs w:val="20"/>
    </w:rPr>
  </w:style>
  <w:style w:type="paragraph" w:customStyle="1" w:styleId="121">
    <w:name w:val="Char Char Char"/>
    <w:basedOn w:val="1"/>
    <w:qFormat/>
    <w:uiPriority w:val="0"/>
    <w:pPr>
      <w:spacing w:line="360" w:lineRule="auto"/>
      <w:ind w:firstLine="200" w:firstLineChars="200"/>
    </w:pPr>
    <w:rPr>
      <w:rFonts w:ascii="宋体" w:hAnsi="宋体" w:cs="宋体"/>
      <w:sz w:val="24"/>
    </w:rPr>
  </w:style>
  <w:style w:type="paragraph" w:customStyle="1" w:styleId="122">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Char"/>
    <w:basedOn w:val="1"/>
    <w:qFormat/>
    <w:uiPriority w:val="0"/>
    <w:pPr>
      <w:spacing w:line="360" w:lineRule="auto"/>
      <w:ind w:firstLine="200" w:firstLineChars="200"/>
    </w:pPr>
    <w:rPr>
      <w:rFonts w:ascii="宋体" w:hAnsi="宋体" w:cs="宋体"/>
      <w:sz w:val="24"/>
    </w:rPr>
  </w:style>
  <w:style w:type="paragraph" w:customStyle="1" w:styleId="124">
    <w:name w:val="Char2"/>
    <w:basedOn w:val="1"/>
    <w:qFormat/>
    <w:uiPriority w:val="0"/>
    <w:pPr>
      <w:spacing w:line="360" w:lineRule="auto"/>
      <w:ind w:firstLine="200" w:firstLineChars="200"/>
    </w:pPr>
    <w:rPr>
      <w:rFonts w:ascii="宋体" w:hAnsi="宋体" w:cs="宋体"/>
      <w:sz w:val="24"/>
    </w:rPr>
  </w:style>
  <w:style w:type="paragraph" w:customStyle="1" w:styleId="125">
    <w:name w:val="Char1"/>
    <w:basedOn w:val="22"/>
    <w:qFormat/>
    <w:uiPriority w:val="0"/>
    <w:pPr>
      <w:shd w:val="clear" w:color="auto" w:fill="000080"/>
    </w:pPr>
    <w:rPr>
      <w:rFonts w:ascii="Tahoma" w:hAnsi="Tahoma"/>
      <w:kern w:val="0"/>
      <w:sz w:val="24"/>
      <w:szCs w:val="24"/>
    </w:rPr>
  </w:style>
  <w:style w:type="paragraph" w:customStyle="1" w:styleId="126">
    <w:name w:val="BodyTextNumbered"/>
    <w:basedOn w:val="1"/>
    <w:qFormat/>
    <w:uiPriority w:val="0"/>
    <w:pPr>
      <w:widowControl/>
      <w:spacing w:after="120"/>
      <w:ind w:left="283" w:hanging="283"/>
      <w:jc w:val="left"/>
    </w:pPr>
    <w:rPr>
      <w:rFonts w:ascii="Arial" w:hAnsi="Arial"/>
      <w:kern w:val="0"/>
      <w:sz w:val="22"/>
      <w:szCs w:val="20"/>
      <w:lang w:eastAsia="en-US"/>
    </w:rPr>
  </w:style>
  <w:style w:type="paragraph" w:customStyle="1" w:styleId="127">
    <w:name w:val="样式 标题 3 + 段后: 0.5 行1"/>
    <w:basedOn w:val="2"/>
    <w:qFormat/>
    <w:uiPriority w:val="0"/>
    <w:pPr>
      <w:numPr>
        <w:numId w:val="0"/>
      </w:numPr>
      <w:spacing w:before="0" w:afterLines="50" w:line="360" w:lineRule="auto"/>
      <w:ind w:left="420" w:firstLine="107"/>
    </w:pPr>
    <w:rPr>
      <w:rFonts w:ascii="仿宋_GB2312" w:eastAsia="仿宋_GB2312" w:cs="宋体"/>
      <w:sz w:val="28"/>
      <w:szCs w:val="28"/>
    </w:rPr>
  </w:style>
  <w:style w:type="paragraph" w:customStyle="1" w:styleId="128">
    <w:name w:val="样式 样式 标题 1 + 段前: 1 行 段后: 0.8 行 + 段前: 1.1 行 段后: 0.8 行"/>
    <w:basedOn w:val="1"/>
    <w:qFormat/>
    <w:uiPriority w:val="0"/>
    <w:pPr>
      <w:keepNext/>
      <w:tabs>
        <w:tab w:val="left" w:pos="1080"/>
      </w:tabs>
      <w:spacing w:beforeLines="110" w:afterLines="80" w:line="288" w:lineRule="auto"/>
      <w:ind w:left="1080" w:hanging="1080"/>
      <w:outlineLvl w:val="0"/>
    </w:pPr>
    <w:rPr>
      <w:rFonts w:eastAsia="仿宋_GB2312" w:cs="宋体"/>
      <w:b/>
      <w:bCs/>
      <w:kern w:val="28"/>
      <w:sz w:val="28"/>
      <w:szCs w:val="28"/>
    </w:rPr>
  </w:style>
  <w:style w:type="paragraph" w:customStyle="1" w:styleId="129">
    <w:name w:val="样式 纯文本 + (符号) 宋体"/>
    <w:basedOn w:val="32"/>
    <w:qFormat/>
    <w:uiPriority w:val="0"/>
    <w:pPr>
      <w:tabs>
        <w:tab w:val="left" w:pos="7380"/>
      </w:tabs>
      <w:adjustRightInd w:val="0"/>
      <w:snapToGrid w:val="0"/>
      <w:spacing w:line="360" w:lineRule="auto"/>
      <w:ind w:firstLine="523" w:firstLineChars="218"/>
    </w:pPr>
    <w:rPr>
      <w:rFonts w:hAnsi="Courier New"/>
      <w:kern w:val="0"/>
      <w:sz w:val="24"/>
      <w:szCs w:val="30"/>
    </w:rPr>
  </w:style>
  <w:style w:type="paragraph" w:customStyle="1" w:styleId="130">
    <w:name w:val="样式 标题 2 + 宋体 段前: 1 行 段后: 1 行"/>
    <w:basedOn w:val="4"/>
    <w:qFormat/>
    <w:uiPriority w:val="0"/>
    <w:pPr>
      <w:keepLines/>
    </w:pPr>
    <w:rPr>
      <w:rFonts w:hAnsi="宋体" w:cs="宋体"/>
      <w:bCs/>
      <w:sz w:val="30"/>
    </w:rPr>
  </w:style>
  <w:style w:type="paragraph" w:customStyle="1" w:styleId="131">
    <w:name w:val="样式 标题 3 + 宋体"/>
    <w:basedOn w:val="2"/>
    <w:qFormat/>
    <w:uiPriority w:val="0"/>
    <w:pPr>
      <w:keepLines/>
      <w:numPr>
        <w:numId w:val="0"/>
      </w:numPr>
      <w:spacing w:before="50" w:afterLines="50" w:line="240" w:lineRule="auto"/>
      <w:ind w:firstLine="200" w:firstLineChars="14"/>
    </w:pPr>
    <w:rPr>
      <w:rFonts w:ascii="宋体" w:hAnsi="宋体" w:eastAsia="宋体"/>
      <w:b/>
      <w:bCs/>
      <w:szCs w:val="32"/>
    </w:rPr>
  </w:style>
  <w:style w:type="paragraph" w:customStyle="1" w:styleId="132">
    <w:name w:val="样式 表格 + (符号) 宋体"/>
    <w:basedOn w:val="88"/>
    <w:qFormat/>
    <w:uiPriority w:val="0"/>
    <w:pPr>
      <w:adjustRightInd w:val="0"/>
      <w:snapToGrid w:val="0"/>
      <w:spacing w:line="360" w:lineRule="auto"/>
      <w:jc w:val="both"/>
      <w:textAlignment w:val="auto"/>
    </w:pPr>
    <w:rPr>
      <w:rFonts w:ascii="宋体" w:hAnsi="Courier New" w:cs="Courier New"/>
      <w:kern w:val="2"/>
      <w:sz w:val="24"/>
      <w:szCs w:val="21"/>
    </w:rPr>
  </w:style>
  <w:style w:type="paragraph" w:customStyle="1" w:styleId="133">
    <w:name w:val="样式 标题 1 + 宋体"/>
    <w:basedOn w:val="3"/>
    <w:qFormat/>
    <w:uiPriority w:val="0"/>
    <w:pPr>
      <w:keepLines/>
      <w:spacing w:beforeLines="100" w:afterLines="100" w:line="240" w:lineRule="auto"/>
      <w:jc w:val="center"/>
    </w:pPr>
    <w:rPr>
      <w:rFonts w:hAnsi="宋体"/>
      <w:bCs/>
      <w:szCs w:val="44"/>
    </w:rPr>
  </w:style>
  <w:style w:type="paragraph" w:customStyle="1" w:styleId="134">
    <w:name w:val="样式 样式 纯文本 + 仿宋_GB2312 四号 行距: 固定值 22 磅 + 宋体"/>
    <w:basedOn w:val="1"/>
    <w:qFormat/>
    <w:uiPriority w:val="0"/>
    <w:pPr>
      <w:adjustRightInd w:val="0"/>
      <w:snapToGrid w:val="0"/>
      <w:spacing w:beforeLines="50" w:after="100" w:line="360" w:lineRule="auto"/>
      <w:ind w:left="241"/>
    </w:pPr>
    <w:rPr>
      <w:rFonts w:ascii="宋体" w:hAnsi="宋体"/>
      <w:bCs/>
      <w:color w:val="000000"/>
      <w:szCs w:val="48"/>
    </w:rPr>
  </w:style>
  <w:style w:type="paragraph" w:customStyle="1" w:styleId="135">
    <w:name w:val="正文0"/>
    <w:basedOn w:val="1"/>
    <w:link w:val="358"/>
    <w:qFormat/>
    <w:uiPriority w:val="0"/>
    <w:pPr>
      <w:spacing w:beforeLines="50" w:afterLines="50" w:line="312" w:lineRule="auto"/>
      <w:ind w:firstLine="200" w:firstLineChars="200"/>
      <w:jc w:val="left"/>
    </w:pPr>
    <w:rPr>
      <w:rFonts w:eastAsia="仿宋_GB2312"/>
      <w:kern w:val="0"/>
      <w:sz w:val="28"/>
    </w:rPr>
  </w:style>
  <w:style w:type="paragraph" w:customStyle="1" w:styleId="136">
    <w:name w:val="样式 标题 2Pierre_1.1_Heading 2 + 段前: 0.5 行 段后: 0.5 行"/>
    <w:basedOn w:val="4"/>
    <w:qFormat/>
    <w:uiPriority w:val="0"/>
    <w:pPr>
      <w:keepLines/>
      <w:adjustRightInd/>
      <w:snapToGrid/>
      <w:spacing w:beforeLines="50" w:afterLines="50" w:line="312" w:lineRule="auto"/>
    </w:pPr>
    <w:rPr>
      <w:rFonts w:ascii="Times New Roman" w:hAnsi="Times New Roman" w:eastAsia="仿宋_GB2312" w:cs="宋体"/>
      <w:bCs/>
      <w:sz w:val="28"/>
    </w:rPr>
  </w:style>
  <w:style w:type="paragraph" w:customStyle="1" w:styleId="137">
    <w:name w:val="样式 标题 3Pierre_1.1.1 + 段前: 0.5 行 段后: 0.5 行"/>
    <w:basedOn w:val="2"/>
    <w:qFormat/>
    <w:uiPriority w:val="0"/>
    <w:pPr>
      <w:keepLines/>
      <w:numPr>
        <w:numId w:val="0"/>
      </w:numPr>
      <w:adjustRightInd/>
      <w:snapToGrid/>
      <w:spacing w:beforeLines="50" w:afterLines="50" w:line="312" w:lineRule="auto"/>
    </w:pPr>
    <w:rPr>
      <w:rFonts w:ascii="Times New Roman" w:eastAsia="仿宋_GB2312" w:cs="宋体"/>
      <w:b/>
      <w:bCs/>
      <w:sz w:val="28"/>
    </w:rPr>
  </w:style>
  <w:style w:type="paragraph" w:customStyle="1" w:styleId="138">
    <w:name w:val="Char Char Char Char Char 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139">
    <w:name w:val="修订1"/>
    <w:hidden/>
    <w:semiHidden/>
    <w:qFormat/>
    <w:uiPriority w:val="0"/>
    <w:rPr>
      <w:rFonts w:ascii="Times New Roman" w:hAnsi="Times New Roman" w:eastAsia="宋体" w:cs="Times New Roman"/>
      <w:kern w:val="2"/>
      <w:sz w:val="21"/>
      <w:szCs w:val="24"/>
      <w:lang w:val="en-US" w:eastAsia="zh-CN" w:bidi="ar-SA"/>
    </w:rPr>
  </w:style>
  <w:style w:type="paragraph" w:customStyle="1" w:styleId="140">
    <w:name w:val="p0"/>
    <w:basedOn w:val="1"/>
    <w:qFormat/>
    <w:uiPriority w:val="0"/>
    <w:pPr>
      <w:widowControl/>
    </w:pPr>
    <w:rPr>
      <w:kern w:val="0"/>
      <w:szCs w:val="21"/>
    </w:rPr>
  </w:style>
  <w:style w:type="paragraph" w:customStyle="1" w:styleId="141">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142">
    <w:name w:val="Indent 2"/>
    <w:basedOn w:val="1"/>
    <w:qFormat/>
    <w:uiPriority w:val="0"/>
    <w:pPr>
      <w:widowControl/>
      <w:ind w:left="1134" w:hanging="567"/>
    </w:pPr>
    <w:rPr>
      <w:kern w:val="0"/>
      <w:sz w:val="20"/>
      <w:szCs w:val="20"/>
      <w:lang w:eastAsia="en-US"/>
    </w:rPr>
  </w:style>
  <w:style w:type="paragraph" w:customStyle="1" w:styleId="143">
    <w:name w:val="样式3"/>
    <w:basedOn w:val="1"/>
    <w:qFormat/>
    <w:uiPriority w:val="0"/>
    <w:pPr>
      <w:numPr>
        <w:ilvl w:val="0"/>
        <w:numId w:val="2"/>
      </w:numPr>
      <w:spacing w:line="360" w:lineRule="auto"/>
      <w:jc w:val="left"/>
    </w:pPr>
    <w:rPr>
      <w:sz w:val="24"/>
    </w:rPr>
  </w:style>
  <w:style w:type="paragraph" w:customStyle="1" w:styleId="144">
    <w:name w:val="Char Char Char Char"/>
    <w:basedOn w:val="1"/>
    <w:qFormat/>
    <w:uiPriority w:val="0"/>
  </w:style>
  <w:style w:type="paragraph" w:customStyle="1" w:styleId="145">
    <w:name w:val="样式 首行缩进:  2 字符"/>
    <w:basedOn w:val="1"/>
    <w:qFormat/>
    <w:uiPriority w:val="0"/>
    <w:pPr>
      <w:ind w:firstLine="600" w:firstLineChars="200"/>
    </w:pPr>
    <w:rPr>
      <w:rFonts w:cs="宋体"/>
      <w:sz w:val="28"/>
      <w:szCs w:val="20"/>
    </w:rPr>
  </w:style>
  <w:style w:type="paragraph" w:customStyle="1" w:styleId="146">
    <w:name w:val="Char Char Char Char Char Char"/>
    <w:basedOn w:val="1"/>
    <w:qFormat/>
    <w:uiPriority w:val="0"/>
    <w:pPr>
      <w:widowControl/>
      <w:spacing w:after="160" w:line="240" w:lineRule="exact"/>
      <w:ind w:firstLine="602" w:firstLineChars="250"/>
      <w:jc w:val="center"/>
    </w:pPr>
    <w:rPr>
      <w:szCs w:val="20"/>
    </w:rPr>
  </w:style>
  <w:style w:type="paragraph" w:customStyle="1" w:styleId="147">
    <w:name w:val="CM1"/>
    <w:basedOn w:val="79"/>
    <w:next w:val="79"/>
    <w:qFormat/>
    <w:uiPriority w:val="0"/>
    <w:pPr>
      <w:spacing w:line="316" w:lineRule="atLeast"/>
    </w:pPr>
    <w:rPr>
      <w:rFonts w:ascii="..ì." w:eastAsia="..ì." w:cs="Times New Roman"/>
      <w:color w:val="auto"/>
    </w:rPr>
  </w:style>
  <w:style w:type="paragraph" w:customStyle="1" w:styleId="148">
    <w:name w:val="CM6"/>
    <w:basedOn w:val="79"/>
    <w:next w:val="79"/>
    <w:qFormat/>
    <w:uiPriority w:val="0"/>
    <w:pPr>
      <w:spacing w:after="300"/>
    </w:pPr>
    <w:rPr>
      <w:rFonts w:ascii="..ì." w:eastAsia="..ì." w:cs="Times New Roman"/>
      <w:color w:val="auto"/>
    </w:rPr>
  </w:style>
  <w:style w:type="paragraph" w:customStyle="1" w:styleId="149">
    <w:name w:val="CM7"/>
    <w:basedOn w:val="79"/>
    <w:next w:val="79"/>
    <w:qFormat/>
    <w:uiPriority w:val="0"/>
    <w:pPr>
      <w:spacing w:after="930"/>
    </w:pPr>
    <w:rPr>
      <w:rFonts w:ascii="..ì." w:eastAsia="..ì." w:cs="Times New Roman"/>
      <w:color w:val="auto"/>
    </w:rPr>
  </w:style>
  <w:style w:type="paragraph" w:customStyle="1" w:styleId="150">
    <w:name w:val="样式 样式 标题 1 + 三号 蓝色 + 自动设置"/>
    <w:basedOn w:val="1"/>
    <w:qFormat/>
    <w:uiPriority w:val="0"/>
    <w:pPr>
      <w:keepNext/>
      <w:keepLines/>
      <w:spacing w:line="480" w:lineRule="auto"/>
      <w:outlineLvl w:val="0"/>
    </w:pPr>
    <w:rPr>
      <w:b/>
      <w:bCs/>
      <w:kern w:val="44"/>
      <w:sz w:val="30"/>
      <w:szCs w:val="44"/>
    </w:rPr>
  </w:style>
  <w:style w:type="paragraph" w:customStyle="1" w:styleId="151">
    <w:name w:val="样式 标题 3 + 四号 蓝色 行距: 1.5 倍行距"/>
    <w:basedOn w:val="2"/>
    <w:next w:val="39"/>
    <w:qFormat/>
    <w:uiPriority w:val="0"/>
    <w:pPr>
      <w:keepLines/>
      <w:numPr>
        <w:numId w:val="0"/>
      </w:numPr>
      <w:adjustRightInd/>
      <w:snapToGrid/>
      <w:spacing w:before="0" w:after="0" w:line="360" w:lineRule="auto"/>
    </w:pPr>
    <w:rPr>
      <w:rFonts w:ascii="Times New Roman" w:eastAsia="宋体" w:cs="宋体"/>
      <w:b/>
      <w:bCs/>
      <w:color w:val="0000FF"/>
      <w:sz w:val="28"/>
    </w:rPr>
  </w:style>
  <w:style w:type="paragraph" w:customStyle="1" w:styleId="152">
    <w:name w:val="一级条标题"/>
    <w:next w:val="153"/>
    <w:qFormat/>
    <w:uiPriority w:val="0"/>
    <w:pPr>
      <w:widowControl w:val="0"/>
      <w:spacing w:line="440" w:lineRule="exact"/>
      <w:ind w:left="826"/>
      <w:outlineLvl w:val="1"/>
    </w:pPr>
    <w:rPr>
      <w:rFonts w:ascii="宋体" w:hAnsi="Times New Roman" w:eastAsia="宋体" w:cs="Times New Roman"/>
      <w:sz w:val="24"/>
      <w:lang w:val="en-US" w:eastAsia="zh-CN" w:bidi="ar-SA"/>
    </w:rPr>
  </w:style>
  <w:style w:type="paragraph" w:customStyle="1" w:styleId="153">
    <w:name w:val="二级条"/>
    <w:next w:val="5"/>
    <w:qFormat/>
    <w:uiPriority w:val="0"/>
    <w:pPr>
      <w:widowControl w:val="0"/>
      <w:spacing w:line="440" w:lineRule="exact"/>
    </w:pPr>
    <w:rPr>
      <w:rFonts w:ascii="宋体" w:hAnsi="Times New Roman" w:eastAsia="宋体" w:cs="Times New Roman"/>
      <w:sz w:val="24"/>
      <w:lang w:val="en-US" w:eastAsia="zh-CN" w:bidi="ar-SA"/>
    </w:rPr>
  </w:style>
  <w:style w:type="paragraph" w:customStyle="1" w:styleId="154">
    <w:name w:val="列项——（一级）"/>
    <w:basedOn w:val="5"/>
    <w:next w:val="5"/>
    <w:qFormat/>
    <w:uiPriority w:val="0"/>
    <w:pPr>
      <w:numPr>
        <w:numId w:val="0"/>
      </w:numPr>
      <w:adjustRightInd/>
      <w:snapToGrid/>
      <w:spacing w:line="440" w:lineRule="exact"/>
      <w:ind w:left="450" w:leftChars="200" w:hanging="250" w:hangingChars="250"/>
      <w:jc w:val="left"/>
      <w:outlineLvl w:val="9"/>
    </w:pPr>
    <w:rPr>
      <w:rFonts w:ascii="Arial"/>
      <w:sz w:val="28"/>
    </w:rPr>
  </w:style>
  <w:style w:type="paragraph" w:customStyle="1" w:styleId="155">
    <w:name w:val="附录一级条"/>
    <w:next w:val="5"/>
    <w:qFormat/>
    <w:uiPriority w:val="0"/>
    <w:pPr>
      <w:spacing w:line="440" w:lineRule="exact"/>
    </w:pPr>
    <w:rPr>
      <w:rFonts w:ascii="宋体" w:hAnsi="Times New Roman" w:eastAsia="宋体" w:cs="Times New Roman"/>
      <w:sz w:val="24"/>
      <w:lang w:val="en-US" w:eastAsia="zh-CN" w:bidi="ar-SA"/>
    </w:rPr>
  </w:style>
  <w:style w:type="paragraph" w:customStyle="1" w:styleId="156">
    <w:name w:val="样式 样式 首行缩进:  2 字符 + 首行缩进:  2 字符"/>
    <w:basedOn w:val="1"/>
    <w:qFormat/>
    <w:uiPriority w:val="0"/>
    <w:pPr>
      <w:spacing w:line="360" w:lineRule="auto"/>
    </w:pPr>
    <w:rPr>
      <w:rFonts w:cs="宋体"/>
      <w:sz w:val="24"/>
    </w:rPr>
  </w:style>
  <w:style w:type="paragraph" w:customStyle="1" w:styleId="157">
    <w:name w:val="样式 小四 行距: 固定值 24 磅 左  8 字符"/>
    <w:basedOn w:val="1"/>
    <w:qFormat/>
    <w:uiPriority w:val="0"/>
    <w:pPr>
      <w:spacing w:line="480" w:lineRule="exact"/>
      <w:ind w:left="1470" w:leftChars="100" w:right="100" w:rightChars="100"/>
    </w:pPr>
    <w:rPr>
      <w:rFonts w:cs="宋体"/>
      <w:sz w:val="24"/>
      <w:szCs w:val="20"/>
    </w:rPr>
  </w:style>
  <w:style w:type="paragraph" w:customStyle="1" w:styleId="158">
    <w:name w:val="样式6"/>
    <w:basedOn w:val="1"/>
    <w:link w:val="399"/>
    <w:qFormat/>
    <w:uiPriority w:val="0"/>
    <w:pPr>
      <w:snapToGrid w:val="0"/>
      <w:spacing w:line="360" w:lineRule="auto"/>
    </w:pPr>
    <w:rPr>
      <w:sz w:val="24"/>
    </w:rPr>
  </w:style>
  <w:style w:type="paragraph" w:customStyle="1" w:styleId="159">
    <w:name w:val="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160">
    <w:name w:val="Char Char Char 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61">
    <w:name w:val="Char3"/>
    <w:basedOn w:val="22"/>
    <w:qFormat/>
    <w:uiPriority w:val="0"/>
    <w:pPr>
      <w:shd w:val="clear" w:color="auto" w:fill="000080"/>
    </w:pPr>
    <w:rPr>
      <w:rFonts w:ascii="Times New Roman"/>
      <w:sz w:val="21"/>
      <w:szCs w:val="24"/>
      <w:shd w:val="clear" w:color="auto" w:fill="000080"/>
    </w:rPr>
  </w:style>
  <w:style w:type="paragraph" w:customStyle="1" w:styleId="162">
    <w:name w:val="Char Char Char1"/>
    <w:basedOn w:val="1"/>
    <w:qFormat/>
    <w:uiPriority w:val="0"/>
  </w:style>
  <w:style w:type="paragraph" w:customStyle="1" w:styleId="163">
    <w:name w:val="日期2"/>
    <w:basedOn w:val="1"/>
    <w:next w:val="1"/>
    <w:qFormat/>
    <w:uiPriority w:val="0"/>
    <w:pPr>
      <w:autoSpaceDE w:val="0"/>
      <w:autoSpaceDN w:val="0"/>
      <w:adjustRightInd w:val="0"/>
      <w:spacing w:line="315" w:lineRule="atLeast"/>
      <w:textAlignment w:val="baseline"/>
    </w:pPr>
    <w:rPr>
      <w:rFonts w:ascii="黑体" w:eastAsia="黑体"/>
      <w:kern w:val="0"/>
      <w:sz w:val="28"/>
      <w:szCs w:val="20"/>
    </w:rPr>
  </w:style>
  <w:style w:type="paragraph" w:customStyle="1" w:styleId="164">
    <w:name w:val="正文文本缩进2"/>
    <w:basedOn w:val="1"/>
    <w:qFormat/>
    <w:uiPriority w:val="0"/>
    <w:pPr>
      <w:adjustRightInd w:val="0"/>
      <w:spacing w:line="360" w:lineRule="atLeast"/>
      <w:ind w:left="280" w:firstLine="560"/>
      <w:jc w:val="left"/>
      <w:textAlignment w:val="baseline"/>
    </w:pPr>
    <w:rPr>
      <w:kern w:val="0"/>
      <w:sz w:val="24"/>
    </w:rPr>
  </w:style>
  <w:style w:type="paragraph" w:customStyle="1" w:styleId="165">
    <w:name w:val="纯文本2"/>
    <w:basedOn w:val="1"/>
    <w:qFormat/>
    <w:uiPriority w:val="0"/>
    <w:pPr>
      <w:adjustRightInd w:val="0"/>
      <w:jc w:val="left"/>
      <w:textAlignment w:val="baseline"/>
    </w:pPr>
    <w:rPr>
      <w:rFonts w:ascii="宋体" w:hAnsi="Courier New"/>
      <w:szCs w:val="20"/>
    </w:rPr>
  </w:style>
  <w:style w:type="paragraph" w:customStyle="1" w:styleId="166">
    <w:name w:val="Char13"/>
    <w:basedOn w:val="22"/>
    <w:qFormat/>
    <w:uiPriority w:val="0"/>
    <w:pPr>
      <w:shd w:val="clear" w:color="auto" w:fill="000080"/>
    </w:pPr>
    <w:rPr>
      <w:rFonts w:ascii="Tahoma" w:hAnsi="Tahoma"/>
      <w:sz w:val="24"/>
      <w:szCs w:val="24"/>
    </w:rPr>
  </w:style>
  <w:style w:type="paragraph" w:customStyle="1" w:styleId="167">
    <w:name w:val="Char Char Char Char Char Char Char Char Char1 Char Char Char1 Char Char Char Char Char Char"/>
    <w:basedOn w:val="1"/>
    <w:qFormat/>
    <w:uiPriority w:val="0"/>
    <w:pPr>
      <w:adjustRightInd w:val="0"/>
      <w:snapToGrid w:val="0"/>
      <w:spacing w:line="360" w:lineRule="auto"/>
      <w:ind w:firstLine="200" w:firstLineChars="200"/>
    </w:pPr>
    <w:rPr>
      <w:rFonts w:ascii="宋体" w:hAnsi="宋体" w:cs="宋体"/>
      <w:sz w:val="24"/>
    </w:rPr>
  </w:style>
  <w:style w:type="paragraph" w:customStyle="1" w:styleId="168">
    <w:name w:val="正文格式"/>
    <w:basedOn w:val="1"/>
    <w:next w:val="1"/>
    <w:qFormat/>
    <w:uiPriority w:val="0"/>
    <w:pPr>
      <w:spacing w:beforeLines="50"/>
      <w:ind w:firstLine="482"/>
    </w:pPr>
    <w:rPr>
      <w:rFonts w:cs="宋体"/>
      <w:sz w:val="24"/>
      <w:szCs w:val="20"/>
    </w:rPr>
  </w:style>
  <w:style w:type="paragraph" w:customStyle="1" w:styleId="169">
    <w:name w:val="样式 正文缩进 + 首行缩进:  2 字符"/>
    <w:basedOn w:val="18"/>
    <w:link w:val="385"/>
    <w:qFormat/>
    <w:uiPriority w:val="0"/>
    <w:pPr>
      <w:adjustRightInd/>
      <w:spacing w:line="520" w:lineRule="atLeast"/>
      <w:ind w:firstLineChars="200"/>
    </w:pPr>
    <w:rPr>
      <w:rFonts w:ascii="Times New Roman"/>
      <w:kern w:val="2"/>
      <w:sz w:val="28"/>
    </w:rPr>
  </w:style>
  <w:style w:type="paragraph" w:customStyle="1" w:styleId="170">
    <w:name w:val="表格小4居中"/>
    <w:basedOn w:val="1"/>
    <w:qFormat/>
    <w:uiPriority w:val="0"/>
    <w:pPr>
      <w:adjustRightInd w:val="0"/>
      <w:snapToGrid w:val="0"/>
      <w:spacing w:before="60" w:after="60" w:line="320" w:lineRule="atLeast"/>
      <w:jc w:val="center"/>
    </w:pPr>
    <w:rPr>
      <w:rFonts w:cs="宋体"/>
      <w:sz w:val="24"/>
      <w:szCs w:val="20"/>
    </w:rPr>
  </w:style>
  <w:style w:type="paragraph" w:customStyle="1" w:styleId="171">
    <w:name w:val="样式 表头1 + 段前: 0.35 行"/>
    <w:basedOn w:val="1"/>
    <w:link w:val="386"/>
    <w:qFormat/>
    <w:uiPriority w:val="0"/>
    <w:pPr>
      <w:adjustRightInd w:val="0"/>
      <w:snapToGrid w:val="0"/>
      <w:spacing w:beforeLines="35" w:line="520" w:lineRule="atLeast"/>
    </w:pPr>
    <w:rPr>
      <w:b/>
      <w:bCs/>
      <w:sz w:val="28"/>
      <w:szCs w:val="20"/>
    </w:rPr>
  </w:style>
  <w:style w:type="paragraph" w:customStyle="1" w:styleId="172">
    <w:name w:val="表头1"/>
    <w:basedOn w:val="1"/>
    <w:next w:val="18"/>
    <w:link w:val="387"/>
    <w:qFormat/>
    <w:uiPriority w:val="0"/>
    <w:pPr>
      <w:adjustRightInd w:val="0"/>
      <w:snapToGrid w:val="0"/>
      <w:spacing w:beforeLines="35" w:line="520" w:lineRule="atLeast"/>
    </w:pPr>
    <w:rPr>
      <w:b/>
      <w:sz w:val="28"/>
    </w:rPr>
  </w:style>
  <w:style w:type="paragraph" w:customStyle="1" w:styleId="173">
    <w:name w:val="样式 样式 样式 正文文本 + 四号 段前: 0.15 行 段后: 0.15 行 + 四号 段前: 0.15 行 段后: 0.1..."/>
    <w:basedOn w:val="1"/>
    <w:qFormat/>
    <w:uiPriority w:val="0"/>
    <w:pPr>
      <w:adjustRightInd w:val="0"/>
      <w:snapToGrid w:val="0"/>
      <w:spacing w:line="300" w:lineRule="atLeast"/>
    </w:pPr>
    <w:rPr>
      <w:rFonts w:cs="宋体"/>
      <w:kern w:val="0"/>
      <w:sz w:val="24"/>
      <w:szCs w:val="20"/>
    </w:rPr>
  </w:style>
  <w:style w:type="paragraph" w:customStyle="1" w:styleId="174">
    <w:name w:val="样式 正文文本 + 段前: 0.15 行"/>
    <w:basedOn w:val="15"/>
    <w:qFormat/>
    <w:uiPriority w:val="0"/>
    <w:pPr>
      <w:adjustRightInd w:val="0"/>
      <w:snapToGrid w:val="0"/>
      <w:spacing w:beforeLines="15" w:after="60" w:line="320" w:lineRule="atLeast"/>
    </w:pPr>
    <w:rPr>
      <w:rFonts w:cs="宋体"/>
      <w:sz w:val="24"/>
      <w:szCs w:val="20"/>
    </w:rPr>
  </w:style>
  <w:style w:type="paragraph" w:customStyle="1" w:styleId="175">
    <w:name w:val="样式 小4居中 +"/>
    <w:basedOn w:val="1"/>
    <w:qFormat/>
    <w:uiPriority w:val="0"/>
    <w:pPr>
      <w:snapToGrid w:val="0"/>
      <w:spacing w:beforeLines="15" w:afterLines="15" w:line="320" w:lineRule="atLeast"/>
      <w:jc w:val="center"/>
    </w:pPr>
    <w:rPr>
      <w:kern w:val="0"/>
      <w:sz w:val="24"/>
    </w:rPr>
  </w:style>
  <w:style w:type="paragraph" w:customStyle="1" w:styleId="176">
    <w:name w:val="图号2"/>
    <w:basedOn w:val="177"/>
    <w:next w:val="18"/>
    <w:qFormat/>
    <w:uiPriority w:val="0"/>
    <w:pPr>
      <w:tabs>
        <w:tab w:val="left" w:pos="360"/>
      </w:tabs>
    </w:pPr>
  </w:style>
  <w:style w:type="paragraph" w:customStyle="1" w:styleId="177">
    <w:name w:val="图号1"/>
    <w:basedOn w:val="172"/>
    <w:qFormat/>
    <w:uiPriority w:val="0"/>
    <w:pPr>
      <w:spacing w:before="109"/>
    </w:pPr>
  </w:style>
  <w:style w:type="paragraph" w:customStyle="1" w:styleId="178">
    <w:name w:val="font6"/>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179">
    <w:name w:val="font7"/>
    <w:basedOn w:val="1"/>
    <w:qFormat/>
    <w:uiPriority w:val="0"/>
    <w:pPr>
      <w:widowControl/>
      <w:spacing w:before="100" w:beforeAutospacing="1" w:after="100" w:afterAutospacing="1"/>
      <w:jc w:val="left"/>
    </w:pPr>
    <w:rPr>
      <w:rFonts w:hint="eastAsia" w:ascii="宋体" w:hAnsi="宋体" w:cs="Arial Unicode MS"/>
      <w:kern w:val="0"/>
      <w:sz w:val="16"/>
      <w:szCs w:val="16"/>
    </w:rPr>
  </w:style>
  <w:style w:type="paragraph" w:customStyle="1" w:styleId="180">
    <w:name w:val="font8"/>
    <w:basedOn w:val="1"/>
    <w:qFormat/>
    <w:uiPriority w:val="0"/>
    <w:pPr>
      <w:widowControl/>
      <w:spacing w:before="100" w:beforeAutospacing="1" w:after="100" w:afterAutospacing="1"/>
      <w:jc w:val="left"/>
    </w:pPr>
    <w:rPr>
      <w:rFonts w:eastAsia="Arial Unicode MS"/>
      <w:kern w:val="0"/>
      <w:sz w:val="16"/>
      <w:szCs w:val="16"/>
    </w:rPr>
  </w:style>
  <w:style w:type="paragraph" w:customStyle="1" w:styleId="181">
    <w:name w:val="font9"/>
    <w:basedOn w:val="1"/>
    <w:qFormat/>
    <w:uiPriority w:val="0"/>
    <w:pPr>
      <w:widowControl/>
      <w:spacing w:before="100" w:beforeAutospacing="1" w:after="100" w:afterAutospacing="1"/>
      <w:jc w:val="left"/>
    </w:pPr>
    <w:rPr>
      <w:rFonts w:eastAsia="Arial Unicode MS"/>
      <w:kern w:val="0"/>
      <w:sz w:val="24"/>
    </w:rPr>
  </w:style>
  <w:style w:type="paragraph" w:customStyle="1" w:styleId="182">
    <w:name w:val="font10"/>
    <w:basedOn w:val="1"/>
    <w:qFormat/>
    <w:uiPriority w:val="0"/>
    <w:pPr>
      <w:widowControl/>
      <w:spacing w:before="100" w:beforeAutospacing="1" w:after="100" w:afterAutospacing="1"/>
      <w:jc w:val="left"/>
    </w:pPr>
    <w:rPr>
      <w:rFonts w:hint="eastAsia" w:ascii="宋体" w:hAnsi="宋体" w:cs="Arial Unicode MS"/>
      <w:b/>
      <w:bCs/>
      <w:kern w:val="0"/>
      <w:sz w:val="24"/>
    </w:rPr>
  </w:style>
  <w:style w:type="paragraph" w:customStyle="1" w:styleId="183">
    <w:name w:val="font11"/>
    <w:basedOn w:val="1"/>
    <w:qFormat/>
    <w:uiPriority w:val="0"/>
    <w:pPr>
      <w:widowControl/>
      <w:spacing w:before="100" w:beforeAutospacing="1" w:after="100" w:afterAutospacing="1"/>
      <w:jc w:val="left"/>
    </w:pPr>
    <w:rPr>
      <w:rFonts w:hint="eastAsia" w:ascii="宋体" w:hAnsi="宋体" w:cs="Arial Unicode MS"/>
      <w:b/>
      <w:bCs/>
      <w:kern w:val="0"/>
      <w:sz w:val="20"/>
      <w:szCs w:val="20"/>
    </w:rPr>
  </w:style>
  <w:style w:type="paragraph" w:customStyle="1" w:styleId="184">
    <w:name w:val="font12"/>
    <w:basedOn w:val="1"/>
    <w:qFormat/>
    <w:uiPriority w:val="0"/>
    <w:pPr>
      <w:widowControl/>
      <w:spacing w:before="100" w:beforeAutospacing="1" w:after="100" w:afterAutospacing="1"/>
      <w:jc w:val="left"/>
    </w:pPr>
    <w:rPr>
      <w:rFonts w:eastAsia="Arial Unicode MS"/>
      <w:b/>
      <w:bCs/>
      <w:kern w:val="0"/>
      <w:sz w:val="20"/>
      <w:szCs w:val="20"/>
    </w:rPr>
  </w:style>
  <w:style w:type="paragraph" w:customStyle="1" w:styleId="185">
    <w:name w:val="font13"/>
    <w:basedOn w:val="1"/>
    <w:qFormat/>
    <w:uiPriority w:val="0"/>
    <w:pPr>
      <w:widowControl/>
      <w:spacing w:before="100" w:beforeAutospacing="1" w:after="100" w:afterAutospacing="1"/>
      <w:jc w:val="left"/>
    </w:pPr>
    <w:rPr>
      <w:rFonts w:hint="eastAsia" w:ascii="宋体" w:hAnsi="宋体" w:cs="Arial Unicode MS"/>
      <w:b/>
      <w:bCs/>
      <w:kern w:val="0"/>
      <w:sz w:val="18"/>
      <w:szCs w:val="18"/>
    </w:rPr>
  </w:style>
  <w:style w:type="paragraph" w:customStyle="1" w:styleId="186">
    <w:name w:val="font14"/>
    <w:basedOn w:val="1"/>
    <w:qFormat/>
    <w:uiPriority w:val="0"/>
    <w:pPr>
      <w:widowControl/>
      <w:spacing w:before="100" w:beforeAutospacing="1" w:after="100" w:afterAutospacing="1"/>
      <w:jc w:val="left"/>
    </w:pPr>
    <w:rPr>
      <w:rFonts w:eastAsia="Arial Unicode MS"/>
      <w:b/>
      <w:bCs/>
      <w:kern w:val="0"/>
      <w:sz w:val="18"/>
      <w:szCs w:val="18"/>
    </w:rPr>
  </w:style>
  <w:style w:type="paragraph" w:customStyle="1" w:styleId="187">
    <w:name w:val="font15"/>
    <w:basedOn w:val="1"/>
    <w:qFormat/>
    <w:uiPriority w:val="0"/>
    <w:pPr>
      <w:widowControl/>
      <w:spacing w:before="100" w:beforeAutospacing="1" w:after="100" w:afterAutospacing="1"/>
      <w:jc w:val="left"/>
    </w:pPr>
    <w:rPr>
      <w:rFonts w:eastAsia="Arial Unicode MS"/>
      <w:b/>
      <w:bCs/>
      <w:kern w:val="0"/>
      <w:sz w:val="40"/>
      <w:szCs w:val="40"/>
    </w:rPr>
  </w:style>
  <w:style w:type="paragraph" w:customStyle="1" w:styleId="188">
    <w:name w:val="font16"/>
    <w:basedOn w:val="1"/>
    <w:qFormat/>
    <w:uiPriority w:val="0"/>
    <w:pPr>
      <w:widowControl/>
      <w:spacing w:before="100" w:beforeAutospacing="1" w:after="100" w:afterAutospacing="1"/>
      <w:jc w:val="left"/>
    </w:pPr>
    <w:rPr>
      <w:rFonts w:hint="eastAsia" w:ascii="黑体" w:hAnsi="Arial Unicode MS" w:eastAsia="黑体" w:cs="Arial Unicode MS"/>
      <w:b/>
      <w:bCs/>
      <w:kern w:val="0"/>
      <w:sz w:val="40"/>
      <w:szCs w:val="40"/>
    </w:rPr>
  </w:style>
  <w:style w:type="paragraph" w:customStyle="1" w:styleId="189">
    <w:name w:val="font17"/>
    <w:basedOn w:val="1"/>
    <w:qFormat/>
    <w:uiPriority w:val="0"/>
    <w:pPr>
      <w:widowControl/>
      <w:spacing w:before="100" w:beforeAutospacing="1" w:after="100" w:afterAutospacing="1"/>
      <w:jc w:val="left"/>
    </w:pPr>
    <w:rPr>
      <w:rFonts w:eastAsia="Arial Unicode MS"/>
      <w:b/>
      <w:bCs/>
      <w:kern w:val="0"/>
      <w:sz w:val="24"/>
    </w:rPr>
  </w:style>
  <w:style w:type="paragraph" w:customStyle="1" w:styleId="190">
    <w:name w:val="xl30"/>
    <w:basedOn w:val="1"/>
    <w:qFormat/>
    <w:uiPriority w:val="0"/>
    <w:pPr>
      <w:widowControl/>
      <w:spacing w:before="100" w:beforeAutospacing="1" w:after="100" w:afterAutospacing="1"/>
      <w:jc w:val="center"/>
      <w:textAlignment w:val="center"/>
    </w:pPr>
    <w:rPr>
      <w:rFonts w:eastAsia="Arial Unicode MS"/>
      <w:kern w:val="0"/>
      <w:sz w:val="18"/>
      <w:szCs w:val="18"/>
    </w:rPr>
  </w:style>
  <w:style w:type="paragraph" w:customStyle="1" w:styleId="191">
    <w:name w:val="xl3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rPr>
  </w:style>
  <w:style w:type="paragraph" w:customStyle="1" w:styleId="192">
    <w:name w:val="xl3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rPr>
  </w:style>
  <w:style w:type="paragraph" w:customStyle="1" w:styleId="193">
    <w:name w:val="xl3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eastAsia="Arial Unicode MS"/>
      <w:b/>
      <w:bCs/>
      <w:kern w:val="0"/>
      <w:sz w:val="24"/>
    </w:rPr>
  </w:style>
  <w:style w:type="paragraph" w:customStyle="1" w:styleId="194">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rPr>
  </w:style>
  <w:style w:type="paragraph" w:customStyle="1" w:styleId="19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9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18"/>
      <w:szCs w:val="18"/>
    </w:rPr>
  </w:style>
  <w:style w:type="paragraph" w:customStyle="1" w:styleId="19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color w:val="00FFFF"/>
      <w:kern w:val="0"/>
      <w:sz w:val="12"/>
      <w:szCs w:val="12"/>
    </w:rPr>
  </w:style>
  <w:style w:type="paragraph" w:customStyle="1" w:styleId="19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18"/>
      <w:szCs w:val="18"/>
    </w:rPr>
  </w:style>
  <w:style w:type="paragraph" w:customStyle="1" w:styleId="200">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0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24"/>
    </w:rPr>
  </w:style>
  <w:style w:type="paragraph" w:customStyle="1" w:styleId="202">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color w:val="FF0000"/>
      <w:kern w:val="0"/>
      <w:sz w:val="12"/>
      <w:szCs w:val="12"/>
    </w:rPr>
  </w:style>
  <w:style w:type="paragraph" w:customStyle="1" w:styleId="20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color w:val="FF6600"/>
      <w:kern w:val="0"/>
      <w:sz w:val="20"/>
      <w:szCs w:val="20"/>
    </w:rPr>
  </w:style>
  <w:style w:type="paragraph" w:customStyle="1" w:styleId="20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5">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color w:val="FF6600"/>
      <w:kern w:val="0"/>
      <w:sz w:val="16"/>
      <w:szCs w:val="16"/>
    </w:rPr>
  </w:style>
  <w:style w:type="paragraph" w:customStyle="1" w:styleId="20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2"/>
      <w:szCs w:val="12"/>
    </w:rPr>
  </w:style>
  <w:style w:type="paragraph" w:customStyle="1" w:styleId="207">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16"/>
      <w:szCs w:val="16"/>
    </w:rPr>
  </w:style>
  <w:style w:type="paragraph" w:customStyle="1" w:styleId="208">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
      <w:bCs/>
      <w:kern w:val="0"/>
      <w:sz w:val="18"/>
      <w:szCs w:val="18"/>
    </w:rPr>
  </w:style>
  <w:style w:type="paragraph" w:customStyle="1" w:styleId="20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color w:val="3366FF"/>
      <w:kern w:val="0"/>
      <w:sz w:val="18"/>
      <w:szCs w:val="18"/>
    </w:rPr>
  </w:style>
  <w:style w:type="paragraph" w:customStyle="1" w:styleId="210">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11">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18"/>
      <w:szCs w:val="18"/>
    </w:rPr>
  </w:style>
  <w:style w:type="paragraph" w:customStyle="1" w:styleId="212">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rPr>
  </w:style>
  <w:style w:type="paragraph" w:customStyle="1" w:styleId="213">
    <w:name w:val="xl57"/>
    <w:basedOn w:val="1"/>
    <w:qFormat/>
    <w:uiPriority w:val="0"/>
    <w:pPr>
      <w:widowControl/>
      <w:spacing w:before="100" w:beforeAutospacing="1" w:after="100" w:afterAutospacing="1"/>
      <w:jc w:val="center"/>
      <w:textAlignment w:val="center"/>
    </w:pPr>
    <w:rPr>
      <w:rFonts w:hint="eastAsia" w:ascii="黑体" w:hAnsi="Arial Unicode MS" w:eastAsia="黑体" w:cs="Arial Unicode MS"/>
      <w:b/>
      <w:bCs/>
      <w:kern w:val="0"/>
      <w:sz w:val="40"/>
      <w:szCs w:val="40"/>
    </w:rPr>
  </w:style>
  <w:style w:type="paragraph" w:customStyle="1" w:styleId="214">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rPr>
  </w:style>
  <w:style w:type="paragraph" w:customStyle="1" w:styleId="215">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rPr>
  </w:style>
  <w:style w:type="paragraph" w:customStyle="1" w:styleId="216">
    <w:name w:val="样式 标题 3条标题1.1.1Section + 字距调整小三"/>
    <w:basedOn w:val="2"/>
    <w:qFormat/>
    <w:uiPriority w:val="0"/>
    <w:pPr>
      <w:numPr>
        <w:numId w:val="0"/>
      </w:numPr>
      <w:spacing w:line="300" w:lineRule="atLeast"/>
    </w:pPr>
    <w:rPr>
      <w:rFonts w:ascii="Times New Roman" w:eastAsia="宋体"/>
      <w:b/>
      <w:bCs/>
      <w:kern w:val="30"/>
    </w:rPr>
  </w:style>
  <w:style w:type="paragraph" w:customStyle="1" w:styleId="217">
    <w:name w:val="样式 正文缩进正文（首行缩进两字）文本条款 + 首行缩进:  2 字符"/>
    <w:basedOn w:val="18"/>
    <w:qFormat/>
    <w:uiPriority w:val="0"/>
    <w:pPr>
      <w:adjustRightInd/>
      <w:spacing w:line="520" w:lineRule="atLeast"/>
      <w:ind w:firstLine="560" w:firstLineChars="200"/>
    </w:pPr>
    <w:rPr>
      <w:rFonts w:ascii="Calibri" w:hAnsi="Calibri"/>
      <w:kern w:val="2"/>
      <w:sz w:val="28"/>
    </w:rPr>
  </w:style>
  <w:style w:type="paragraph" w:customStyle="1" w:styleId="218">
    <w:name w:val="样式 段前: 2.3 磅 段后: 2.3 磅"/>
    <w:basedOn w:val="1"/>
    <w:qFormat/>
    <w:uiPriority w:val="0"/>
    <w:pPr>
      <w:adjustRightInd w:val="0"/>
      <w:snapToGrid w:val="0"/>
      <w:spacing w:before="120" w:after="120" w:line="320" w:lineRule="atLeast"/>
      <w:jc w:val="center"/>
    </w:pPr>
    <w:rPr>
      <w:rFonts w:cs="宋体"/>
      <w:sz w:val="24"/>
      <w:szCs w:val="20"/>
    </w:rPr>
  </w:style>
  <w:style w:type="paragraph" w:customStyle="1" w:styleId="219">
    <w:name w:val="样式 样式 段前: 2.3 磅 段后: 2.3 磅 + 段前: 2.3 磅 段后: 2.3 磅"/>
    <w:basedOn w:val="218"/>
    <w:qFormat/>
    <w:uiPriority w:val="0"/>
  </w:style>
  <w:style w:type="paragraph" w:customStyle="1" w:styleId="220">
    <w:name w:val="表格小4"/>
    <w:basedOn w:val="219"/>
    <w:next w:val="15"/>
    <w:qFormat/>
    <w:uiPriority w:val="0"/>
    <w:pPr>
      <w:spacing w:before="60" w:after="60"/>
      <w:jc w:val="both"/>
    </w:pPr>
  </w:style>
  <w:style w:type="paragraph" w:customStyle="1" w:styleId="221">
    <w:name w:val="表格5"/>
    <w:basedOn w:val="18"/>
    <w:qFormat/>
    <w:uiPriority w:val="0"/>
    <w:pPr>
      <w:adjustRightInd/>
      <w:spacing w:beforeLines="10" w:afterLines="10" w:line="320" w:lineRule="atLeast"/>
      <w:ind w:firstLine="0"/>
      <w:jc w:val="center"/>
    </w:pPr>
    <w:rPr>
      <w:rFonts w:ascii="Calibri" w:hAnsi="Calibri"/>
      <w:kern w:val="2"/>
      <w:sz w:val="21"/>
      <w:szCs w:val="24"/>
    </w:rPr>
  </w:style>
  <w:style w:type="paragraph" w:customStyle="1" w:styleId="222">
    <w:name w:val="表格5居中"/>
    <w:basedOn w:val="220"/>
    <w:qFormat/>
    <w:uiPriority w:val="0"/>
    <w:pPr>
      <w:jc w:val="center"/>
    </w:pPr>
    <w:rPr>
      <w:sz w:val="21"/>
    </w:rPr>
  </w:style>
  <w:style w:type="paragraph" w:customStyle="1" w:styleId="223">
    <w:name w:val="样式 表格5 + 段前: 0.1 行 段后: 0.1 行"/>
    <w:basedOn w:val="221"/>
    <w:qFormat/>
    <w:uiPriority w:val="0"/>
    <w:pPr>
      <w:jc w:val="both"/>
    </w:pPr>
    <w:rPr>
      <w:rFonts w:cs="宋体"/>
      <w:szCs w:val="20"/>
    </w:rPr>
  </w:style>
  <w:style w:type="paragraph" w:customStyle="1" w:styleId="224">
    <w:name w:val="表头2"/>
    <w:basedOn w:val="172"/>
    <w:next w:val="18"/>
    <w:qFormat/>
    <w:uiPriority w:val="0"/>
    <w:pPr>
      <w:tabs>
        <w:tab w:val="left" w:pos="360"/>
      </w:tabs>
      <w:spacing w:before="109"/>
    </w:pPr>
  </w:style>
  <w:style w:type="paragraph" w:customStyle="1" w:styleId="225">
    <w:name w:val="表头3"/>
    <w:basedOn w:val="224"/>
    <w:next w:val="18"/>
    <w:qFormat/>
    <w:uiPriority w:val="0"/>
  </w:style>
  <w:style w:type="paragraph" w:customStyle="1" w:styleId="226">
    <w:name w:val="表头6"/>
    <w:basedOn w:val="225"/>
    <w:qFormat/>
    <w:uiPriority w:val="0"/>
  </w:style>
  <w:style w:type="paragraph" w:customStyle="1" w:styleId="227">
    <w:name w:val="图号4"/>
    <w:basedOn w:val="104"/>
    <w:qFormat/>
    <w:uiPriority w:val="0"/>
    <w:pPr>
      <w:tabs>
        <w:tab w:val="left" w:pos="360"/>
      </w:tabs>
      <w:adjustRightInd w:val="0"/>
      <w:snapToGrid w:val="0"/>
      <w:spacing w:beforeLines="35" w:line="520" w:lineRule="atLeast"/>
      <w:jc w:val="both"/>
    </w:pPr>
    <w:rPr>
      <w:rFonts w:ascii="Times New Roman" w:hAnsi="Times New Roman"/>
      <w:b/>
      <w:kern w:val="2"/>
      <w:sz w:val="28"/>
    </w:rPr>
  </w:style>
  <w:style w:type="paragraph" w:customStyle="1" w:styleId="228">
    <w:name w:val="项目符号"/>
    <w:basedOn w:val="1"/>
    <w:qFormat/>
    <w:uiPriority w:val="0"/>
    <w:pPr>
      <w:tabs>
        <w:tab w:val="left" w:pos="275"/>
        <w:tab w:val="left" w:pos="620"/>
      </w:tabs>
      <w:adjustRightInd w:val="0"/>
      <w:snapToGrid w:val="0"/>
      <w:spacing w:line="520" w:lineRule="atLeast"/>
      <w:ind w:left="620" w:hanging="420"/>
    </w:pPr>
    <w:rPr>
      <w:sz w:val="28"/>
      <w:szCs w:val="28"/>
    </w:rPr>
  </w:style>
  <w:style w:type="paragraph" w:customStyle="1" w:styleId="229">
    <w:name w:val="项目符号2"/>
    <w:basedOn w:val="228"/>
    <w:qFormat/>
    <w:uiPriority w:val="0"/>
    <w:pPr>
      <w:tabs>
        <w:tab w:val="left" w:pos="980"/>
        <w:tab w:val="clear" w:pos="275"/>
        <w:tab w:val="clear" w:pos="620"/>
      </w:tabs>
      <w:ind w:left="0" w:firstLine="567"/>
    </w:pPr>
  </w:style>
  <w:style w:type="paragraph" w:customStyle="1" w:styleId="230">
    <w:name w:val="公式"/>
    <w:basedOn w:val="1"/>
    <w:next w:val="18"/>
    <w:qFormat/>
    <w:uiPriority w:val="0"/>
    <w:pPr>
      <w:adjustRightInd w:val="0"/>
      <w:snapToGrid w:val="0"/>
      <w:spacing w:line="520" w:lineRule="atLeast"/>
      <w:ind w:firstLine="500" w:firstLineChars="500"/>
    </w:pPr>
    <w:rPr>
      <w:sz w:val="28"/>
    </w:rPr>
  </w:style>
  <w:style w:type="paragraph" w:customStyle="1" w:styleId="231">
    <w:name w:val="样式 表格5 + 段前: 0.1 行 段后: 0.1 行1"/>
    <w:basedOn w:val="221"/>
    <w:qFormat/>
    <w:uiPriority w:val="0"/>
    <w:pPr>
      <w:jc w:val="both"/>
    </w:pPr>
    <w:rPr>
      <w:rFonts w:cs="宋体"/>
      <w:szCs w:val="20"/>
    </w:rPr>
  </w:style>
  <w:style w:type="paragraph" w:customStyle="1" w:styleId="232">
    <w:name w:val="表头4"/>
    <w:basedOn w:val="225"/>
    <w:qFormat/>
    <w:uiPriority w:val="0"/>
  </w:style>
  <w:style w:type="paragraph" w:customStyle="1" w:styleId="233">
    <w:name w:val="表头5"/>
    <w:basedOn w:val="232"/>
    <w:qFormat/>
    <w:uiPriority w:val="0"/>
  </w:style>
  <w:style w:type="paragraph" w:customStyle="1" w:styleId="234">
    <w:name w:val="图号3"/>
    <w:basedOn w:val="104"/>
    <w:next w:val="18"/>
    <w:qFormat/>
    <w:uiPriority w:val="0"/>
    <w:pPr>
      <w:tabs>
        <w:tab w:val="left" w:pos="360"/>
      </w:tabs>
      <w:adjustRightInd w:val="0"/>
      <w:snapToGrid w:val="0"/>
      <w:spacing w:beforeLines="35" w:line="520" w:lineRule="atLeast"/>
      <w:jc w:val="both"/>
    </w:pPr>
    <w:rPr>
      <w:rFonts w:ascii="Times New Roman" w:hAnsi="Times New Roman"/>
      <w:b/>
      <w:kern w:val="2"/>
      <w:sz w:val="28"/>
    </w:rPr>
  </w:style>
  <w:style w:type="paragraph" w:customStyle="1" w:styleId="235">
    <w:name w:val="样式 列表 + 左侧:  0 厘米 悬挂缩进: 2 字符"/>
    <w:basedOn w:val="46"/>
    <w:qFormat/>
    <w:uiPriority w:val="0"/>
    <w:pPr>
      <w:spacing w:beforeLines="50"/>
      <w:ind w:left="0" w:firstLine="0" w:firstLineChars="0"/>
    </w:pPr>
    <w:rPr>
      <w:rFonts w:cs="宋体"/>
      <w:b/>
      <w:szCs w:val="20"/>
    </w:rPr>
  </w:style>
  <w:style w:type="paragraph" w:customStyle="1" w:styleId="236">
    <w:name w:val="样式 列表 + 黑色 左侧:  0 厘米 悬挂缩进: 2 字符 段前: 9.5 磅"/>
    <w:basedOn w:val="46"/>
    <w:qFormat/>
    <w:uiPriority w:val="0"/>
    <w:pPr>
      <w:spacing w:before="190"/>
      <w:ind w:left="549" w:hanging="549"/>
    </w:pPr>
    <w:rPr>
      <w:rFonts w:cs="宋体"/>
      <w:b/>
      <w:color w:val="000000"/>
      <w:szCs w:val="20"/>
    </w:rPr>
  </w:style>
  <w:style w:type="paragraph" w:customStyle="1" w:styleId="237">
    <w:name w:val="样式 标题 1章标题 1b1 + 两端对齐 段前: 6 磅 段后: 3 磅"/>
    <w:basedOn w:val="3"/>
    <w:qFormat/>
    <w:uiPriority w:val="0"/>
    <w:pPr>
      <w:keepLines/>
      <w:tabs>
        <w:tab w:val="left" w:pos="275"/>
      </w:tabs>
      <w:spacing w:beforeLines="50" w:afterLines="50" w:line="240" w:lineRule="auto"/>
      <w:ind w:left="420" w:leftChars="200"/>
    </w:pPr>
    <w:rPr>
      <w:rFonts w:hAnsi="宋体" w:cs="宋体"/>
      <w:bCs/>
      <w:color w:val="FF0000"/>
      <w:kern w:val="0"/>
      <w:sz w:val="30"/>
    </w:rPr>
  </w:style>
  <w:style w:type="paragraph" w:customStyle="1" w:styleId="238">
    <w:name w:val="样式 公式 + 首行缩进:  5 字符"/>
    <w:basedOn w:val="230"/>
    <w:qFormat/>
    <w:uiPriority w:val="0"/>
    <w:pPr>
      <w:tabs>
        <w:tab w:val="left" w:pos="275"/>
      </w:tabs>
    </w:pPr>
    <w:rPr>
      <w:rFonts w:cs="宋体"/>
      <w:szCs w:val="20"/>
    </w:rPr>
  </w:style>
  <w:style w:type="paragraph" w:customStyle="1" w:styleId="239">
    <w:name w:val="样式 样式 正文缩进 + 首行缩进:  2 字符 + 首行缩进:  2 字符"/>
    <w:basedOn w:val="169"/>
    <w:qFormat/>
    <w:uiPriority w:val="0"/>
  </w:style>
  <w:style w:type="paragraph" w:customStyle="1" w:styleId="240">
    <w:name w:val="样式 标题 1章标题 1b1 + 段前: 24 磅 段后: 24 磅 行距: 最小值 26 磅"/>
    <w:basedOn w:val="3"/>
    <w:qFormat/>
    <w:uiPriority w:val="0"/>
    <w:pPr>
      <w:tabs>
        <w:tab w:val="left" w:pos="275"/>
      </w:tabs>
      <w:spacing w:beforeLines="50" w:afterLines="50" w:line="240" w:lineRule="auto"/>
      <w:ind w:left="420" w:leftChars="200"/>
      <w:jc w:val="left"/>
    </w:pPr>
    <w:rPr>
      <w:rFonts w:hAnsi="宋体" w:cs="宋体"/>
      <w:bCs/>
      <w:color w:val="FF0000"/>
      <w:kern w:val="0"/>
      <w:sz w:val="28"/>
    </w:rPr>
  </w:style>
  <w:style w:type="paragraph" w:customStyle="1" w:styleId="241">
    <w:name w:val="样式 样式 正文缩进文本条款表格标题正文（首行缩进两字） Char Char Char Char Char Char Char....1"/>
    <w:basedOn w:val="1"/>
    <w:qFormat/>
    <w:uiPriority w:val="0"/>
    <w:pPr>
      <w:tabs>
        <w:tab w:val="left" w:pos="283"/>
      </w:tabs>
      <w:adjustRightInd w:val="0"/>
      <w:snapToGrid w:val="0"/>
      <w:spacing w:line="520" w:lineRule="atLeast"/>
      <w:ind w:firstLine="570" w:firstLineChars="196"/>
    </w:pPr>
    <w:rPr>
      <w:rFonts w:cs="宋体"/>
      <w:sz w:val="28"/>
      <w:szCs w:val="20"/>
    </w:rPr>
  </w:style>
  <w:style w:type="paragraph" w:customStyle="1" w:styleId="242">
    <w:name w:val="样式 项目符号 +"/>
    <w:basedOn w:val="228"/>
    <w:qFormat/>
    <w:uiPriority w:val="0"/>
    <w:pPr>
      <w:tabs>
        <w:tab w:val="clear" w:pos="620"/>
      </w:tabs>
      <w:ind w:left="0" w:firstLine="0"/>
    </w:pPr>
    <w:rPr>
      <w:kern w:val="0"/>
    </w:rPr>
  </w:style>
  <w:style w:type="paragraph" w:customStyle="1" w:styleId="243">
    <w:name w:val="样式 项目符号 +1"/>
    <w:basedOn w:val="228"/>
    <w:qFormat/>
    <w:uiPriority w:val="0"/>
    <w:pPr>
      <w:tabs>
        <w:tab w:val="left" w:pos="1180"/>
        <w:tab w:val="clear" w:pos="275"/>
        <w:tab w:val="clear" w:pos="620"/>
      </w:tabs>
      <w:ind w:left="1180"/>
    </w:pPr>
    <w:rPr>
      <w:kern w:val="0"/>
    </w:rPr>
  </w:style>
  <w:style w:type="paragraph" w:customStyle="1" w:styleId="244">
    <w:name w:val="样式 样式 样式1 + 段前: 4.75 磅 段后: 4.75 磅 + 非加粗"/>
    <w:basedOn w:val="1"/>
    <w:qFormat/>
    <w:uiPriority w:val="0"/>
    <w:pPr>
      <w:adjustRightInd w:val="0"/>
      <w:snapToGrid w:val="0"/>
      <w:spacing w:line="500" w:lineRule="atLeast"/>
      <w:outlineLvl w:val="4"/>
    </w:pPr>
    <w:rPr>
      <w:rFonts w:cs="宋体"/>
      <w:sz w:val="28"/>
      <w:szCs w:val="20"/>
    </w:rPr>
  </w:style>
  <w:style w:type="paragraph" w:customStyle="1" w:styleId="245">
    <w:name w:val="样式 样式 样式 样式1 + 段前: 4.75 磅 段后: 4.75 磅 + 非加粗 + 行距: 最小值 26 磅"/>
    <w:basedOn w:val="244"/>
    <w:qFormat/>
    <w:uiPriority w:val="0"/>
  </w:style>
  <w:style w:type="paragraph" w:customStyle="1" w:styleId="246">
    <w:name w:val="样式 正文文本 + 居中"/>
    <w:basedOn w:val="15"/>
    <w:qFormat/>
    <w:uiPriority w:val="0"/>
    <w:pPr>
      <w:adjustRightInd w:val="0"/>
      <w:snapToGrid w:val="0"/>
      <w:spacing w:beforeLines="10" w:after="60" w:line="340" w:lineRule="atLeast"/>
      <w:jc w:val="center"/>
    </w:pPr>
    <w:rPr>
      <w:rFonts w:cs="宋体"/>
      <w:sz w:val="24"/>
      <w:szCs w:val="20"/>
    </w:rPr>
  </w:style>
  <w:style w:type="paragraph" w:customStyle="1" w:styleId="247">
    <w:name w:val="样式 样式 列表 + 段前: 0.5 行 + 左侧:  0 厘米 悬挂缩进: 2 字符"/>
    <w:basedOn w:val="1"/>
    <w:qFormat/>
    <w:uiPriority w:val="0"/>
    <w:pPr>
      <w:adjustRightInd w:val="0"/>
      <w:snapToGrid w:val="0"/>
      <w:spacing w:before="120" w:line="520" w:lineRule="atLeast"/>
      <w:ind w:left="200" w:hanging="200" w:hangingChars="200"/>
      <w:jc w:val="center"/>
    </w:pPr>
    <w:rPr>
      <w:rFonts w:cs="宋体"/>
      <w:b/>
      <w:kern w:val="0"/>
      <w:sz w:val="28"/>
      <w:szCs w:val="20"/>
    </w:rPr>
  </w:style>
  <w:style w:type="paragraph" w:customStyle="1" w:styleId="248">
    <w:name w:val="正文 + 五号"/>
    <w:basedOn w:val="1"/>
    <w:qFormat/>
    <w:uiPriority w:val="0"/>
    <w:pPr>
      <w:suppressLineNumbers/>
      <w:suppressAutoHyphens/>
      <w:topLinePunct/>
      <w:adjustRightInd w:val="0"/>
      <w:snapToGrid w:val="0"/>
      <w:spacing w:line="340" w:lineRule="exact"/>
      <w:jc w:val="center"/>
      <w:textAlignment w:val="baseline"/>
    </w:pPr>
    <w:rPr>
      <w:kern w:val="0"/>
      <w:szCs w:val="21"/>
    </w:rPr>
  </w:style>
  <w:style w:type="paragraph" w:customStyle="1" w:styleId="249">
    <w:name w:val="样式 样式 样式 样式 样式1 + 段前: 4.75 磅 段后: 4.75 磅 + 非加粗 + 行距: 最小值 26 磅 + 字..."/>
    <w:basedOn w:val="245"/>
    <w:qFormat/>
    <w:uiPriority w:val="0"/>
    <w:pPr>
      <w:tabs>
        <w:tab w:val="left" w:pos="432"/>
      </w:tabs>
      <w:spacing w:line="520" w:lineRule="atLeast"/>
      <w:ind w:left="432" w:hanging="432"/>
    </w:pPr>
    <w:rPr>
      <w:kern w:val="44"/>
    </w:rPr>
  </w:style>
  <w:style w:type="paragraph" w:customStyle="1" w:styleId="250">
    <w:name w:val="表格内容"/>
    <w:basedOn w:val="1"/>
    <w:qFormat/>
    <w:uiPriority w:val="0"/>
    <w:pPr>
      <w:adjustRightInd w:val="0"/>
      <w:snapToGrid w:val="0"/>
      <w:spacing w:line="360" w:lineRule="auto"/>
    </w:pPr>
    <w:rPr>
      <w:rFonts w:ascii="宋体"/>
      <w:sz w:val="24"/>
      <w:szCs w:val="20"/>
    </w:rPr>
  </w:style>
  <w:style w:type="paragraph" w:customStyle="1" w:styleId="251">
    <w:name w:val="表1"/>
    <w:basedOn w:val="1"/>
    <w:qFormat/>
    <w:uiPriority w:val="0"/>
    <w:pPr>
      <w:keepNext/>
      <w:overflowPunct w:val="0"/>
      <w:autoSpaceDE w:val="0"/>
      <w:snapToGrid w:val="0"/>
      <w:spacing w:line="360" w:lineRule="auto"/>
      <w:jc w:val="center"/>
      <w:textAlignment w:val="center"/>
    </w:pPr>
    <w:rPr>
      <w:kern w:val="0"/>
      <w:sz w:val="24"/>
    </w:rPr>
  </w:style>
  <w:style w:type="paragraph" w:customStyle="1" w:styleId="252">
    <w:name w:val="样式 首行缩进:  2 字符2"/>
    <w:basedOn w:val="1"/>
    <w:qFormat/>
    <w:uiPriority w:val="0"/>
    <w:pPr>
      <w:ind w:firstLine="560" w:firstLineChars="200"/>
    </w:pPr>
    <w:rPr>
      <w:rFonts w:cs="宋体"/>
      <w:sz w:val="28"/>
      <w:szCs w:val="20"/>
    </w:rPr>
  </w:style>
  <w:style w:type="paragraph" w:customStyle="1" w:styleId="253">
    <w:name w:val="默认段落字体 Para Char Char Char Char"/>
    <w:basedOn w:val="1"/>
    <w:qFormat/>
    <w:uiPriority w:val="0"/>
    <w:pPr>
      <w:spacing w:line="360" w:lineRule="auto"/>
      <w:ind w:firstLine="200" w:firstLineChars="200"/>
    </w:pPr>
    <w:rPr>
      <w:rFonts w:ascii="宋体" w:hAnsi="宋体" w:cs="宋体"/>
      <w:sz w:val="24"/>
    </w:rPr>
  </w:style>
  <w:style w:type="paragraph" w:customStyle="1" w:styleId="254">
    <w:name w:val="正文文字"/>
    <w:basedOn w:val="1"/>
    <w:qFormat/>
    <w:uiPriority w:val="0"/>
    <w:pPr>
      <w:widowControl/>
      <w:overflowPunct w:val="0"/>
      <w:autoSpaceDE w:val="0"/>
      <w:autoSpaceDN w:val="0"/>
      <w:adjustRightInd w:val="0"/>
      <w:snapToGrid w:val="0"/>
      <w:spacing w:after="160"/>
      <w:jc w:val="left"/>
      <w:textAlignment w:val="baseline"/>
    </w:pPr>
    <w:rPr>
      <w:kern w:val="0"/>
      <w:sz w:val="20"/>
      <w:szCs w:val="20"/>
    </w:rPr>
  </w:style>
  <w:style w:type="paragraph" w:customStyle="1" w:styleId="255">
    <w:name w:val="样式 样式 正文首行缩进 + 左侧:  2 字符 段前: 0.15 行 段后: 0.15 行 + 首行缩进:  2 字符"/>
    <w:basedOn w:val="1"/>
    <w:qFormat/>
    <w:uiPriority w:val="0"/>
    <w:pPr>
      <w:adjustRightInd w:val="0"/>
      <w:snapToGrid w:val="0"/>
      <w:spacing w:line="520" w:lineRule="atLeast"/>
      <w:ind w:firstLine="200"/>
    </w:pPr>
    <w:rPr>
      <w:rFonts w:cs="宋体"/>
      <w:sz w:val="28"/>
      <w:szCs w:val="20"/>
    </w:rPr>
  </w:style>
  <w:style w:type="paragraph" w:customStyle="1" w:styleId="256">
    <w:name w:val="样式 标题 1 + 段前: 0.5 行 段后: 0.5 行"/>
    <w:basedOn w:val="3"/>
    <w:qFormat/>
    <w:uiPriority w:val="0"/>
    <w:pPr>
      <w:keepLines/>
      <w:suppressLineNumbers/>
      <w:tabs>
        <w:tab w:val="left" w:pos="851"/>
        <w:tab w:val="left" w:pos="969"/>
      </w:tabs>
      <w:suppressAutoHyphens/>
      <w:topLinePunct/>
      <w:spacing w:beforeLines="50" w:afterLines="50"/>
      <w:ind w:left="969" w:leftChars="200" w:hanging="420"/>
      <w:jc w:val="left"/>
      <w:textAlignment w:val="baseline"/>
    </w:pPr>
    <w:rPr>
      <w:rFonts w:hAnsi="宋体"/>
      <w:bCs/>
      <w:color w:val="FF0000"/>
      <w:kern w:val="0"/>
      <w:sz w:val="28"/>
      <w:szCs w:val="28"/>
    </w:rPr>
  </w:style>
  <w:style w:type="paragraph" w:customStyle="1" w:styleId="257">
    <w:name w:val="Texte"/>
    <w:basedOn w:val="1"/>
    <w:qFormat/>
    <w:uiPriority w:val="0"/>
    <w:pPr>
      <w:widowControl/>
      <w:adjustRightInd w:val="0"/>
      <w:spacing w:before="120" w:after="120"/>
      <w:ind w:left="851"/>
      <w:textAlignment w:val="baseline"/>
    </w:pPr>
    <w:rPr>
      <w:rFonts w:ascii="Arial" w:hAnsi="Arial"/>
      <w:kern w:val="0"/>
      <w:sz w:val="22"/>
      <w:szCs w:val="20"/>
    </w:rPr>
  </w:style>
  <w:style w:type="paragraph" w:customStyle="1" w:styleId="258">
    <w:name w:val="样式 正文缩进正文（首行缩进两字）文本条款 + 首行缩进:  1.92 字符"/>
    <w:basedOn w:val="18"/>
    <w:qFormat/>
    <w:uiPriority w:val="0"/>
    <w:pPr>
      <w:adjustRightInd/>
      <w:spacing w:line="480" w:lineRule="atLeast"/>
      <w:ind w:firstLine="538" w:firstLineChars="192"/>
      <w:jc w:val="left"/>
    </w:pPr>
    <w:rPr>
      <w:rFonts w:hAnsi="Calibri" w:cs="宋体"/>
      <w:kern w:val="2"/>
      <w:sz w:val="28"/>
    </w:rPr>
  </w:style>
  <w:style w:type="paragraph" w:customStyle="1" w:styleId="259">
    <w:name w:val="111"/>
    <w:basedOn w:val="1"/>
    <w:qFormat/>
    <w:uiPriority w:val="0"/>
    <w:pPr>
      <w:keepNext/>
      <w:keepLines/>
      <w:tabs>
        <w:tab w:val="left" w:pos="360"/>
      </w:tabs>
      <w:adjustRightInd w:val="0"/>
      <w:snapToGrid w:val="0"/>
      <w:spacing w:beforeLines="50" w:afterLines="100"/>
      <w:ind w:firstLine="425"/>
      <w:jc w:val="left"/>
      <w:textAlignment w:val="baseline"/>
      <w:outlineLvl w:val="0"/>
    </w:pPr>
    <w:rPr>
      <w:rFonts w:ascii="黑体" w:eastAsia="黑体"/>
      <w:bCs/>
      <w:kern w:val="44"/>
      <w:sz w:val="30"/>
      <w:szCs w:val="30"/>
    </w:rPr>
  </w:style>
  <w:style w:type="paragraph" w:customStyle="1" w:styleId="260">
    <w:name w:val="正文文字缩进"/>
    <w:basedOn w:val="1"/>
    <w:qFormat/>
    <w:uiPriority w:val="0"/>
    <w:pPr>
      <w:suppressLineNumbers/>
      <w:suppressAutoHyphens/>
      <w:topLinePunct/>
      <w:adjustRightInd w:val="0"/>
      <w:snapToGrid w:val="0"/>
      <w:spacing w:line="360" w:lineRule="auto"/>
      <w:ind w:firstLine="425"/>
      <w:jc w:val="left"/>
      <w:textAlignment w:val="baseline"/>
    </w:pPr>
    <w:rPr>
      <w:kern w:val="0"/>
      <w:sz w:val="28"/>
      <w:szCs w:val="28"/>
    </w:rPr>
  </w:style>
  <w:style w:type="paragraph" w:customStyle="1" w:styleId="261">
    <w:name w:val="表格表头"/>
    <w:basedOn w:val="1"/>
    <w:qFormat/>
    <w:uiPriority w:val="0"/>
    <w:pPr>
      <w:snapToGrid w:val="0"/>
      <w:spacing w:beforeLines="60" w:afterLines="40"/>
      <w:jc w:val="center"/>
    </w:pPr>
    <w:rPr>
      <w:rFonts w:ascii="宋体" w:hAnsi="宋体" w:cs="宋体"/>
      <w:sz w:val="28"/>
      <w:szCs w:val="28"/>
    </w:rPr>
  </w:style>
  <w:style w:type="paragraph" w:customStyle="1" w:styleId="262">
    <w:name w:val="正文文字 2"/>
    <w:basedOn w:val="1"/>
    <w:qFormat/>
    <w:uiPriority w:val="0"/>
    <w:pPr>
      <w:suppressLineNumbers/>
      <w:suppressAutoHyphens/>
      <w:topLinePunct/>
      <w:adjustRightInd w:val="0"/>
      <w:snapToGrid w:val="0"/>
      <w:spacing w:after="120" w:line="480" w:lineRule="auto"/>
      <w:ind w:firstLine="425"/>
      <w:jc w:val="left"/>
      <w:textAlignment w:val="baseline"/>
    </w:pPr>
    <w:rPr>
      <w:kern w:val="0"/>
      <w:sz w:val="28"/>
      <w:szCs w:val="28"/>
    </w:rPr>
  </w:style>
  <w:style w:type="paragraph" w:customStyle="1" w:styleId="263">
    <w:name w:val="样式 样式1 + 字距调整二号"/>
    <w:basedOn w:val="1"/>
    <w:qFormat/>
    <w:uiPriority w:val="0"/>
    <w:pPr>
      <w:suppressLineNumbers/>
      <w:tabs>
        <w:tab w:val="left" w:pos="970"/>
      </w:tabs>
      <w:suppressAutoHyphens/>
      <w:topLinePunct/>
      <w:adjustRightInd w:val="0"/>
      <w:snapToGrid w:val="0"/>
      <w:spacing w:line="360" w:lineRule="auto"/>
      <w:ind w:left="970" w:hanging="420"/>
      <w:jc w:val="left"/>
      <w:textAlignment w:val="baseline"/>
    </w:pPr>
    <w:rPr>
      <w:kern w:val="0"/>
      <w:sz w:val="28"/>
      <w:szCs w:val="28"/>
    </w:rPr>
  </w:style>
  <w:style w:type="paragraph" w:customStyle="1" w:styleId="264">
    <w:name w:val="样式 表1 + 宋体 五号 首行缩进:  2 字符"/>
    <w:basedOn w:val="251"/>
    <w:qFormat/>
    <w:uiPriority w:val="0"/>
    <w:rPr>
      <w:rFonts w:ascii="宋体" w:hAnsi="宋体" w:cs="宋体"/>
    </w:rPr>
  </w:style>
  <w:style w:type="paragraph" w:customStyle="1" w:styleId="265">
    <w:name w:val="正文文字缩进 2 Char Char"/>
    <w:basedOn w:val="1"/>
    <w:qFormat/>
    <w:uiPriority w:val="0"/>
    <w:pPr>
      <w:adjustRightInd w:val="0"/>
      <w:snapToGrid w:val="0"/>
      <w:spacing w:line="360" w:lineRule="auto"/>
      <w:ind w:firstLine="480" w:firstLineChars="200"/>
      <w:jc w:val="left"/>
    </w:pPr>
    <w:rPr>
      <w:rFonts w:ascii="宋体" w:hAnsi="宋体"/>
      <w:color w:val="000000"/>
      <w:sz w:val="24"/>
    </w:rPr>
  </w:style>
  <w:style w:type="paragraph" w:customStyle="1" w:styleId="266">
    <w:name w:val="段落"/>
    <w:basedOn w:val="1"/>
    <w:qFormat/>
    <w:uiPriority w:val="0"/>
    <w:pPr>
      <w:widowControl/>
      <w:adjustRightInd w:val="0"/>
      <w:spacing w:line="420" w:lineRule="exact"/>
      <w:ind w:firstLine="520" w:firstLineChars="200"/>
      <w:textAlignment w:val="baseline"/>
    </w:pPr>
    <w:rPr>
      <w:spacing w:val="10"/>
      <w:kern w:val="0"/>
      <w:sz w:val="24"/>
      <w:szCs w:val="20"/>
    </w:rPr>
  </w:style>
  <w:style w:type="paragraph" w:customStyle="1" w:styleId="267">
    <w:name w:val="样式 列表 + (符号) 宋体 小四 非加粗 首行缩进:  0.99 厘米 段前: 0.5 行"/>
    <w:basedOn w:val="46"/>
    <w:qFormat/>
    <w:uiPriority w:val="0"/>
    <w:pPr>
      <w:adjustRightInd/>
      <w:spacing w:line="480" w:lineRule="atLeast"/>
      <w:ind w:left="0" w:firstLine="561" w:firstLineChars="0"/>
      <w:jc w:val="left"/>
    </w:pPr>
    <w:rPr>
      <w:rFonts w:ascii="宋体" w:hAnsi="宋体" w:cs="宋体"/>
      <w:sz w:val="24"/>
      <w:szCs w:val="20"/>
    </w:rPr>
  </w:style>
  <w:style w:type="paragraph" w:customStyle="1" w:styleId="268">
    <w:name w:val="样式 列表 + 段前: 0.5 行"/>
    <w:basedOn w:val="46"/>
    <w:qFormat/>
    <w:uiPriority w:val="0"/>
    <w:pPr>
      <w:spacing w:line="480" w:lineRule="atLeast"/>
      <w:ind w:left="0" w:firstLine="0" w:firstLineChars="0"/>
      <w:jc w:val="left"/>
    </w:pPr>
    <w:rPr>
      <w:rFonts w:ascii="宋体" w:cs="宋体"/>
      <w:b/>
      <w:bCs/>
      <w:kern w:val="0"/>
      <w:szCs w:val="20"/>
    </w:rPr>
  </w:style>
  <w:style w:type="paragraph" w:customStyle="1" w:styleId="269">
    <w:name w:val="样式 标题 3条标题1.1.1标题 3 Char Char + 段前: 3 磅 段后: 3 磅"/>
    <w:basedOn w:val="2"/>
    <w:qFormat/>
    <w:uiPriority w:val="0"/>
    <w:pPr>
      <w:numPr>
        <w:numId w:val="0"/>
      </w:numPr>
      <w:spacing w:before="60" w:after="60" w:line="360" w:lineRule="auto"/>
      <w:ind w:firstLine="564" w:firstLineChars="235"/>
    </w:pPr>
    <w:rPr>
      <w:rFonts w:ascii="Times New Roman" w:eastAsia="宋体" w:cs="宋体"/>
      <w:b/>
      <w:bCs/>
    </w:rPr>
  </w:style>
  <w:style w:type="paragraph" w:customStyle="1" w:styleId="270">
    <w:name w:val="paragraph"/>
    <w:basedOn w:val="1"/>
    <w:qFormat/>
    <w:uiPriority w:val="0"/>
    <w:pPr>
      <w:widowControl/>
      <w:spacing w:line="240" w:lineRule="atLeast"/>
      <w:ind w:left="315"/>
      <w:jc w:val="left"/>
    </w:pPr>
    <w:rPr>
      <w:rFonts w:ascii="Verdana" w:hAnsi="Verdana" w:cs="宋体"/>
      <w:color w:val="747474"/>
      <w:kern w:val="0"/>
      <w:sz w:val="18"/>
      <w:szCs w:val="18"/>
    </w:rPr>
  </w:style>
  <w:style w:type="paragraph" w:customStyle="1" w:styleId="271">
    <w:name w:val="body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272">
    <w:name w:val="小4居中"/>
    <w:basedOn w:val="15"/>
    <w:qFormat/>
    <w:uiPriority w:val="0"/>
    <w:pPr>
      <w:snapToGrid w:val="0"/>
      <w:spacing w:beforeLines="15" w:afterLines="15" w:line="320" w:lineRule="atLeast"/>
    </w:pPr>
    <w:rPr>
      <w:sz w:val="24"/>
    </w:rPr>
  </w:style>
  <w:style w:type="paragraph" w:customStyle="1" w:styleId="273">
    <w:name w:val="小4"/>
    <w:basedOn w:val="15"/>
    <w:qFormat/>
    <w:uiPriority w:val="0"/>
    <w:pPr>
      <w:snapToGrid w:val="0"/>
      <w:spacing w:beforeLines="15" w:afterLines="15" w:line="320" w:lineRule="atLeast"/>
    </w:pPr>
    <w:rPr>
      <w:sz w:val="24"/>
    </w:rPr>
  </w:style>
  <w:style w:type="paragraph" w:customStyle="1" w:styleId="274">
    <w:name w:val="5居中"/>
    <w:basedOn w:val="273"/>
    <w:qFormat/>
    <w:uiPriority w:val="0"/>
    <w:pPr>
      <w:jc w:val="center"/>
    </w:pPr>
    <w:rPr>
      <w:sz w:val="21"/>
    </w:rPr>
  </w:style>
  <w:style w:type="paragraph" w:customStyle="1" w:styleId="275">
    <w:name w:val="样式 5居中 + 段前: 0.15 行 段后: 0.15 行"/>
    <w:basedOn w:val="274"/>
    <w:qFormat/>
    <w:uiPriority w:val="0"/>
    <w:rPr>
      <w:rFonts w:cs="宋体"/>
      <w:szCs w:val="20"/>
    </w:rPr>
  </w:style>
  <w:style w:type="paragraph" w:customStyle="1" w:styleId="276">
    <w:name w:val="5号"/>
    <w:basedOn w:val="275"/>
    <w:qFormat/>
    <w:uiPriority w:val="0"/>
    <w:pPr>
      <w:spacing w:before="46" w:after="46"/>
      <w:jc w:val="both"/>
    </w:pPr>
  </w:style>
  <w:style w:type="paragraph" w:customStyle="1" w:styleId="277">
    <w:name w:val="样式 样式 列表 + 左侧:  0 厘米 悬挂缩进: 2 字符 + 段前: 0.5 行"/>
    <w:basedOn w:val="235"/>
    <w:qFormat/>
    <w:uiPriority w:val="0"/>
    <w:pPr>
      <w:adjustRightInd/>
      <w:jc w:val="center"/>
    </w:pPr>
    <w:rPr>
      <w:bCs/>
    </w:rPr>
  </w:style>
  <w:style w:type="paragraph" w:customStyle="1" w:styleId="278">
    <w:name w:val="表头"/>
    <w:basedOn w:val="1"/>
    <w:qFormat/>
    <w:uiPriority w:val="0"/>
    <w:pPr>
      <w:snapToGrid w:val="0"/>
      <w:spacing w:beforeLines="50" w:line="520" w:lineRule="atLeast"/>
    </w:pPr>
    <w:rPr>
      <w:b/>
      <w:sz w:val="28"/>
    </w:rPr>
  </w:style>
  <w:style w:type="paragraph" w:customStyle="1" w:styleId="279">
    <w:name w:val="符号"/>
    <w:basedOn w:val="169"/>
    <w:qFormat/>
    <w:uiPriority w:val="0"/>
    <w:pPr>
      <w:numPr>
        <w:ilvl w:val="0"/>
        <w:numId w:val="3"/>
      </w:numPr>
      <w:tabs>
        <w:tab w:val="left" w:pos="360"/>
        <w:tab w:val="clear" w:pos="0"/>
      </w:tabs>
      <w:ind w:left="360" w:hanging="360" w:firstLineChars="0"/>
    </w:pPr>
  </w:style>
  <w:style w:type="paragraph" w:customStyle="1" w:styleId="280">
    <w:name w:val="表2"/>
    <w:basedOn w:val="251"/>
    <w:qFormat/>
    <w:uiPriority w:val="0"/>
    <w:pPr>
      <w:numPr>
        <w:ilvl w:val="0"/>
        <w:numId w:val="4"/>
      </w:numPr>
      <w:spacing w:beforeLines="50" w:line="520" w:lineRule="atLeast"/>
      <w:jc w:val="both"/>
      <w:textAlignment w:val="auto"/>
    </w:pPr>
    <w:rPr>
      <w:b/>
      <w:kern w:val="2"/>
      <w:sz w:val="28"/>
    </w:rPr>
  </w:style>
  <w:style w:type="paragraph" w:customStyle="1" w:styleId="281">
    <w:name w:val="表3"/>
    <w:basedOn w:val="251"/>
    <w:qFormat/>
    <w:uiPriority w:val="0"/>
    <w:pPr>
      <w:numPr>
        <w:ilvl w:val="0"/>
        <w:numId w:val="5"/>
      </w:numPr>
      <w:spacing w:beforeLines="50" w:line="520" w:lineRule="atLeast"/>
      <w:jc w:val="both"/>
      <w:textAlignment w:val="auto"/>
    </w:pPr>
    <w:rPr>
      <w:b/>
      <w:kern w:val="2"/>
      <w:sz w:val="28"/>
    </w:rPr>
  </w:style>
  <w:style w:type="paragraph" w:customStyle="1" w:styleId="282">
    <w:name w:val="样式 小4居中 + 段前: 0.15 行 段后: 0.15 行"/>
    <w:basedOn w:val="272"/>
    <w:qFormat/>
    <w:uiPriority w:val="0"/>
    <w:pPr>
      <w:spacing w:before="57" w:after="57"/>
      <w:jc w:val="center"/>
    </w:pPr>
    <w:rPr>
      <w:rFonts w:cs="宋体"/>
      <w:szCs w:val="20"/>
    </w:rPr>
  </w:style>
  <w:style w:type="paragraph" w:customStyle="1" w:styleId="283">
    <w:name w:val="样式 标题 1章标题 1b1H1PIM 1标书1-*+1st levelSection Headl1L1 H..."/>
    <w:basedOn w:val="3"/>
    <w:qFormat/>
    <w:uiPriority w:val="0"/>
    <w:pPr>
      <w:keepLines/>
      <w:numPr>
        <w:ilvl w:val="0"/>
        <w:numId w:val="6"/>
      </w:numPr>
      <w:spacing w:beforeLines="50" w:afterLines="50" w:line="240" w:lineRule="auto"/>
      <w:ind w:left="200" w:leftChars="200"/>
    </w:pPr>
    <w:rPr>
      <w:rFonts w:hAnsi="宋体"/>
      <w:bCs/>
      <w:color w:val="FF0000"/>
      <w:kern w:val="0"/>
      <w:sz w:val="28"/>
      <w:szCs w:val="28"/>
    </w:rPr>
  </w:style>
  <w:style w:type="paragraph" w:customStyle="1" w:styleId="284">
    <w:name w:val="正文文本5号"/>
    <w:basedOn w:val="15"/>
    <w:qFormat/>
    <w:uiPriority w:val="0"/>
    <w:pPr>
      <w:snapToGrid w:val="0"/>
      <w:spacing w:after="0" w:line="240" w:lineRule="atLeast"/>
      <w:jc w:val="center"/>
    </w:pPr>
  </w:style>
  <w:style w:type="paragraph" w:customStyle="1" w:styleId="285">
    <w:name w:val="样式 标题 1章标题 1b1H1PIM 1标书1-*+1st levelSection Headl1L1 H...1"/>
    <w:basedOn w:val="3"/>
    <w:qFormat/>
    <w:uiPriority w:val="0"/>
    <w:pPr>
      <w:numPr>
        <w:ilvl w:val="0"/>
        <w:numId w:val="7"/>
      </w:numPr>
      <w:spacing w:beforeLines="50" w:afterLines="50" w:line="240" w:lineRule="auto"/>
      <w:ind w:left="200" w:leftChars="200"/>
      <w:jc w:val="left"/>
    </w:pPr>
    <w:rPr>
      <w:rFonts w:hAnsi="宋体"/>
      <w:bCs/>
      <w:color w:val="FF0000"/>
      <w:kern w:val="0"/>
      <w:sz w:val="36"/>
      <w:szCs w:val="28"/>
    </w:rPr>
  </w:style>
  <w:style w:type="paragraph" w:customStyle="1" w:styleId="286">
    <w:name w:val="公式1"/>
    <w:basedOn w:val="169"/>
    <w:qFormat/>
    <w:uiPriority w:val="0"/>
    <w:pPr>
      <w:ind w:firstLine="500" w:firstLineChars="500"/>
    </w:pPr>
  </w:style>
  <w:style w:type="paragraph" w:customStyle="1" w:styleId="287">
    <w:name w:val="样式 5居中 + 小五 段前: 0.15 行 段后: 0.15 行"/>
    <w:basedOn w:val="274"/>
    <w:qFormat/>
    <w:uiPriority w:val="0"/>
    <w:pPr>
      <w:spacing w:beforeLines="0" w:afterLines="0" w:line="180" w:lineRule="exact"/>
    </w:pPr>
    <w:rPr>
      <w:rFonts w:eastAsia="Arial" w:cs="宋体"/>
      <w:sz w:val="13"/>
      <w:szCs w:val="20"/>
    </w:rPr>
  </w:style>
  <w:style w:type="paragraph" w:customStyle="1" w:styleId="288">
    <w:name w:val="表格文字中"/>
    <w:basedOn w:val="1"/>
    <w:qFormat/>
    <w:uiPriority w:val="0"/>
    <w:pPr>
      <w:tabs>
        <w:tab w:val="left" w:pos="0"/>
        <w:tab w:val="left" w:pos="7020"/>
        <w:tab w:val="left" w:pos="8280"/>
      </w:tabs>
      <w:suppressAutoHyphens/>
      <w:adjustRightInd w:val="0"/>
      <w:snapToGrid w:val="0"/>
      <w:spacing w:line="260" w:lineRule="exact"/>
      <w:jc w:val="center"/>
    </w:pPr>
    <w:rPr>
      <w:rFonts w:ascii="Arial Rounded MT Bold" w:hAnsi="Arial Rounded MT Bold"/>
      <w:sz w:val="18"/>
      <w:szCs w:val="18"/>
    </w:rPr>
  </w:style>
  <w:style w:type="paragraph" w:customStyle="1" w:styleId="289">
    <w:name w:val="样式 正文缩进文本条款表格标题正文（首行缩进两字） Char Char Char Char Char Char Char...2"/>
    <w:basedOn w:val="18"/>
    <w:qFormat/>
    <w:uiPriority w:val="0"/>
    <w:pPr>
      <w:adjustRightInd/>
      <w:spacing w:line="520" w:lineRule="atLeast"/>
      <w:ind w:firstLineChars="200"/>
    </w:pPr>
    <w:rPr>
      <w:rFonts w:ascii="Calibri" w:hAnsi="Calibri" w:cs="宋体"/>
      <w:color w:val="000000"/>
      <w:kern w:val="2"/>
      <w:sz w:val="28"/>
    </w:rPr>
  </w:style>
  <w:style w:type="paragraph" w:customStyle="1" w:styleId="290">
    <w:name w:val="四号 正文"/>
    <w:basedOn w:val="1"/>
    <w:link w:val="390"/>
    <w:qFormat/>
    <w:uiPriority w:val="0"/>
    <w:pPr>
      <w:ind w:firstLine="584" w:firstLineChars="200"/>
    </w:pPr>
    <w:rPr>
      <w:spacing w:val="6"/>
      <w:sz w:val="28"/>
      <w:szCs w:val="20"/>
    </w:rPr>
  </w:style>
  <w:style w:type="paragraph" w:customStyle="1" w:styleId="291">
    <w:name w:val="报告正文"/>
    <w:basedOn w:val="1"/>
    <w:link w:val="391"/>
    <w:qFormat/>
    <w:uiPriority w:val="0"/>
    <w:pPr>
      <w:spacing w:line="500" w:lineRule="exact"/>
    </w:pPr>
    <w:rPr>
      <w:sz w:val="24"/>
      <w:szCs w:val="20"/>
    </w:rPr>
  </w:style>
  <w:style w:type="paragraph" w:customStyle="1" w:styleId="292">
    <w:name w:val="表名"/>
    <w:basedOn w:val="1"/>
    <w:qFormat/>
    <w:uiPriority w:val="0"/>
    <w:pPr>
      <w:adjustRightInd w:val="0"/>
      <w:spacing w:beforeLines="50"/>
      <w:textAlignment w:val="baseline"/>
    </w:pPr>
    <w:rPr>
      <w:rFonts w:ascii="Arial" w:hAnsi="Arial" w:eastAsia="华文中宋"/>
      <w:b/>
      <w:kern w:val="0"/>
      <w:sz w:val="24"/>
      <w:szCs w:val="20"/>
    </w:rPr>
  </w:style>
  <w:style w:type="paragraph" w:customStyle="1" w:styleId="293">
    <w:name w:val="报告表头"/>
    <w:basedOn w:val="1"/>
    <w:next w:val="1"/>
    <w:qFormat/>
    <w:uiPriority w:val="0"/>
    <w:pPr>
      <w:widowControl/>
      <w:jc w:val="center"/>
    </w:pPr>
    <w:rPr>
      <w:rFonts w:eastAsia="黑体"/>
      <w:b/>
      <w:sz w:val="18"/>
      <w:szCs w:val="20"/>
    </w:rPr>
  </w:style>
  <w:style w:type="paragraph" w:customStyle="1" w:styleId="294">
    <w:name w:val="报告表中"/>
    <w:basedOn w:val="1"/>
    <w:qFormat/>
    <w:uiPriority w:val="0"/>
    <w:pPr>
      <w:jc w:val="center"/>
    </w:pPr>
    <w:rPr>
      <w:sz w:val="18"/>
      <w:szCs w:val="20"/>
    </w:rPr>
  </w:style>
  <w:style w:type="paragraph" w:customStyle="1" w:styleId="295">
    <w:name w:val="样式 表头4 + 段前: 0.35 行"/>
    <w:basedOn w:val="232"/>
    <w:qFormat/>
    <w:uiPriority w:val="0"/>
    <w:pPr>
      <w:spacing w:before="133"/>
    </w:pPr>
    <w:rPr>
      <w:rFonts w:cs="宋体"/>
      <w:bCs/>
      <w:szCs w:val="20"/>
    </w:rPr>
  </w:style>
  <w:style w:type="paragraph" w:customStyle="1" w:styleId="296">
    <w:name w:val="文本正文"/>
    <w:basedOn w:val="1"/>
    <w:link w:val="393"/>
    <w:qFormat/>
    <w:uiPriority w:val="0"/>
    <w:pPr>
      <w:adjustRightInd w:val="0"/>
      <w:spacing w:line="360" w:lineRule="auto"/>
      <w:ind w:firstLine="599" w:firstLineChars="214"/>
      <w:jc w:val="left"/>
      <w:textAlignment w:val="baseline"/>
    </w:pPr>
    <w:rPr>
      <w:rFonts w:ascii="宋体" w:hAnsi="宋体"/>
      <w:kern w:val="0"/>
      <w:sz w:val="24"/>
      <w:szCs w:val="28"/>
    </w:rPr>
  </w:style>
  <w:style w:type="paragraph" w:customStyle="1" w:styleId="297">
    <w:name w:val="报告书正文"/>
    <w:basedOn w:val="1"/>
    <w:qFormat/>
    <w:uiPriority w:val="0"/>
    <w:pPr>
      <w:spacing w:line="360" w:lineRule="auto"/>
      <w:ind w:firstLine="200" w:firstLineChars="200"/>
    </w:pPr>
    <w:rPr>
      <w:sz w:val="24"/>
    </w:rPr>
  </w:style>
  <w:style w:type="paragraph" w:customStyle="1" w:styleId="298">
    <w:name w:val="样式 首行缩进:  0.85 厘米"/>
    <w:basedOn w:val="1"/>
    <w:qFormat/>
    <w:uiPriority w:val="0"/>
    <w:pPr>
      <w:ind w:firstLine="480"/>
    </w:pPr>
    <w:rPr>
      <w:rFonts w:cs="宋体"/>
      <w:sz w:val="24"/>
      <w:szCs w:val="20"/>
    </w:rPr>
  </w:style>
  <w:style w:type="paragraph" w:customStyle="1" w:styleId="299">
    <w:name w:val="样式 标题 1 + 左侧:  2 字符 段前: 0.5 行 段后: 0.5 行"/>
    <w:basedOn w:val="3"/>
    <w:next w:val="1"/>
    <w:qFormat/>
    <w:uiPriority w:val="0"/>
    <w:pPr>
      <w:tabs>
        <w:tab w:val="left" w:pos="275"/>
      </w:tabs>
      <w:spacing w:beforeLines="50" w:afterLines="50" w:line="240" w:lineRule="auto"/>
      <w:ind w:left="420" w:leftChars="200"/>
      <w:jc w:val="left"/>
    </w:pPr>
    <w:rPr>
      <w:rFonts w:hAnsi="宋体" w:cs="宋体"/>
      <w:bCs/>
      <w:color w:val="FF0000"/>
      <w:kern w:val="0"/>
      <w:sz w:val="28"/>
    </w:rPr>
  </w:style>
  <w:style w:type="paragraph" w:customStyle="1" w:styleId="300">
    <w:name w:val="Char Char Char Char Char Char Char Char Char Char1"/>
    <w:basedOn w:val="1"/>
    <w:qFormat/>
    <w:uiPriority w:val="0"/>
  </w:style>
  <w:style w:type="paragraph" w:customStyle="1" w:styleId="301">
    <w:name w:val="Char Char Char Char Char Char Char Char Char Char 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302">
    <w:name w:val="2"/>
    <w:basedOn w:val="1"/>
    <w:next w:val="32"/>
    <w:qFormat/>
    <w:uiPriority w:val="0"/>
    <w:rPr>
      <w:rFonts w:ascii="宋体" w:hAnsi="Plotter"/>
      <w:szCs w:val="20"/>
    </w:rPr>
  </w:style>
  <w:style w:type="paragraph" w:customStyle="1" w:styleId="303">
    <w:name w:val="列出段落11"/>
    <w:basedOn w:val="1"/>
    <w:qFormat/>
    <w:uiPriority w:val="0"/>
    <w:pPr>
      <w:ind w:firstLine="420" w:firstLineChars="200"/>
    </w:pPr>
    <w:rPr>
      <w:szCs w:val="21"/>
    </w:rPr>
  </w:style>
  <w:style w:type="paragraph" w:customStyle="1" w:styleId="304">
    <w:name w:val="批注主题1"/>
    <w:basedOn w:val="12"/>
    <w:next w:val="12"/>
    <w:qFormat/>
    <w:uiPriority w:val="0"/>
    <w:rPr>
      <w:rFonts w:ascii="Calibri" w:hAnsi="Calibri" w:cs="黑体"/>
      <w:b/>
      <w:bCs/>
      <w:kern w:val="2"/>
      <w:sz w:val="21"/>
      <w:szCs w:val="22"/>
    </w:rPr>
  </w:style>
  <w:style w:type="paragraph" w:customStyle="1" w:styleId="305">
    <w:name w:val="正文缩进2"/>
    <w:basedOn w:val="1"/>
    <w:qFormat/>
    <w:uiPriority w:val="0"/>
    <w:pPr>
      <w:ind w:firstLine="420" w:firstLineChars="200"/>
    </w:pPr>
    <w:rPr>
      <w:rFonts w:ascii="Calibri" w:hAnsi="Calibri"/>
    </w:rPr>
  </w:style>
  <w:style w:type="paragraph" w:customStyle="1" w:styleId="306">
    <w:name w:val="引用1"/>
    <w:basedOn w:val="1"/>
    <w:next w:val="1"/>
    <w:link w:val="398"/>
    <w:qFormat/>
    <w:uiPriority w:val="0"/>
    <w:pPr>
      <w:widowControl/>
      <w:jc w:val="left"/>
    </w:pPr>
    <w:rPr>
      <w:rFonts w:ascii="Calibri" w:hAnsi="Calibri"/>
      <w:i/>
      <w:kern w:val="0"/>
      <w:sz w:val="24"/>
      <w:lang w:eastAsia="en-US" w:bidi="en-US"/>
    </w:rPr>
  </w:style>
  <w:style w:type="paragraph" w:customStyle="1" w:styleId="307">
    <w:name w:val="ZB标题"/>
    <w:basedOn w:val="1"/>
    <w:qFormat/>
    <w:uiPriority w:val="0"/>
    <w:pPr>
      <w:spacing w:line="360" w:lineRule="auto"/>
      <w:jc w:val="center"/>
    </w:pPr>
    <w:rPr>
      <w:rFonts w:eastAsia="黑体"/>
      <w:b/>
      <w:sz w:val="72"/>
    </w:rPr>
  </w:style>
  <w:style w:type="paragraph" w:customStyle="1" w:styleId="308">
    <w:name w:val="ZB正文3号"/>
    <w:basedOn w:val="307"/>
    <w:qFormat/>
    <w:uiPriority w:val="0"/>
    <w:pPr>
      <w:jc w:val="left"/>
    </w:pPr>
    <w:rPr>
      <w:rFonts w:eastAsia="宋体"/>
      <w:sz w:val="32"/>
    </w:rPr>
  </w:style>
  <w:style w:type="paragraph" w:customStyle="1" w:styleId="309">
    <w:name w:val="ZB正文小四"/>
    <w:basedOn w:val="1"/>
    <w:link w:val="400"/>
    <w:qFormat/>
    <w:uiPriority w:val="0"/>
    <w:pPr>
      <w:adjustRightInd w:val="0"/>
      <w:snapToGrid w:val="0"/>
      <w:spacing w:line="360" w:lineRule="auto"/>
      <w:ind w:firstLine="200" w:firstLineChars="200"/>
    </w:pPr>
    <w:rPr>
      <w:sz w:val="24"/>
    </w:rPr>
  </w:style>
  <w:style w:type="paragraph" w:customStyle="1" w:styleId="310">
    <w:name w:val="普通 (Web)"/>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311">
    <w:name w:val="Char Char Char1 Char"/>
    <w:basedOn w:val="1"/>
    <w:next w:val="1"/>
    <w:qFormat/>
    <w:uiPriority w:val="0"/>
    <w:pPr>
      <w:spacing w:line="360" w:lineRule="auto"/>
      <w:ind w:firstLine="200" w:firstLineChars="200"/>
    </w:pPr>
    <w:rPr>
      <w:rFonts w:ascii="宋体" w:hAnsi="宋体" w:cs="宋体"/>
      <w:sz w:val="24"/>
    </w:rPr>
  </w:style>
  <w:style w:type="paragraph" w:customStyle="1" w:styleId="312">
    <w:name w:val="样式 标题 2 + 加粗"/>
    <w:basedOn w:val="4"/>
    <w:qFormat/>
    <w:uiPriority w:val="0"/>
    <w:pPr>
      <w:tabs>
        <w:tab w:val="left" w:pos="-105"/>
      </w:tabs>
      <w:spacing w:before="100" w:beforeAutospacing="1" w:after="100" w:afterAutospacing="1"/>
      <w:ind w:left="-51" w:leftChars="-51" w:firstLine="617" w:firstLineChars="297"/>
      <w:jc w:val="center"/>
    </w:pPr>
    <w:rPr>
      <w:rFonts w:hint="eastAsia" w:hAnsi="宋体"/>
      <w:bCs/>
      <w:sz w:val="21"/>
      <w:szCs w:val="30"/>
    </w:rPr>
  </w:style>
  <w:style w:type="paragraph" w:customStyle="1" w:styleId="313">
    <w:name w:val="Char Char Char1 Char1"/>
    <w:basedOn w:val="1"/>
    <w:next w:val="1"/>
    <w:qFormat/>
    <w:uiPriority w:val="0"/>
    <w:pPr>
      <w:spacing w:line="360" w:lineRule="auto"/>
      <w:ind w:firstLine="200" w:firstLineChars="200"/>
    </w:pPr>
    <w:rPr>
      <w:rFonts w:ascii="宋体" w:hAnsi="宋体" w:cs="宋体"/>
      <w:sz w:val="24"/>
    </w:rPr>
  </w:style>
  <w:style w:type="character" w:customStyle="1" w:styleId="314">
    <w:name w:val="文档结构图 Char"/>
    <w:link w:val="22"/>
    <w:qFormat/>
    <w:uiPriority w:val="0"/>
    <w:rPr>
      <w:rFonts w:ascii="宋体" w:eastAsia="宋体"/>
      <w:kern w:val="2"/>
      <w:sz w:val="18"/>
      <w:szCs w:val="18"/>
      <w:lang w:val="en-US" w:eastAsia="zh-CN" w:bidi="ar-SA"/>
    </w:rPr>
  </w:style>
  <w:style w:type="character" w:customStyle="1" w:styleId="315">
    <w:name w:val="访问过的超链接1"/>
    <w:qFormat/>
    <w:uiPriority w:val="0"/>
    <w:rPr>
      <w:color w:val="800080"/>
      <w:u w:val="single"/>
    </w:rPr>
  </w:style>
  <w:style w:type="character" w:customStyle="1" w:styleId="316">
    <w:name w:val="页脚 Char"/>
    <w:link w:val="39"/>
    <w:qFormat/>
    <w:uiPriority w:val="99"/>
    <w:rPr>
      <w:rFonts w:eastAsia="宋体"/>
      <w:color w:val="000000"/>
      <w:sz w:val="18"/>
      <w:szCs w:val="21"/>
      <w:lang w:val="en-US" w:eastAsia="zh-CN" w:bidi="ar-SA"/>
    </w:rPr>
  </w:style>
  <w:style w:type="character" w:customStyle="1" w:styleId="317">
    <w:name w:val="批注框文本 Char"/>
    <w:link w:val="38"/>
    <w:qFormat/>
    <w:uiPriority w:val="0"/>
    <w:rPr>
      <w:rFonts w:eastAsia="宋体"/>
      <w:kern w:val="2"/>
      <w:sz w:val="18"/>
      <w:szCs w:val="18"/>
      <w:lang w:val="en-US" w:eastAsia="zh-CN" w:bidi="ar-SA"/>
    </w:rPr>
  </w:style>
  <w:style w:type="character" w:customStyle="1" w:styleId="318">
    <w:name w:val="zsb 正文 Char Char"/>
    <w:link w:val="69"/>
    <w:qFormat/>
    <w:uiPriority w:val="0"/>
    <w:rPr>
      <w:rFonts w:ascii="宋体" w:hAnsi="Plotter"/>
      <w:kern w:val="2"/>
      <w:sz w:val="24"/>
    </w:rPr>
  </w:style>
  <w:style w:type="character" w:customStyle="1" w:styleId="319">
    <w:name w:val="样式 标题 4 + Char Char"/>
    <w:link w:val="70"/>
    <w:qFormat/>
    <w:uiPriority w:val="0"/>
    <w:rPr>
      <w:rFonts w:ascii="Arial" w:hAnsi="Arial" w:eastAsia="黑体"/>
      <w:sz w:val="24"/>
      <w:lang w:bidi="ar-SA"/>
    </w:rPr>
  </w:style>
  <w:style w:type="character" w:customStyle="1" w:styleId="320">
    <w:name w:val="A正文 Char Char"/>
    <w:link w:val="73"/>
    <w:qFormat/>
    <w:uiPriority w:val="0"/>
    <w:rPr>
      <w:rFonts w:eastAsia="仿宋_GB2312"/>
      <w:sz w:val="24"/>
      <w:szCs w:val="24"/>
      <w:lang w:val="en-US" w:eastAsia="zh-CN" w:bidi="ar-SA"/>
    </w:rPr>
  </w:style>
  <w:style w:type="character" w:customStyle="1" w:styleId="321">
    <w:name w:val="页眉 Char"/>
    <w:link w:val="41"/>
    <w:qFormat/>
    <w:uiPriority w:val="0"/>
    <w:rPr>
      <w:rFonts w:eastAsia="宋体"/>
      <w:kern w:val="2"/>
      <w:sz w:val="18"/>
      <w:szCs w:val="18"/>
      <w:lang w:val="en-US" w:eastAsia="zh-CN" w:bidi="ar-SA"/>
    </w:rPr>
  </w:style>
  <w:style w:type="character" w:customStyle="1" w:styleId="322">
    <w:name w:val="纯文本 Char"/>
    <w:link w:val="32"/>
    <w:qFormat/>
    <w:uiPriority w:val="0"/>
    <w:rPr>
      <w:rFonts w:ascii="宋体" w:hAnsi="Plotter" w:eastAsia="宋体"/>
      <w:kern w:val="2"/>
      <w:sz w:val="21"/>
      <w:lang w:val="en-US" w:eastAsia="zh-CN" w:bidi="ar-SA"/>
    </w:rPr>
  </w:style>
  <w:style w:type="character" w:customStyle="1" w:styleId="323">
    <w:name w:val="样式8 Char"/>
    <w:link w:val="81"/>
    <w:qFormat/>
    <w:uiPriority w:val="0"/>
    <w:rPr>
      <w:rFonts w:ascii="宋体" w:hAnsi="宋体" w:eastAsia="宋体"/>
      <w:kern w:val="2"/>
      <w:sz w:val="24"/>
      <w:lang w:val="en-US" w:eastAsia="zh-CN" w:bidi="ar-SA"/>
    </w:rPr>
  </w:style>
  <w:style w:type="character" w:customStyle="1" w:styleId="324">
    <w:name w:val="正文缩进 Char"/>
    <w:link w:val="18"/>
    <w:qFormat/>
    <w:uiPriority w:val="0"/>
    <w:rPr>
      <w:rFonts w:ascii="宋体"/>
      <w:sz w:val="24"/>
      <w:lang w:bidi="ar-SA"/>
    </w:rPr>
  </w:style>
  <w:style w:type="character" w:customStyle="1" w:styleId="325">
    <w:name w:val="标题 1 Char"/>
    <w:link w:val="3"/>
    <w:qFormat/>
    <w:uiPriority w:val="0"/>
    <w:rPr>
      <w:rFonts w:ascii="宋体" w:eastAsia="宋体"/>
      <w:b/>
      <w:kern w:val="44"/>
      <w:sz w:val="32"/>
      <w:lang w:val="en-US" w:eastAsia="zh-CN" w:bidi="ar-SA"/>
    </w:rPr>
  </w:style>
  <w:style w:type="character" w:customStyle="1" w:styleId="326">
    <w:name w:val="标题 2 Char"/>
    <w:link w:val="4"/>
    <w:qFormat/>
    <w:uiPriority w:val="0"/>
    <w:rPr>
      <w:rFonts w:ascii="宋体" w:hAnsi="Arial" w:eastAsia="宋体"/>
      <w:b/>
      <w:sz w:val="24"/>
      <w:lang w:val="en-US" w:eastAsia="zh-CN" w:bidi="ar-SA"/>
    </w:rPr>
  </w:style>
  <w:style w:type="character" w:customStyle="1" w:styleId="327">
    <w:name w:val="标题 3 Char"/>
    <w:link w:val="2"/>
    <w:qFormat/>
    <w:uiPriority w:val="0"/>
    <w:rPr>
      <w:rFonts w:ascii="黑体" w:eastAsia="黑体"/>
      <w:sz w:val="24"/>
      <w:lang w:val="en-US" w:eastAsia="zh-CN" w:bidi="ar-SA"/>
    </w:rPr>
  </w:style>
  <w:style w:type="character" w:customStyle="1" w:styleId="328">
    <w:name w:val="标题 4 Char"/>
    <w:link w:val="5"/>
    <w:qFormat/>
    <w:uiPriority w:val="0"/>
    <w:rPr>
      <w:rFonts w:ascii="仿宋_GB2312" w:hAnsi="Arial" w:eastAsia="宋体"/>
      <w:sz w:val="24"/>
      <w:lang w:val="en-US" w:eastAsia="zh-CN" w:bidi="ar-SA"/>
    </w:rPr>
  </w:style>
  <w:style w:type="character" w:customStyle="1" w:styleId="329">
    <w:name w:val="标题 5 Char"/>
    <w:link w:val="6"/>
    <w:qFormat/>
    <w:uiPriority w:val="0"/>
    <w:rPr>
      <w:rFonts w:ascii="仿宋_GB2312" w:eastAsia="宋体"/>
      <w:sz w:val="24"/>
      <w:lang w:val="en-US" w:eastAsia="zh-CN" w:bidi="ar-SA"/>
    </w:rPr>
  </w:style>
  <w:style w:type="character" w:customStyle="1" w:styleId="330">
    <w:name w:val="标题 6 Char"/>
    <w:link w:val="7"/>
    <w:qFormat/>
    <w:uiPriority w:val="0"/>
    <w:rPr>
      <w:rFonts w:ascii="仿宋_GB2312" w:hAnsi="Arial" w:eastAsia="宋体"/>
      <w:sz w:val="24"/>
      <w:lang w:val="en-US" w:eastAsia="zh-CN" w:bidi="ar-SA"/>
    </w:rPr>
  </w:style>
  <w:style w:type="character" w:customStyle="1" w:styleId="331">
    <w:name w:val="标题 7 Char"/>
    <w:link w:val="8"/>
    <w:qFormat/>
    <w:uiPriority w:val="0"/>
    <w:rPr>
      <w:rFonts w:ascii="仿宋_GB2312" w:eastAsia="宋体"/>
      <w:sz w:val="24"/>
      <w:lang w:val="en-US" w:eastAsia="zh-CN" w:bidi="ar-SA"/>
    </w:rPr>
  </w:style>
  <w:style w:type="character" w:customStyle="1" w:styleId="332">
    <w:name w:val="标题 8 Char"/>
    <w:link w:val="9"/>
    <w:qFormat/>
    <w:uiPriority w:val="0"/>
    <w:rPr>
      <w:rFonts w:ascii="仿宋_GB2312" w:hAnsi="Arial" w:eastAsia="宋体"/>
      <w:sz w:val="24"/>
      <w:lang w:val="en-US" w:eastAsia="zh-CN" w:bidi="ar-SA"/>
    </w:rPr>
  </w:style>
  <w:style w:type="character" w:customStyle="1" w:styleId="333">
    <w:name w:val="标题 9 Char"/>
    <w:link w:val="10"/>
    <w:qFormat/>
    <w:uiPriority w:val="0"/>
    <w:rPr>
      <w:rFonts w:ascii="Arial" w:hAnsi="Arial" w:eastAsia="黑体"/>
      <w:sz w:val="24"/>
      <w:lang w:val="en-US" w:eastAsia="zh-CN" w:bidi="ar-SA"/>
    </w:rPr>
  </w:style>
  <w:style w:type="character" w:customStyle="1" w:styleId="334">
    <w:name w:val="Char Char18"/>
    <w:qFormat/>
    <w:uiPriority w:val="0"/>
    <w:rPr>
      <w:rFonts w:ascii="Times New Roman" w:hAnsi="Times New Roman" w:eastAsia="宋体" w:cs="Times New Roman"/>
      <w:sz w:val="18"/>
      <w:szCs w:val="18"/>
    </w:rPr>
  </w:style>
  <w:style w:type="character" w:customStyle="1" w:styleId="335">
    <w:name w:val="Char Char17"/>
    <w:qFormat/>
    <w:uiPriority w:val="0"/>
    <w:rPr>
      <w:rFonts w:ascii="Times New Roman" w:hAnsi="Times New Roman" w:eastAsia="宋体" w:cs="Times New Roman"/>
      <w:sz w:val="18"/>
      <w:szCs w:val="18"/>
    </w:rPr>
  </w:style>
  <w:style w:type="character" w:customStyle="1" w:styleId="336">
    <w:name w:val="正文文本 3 Char"/>
    <w:link w:val="25"/>
    <w:qFormat/>
    <w:uiPriority w:val="0"/>
    <w:rPr>
      <w:rFonts w:ascii="宋体" w:eastAsia="宋体"/>
      <w:sz w:val="24"/>
      <w:lang w:bidi="ar-SA"/>
    </w:rPr>
  </w:style>
  <w:style w:type="character" w:customStyle="1" w:styleId="337">
    <w:name w:val="批注文字 Char"/>
    <w:link w:val="12"/>
    <w:qFormat/>
    <w:uiPriority w:val="0"/>
    <w:rPr>
      <w:rFonts w:eastAsia="宋体"/>
      <w:szCs w:val="24"/>
      <w:lang w:bidi="ar-SA"/>
    </w:rPr>
  </w:style>
  <w:style w:type="character" w:customStyle="1" w:styleId="338">
    <w:name w:val="标题 Char"/>
    <w:link w:val="57"/>
    <w:qFormat/>
    <w:uiPriority w:val="0"/>
    <w:rPr>
      <w:rFonts w:ascii="黑体" w:hAnsi="Arial" w:eastAsia="黑体" w:cs="Arial"/>
      <w:bCs/>
      <w:kern w:val="2"/>
      <w:sz w:val="84"/>
      <w:szCs w:val="32"/>
      <w:lang w:val="en-US" w:eastAsia="zh-CN" w:bidi="ar-SA"/>
    </w:rPr>
  </w:style>
  <w:style w:type="character" w:customStyle="1" w:styleId="339">
    <w:name w:val="正文文本缩进 Char"/>
    <w:link w:val="26"/>
    <w:qFormat/>
    <w:uiPriority w:val="0"/>
    <w:rPr>
      <w:rFonts w:eastAsia="宋体"/>
      <w:kern w:val="2"/>
      <w:sz w:val="21"/>
      <w:szCs w:val="24"/>
      <w:lang w:val="en-US" w:eastAsia="zh-CN" w:bidi="ar-SA"/>
    </w:rPr>
  </w:style>
  <w:style w:type="character" w:customStyle="1" w:styleId="340">
    <w:name w:val="正文文本缩进 3 Char"/>
    <w:link w:val="49"/>
    <w:qFormat/>
    <w:uiPriority w:val="0"/>
    <w:rPr>
      <w:rFonts w:ascii="宋体" w:hAnsi="宋体" w:eastAsia="宋体"/>
      <w:kern w:val="2"/>
      <w:sz w:val="24"/>
      <w:szCs w:val="24"/>
      <w:lang w:val="en-US" w:eastAsia="zh-CN" w:bidi="ar-SA"/>
    </w:rPr>
  </w:style>
  <w:style w:type="character" w:customStyle="1" w:styleId="341">
    <w:name w:val="font161"/>
    <w:qFormat/>
    <w:uiPriority w:val="0"/>
    <w:rPr>
      <w:b/>
      <w:bCs/>
      <w:sz w:val="32"/>
      <w:szCs w:val="32"/>
    </w:rPr>
  </w:style>
  <w:style w:type="character" w:customStyle="1" w:styleId="342">
    <w:name w:val="正文文本 Char"/>
    <w:link w:val="15"/>
    <w:qFormat/>
    <w:uiPriority w:val="0"/>
    <w:rPr>
      <w:rFonts w:eastAsia="宋体"/>
      <w:kern w:val="2"/>
      <w:sz w:val="21"/>
      <w:szCs w:val="24"/>
      <w:lang w:val="en-US" w:eastAsia="zh-CN" w:bidi="ar-SA"/>
    </w:rPr>
  </w:style>
  <w:style w:type="character" w:customStyle="1" w:styleId="343">
    <w:name w:val="日期 Char"/>
    <w:link w:val="35"/>
    <w:qFormat/>
    <w:uiPriority w:val="0"/>
    <w:rPr>
      <w:rFonts w:eastAsia="宋体"/>
      <w:kern w:val="2"/>
      <w:sz w:val="21"/>
      <w:szCs w:val="24"/>
      <w:lang w:val="en-US" w:eastAsia="zh-CN" w:bidi="ar-SA"/>
    </w:rPr>
  </w:style>
  <w:style w:type="character" w:customStyle="1" w:styleId="344">
    <w:name w:val="Char Char10"/>
    <w:semiHidden/>
    <w:qFormat/>
    <w:uiPriority w:val="0"/>
    <w:rPr>
      <w:rFonts w:ascii="Times New Roman" w:hAnsi="Times New Roman" w:eastAsia="宋体" w:cs="Times New Roman"/>
      <w:szCs w:val="24"/>
      <w:shd w:val="clear" w:color="auto" w:fill="000080"/>
    </w:rPr>
  </w:style>
  <w:style w:type="character" w:customStyle="1" w:styleId="345">
    <w:name w:val="正文文本缩进 2 Char"/>
    <w:link w:val="36"/>
    <w:semiHidden/>
    <w:qFormat/>
    <w:uiPriority w:val="0"/>
    <w:rPr>
      <w:rFonts w:eastAsia="宋体"/>
      <w:kern w:val="2"/>
      <w:sz w:val="21"/>
      <w:szCs w:val="24"/>
      <w:lang w:val="en-US" w:eastAsia="zh-CN" w:bidi="ar-SA"/>
    </w:rPr>
  </w:style>
  <w:style w:type="character" w:customStyle="1" w:styleId="346">
    <w:name w:val="普通文字 Char Char Char Char Char Char"/>
    <w:qFormat/>
    <w:uiPriority w:val="0"/>
    <w:rPr>
      <w:rFonts w:ascii="宋体" w:hAnsi="Courier New" w:eastAsia="宋体" w:cs="Times New Roman"/>
      <w:szCs w:val="21"/>
    </w:rPr>
  </w:style>
  <w:style w:type="character" w:customStyle="1" w:styleId="347">
    <w:name w:val="正文用 Char"/>
    <w:link w:val="93"/>
    <w:qFormat/>
    <w:uiPriority w:val="0"/>
    <w:rPr>
      <w:rFonts w:eastAsia="宋体"/>
      <w:szCs w:val="21"/>
      <w:lang w:bidi="ar-SA"/>
    </w:rPr>
  </w:style>
  <w:style w:type="character" w:customStyle="1" w:styleId="348">
    <w:name w:val="正文文本 2 Char"/>
    <w:link w:val="54"/>
    <w:semiHidden/>
    <w:qFormat/>
    <w:uiPriority w:val="0"/>
    <w:rPr>
      <w:rFonts w:eastAsia="宋体"/>
      <w:kern w:val="2"/>
      <w:sz w:val="21"/>
      <w:szCs w:val="24"/>
      <w:lang w:val="en-US" w:eastAsia="zh-CN" w:bidi="ar-SA"/>
    </w:rPr>
  </w:style>
  <w:style w:type="character" w:customStyle="1" w:styleId="349">
    <w:name w:val="批注主题 Char"/>
    <w:link w:val="11"/>
    <w:qFormat/>
    <w:uiPriority w:val="0"/>
    <w:rPr>
      <w:rFonts w:eastAsia="宋体"/>
      <w:b/>
      <w:bCs/>
      <w:szCs w:val="24"/>
      <w:lang w:bidi="ar-SA"/>
    </w:rPr>
  </w:style>
  <w:style w:type="character" w:customStyle="1" w:styleId="350">
    <w:name w:val="称呼 Char"/>
    <w:link w:val="24"/>
    <w:qFormat/>
    <w:uiPriority w:val="0"/>
    <w:rPr>
      <w:rFonts w:ascii="宋体" w:eastAsia="仿宋_GB2312"/>
      <w:lang w:bidi="ar-SA"/>
    </w:rPr>
  </w:style>
  <w:style w:type="character" w:customStyle="1" w:styleId="351">
    <w:name w:val="注释标题 Char"/>
    <w:link w:val="16"/>
    <w:qFormat/>
    <w:uiPriority w:val="0"/>
    <w:rPr>
      <w:rFonts w:eastAsia="宋体"/>
      <w:szCs w:val="24"/>
      <w:lang w:bidi="ar-SA"/>
    </w:rPr>
  </w:style>
  <w:style w:type="character" w:customStyle="1" w:styleId="352">
    <w:name w:val="Char Char"/>
    <w:qFormat/>
    <w:uiPriority w:val="0"/>
    <w:rPr>
      <w:rFonts w:eastAsia="宋体"/>
      <w:kern w:val="2"/>
      <w:sz w:val="18"/>
      <w:szCs w:val="18"/>
      <w:lang w:val="en-US" w:eastAsia="zh-CN" w:bidi="ar-SA"/>
    </w:rPr>
  </w:style>
  <w:style w:type="character" w:customStyle="1" w:styleId="353">
    <w:name w:val="Char Char1"/>
    <w:qFormat/>
    <w:uiPriority w:val="0"/>
    <w:rPr>
      <w:rFonts w:eastAsia="宋体"/>
      <w:kern w:val="2"/>
      <w:sz w:val="21"/>
      <w:szCs w:val="24"/>
      <w:lang w:val="en-US" w:eastAsia="zh-CN" w:bidi="ar-SA"/>
    </w:rPr>
  </w:style>
  <w:style w:type="character" w:customStyle="1" w:styleId="354">
    <w:name w:val="合同标题 Char"/>
    <w:qFormat/>
    <w:uiPriority w:val="0"/>
    <w:rPr>
      <w:rFonts w:eastAsia="宋体"/>
      <w:b/>
      <w:kern w:val="44"/>
      <w:sz w:val="44"/>
      <w:lang w:val="en-US" w:eastAsia="zh-CN" w:bidi="ar-SA"/>
    </w:rPr>
  </w:style>
  <w:style w:type="character" w:customStyle="1" w:styleId="355">
    <w:name w:val="h2 Char"/>
    <w:qFormat/>
    <w:uiPriority w:val="0"/>
    <w:rPr>
      <w:rFonts w:ascii="Arial" w:hAnsi="Arial" w:eastAsia="黑体"/>
      <w:b/>
      <w:sz w:val="32"/>
      <w:lang w:val="en-US" w:eastAsia="zh-CN" w:bidi="ar-SA"/>
    </w:rPr>
  </w:style>
  <w:style w:type="character" w:customStyle="1" w:styleId="356">
    <w:name w:val="标题 4.1.1 Char"/>
    <w:qFormat/>
    <w:uiPriority w:val="0"/>
    <w:rPr>
      <w:rFonts w:eastAsia="宋体"/>
      <w:b/>
      <w:sz w:val="32"/>
      <w:lang w:val="en-US" w:eastAsia="zh-CN" w:bidi="ar-SA"/>
    </w:rPr>
  </w:style>
  <w:style w:type="character" w:customStyle="1" w:styleId="357">
    <w:name w:val="样式 宋体1"/>
    <w:qFormat/>
    <w:uiPriority w:val="0"/>
    <w:rPr>
      <w:rFonts w:ascii="宋体" w:hAnsi="宋体" w:eastAsia="宋体"/>
      <w:sz w:val="24"/>
    </w:rPr>
  </w:style>
  <w:style w:type="character" w:customStyle="1" w:styleId="358">
    <w:name w:val="正文0 Char"/>
    <w:link w:val="135"/>
    <w:qFormat/>
    <w:uiPriority w:val="0"/>
    <w:rPr>
      <w:rFonts w:eastAsia="仿宋_GB2312"/>
      <w:sz w:val="28"/>
      <w:szCs w:val="24"/>
      <w:lang w:bidi="ar-SA"/>
    </w:rPr>
  </w:style>
  <w:style w:type="character" w:customStyle="1" w:styleId="359">
    <w:name w:val="middle1"/>
    <w:qFormat/>
    <w:uiPriority w:val="0"/>
    <w:rPr>
      <w:rFonts w:hint="default"/>
      <w:spacing w:val="285"/>
      <w:sz w:val="21"/>
      <w:szCs w:val="21"/>
    </w:rPr>
  </w:style>
  <w:style w:type="character" w:customStyle="1" w:styleId="360">
    <w:name w:val="Char Char19"/>
    <w:qFormat/>
    <w:locked/>
    <w:uiPriority w:val="0"/>
    <w:rPr>
      <w:rFonts w:ascii="Arial" w:hAnsi="Arial" w:eastAsia="黑体"/>
      <w:b/>
      <w:bCs/>
      <w:kern w:val="2"/>
      <w:sz w:val="28"/>
      <w:szCs w:val="28"/>
      <w:lang w:val="en-US" w:eastAsia="zh-CN" w:bidi="ar-SA"/>
    </w:rPr>
  </w:style>
  <w:style w:type="character" w:customStyle="1" w:styleId="361">
    <w:name w:val="Char Char181"/>
    <w:qFormat/>
    <w:locked/>
    <w:uiPriority w:val="0"/>
    <w:rPr>
      <w:rFonts w:eastAsia="宋体"/>
      <w:b/>
      <w:sz w:val="28"/>
      <w:lang w:val="en-US" w:eastAsia="zh-CN" w:bidi="ar-SA"/>
    </w:rPr>
  </w:style>
  <w:style w:type="character" w:customStyle="1" w:styleId="362">
    <w:name w:val="Char Char171"/>
    <w:qFormat/>
    <w:locked/>
    <w:uiPriority w:val="0"/>
    <w:rPr>
      <w:rFonts w:ascii="Arial" w:hAnsi="Arial" w:eastAsia="黑体"/>
      <w:b/>
      <w:bCs/>
      <w:sz w:val="24"/>
      <w:szCs w:val="24"/>
      <w:lang w:val="en-US" w:eastAsia="zh-CN" w:bidi="ar-SA"/>
    </w:rPr>
  </w:style>
  <w:style w:type="character" w:customStyle="1" w:styleId="363">
    <w:name w:val="Char Char16"/>
    <w:qFormat/>
    <w:locked/>
    <w:uiPriority w:val="0"/>
    <w:rPr>
      <w:rFonts w:eastAsia="宋体"/>
      <w:b/>
      <w:bCs/>
      <w:sz w:val="24"/>
      <w:szCs w:val="24"/>
      <w:lang w:val="en-US" w:eastAsia="zh-CN" w:bidi="ar-SA"/>
    </w:rPr>
  </w:style>
  <w:style w:type="character" w:customStyle="1" w:styleId="364">
    <w:name w:val="Char Char15"/>
    <w:qFormat/>
    <w:locked/>
    <w:uiPriority w:val="0"/>
    <w:rPr>
      <w:rFonts w:ascii="Arial" w:hAnsi="Arial" w:eastAsia="黑体"/>
      <w:sz w:val="24"/>
      <w:szCs w:val="24"/>
      <w:lang w:val="en-US" w:eastAsia="zh-CN" w:bidi="ar-SA"/>
    </w:rPr>
  </w:style>
  <w:style w:type="character" w:customStyle="1" w:styleId="365">
    <w:name w:val="Char Char14"/>
    <w:qFormat/>
    <w:locked/>
    <w:uiPriority w:val="0"/>
    <w:rPr>
      <w:rFonts w:ascii="Arial" w:hAnsi="Arial" w:eastAsia="黑体"/>
      <w:sz w:val="21"/>
      <w:szCs w:val="21"/>
      <w:lang w:val="en-US" w:eastAsia="zh-CN" w:bidi="ar-SA"/>
    </w:rPr>
  </w:style>
  <w:style w:type="character" w:customStyle="1" w:styleId="366">
    <w:name w:val="Char Char101"/>
    <w:qFormat/>
    <w:locked/>
    <w:uiPriority w:val="0"/>
    <w:rPr>
      <w:rFonts w:ascii="宋体" w:hAnsi="宋体" w:eastAsia="宋体"/>
      <w:kern w:val="2"/>
      <w:sz w:val="21"/>
      <w:szCs w:val="24"/>
      <w:lang w:val="en-US" w:eastAsia="zh-CN" w:bidi="ar-SA"/>
    </w:rPr>
  </w:style>
  <w:style w:type="character" w:customStyle="1" w:styleId="367">
    <w:name w:val="Char Char13"/>
    <w:qFormat/>
    <w:locked/>
    <w:uiPriority w:val="0"/>
    <w:rPr>
      <w:rFonts w:ascii="宋体" w:hAnsi="宋体" w:eastAsia="宋体"/>
      <w:sz w:val="18"/>
      <w:szCs w:val="18"/>
      <w:lang w:bidi="ar-SA"/>
    </w:rPr>
  </w:style>
  <w:style w:type="character" w:customStyle="1" w:styleId="368">
    <w:name w:val="Char Char12"/>
    <w:qFormat/>
    <w:locked/>
    <w:uiPriority w:val="0"/>
    <w:rPr>
      <w:rFonts w:ascii="宋体" w:hAnsi="宋体" w:eastAsia="宋体"/>
      <w:sz w:val="18"/>
      <w:szCs w:val="18"/>
      <w:lang w:bidi="ar-SA"/>
    </w:rPr>
  </w:style>
  <w:style w:type="character" w:customStyle="1" w:styleId="369">
    <w:name w:val="Char Char9"/>
    <w:qFormat/>
    <w:locked/>
    <w:uiPriority w:val="0"/>
    <w:rPr>
      <w:rFonts w:ascii="Arial" w:hAnsi="Arial" w:eastAsia="宋体" w:cs="Arial"/>
      <w:b/>
      <w:sz w:val="32"/>
      <w:lang w:bidi="ar-SA"/>
    </w:rPr>
  </w:style>
  <w:style w:type="character" w:customStyle="1" w:styleId="370">
    <w:name w:val="Char Char7"/>
    <w:qFormat/>
    <w:locked/>
    <w:uiPriority w:val="0"/>
    <w:rPr>
      <w:rFonts w:ascii="宋体" w:hAnsi="宋体" w:eastAsia="宋体"/>
      <w:sz w:val="24"/>
      <w:lang w:bidi="ar-SA"/>
    </w:rPr>
  </w:style>
  <w:style w:type="character" w:customStyle="1" w:styleId="371">
    <w:name w:val="Char Char3"/>
    <w:qFormat/>
    <w:locked/>
    <w:uiPriority w:val="0"/>
    <w:rPr>
      <w:rFonts w:ascii="宋体" w:hAnsi="宋体" w:eastAsia="宋体"/>
      <w:szCs w:val="24"/>
      <w:lang w:bidi="ar-SA"/>
    </w:rPr>
  </w:style>
  <w:style w:type="character" w:customStyle="1" w:styleId="372">
    <w:name w:val="Char Char11"/>
    <w:qFormat/>
    <w:locked/>
    <w:uiPriority w:val="0"/>
    <w:rPr>
      <w:rFonts w:ascii="宋体" w:hAnsi="宋体" w:eastAsia="宋体"/>
      <w:sz w:val="24"/>
      <w:lang w:bidi="ar-SA"/>
    </w:rPr>
  </w:style>
  <w:style w:type="character" w:customStyle="1" w:styleId="373">
    <w:name w:val="Char Char4"/>
    <w:qFormat/>
    <w:locked/>
    <w:uiPriority w:val="0"/>
    <w:rPr>
      <w:rFonts w:ascii="宋体" w:hAnsi="宋体" w:eastAsia="宋体"/>
      <w:szCs w:val="24"/>
      <w:lang w:bidi="ar-SA"/>
    </w:rPr>
  </w:style>
  <w:style w:type="character" w:customStyle="1" w:styleId="374">
    <w:name w:val="Char Char8"/>
    <w:qFormat/>
    <w:locked/>
    <w:uiPriority w:val="0"/>
    <w:rPr>
      <w:rFonts w:ascii="宋体" w:hAnsi="宋体" w:eastAsia="宋体"/>
      <w:sz w:val="16"/>
      <w:szCs w:val="16"/>
      <w:lang w:bidi="ar-SA"/>
    </w:rPr>
  </w:style>
  <w:style w:type="character" w:customStyle="1" w:styleId="375">
    <w:name w:val="Char Char5"/>
    <w:qFormat/>
    <w:locked/>
    <w:uiPriority w:val="0"/>
    <w:rPr>
      <w:rFonts w:ascii="宋体" w:hAnsi="宋体" w:eastAsia="宋体"/>
      <w:szCs w:val="24"/>
      <w:shd w:val="clear" w:color="auto" w:fill="000080"/>
      <w:lang w:bidi="ar-SA"/>
    </w:rPr>
  </w:style>
  <w:style w:type="character" w:customStyle="1" w:styleId="376">
    <w:name w:val="Char Char2"/>
    <w:qFormat/>
    <w:locked/>
    <w:uiPriority w:val="0"/>
    <w:rPr>
      <w:rFonts w:ascii="宋体" w:hAnsi="宋体" w:eastAsia="宋体"/>
      <w:b/>
      <w:bCs/>
      <w:kern w:val="2"/>
      <w:sz w:val="21"/>
      <w:szCs w:val="24"/>
      <w:lang w:val="en-US" w:eastAsia="zh-CN" w:bidi="ar-SA"/>
    </w:rPr>
  </w:style>
  <w:style w:type="character" w:customStyle="1" w:styleId="377">
    <w:name w:val="Char Char6"/>
    <w:qFormat/>
    <w:locked/>
    <w:uiPriority w:val="0"/>
    <w:rPr>
      <w:rFonts w:ascii="宋体" w:hAnsi="宋体" w:eastAsia="宋体"/>
      <w:sz w:val="18"/>
      <w:szCs w:val="18"/>
      <w:lang w:bidi="ar-SA"/>
    </w:rPr>
  </w:style>
  <w:style w:type="character" w:customStyle="1" w:styleId="378">
    <w:name w:val="hps"/>
    <w:basedOn w:val="58"/>
    <w:qFormat/>
    <w:uiPriority w:val="0"/>
  </w:style>
  <w:style w:type="character" w:customStyle="1" w:styleId="379">
    <w:name w:val="st1"/>
    <w:basedOn w:val="58"/>
    <w:qFormat/>
    <w:uiPriority w:val="0"/>
  </w:style>
  <w:style w:type="character" w:customStyle="1" w:styleId="380">
    <w:name w:val="t_xl1"/>
    <w:qFormat/>
    <w:uiPriority w:val="0"/>
    <w:rPr>
      <w:sz w:val="41"/>
      <w:szCs w:val="41"/>
    </w:rPr>
  </w:style>
  <w:style w:type="character" w:customStyle="1" w:styleId="381">
    <w:name w:val="样式 标题 3 + 四号 Char"/>
    <w:qFormat/>
    <w:uiPriority w:val="0"/>
    <w:rPr>
      <w:rFonts w:eastAsia="宋体"/>
      <w:b/>
      <w:bCs/>
      <w:kern w:val="2"/>
      <w:sz w:val="28"/>
      <w:szCs w:val="32"/>
      <w:lang w:val="en-US" w:eastAsia="zh-CN" w:bidi="ar-SA"/>
    </w:rPr>
  </w:style>
  <w:style w:type="character" w:customStyle="1" w:styleId="382">
    <w:name w:val="署名 Char"/>
    <w:qFormat/>
    <w:uiPriority w:val="0"/>
    <w:rPr>
      <w:rFonts w:eastAsia="宋体"/>
      <w:kern w:val="2"/>
      <w:sz w:val="21"/>
      <w:szCs w:val="24"/>
      <w:lang w:val="en-US" w:eastAsia="zh-CN" w:bidi="ar-SA"/>
    </w:rPr>
  </w:style>
  <w:style w:type="character" w:customStyle="1" w:styleId="383">
    <w:name w:val="样式 标题 3 + (中文) 黑体 小四 非加粗 段前: 7.8 磅 段后: 0 磅 行距: 固定值 20 磅 Char"/>
    <w:link w:val="83"/>
    <w:qFormat/>
    <w:uiPriority w:val="0"/>
    <w:rPr>
      <w:rFonts w:eastAsia="黑体" w:cs="宋体"/>
      <w:b/>
      <w:bCs/>
      <w:sz w:val="24"/>
      <w:szCs w:val="32"/>
      <w:lang w:bidi="ar-SA"/>
    </w:rPr>
  </w:style>
  <w:style w:type="character" w:customStyle="1" w:styleId="384">
    <w:name w:val="xl29 Char"/>
    <w:link w:val="97"/>
    <w:qFormat/>
    <w:locked/>
    <w:uiPriority w:val="0"/>
    <w:rPr>
      <w:rFonts w:ascii="宋体" w:hAnsi="宋体" w:eastAsia="宋体"/>
      <w:sz w:val="24"/>
      <w:lang w:bidi="ar-SA"/>
    </w:rPr>
  </w:style>
  <w:style w:type="character" w:customStyle="1" w:styleId="385">
    <w:name w:val="样式 正文缩进 + 首行缩进:  2 字符 Char"/>
    <w:link w:val="169"/>
    <w:qFormat/>
    <w:uiPriority w:val="0"/>
    <w:rPr>
      <w:rFonts w:eastAsia="宋体"/>
      <w:kern w:val="2"/>
      <w:sz w:val="28"/>
      <w:lang w:bidi="ar-SA"/>
    </w:rPr>
  </w:style>
  <w:style w:type="character" w:customStyle="1" w:styleId="386">
    <w:name w:val="样式 表头1 + 段前: 0.35 行 Char"/>
    <w:link w:val="171"/>
    <w:qFormat/>
    <w:uiPriority w:val="0"/>
    <w:rPr>
      <w:rFonts w:eastAsia="宋体"/>
      <w:b/>
      <w:bCs/>
      <w:kern w:val="2"/>
      <w:sz w:val="28"/>
      <w:lang w:bidi="ar-SA"/>
    </w:rPr>
  </w:style>
  <w:style w:type="character" w:customStyle="1" w:styleId="387">
    <w:name w:val="表头1 Char"/>
    <w:link w:val="172"/>
    <w:qFormat/>
    <w:uiPriority w:val="0"/>
    <w:rPr>
      <w:rFonts w:eastAsia="宋体"/>
      <w:b/>
      <w:kern w:val="2"/>
      <w:sz w:val="28"/>
      <w:szCs w:val="24"/>
      <w:lang w:bidi="ar-SA"/>
    </w:rPr>
  </w:style>
  <w:style w:type="character" w:customStyle="1" w:styleId="388">
    <w:name w:val="正文首行缩进 Char"/>
    <w:link w:val="14"/>
    <w:qFormat/>
    <w:uiPriority w:val="0"/>
    <w:rPr>
      <w:rFonts w:ascii="宋体" w:eastAsia="宋体"/>
      <w:kern w:val="2"/>
      <w:sz w:val="28"/>
      <w:szCs w:val="24"/>
      <w:lang w:bidi="ar-SA"/>
    </w:rPr>
  </w:style>
  <w:style w:type="character" w:customStyle="1" w:styleId="389">
    <w:name w:val="已访问的超级链接"/>
    <w:qFormat/>
    <w:uiPriority w:val="0"/>
    <w:rPr>
      <w:color w:val="800080"/>
      <w:u w:val="single"/>
    </w:rPr>
  </w:style>
  <w:style w:type="character" w:customStyle="1" w:styleId="390">
    <w:name w:val="四号 正文 Char"/>
    <w:link w:val="290"/>
    <w:qFormat/>
    <w:uiPriority w:val="0"/>
    <w:rPr>
      <w:spacing w:val="6"/>
      <w:kern w:val="2"/>
      <w:sz w:val="28"/>
      <w:lang w:bidi="ar-SA"/>
    </w:rPr>
  </w:style>
  <w:style w:type="character" w:customStyle="1" w:styleId="391">
    <w:name w:val="报告正文 Char"/>
    <w:link w:val="291"/>
    <w:qFormat/>
    <w:uiPriority w:val="0"/>
    <w:rPr>
      <w:rFonts w:eastAsia="宋体"/>
      <w:kern w:val="2"/>
      <w:sz w:val="24"/>
      <w:lang w:bidi="ar-SA"/>
    </w:rPr>
  </w:style>
  <w:style w:type="character" w:customStyle="1" w:styleId="392">
    <w:name w:val="正文 Char"/>
    <w:qFormat/>
    <w:uiPriority w:val="0"/>
    <w:rPr>
      <w:rFonts w:ascii="宋体" w:hAnsi="宋体" w:eastAsia="宋体" w:cs="宋体"/>
      <w:kern w:val="2"/>
      <w:sz w:val="28"/>
      <w:lang w:val="en-US" w:eastAsia="zh-CN" w:bidi="ar-SA"/>
    </w:rPr>
  </w:style>
  <w:style w:type="character" w:customStyle="1" w:styleId="393">
    <w:name w:val="文本正文 Char"/>
    <w:link w:val="296"/>
    <w:qFormat/>
    <w:uiPriority w:val="0"/>
    <w:rPr>
      <w:rFonts w:ascii="宋体" w:hAnsi="宋体" w:eastAsia="宋体"/>
      <w:sz w:val="24"/>
      <w:szCs w:val="28"/>
      <w:lang w:bidi="ar-SA"/>
    </w:rPr>
  </w:style>
  <w:style w:type="character" w:customStyle="1" w:styleId="394">
    <w:name w:val="节标题 1.1 Char"/>
    <w:qFormat/>
    <w:uiPriority w:val="0"/>
    <w:rPr>
      <w:rFonts w:ascii="宋体" w:hAnsi="宋体" w:eastAsia="宋体"/>
      <w:b/>
      <w:bCs/>
      <w:sz w:val="24"/>
      <w:szCs w:val="24"/>
      <w:lang w:val="en-US" w:eastAsia="zh-CN" w:bidi="ar-SA"/>
    </w:rPr>
  </w:style>
  <w:style w:type="character" w:customStyle="1" w:styleId="395">
    <w:name w:val="章标题 1 Char"/>
    <w:qFormat/>
    <w:uiPriority w:val="0"/>
    <w:rPr>
      <w:rFonts w:ascii="宋体" w:hAnsi="宋体" w:eastAsia="宋体"/>
      <w:b/>
      <w:bCs/>
      <w:sz w:val="28"/>
      <w:szCs w:val="28"/>
      <w:lang w:val="en-US" w:eastAsia="zh-CN" w:bidi="ar-SA"/>
    </w:rPr>
  </w:style>
  <w:style w:type="character" w:customStyle="1" w:styleId="396">
    <w:name w:val="样式1 Char"/>
    <w:qFormat/>
    <w:uiPriority w:val="0"/>
    <w:rPr>
      <w:rFonts w:eastAsia="宋体"/>
      <w:kern w:val="2"/>
      <w:sz w:val="28"/>
      <w:lang w:val="en-US" w:eastAsia="zh-CN" w:bidi="ar-SA"/>
    </w:rPr>
  </w:style>
  <w:style w:type="character" w:customStyle="1" w:styleId="397">
    <w:name w:val="批注引用1"/>
    <w:qFormat/>
    <w:uiPriority w:val="0"/>
    <w:rPr>
      <w:sz w:val="21"/>
      <w:szCs w:val="21"/>
    </w:rPr>
  </w:style>
  <w:style w:type="character" w:customStyle="1" w:styleId="398">
    <w:name w:val="引用 Char"/>
    <w:link w:val="306"/>
    <w:qFormat/>
    <w:uiPriority w:val="0"/>
    <w:rPr>
      <w:rFonts w:ascii="Calibri" w:hAnsi="Calibri"/>
      <w:i/>
      <w:sz w:val="24"/>
      <w:szCs w:val="24"/>
      <w:lang w:eastAsia="en-US" w:bidi="en-US"/>
    </w:rPr>
  </w:style>
  <w:style w:type="character" w:customStyle="1" w:styleId="399">
    <w:name w:val="样式6 Char"/>
    <w:link w:val="158"/>
    <w:qFormat/>
    <w:uiPriority w:val="0"/>
    <w:rPr>
      <w:rFonts w:eastAsia="宋体"/>
      <w:kern w:val="2"/>
      <w:sz w:val="24"/>
      <w:szCs w:val="24"/>
      <w:lang w:val="en-US" w:eastAsia="zh-CN" w:bidi="ar-SA"/>
    </w:rPr>
  </w:style>
  <w:style w:type="character" w:customStyle="1" w:styleId="400">
    <w:name w:val="ZB正文小四 Char"/>
    <w:link w:val="309"/>
    <w:qFormat/>
    <w:uiPriority w:val="0"/>
    <w:rPr>
      <w:kern w:val="2"/>
      <w:sz w:val="24"/>
      <w:szCs w:val="24"/>
      <w:lang w:bidi="ar-SA"/>
    </w:rPr>
  </w:style>
  <w:style w:type="character" w:customStyle="1" w:styleId="401">
    <w:name w:val="列出段落 Char"/>
    <w:link w:val="402"/>
    <w:qFormat/>
    <w:locked/>
    <w:uiPriority w:val="0"/>
    <w:rPr>
      <w:szCs w:val="24"/>
    </w:rPr>
  </w:style>
  <w:style w:type="paragraph" w:styleId="402">
    <w:name w:val="List Paragraph"/>
    <w:basedOn w:val="1"/>
    <w:link w:val="401"/>
    <w:qFormat/>
    <w:uiPriority w:val="0"/>
    <w:pPr>
      <w:ind w:firstLine="420" w:firstLineChars="200"/>
    </w:pPr>
    <w:rPr>
      <w:kern w:val="0"/>
      <w:sz w:val="20"/>
    </w:rPr>
  </w:style>
  <w:style w:type="character" w:customStyle="1" w:styleId="403">
    <w:name w:val="表内文字 Char"/>
    <w:link w:val="404"/>
    <w:qFormat/>
    <w:locked/>
    <w:uiPriority w:val="0"/>
    <w:rPr>
      <w:rFonts w:ascii="仿宋_GB2312" w:eastAsia="仿宋_GB2312"/>
      <w:kern w:val="2"/>
      <w:sz w:val="21"/>
      <w:szCs w:val="21"/>
    </w:rPr>
  </w:style>
  <w:style w:type="paragraph" w:customStyle="1" w:styleId="404">
    <w:name w:val="表内文字"/>
    <w:basedOn w:val="1"/>
    <w:link w:val="403"/>
    <w:qFormat/>
    <w:uiPriority w:val="0"/>
    <w:pPr>
      <w:jc w:val="left"/>
    </w:pPr>
    <w:rPr>
      <w:rFonts w:ascii="仿宋_GB2312" w:eastAsia="仿宋_GB2312"/>
      <w:szCs w:val="21"/>
    </w:rPr>
  </w:style>
  <w:style w:type="paragraph" w:customStyle="1" w:styleId="405">
    <w:name w:val="Table Paragraph"/>
    <w:basedOn w:val="1"/>
    <w:qFormat/>
    <w:uiPriority w:val="1"/>
    <w:pPr>
      <w:jc w:val="left"/>
    </w:pPr>
    <w:rPr>
      <w:rFonts w:asciiTheme="minorHAnsi" w:hAnsiTheme="minorHAnsi" w:eastAsiaTheme="minorEastAsia" w:cstheme="minorBidi"/>
      <w:kern w:val="0"/>
      <w:sz w:val="22"/>
      <w:szCs w:val="22"/>
      <w:lang w:eastAsia="en-US"/>
    </w:rPr>
  </w:style>
  <w:style w:type="paragraph" w:customStyle="1" w:styleId="406">
    <w:name w:val="0正文"/>
    <w:basedOn w:val="1"/>
    <w:qFormat/>
    <w:uiPriority w:val="0"/>
    <w:pPr>
      <w:numPr>
        <w:ilvl w:val="0"/>
        <w:numId w:val="8"/>
      </w:numPr>
      <w:spacing w:beforeLines="50"/>
      <w:ind w:left="1440"/>
    </w:pPr>
    <w:rPr>
      <w:rFonts w:ascii="Calibri" w:hAnsi="Calibri" w:eastAsia="仿宋"/>
      <w:sz w:val="24"/>
      <w:szCs w:val="22"/>
    </w:rPr>
  </w:style>
  <w:style w:type="paragraph" w:customStyle="1" w:styleId="407">
    <w:name w:val="newstyle16"/>
    <w:basedOn w:val="1"/>
    <w:qFormat/>
    <w:uiPriority w:val="0"/>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emf"/><Relationship Id="rId16" Type="http://schemas.openxmlformats.org/officeDocument/2006/relationships/image" Target="media/image4.emf"/><Relationship Id="rId15" Type="http://schemas.openxmlformats.org/officeDocument/2006/relationships/image" Target="media/image3.emf"/><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0AC8B6-8F88-4391-B48C-00B3EDA50179}">
  <ds:schemaRefs/>
</ds:datastoreItem>
</file>

<file path=docProps/app.xml><?xml version="1.0" encoding="utf-8"?>
<Properties xmlns="http://schemas.openxmlformats.org/officeDocument/2006/extended-properties" xmlns:vt="http://schemas.openxmlformats.org/officeDocument/2006/docPropsVTypes">
  <Template>Normal</Template>
  <Company>SINOPEC</Company>
  <Pages>68</Pages>
  <Words>41538</Words>
  <Characters>44682</Characters>
  <Lines>245</Lines>
  <Paragraphs>69</Paragraphs>
  <TotalTime>133</TotalTime>
  <ScaleCrop>false</ScaleCrop>
  <LinksUpToDate>false</LinksUpToDate>
  <CharactersWithSpaces>46514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2018-07-19T04:04:00Z</dcterms:created>
  <dc:creator>User</dc:creator>
  <cp:lastModifiedBy>Angel_1410604156</cp:lastModifiedBy>
  <cp:lastPrinted>2018-03-04T00:40:00Z</cp:lastPrinted>
  <dcterms:modified xsi:type="dcterms:W3CDTF">2019-03-12T03:42:41Z</dcterms:modified>
  <dc:title>招标编号：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