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56" w:beforeLines="50" w:after="156" w:afterLines="50" w:line="360" w:lineRule="auto"/>
        <w:ind w:firstLine="2650" w:firstLineChars="600"/>
        <w:jc w:val="both"/>
        <w:rPr>
          <w:rFonts w:hint="eastAsia" w:ascii="宋体" w:hAnsi="宋体" w:cs="宋体"/>
          <w:b/>
          <w:sz w:val="44"/>
          <w:szCs w:val="44"/>
        </w:rPr>
      </w:pPr>
      <w:r>
        <w:rPr>
          <w:rFonts w:hint="eastAsia" w:ascii="宋体" w:hAnsi="宋体" w:cs="宋体"/>
          <w:b/>
          <w:sz w:val="44"/>
          <w:szCs w:val="44"/>
        </w:rPr>
        <w:t xml:space="preserve"> 用户需求书</w:t>
      </w:r>
    </w:p>
    <w:p>
      <w:pPr>
        <w:spacing w:before="156" w:beforeLines="50" w:after="156" w:afterLines="50" w:line="360" w:lineRule="auto"/>
        <w:rPr>
          <w:rFonts w:hint="eastAsia" w:ascii="宋体" w:hAnsi="宋体" w:cs="宋体"/>
          <w:b/>
          <w:sz w:val="28"/>
          <w:szCs w:val="28"/>
        </w:rPr>
      </w:pPr>
      <w:r>
        <w:rPr>
          <w:rFonts w:hint="eastAsia" w:ascii="宋体" w:hAnsi="宋体" w:cs="宋体"/>
          <w:b/>
          <w:sz w:val="28"/>
          <w:szCs w:val="28"/>
        </w:rPr>
        <w:t>一、采购清单</w:t>
      </w:r>
    </w:p>
    <w:tbl>
      <w:tblPr>
        <w:tblStyle w:val="3"/>
        <w:tblW w:w="9406" w:type="dxa"/>
        <w:jc w:val="center"/>
        <w:tblInd w:w="0" w:type="dxa"/>
        <w:tblLayout w:type="fixed"/>
        <w:tblCellMar>
          <w:top w:w="0" w:type="dxa"/>
          <w:left w:w="30" w:type="dxa"/>
          <w:bottom w:w="0" w:type="dxa"/>
          <w:right w:w="30" w:type="dxa"/>
        </w:tblCellMar>
      </w:tblPr>
      <w:tblGrid>
        <w:gridCol w:w="841"/>
        <w:gridCol w:w="1245"/>
        <w:gridCol w:w="1725"/>
        <w:gridCol w:w="1620"/>
        <w:gridCol w:w="765"/>
        <w:gridCol w:w="872"/>
        <w:gridCol w:w="2338"/>
      </w:tblGrid>
      <w:tr>
        <w:tblPrEx>
          <w:tblLayout w:type="fixed"/>
          <w:tblCellMar>
            <w:top w:w="0" w:type="dxa"/>
            <w:left w:w="30" w:type="dxa"/>
            <w:bottom w:w="0" w:type="dxa"/>
            <w:right w:w="30" w:type="dxa"/>
          </w:tblCellMar>
        </w:tblPrEx>
        <w:trPr>
          <w:trHeight w:val="766" w:hRule="atLeast"/>
          <w:jc w:val="center"/>
        </w:trPr>
        <w:tc>
          <w:tcPr>
            <w:tcW w:w="841"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ascii="宋体" w:hAnsi="宋体" w:cs="宋体"/>
                <w:b/>
                <w:sz w:val="24"/>
                <w:szCs w:val="24"/>
              </w:rPr>
            </w:pPr>
            <w:r>
              <w:rPr>
                <w:rFonts w:hint="eastAsia" w:ascii="宋体" w:hAnsi="宋体" w:cs="宋体"/>
                <w:b/>
                <w:sz w:val="24"/>
                <w:szCs w:val="24"/>
              </w:rPr>
              <w:t>序号</w:t>
            </w:r>
          </w:p>
        </w:tc>
        <w:tc>
          <w:tcPr>
            <w:tcW w:w="1245"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sz w:val="24"/>
                <w:szCs w:val="24"/>
              </w:rPr>
            </w:pPr>
            <w:r>
              <w:rPr>
                <w:rFonts w:hint="eastAsia" w:ascii="宋体" w:hAnsi="宋体" w:cs="宋体"/>
                <w:b/>
                <w:sz w:val="24"/>
                <w:szCs w:val="24"/>
              </w:rPr>
              <w:t>包号</w:t>
            </w:r>
          </w:p>
        </w:tc>
        <w:tc>
          <w:tcPr>
            <w:tcW w:w="1725"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ascii="宋体" w:hAnsi="宋体" w:cs="宋体"/>
                <w:b/>
                <w:sz w:val="24"/>
                <w:szCs w:val="24"/>
              </w:rPr>
            </w:pPr>
            <w:r>
              <w:rPr>
                <w:rFonts w:hint="eastAsia" w:ascii="宋体" w:hAnsi="宋体" w:cs="宋体"/>
                <w:b/>
                <w:sz w:val="24"/>
                <w:szCs w:val="24"/>
              </w:rPr>
              <w:t>货物名称</w:t>
            </w:r>
          </w:p>
        </w:tc>
        <w:tc>
          <w:tcPr>
            <w:tcW w:w="1620"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ascii="宋体" w:hAnsi="宋体" w:cs="宋体"/>
                <w:b/>
                <w:sz w:val="24"/>
                <w:szCs w:val="24"/>
              </w:rPr>
            </w:pPr>
            <w:r>
              <w:rPr>
                <w:rFonts w:hint="eastAsia" w:ascii="宋体" w:hAnsi="宋体" w:cs="宋体"/>
                <w:b/>
                <w:sz w:val="24"/>
                <w:szCs w:val="24"/>
              </w:rPr>
              <w:t>技术参数</w:t>
            </w:r>
          </w:p>
        </w:tc>
        <w:tc>
          <w:tcPr>
            <w:tcW w:w="765"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ascii="宋体" w:hAnsi="宋体" w:cs="宋体"/>
                <w:b/>
                <w:sz w:val="24"/>
                <w:szCs w:val="24"/>
              </w:rPr>
            </w:pPr>
            <w:r>
              <w:rPr>
                <w:rFonts w:hint="eastAsia" w:ascii="宋体" w:hAnsi="宋体" w:cs="宋体"/>
                <w:b/>
                <w:sz w:val="24"/>
                <w:szCs w:val="24"/>
              </w:rPr>
              <w:t>数量</w:t>
            </w:r>
          </w:p>
        </w:tc>
        <w:tc>
          <w:tcPr>
            <w:tcW w:w="872"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sz w:val="24"/>
                <w:szCs w:val="24"/>
              </w:rPr>
            </w:pPr>
            <w:r>
              <w:rPr>
                <w:rFonts w:hint="eastAsia" w:ascii="宋体" w:hAnsi="宋体" w:cs="宋体"/>
                <w:b/>
                <w:sz w:val="24"/>
                <w:szCs w:val="24"/>
              </w:rPr>
              <w:t>单位</w:t>
            </w:r>
          </w:p>
        </w:tc>
        <w:tc>
          <w:tcPr>
            <w:tcW w:w="2338"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ascii="宋体" w:hAnsi="宋体" w:cs="宋体"/>
                <w:b/>
                <w:sz w:val="24"/>
                <w:szCs w:val="24"/>
              </w:rPr>
            </w:pPr>
            <w:r>
              <w:rPr>
                <w:rFonts w:hint="eastAsia" w:ascii="宋体" w:hAnsi="宋体" w:cs="宋体"/>
                <w:b/>
                <w:sz w:val="24"/>
                <w:szCs w:val="24"/>
              </w:rPr>
              <w:t>备注</w:t>
            </w:r>
          </w:p>
        </w:tc>
      </w:tr>
      <w:tr>
        <w:tblPrEx>
          <w:tblLayout w:type="fixed"/>
          <w:tblCellMar>
            <w:top w:w="0" w:type="dxa"/>
            <w:left w:w="30" w:type="dxa"/>
            <w:bottom w:w="0" w:type="dxa"/>
            <w:right w:w="30" w:type="dxa"/>
          </w:tblCellMar>
        </w:tblPrEx>
        <w:trPr>
          <w:trHeight w:val="1273" w:hRule="atLeast"/>
          <w:jc w:val="center"/>
        </w:trPr>
        <w:tc>
          <w:tcPr>
            <w:tcW w:w="8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ascii="宋体" w:hAnsi="宋体" w:cs="宋体"/>
                <w:b/>
                <w:bCs/>
                <w:sz w:val="24"/>
                <w:szCs w:val="24"/>
              </w:rPr>
            </w:pPr>
            <w:r>
              <w:rPr>
                <w:rFonts w:hint="eastAsia" w:ascii="宋体" w:hAnsi="宋体" w:cs="宋体"/>
                <w:b/>
                <w:bCs/>
                <w:sz w:val="24"/>
                <w:szCs w:val="24"/>
              </w:rPr>
              <w:t>1</w:t>
            </w:r>
          </w:p>
        </w:tc>
        <w:tc>
          <w:tcPr>
            <w:tcW w:w="12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A包</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ascii="宋体" w:hAnsi="宋体" w:cs="宋体"/>
                <w:bCs/>
                <w:sz w:val="24"/>
                <w:szCs w:val="24"/>
              </w:rPr>
            </w:pPr>
            <w:r>
              <w:rPr>
                <w:rFonts w:hint="eastAsia" w:ascii="宋体" w:hAnsi="宋体" w:cs="宋体"/>
                <w:bCs/>
                <w:sz w:val="24"/>
                <w:szCs w:val="24"/>
              </w:rPr>
              <w:t>压缩空气泡沫消防车</w:t>
            </w:r>
            <w:bookmarkStart w:id="0" w:name="_GoBack"/>
            <w:bookmarkEnd w:id="0"/>
          </w:p>
        </w:tc>
        <w:tc>
          <w:tcPr>
            <w:tcW w:w="16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ascii="宋体" w:hAnsi="宋体" w:cs="宋体"/>
                <w:bCs/>
                <w:sz w:val="24"/>
                <w:szCs w:val="24"/>
              </w:rPr>
            </w:pPr>
            <w:r>
              <w:rPr>
                <w:rFonts w:hint="eastAsia" w:ascii="宋体" w:hAnsi="宋体" w:cs="宋体"/>
                <w:bCs/>
                <w:sz w:val="24"/>
                <w:szCs w:val="24"/>
              </w:rPr>
              <w:t xml:space="preserve">详见下列说明 </w:t>
            </w:r>
          </w:p>
        </w:tc>
        <w:tc>
          <w:tcPr>
            <w:tcW w:w="76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 xml:space="preserve"> 12</w:t>
            </w:r>
          </w:p>
        </w:tc>
        <w:tc>
          <w:tcPr>
            <w:tcW w:w="872"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辆</w:t>
            </w:r>
          </w:p>
        </w:tc>
        <w:tc>
          <w:tcPr>
            <w:tcW w:w="2338"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ind w:firstLine="241" w:firstLineChars="100"/>
              <w:jc w:val="left"/>
              <w:rPr>
                <w:rFonts w:hint="eastAsia" w:ascii="宋体" w:hAnsi="宋体" w:cs="宋体"/>
                <w:b/>
                <w:bCs/>
                <w:sz w:val="24"/>
                <w:szCs w:val="24"/>
              </w:rPr>
            </w:pPr>
            <w:r>
              <w:rPr>
                <w:rFonts w:hint="eastAsia" w:ascii="宋体" w:hAnsi="宋体" w:cs="宋体"/>
                <w:b/>
                <w:bCs/>
                <w:sz w:val="24"/>
                <w:szCs w:val="24"/>
              </w:rPr>
              <w:t>（合同签订约定）中标人与海南省消防总队签订11辆压缩空气泡沫消防车；</w:t>
            </w:r>
          </w:p>
          <w:p>
            <w:pPr>
              <w:spacing w:before="93" w:beforeLines="30" w:after="93" w:afterLines="30" w:line="440" w:lineRule="exact"/>
              <w:ind w:firstLine="241" w:firstLineChars="100"/>
              <w:jc w:val="left"/>
              <w:rPr>
                <w:rFonts w:hint="eastAsia" w:ascii="宋体" w:hAnsi="宋体" w:cs="宋体"/>
                <w:sz w:val="24"/>
                <w:szCs w:val="24"/>
              </w:rPr>
            </w:pPr>
            <w:r>
              <w:rPr>
                <w:rFonts w:hint="eastAsia" w:ascii="宋体" w:hAnsi="宋体" w:cs="宋体"/>
                <w:b/>
                <w:bCs/>
                <w:sz w:val="24"/>
                <w:szCs w:val="24"/>
              </w:rPr>
              <w:t>（合同签订约定）中标人与文昌市消防支队签订1辆压缩空气泡沫消防车。</w:t>
            </w:r>
          </w:p>
        </w:tc>
      </w:tr>
      <w:tr>
        <w:tblPrEx>
          <w:tblLayout w:type="fixed"/>
          <w:tblCellMar>
            <w:top w:w="0" w:type="dxa"/>
            <w:left w:w="30" w:type="dxa"/>
            <w:bottom w:w="0" w:type="dxa"/>
            <w:right w:w="30" w:type="dxa"/>
          </w:tblCellMar>
        </w:tblPrEx>
        <w:trPr>
          <w:trHeight w:val="1273" w:hRule="atLeast"/>
          <w:jc w:val="center"/>
        </w:trPr>
        <w:tc>
          <w:tcPr>
            <w:tcW w:w="8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sz w:val="24"/>
                <w:szCs w:val="24"/>
              </w:rPr>
            </w:pPr>
            <w:r>
              <w:rPr>
                <w:rFonts w:hint="eastAsia" w:ascii="宋体" w:hAnsi="宋体" w:cs="宋体"/>
                <w:b/>
                <w:bCs/>
                <w:sz w:val="24"/>
                <w:szCs w:val="24"/>
              </w:rPr>
              <w:t>2</w:t>
            </w:r>
          </w:p>
        </w:tc>
        <w:tc>
          <w:tcPr>
            <w:tcW w:w="12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B包</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抢险救援消防车</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详见下列说明</w:t>
            </w:r>
          </w:p>
        </w:tc>
        <w:tc>
          <w:tcPr>
            <w:tcW w:w="76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3</w:t>
            </w:r>
          </w:p>
        </w:tc>
        <w:tc>
          <w:tcPr>
            <w:tcW w:w="872"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辆</w:t>
            </w:r>
          </w:p>
        </w:tc>
        <w:tc>
          <w:tcPr>
            <w:tcW w:w="2338"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ind w:firstLine="241" w:firstLineChars="100"/>
              <w:jc w:val="left"/>
              <w:rPr>
                <w:rFonts w:hint="eastAsia" w:ascii="宋体" w:hAnsi="宋体" w:cs="宋体"/>
                <w:b/>
                <w:bCs/>
                <w:sz w:val="24"/>
                <w:szCs w:val="24"/>
              </w:rPr>
            </w:pPr>
            <w:r>
              <w:rPr>
                <w:rFonts w:hint="eastAsia" w:ascii="宋体" w:hAnsi="宋体" w:cs="宋体"/>
                <w:b/>
                <w:bCs/>
                <w:sz w:val="24"/>
                <w:szCs w:val="24"/>
              </w:rPr>
              <w:t>（合同签订约定）中标人与海南省消防总队签订2辆抢险救援消防车；</w:t>
            </w:r>
          </w:p>
          <w:p>
            <w:pPr>
              <w:spacing w:before="93" w:beforeLines="30" w:after="93" w:afterLines="30" w:line="440" w:lineRule="exact"/>
              <w:ind w:firstLine="241" w:firstLineChars="100"/>
              <w:jc w:val="left"/>
              <w:rPr>
                <w:rFonts w:hint="eastAsia" w:ascii="宋体" w:hAnsi="宋体" w:cs="宋体"/>
                <w:b/>
                <w:bCs/>
                <w:sz w:val="24"/>
                <w:szCs w:val="24"/>
              </w:rPr>
            </w:pPr>
            <w:r>
              <w:rPr>
                <w:rFonts w:hint="eastAsia" w:ascii="宋体" w:hAnsi="宋体" w:cs="宋体"/>
                <w:b/>
                <w:bCs/>
                <w:sz w:val="24"/>
                <w:szCs w:val="24"/>
              </w:rPr>
              <w:t>（合同签订约定）中标人与文昌市消防支队签订1辆抢险救援消防车。</w:t>
            </w:r>
          </w:p>
        </w:tc>
      </w:tr>
      <w:tr>
        <w:tblPrEx>
          <w:tblLayout w:type="fixed"/>
          <w:tblCellMar>
            <w:top w:w="0" w:type="dxa"/>
            <w:left w:w="30" w:type="dxa"/>
            <w:bottom w:w="0" w:type="dxa"/>
            <w:right w:w="30" w:type="dxa"/>
          </w:tblCellMar>
        </w:tblPrEx>
        <w:trPr>
          <w:trHeight w:val="1273" w:hRule="atLeast"/>
          <w:jc w:val="center"/>
        </w:trPr>
        <w:tc>
          <w:tcPr>
            <w:tcW w:w="8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sz w:val="24"/>
                <w:szCs w:val="24"/>
              </w:rPr>
            </w:pPr>
            <w:r>
              <w:rPr>
                <w:rFonts w:hint="eastAsia" w:ascii="宋体" w:hAnsi="宋体" w:cs="宋体"/>
                <w:b/>
                <w:bCs/>
                <w:sz w:val="24"/>
                <w:szCs w:val="24"/>
              </w:rPr>
              <w:t>3</w:t>
            </w:r>
          </w:p>
        </w:tc>
        <w:tc>
          <w:tcPr>
            <w:tcW w:w="12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C包</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多功能越野折叠叉车</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详见下列说明</w:t>
            </w:r>
          </w:p>
        </w:tc>
        <w:tc>
          <w:tcPr>
            <w:tcW w:w="76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4</w:t>
            </w:r>
          </w:p>
        </w:tc>
        <w:tc>
          <w:tcPr>
            <w:tcW w:w="872"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辆</w:t>
            </w:r>
          </w:p>
        </w:tc>
        <w:tc>
          <w:tcPr>
            <w:tcW w:w="2338"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ind w:firstLine="241" w:firstLineChars="100"/>
              <w:jc w:val="left"/>
              <w:rPr>
                <w:rFonts w:hint="eastAsia" w:ascii="宋体" w:hAnsi="宋体" w:cs="宋体"/>
                <w:b/>
                <w:bCs/>
                <w:sz w:val="24"/>
                <w:szCs w:val="24"/>
              </w:rPr>
            </w:pPr>
            <w:r>
              <w:rPr>
                <w:rFonts w:hint="eastAsia" w:ascii="宋体" w:hAnsi="宋体" w:cs="宋体"/>
                <w:b/>
                <w:bCs/>
                <w:sz w:val="24"/>
                <w:szCs w:val="24"/>
              </w:rPr>
              <w:t>（合同签订约定）中标人与海南省消防总队签订。</w:t>
            </w:r>
          </w:p>
        </w:tc>
      </w:tr>
      <w:tr>
        <w:tblPrEx>
          <w:tblLayout w:type="fixed"/>
          <w:tblCellMar>
            <w:top w:w="0" w:type="dxa"/>
            <w:left w:w="30" w:type="dxa"/>
            <w:bottom w:w="0" w:type="dxa"/>
            <w:right w:w="30" w:type="dxa"/>
          </w:tblCellMar>
        </w:tblPrEx>
        <w:trPr>
          <w:trHeight w:val="469" w:hRule="atLeast"/>
          <w:jc w:val="center"/>
        </w:trPr>
        <w:tc>
          <w:tcPr>
            <w:tcW w:w="8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sz w:val="24"/>
                <w:szCs w:val="24"/>
              </w:rPr>
            </w:pPr>
            <w:r>
              <w:rPr>
                <w:rFonts w:hint="eastAsia" w:ascii="宋体" w:hAnsi="宋体" w:cs="宋体"/>
                <w:b/>
                <w:bCs/>
                <w:sz w:val="24"/>
                <w:szCs w:val="24"/>
              </w:rPr>
              <w:t>4</w:t>
            </w:r>
          </w:p>
        </w:tc>
        <w:tc>
          <w:tcPr>
            <w:tcW w:w="12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D包</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大功率手抬机动泵</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详见下列说明</w:t>
            </w:r>
          </w:p>
        </w:tc>
        <w:tc>
          <w:tcPr>
            <w:tcW w:w="76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18</w:t>
            </w:r>
          </w:p>
        </w:tc>
        <w:tc>
          <w:tcPr>
            <w:tcW w:w="872"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台</w:t>
            </w:r>
          </w:p>
        </w:tc>
        <w:tc>
          <w:tcPr>
            <w:tcW w:w="2338"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ind w:firstLine="241" w:firstLineChars="100"/>
              <w:jc w:val="left"/>
              <w:rPr>
                <w:rFonts w:hint="eastAsia" w:ascii="宋体" w:hAnsi="宋体" w:cs="宋体"/>
                <w:b/>
                <w:bCs/>
                <w:sz w:val="24"/>
                <w:szCs w:val="24"/>
              </w:rPr>
            </w:pPr>
            <w:r>
              <w:rPr>
                <w:rFonts w:hint="eastAsia" w:ascii="宋体" w:hAnsi="宋体" w:cs="宋体"/>
                <w:b/>
                <w:bCs/>
                <w:sz w:val="24"/>
                <w:szCs w:val="24"/>
              </w:rPr>
              <w:t>（合同签订约定）中标人与海南省消防总队签订</w:t>
            </w:r>
            <w:r>
              <w:rPr>
                <w:rFonts w:hint="eastAsia" w:ascii="宋体" w:hAnsi="宋体" w:cs="宋体"/>
                <w:b/>
                <w:sz w:val="24"/>
                <w:szCs w:val="24"/>
              </w:rPr>
              <w:t>。</w:t>
            </w:r>
          </w:p>
        </w:tc>
      </w:tr>
      <w:tr>
        <w:tblPrEx>
          <w:tblLayout w:type="fixed"/>
          <w:tblCellMar>
            <w:top w:w="0" w:type="dxa"/>
            <w:left w:w="30" w:type="dxa"/>
            <w:bottom w:w="0" w:type="dxa"/>
            <w:right w:w="30" w:type="dxa"/>
          </w:tblCellMar>
        </w:tblPrEx>
        <w:trPr>
          <w:trHeight w:val="1273" w:hRule="atLeast"/>
          <w:jc w:val="center"/>
        </w:trPr>
        <w:tc>
          <w:tcPr>
            <w:tcW w:w="8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sz w:val="24"/>
                <w:szCs w:val="24"/>
              </w:rPr>
            </w:pPr>
            <w:r>
              <w:rPr>
                <w:rFonts w:hint="eastAsia" w:ascii="宋体" w:hAnsi="宋体" w:cs="宋体"/>
                <w:b/>
                <w:bCs/>
                <w:sz w:val="24"/>
                <w:szCs w:val="24"/>
              </w:rPr>
              <w:t>5</w:t>
            </w:r>
          </w:p>
        </w:tc>
        <w:tc>
          <w:tcPr>
            <w:tcW w:w="12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E包</w:t>
            </w:r>
          </w:p>
        </w:tc>
        <w:tc>
          <w:tcPr>
            <w:tcW w:w="1725"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举高消防车模拟训练设备</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Cs/>
                <w:sz w:val="24"/>
                <w:szCs w:val="24"/>
              </w:rPr>
            </w:pPr>
            <w:r>
              <w:rPr>
                <w:rFonts w:hint="eastAsia" w:ascii="宋体" w:hAnsi="宋体" w:cs="宋体"/>
                <w:bCs/>
                <w:sz w:val="24"/>
                <w:szCs w:val="24"/>
              </w:rPr>
              <w:t>详见下列说明</w:t>
            </w:r>
          </w:p>
        </w:tc>
        <w:tc>
          <w:tcPr>
            <w:tcW w:w="76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2</w:t>
            </w:r>
          </w:p>
        </w:tc>
        <w:tc>
          <w:tcPr>
            <w:tcW w:w="872"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sz w:val="24"/>
                <w:szCs w:val="24"/>
              </w:rPr>
            </w:pPr>
            <w:r>
              <w:rPr>
                <w:rFonts w:hint="eastAsia" w:ascii="宋体" w:hAnsi="宋体" w:cs="宋体"/>
                <w:sz w:val="24"/>
                <w:szCs w:val="24"/>
              </w:rPr>
              <w:t>台</w:t>
            </w:r>
          </w:p>
        </w:tc>
        <w:tc>
          <w:tcPr>
            <w:tcW w:w="2338"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ind w:firstLine="241" w:firstLineChars="100"/>
              <w:jc w:val="left"/>
              <w:rPr>
                <w:rFonts w:hint="eastAsia" w:ascii="宋体" w:hAnsi="宋体" w:cs="宋体"/>
                <w:b/>
                <w:bCs/>
                <w:sz w:val="24"/>
                <w:szCs w:val="24"/>
              </w:rPr>
            </w:pPr>
            <w:r>
              <w:rPr>
                <w:rFonts w:hint="eastAsia" w:ascii="宋体" w:hAnsi="宋体" w:cs="宋体"/>
                <w:b/>
                <w:bCs/>
                <w:sz w:val="24"/>
                <w:szCs w:val="24"/>
              </w:rPr>
              <w:t>（合同签订约定）中标人与海南省消防总队签订</w:t>
            </w:r>
            <w:r>
              <w:rPr>
                <w:rFonts w:hint="eastAsia" w:ascii="宋体" w:hAnsi="宋体" w:cs="宋体"/>
                <w:b/>
                <w:sz w:val="24"/>
                <w:szCs w:val="24"/>
              </w:rPr>
              <w:t>。</w:t>
            </w:r>
          </w:p>
        </w:tc>
      </w:tr>
    </w:tbl>
    <w:p>
      <w:pPr>
        <w:widowControl/>
        <w:spacing w:line="360" w:lineRule="auto"/>
        <w:ind w:firstLine="480" w:firstLineChars="200"/>
        <w:rPr>
          <w:rFonts w:hint="eastAsia" w:ascii="宋体" w:hAnsi="宋体"/>
          <w:bCs/>
          <w:color w:val="000000"/>
          <w:kern w:val="0"/>
          <w:sz w:val="24"/>
          <w:szCs w:val="24"/>
        </w:rPr>
      </w:pPr>
    </w:p>
    <w:p>
      <w:pPr>
        <w:spacing w:before="156" w:beforeLines="50" w:after="156" w:afterLines="50" w:line="360" w:lineRule="auto"/>
        <w:rPr>
          <w:rFonts w:hint="eastAsia" w:ascii="宋体" w:hAnsi="宋体" w:cs="宋体"/>
          <w:b/>
          <w:sz w:val="28"/>
          <w:szCs w:val="28"/>
        </w:rPr>
      </w:pPr>
      <w:r>
        <w:rPr>
          <w:rFonts w:hint="eastAsia" w:ascii="宋体" w:hAnsi="宋体" w:cs="宋体"/>
          <w:b/>
          <w:sz w:val="28"/>
          <w:szCs w:val="28"/>
        </w:rPr>
        <w:t>二、技术参数要求</w:t>
      </w:r>
    </w:p>
    <w:p>
      <w:pPr>
        <w:widowControl/>
        <w:spacing w:line="360" w:lineRule="auto"/>
        <w:ind w:firstLine="482" w:firstLineChars="200"/>
        <w:jc w:val="center"/>
        <w:rPr>
          <w:rFonts w:hint="eastAsia" w:ascii="宋体" w:hAnsi="宋体"/>
          <w:bCs/>
          <w:color w:val="000000"/>
          <w:kern w:val="0"/>
          <w:sz w:val="24"/>
          <w:szCs w:val="24"/>
        </w:rPr>
      </w:pPr>
      <w:r>
        <w:rPr>
          <w:rFonts w:hint="eastAsia" w:ascii="宋体" w:hAnsi="宋体"/>
          <w:b/>
          <w:bCs/>
          <w:color w:val="000000"/>
          <w:kern w:val="0"/>
          <w:sz w:val="24"/>
          <w:szCs w:val="24"/>
        </w:rPr>
        <w:t>A包压缩空气泡沫消防车技术参数</w:t>
      </w:r>
    </w:p>
    <w:p>
      <w:pPr>
        <w:widowControl/>
        <w:spacing w:line="360" w:lineRule="auto"/>
        <w:ind w:firstLine="480" w:firstLineChars="200"/>
        <w:rPr>
          <w:rFonts w:hint="eastAsia" w:ascii="宋体" w:hAnsi="宋体"/>
          <w:bCs/>
          <w:color w:val="000000"/>
          <w:kern w:val="0"/>
          <w:sz w:val="24"/>
          <w:szCs w:val="24"/>
        </w:rPr>
      </w:pPr>
      <w:r>
        <w:rPr>
          <w:rFonts w:hint="eastAsia" w:ascii="宋体" w:hAnsi="宋体"/>
          <w:bCs/>
          <w:color w:val="000000"/>
          <w:kern w:val="0"/>
          <w:sz w:val="24"/>
          <w:szCs w:val="24"/>
        </w:rPr>
        <w:t>（一）底盘</w:t>
      </w:r>
    </w:p>
    <w:p>
      <w:pPr>
        <w:widowControl/>
        <w:spacing w:line="360" w:lineRule="auto"/>
        <w:ind w:firstLine="480" w:firstLineChars="200"/>
        <w:rPr>
          <w:rFonts w:hint="eastAsia" w:ascii="宋体" w:hAnsi="宋体" w:cs="宋体"/>
          <w:kern w:val="0"/>
          <w:sz w:val="24"/>
          <w:szCs w:val="24"/>
        </w:rPr>
      </w:pPr>
      <w:r>
        <w:rPr>
          <w:rFonts w:hint="eastAsia" w:ascii="宋体" w:hAnsi="宋体"/>
          <w:kern w:val="0"/>
          <w:sz w:val="24"/>
          <w:szCs w:val="24"/>
        </w:rPr>
        <w:t>选用国际知名品牌底盘，最高车速≥100公里/小时，</w:t>
      </w:r>
      <w:r>
        <w:rPr>
          <w:rFonts w:hint="eastAsia" w:ascii="宋体" w:hAnsi="宋体" w:cs="宋体"/>
          <w:kern w:val="0"/>
          <w:sz w:val="24"/>
          <w:szCs w:val="24"/>
        </w:rPr>
        <w:t>六缸直列涡轮增压中冷电控共轨喷射柴油发动机，</w:t>
      </w:r>
      <w:r>
        <w:rPr>
          <w:rFonts w:hint="eastAsia" w:ascii="宋体" w:hAnsi="宋体"/>
          <w:kern w:val="0"/>
          <w:sz w:val="24"/>
          <w:szCs w:val="24"/>
        </w:rPr>
        <w:t>发动机功率≥210KW，排放量达到欧V（含）以上标准</w:t>
      </w:r>
      <w:r>
        <w:rPr>
          <w:rFonts w:hint="eastAsia" w:ascii="宋体" w:hAnsi="宋体" w:cs="宋体"/>
          <w:kern w:val="0"/>
          <w:sz w:val="24"/>
          <w:szCs w:val="24"/>
        </w:rPr>
        <w:t>（加配尿素溶液罐和加满尿素溶液）</w:t>
      </w:r>
      <w:r>
        <w:rPr>
          <w:rFonts w:hint="eastAsia" w:ascii="宋体" w:hAnsi="宋体"/>
          <w:kern w:val="0"/>
          <w:sz w:val="24"/>
          <w:szCs w:val="24"/>
        </w:rPr>
        <w:t>，比功率≥12，整车</w:t>
      </w:r>
      <w:r>
        <w:rPr>
          <w:rFonts w:hint="eastAsia" w:ascii="宋体" w:hAnsi="宋体" w:cs="宋体"/>
          <w:kern w:val="0"/>
          <w:sz w:val="24"/>
          <w:szCs w:val="24"/>
        </w:rPr>
        <w:t>满载质量≤</w:t>
      </w:r>
      <w:r>
        <w:rPr>
          <w:rFonts w:hint="eastAsia" w:ascii="宋体" w:hAnsi="宋体"/>
          <w:kern w:val="0"/>
          <w:sz w:val="24"/>
          <w:szCs w:val="24"/>
        </w:rPr>
        <w:t>18t</w:t>
      </w:r>
      <w:r>
        <w:rPr>
          <w:rFonts w:hint="eastAsia" w:ascii="宋体" w:hAnsi="宋体" w:cs="宋体"/>
          <w:kern w:val="0"/>
          <w:sz w:val="24"/>
          <w:szCs w:val="24"/>
        </w:rPr>
        <w:t>，驱动4×2，轴距≤4750 mm，国际知名品牌变速箱，底盘原厂原装子午线钢丝真空胎（含备胎）；电子制动系统（EBS）含防抱死制动系统（ABS），发动机排气制动，前桥盘式制动，后桥盘式制动；</w:t>
      </w:r>
      <w:r>
        <w:rPr>
          <w:rFonts w:hint="eastAsia" w:ascii="宋体" w:hAnsi="宋体"/>
          <w:kern w:val="0"/>
          <w:sz w:val="24"/>
          <w:szCs w:val="24"/>
        </w:rPr>
        <w:t>底盘原厂原装取力器，</w:t>
      </w:r>
      <w:r>
        <w:rPr>
          <w:rFonts w:hint="eastAsia" w:ascii="宋体" w:hAnsi="宋体" w:cs="宋体"/>
          <w:kern w:val="0"/>
          <w:sz w:val="24"/>
          <w:szCs w:val="24"/>
        </w:rPr>
        <w:t>取力器须装有附加冷却装置，保证取力器油温、轴温满足要求，连续工作时间</w:t>
      </w:r>
      <w:r>
        <w:rPr>
          <w:rFonts w:ascii="宋体" w:hAnsi="宋体" w:cs="宋体"/>
          <w:kern w:val="0"/>
          <w:sz w:val="24"/>
          <w:szCs w:val="24"/>
        </w:rPr>
        <w:t>≥</w:t>
      </w:r>
      <w:r>
        <w:rPr>
          <w:rFonts w:hint="eastAsia" w:ascii="宋体" w:hAnsi="宋体" w:cs="宋体"/>
          <w:kern w:val="0"/>
          <w:sz w:val="24"/>
          <w:szCs w:val="24"/>
        </w:rPr>
        <w:t>6</w:t>
      </w:r>
      <w:r>
        <w:rPr>
          <w:rFonts w:ascii="宋体" w:hAnsi="宋体" w:cs="宋体"/>
          <w:kern w:val="0"/>
          <w:sz w:val="24"/>
          <w:szCs w:val="24"/>
        </w:rPr>
        <w:t>h</w:t>
      </w:r>
      <w:r>
        <w:rPr>
          <w:rFonts w:hint="eastAsia" w:ascii="宋体" w:hAnsi="宋体" w:cs="宋体"/>
          <w:kern w:val="0"/>
          <w:sz w:val="24"/>
          <w:szCs w:val="24"/>
        </w:rPr>
        <w:t>。无尿素时，发动机功率不下降。</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olor w:val="000000"/>
          <w:kern w:val="0"/>
          <w:sz w:val="24"/>
          <w:szCs w:val="24"/>
        </w:rPr>
        <w:t>底盘免费维护保养</w:t>
      </w:r>
      <w:r>
        <w:rPr>
          <w:rFonts w:ascii="宋体" w:hAnsi="宋体" w:cs="宋体"/>
          <w:color w:val="000000"/>
          <w:kern w:val="0"/>
          <w:sz w:val="24"/>
          <w:szCs w:val="24"/>
        </w:rPr>
        <w:t>≥</w:t>
      </w:r>
      <w:r>
        <w:rPr>
          <w:rFonts w:hint="eastAsia" w:ascii="宋体" w:hAnsi="宋体"/>
          <w:color w:val="000000"/>
          <w:kern w:val="0"/>
          <w:sz w:val="24"/>
          <w:szCs w:val="24"/>
        </w:rPr>
        <w:t>2年，上装免费维修</w:t>
      </w:r>
      <w:r>
        <w:rPr>
          <w:rFonts w:ascii="宋体" w:hAnsi="宋体" w:cs="宋体"/>
          <w:color w:val="000000"/>
          <w:kern w:val="0"/>
          <w:sz w:val="24"/>
          <w:szCs w:val="24"/>
        </w:rPr>
        <w:t>≥</w:t>
      </w:r>
      <w:r>
        <w:rPr>
          <w:rFonts w:hint="eastAsia" w:ascii="宋体" w:hAnsi="宋体" w:cs="宋体"/>
          <w:color w:val="000000"/>
          <w:kern w:val="0"/>
          <w:sz w:val="24"/>
          <w:szCs w:val="24"/>
        </w:rPr>
        <w:t>3年，整车提供终身维修保养。</w:t>
      </w:r>
    </w:p>
    <w:p>
      <w:pPr>
        <w:widowControl/>
        <w:spacing w:line="360" w:lineRule="auto"/>
        <w:ind w:firstLine="480" w:firstLineChars="200"/>
        <w:rPr>
          <w:rFonts w:hint="eastAsia" w:ascii="宋体" w:hAnsi="宋体"/>
          <w:bCs/>
          <w:color w:val="000000"/>
          <w:kern w:val="0"/>
          <w:sz w:val="24"/>
          <w:szCs w:val="24"/>
        </w:rPr>
      </w:pPr>
      <w:r>
        <w:rPr>
          <w:rFonts w:hint="eastAsia" w:ascii="宋体" w:hAnsi="宋体"/>
          <w:color w:val="000000"/>
          <w:kern w:val="0"/>
          <w:sz w:val="24"/>
          <w:szCs w:val="24"/>
        </w:rPr>
        <w:t>（二）</w:t>
      </w:r>
      <w:r>
        <w:rPr>
          <w:rFonts w:hint="eastAsia" w:ascii="宋体" w:hAnsi="宋体"/>
          <w:bCs/>
          <w:color w:val="000000"/>
          <w:kern w:val="0"/>
          <w:sz w:val="24"/>
          <w:szCs w:val="24"/>
        </w:rPr>
        <w:t>驾驶室</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双排座，乘员</w:t>
      </w:r>
      <w:r>
        <w:rPr>
          <w:rFonts w:ascii="宋体" w:hAnsi="宋体"/>
          <w:color w:val="000000"/>
          <w:kern w:val="0"/>
          <w:sz w:val="24"/>
          <w:szCs w:val="24"/>
        </w:rPr>
        <w:t>1+1+4</w:t>
      </w:r>
      <w:r>
        <w:rPr>
          <w:rFonts w:hint="eastAsia" w:ascii="宋体" w:hAnsi="宋体"/>
          <w:color w:val="000000"/>
          <w:kern w:val="0"/>
          <w:sz w:val="24"/>
          <w:szCs w:val="24"/>
        </w:rPr>
        <w:t>，</w:t>
      </w:r>
      <w:r>
        <w:rPr>
          <w:rFonts w:hint="eastAsia" w:ascii="宋体" w:hAnsi="宋体" w:cs="宋体"/>
          <w:color w:val="000000"/>
          <w:kern w:val="0"/>
          <w:sz w:val="24"/>
          <w:szCs w:val="24"/>
        </w:rPr>
        <w:t>驾驶室内配置为该车型的最高配置，</w:t>
      </w:r>
      <w:r>
        <w:rPr>
          <w:rFonts w:hint="eastAsia" w:ascii="宋体" w:hAnsi="宋体"/>
          <w:color w:val="000000"/>
          <w:kern w:val="0"/>
          <w:sz w:val="24"/>
          <w:szCs w:val="24"/>
        </w:rPr>
        <w:t>翻转角应≥45</w:t>
      </w:r>
      <w:r>
        <w:rPr>
          <w:rFonts w:hint="eastAsia" w:ascii="宋体" w:hAnsi="宋体" w:cs="宋体"/>
          <w:color w:val="000000"/>
          <w:kern w:val="0"/>
          <w:sz w:val="24"/>
          <w:szCs w:val="24"/>
        </w:rPr>
        <w:t>º</w:t>
      </w:r>
      <w:r>
        <w:rPr>
          <w:rFonts w:hint="eastAsia" w:ascii="宋体" w:hAnsi="宋体" w:cs="仿宋_GB2312"/>
          <w:color w:val="000000"/>
          <w:kern w:val="0"/>
          <w:sz w:val="24"/>
          <w:szCs w:val="24"/>
        </w:rPr>
        <w:t>。</w:t>
      </w:r>
      <w:r>
        <w:rPr>
          <w:rFonts w:hint="eastAsia" w:ascii="宋体" w:hAnsi="宋体"/>
          <w:color w:val="000000"/>
          <w:kern w:val="0"/>
          <w:sz w:val="24"/>
          <w:szCs w:val="24"/>
        </w:rPr>
        <w:t>车门的开启角度≥85</w:t>
      </w:r>
      <w:r>
        <w:rPr>
          <w:rFonts w:hint="eastAsia" w:ascii="宋体" w:hAnsi="宋体" w:cs="宋体"/>
          <w:color w:val="000000"/>
          <w:kern w:val="0"/>
          <w:sz w:val="24"/>
          <w:szCs w:val="24"/>
        </w:rPr>
        <w:t>º</w:t>
      </w:r>
      <w:r>
        <w:rPr>
          <w:rFonts w:hint="eastAsia" w:ascii="宋体" w:hAnsi="宋体"/>
          <w:color w:val="000000"/>
          <w:kern w:val="0"/>
          <w:sz w:val="24"/>
          <w:szCs w:val="24"/>
        </w:rPr>
        <w:t>。配置高舒适空气弹簧司机座椅，前排单人副司机座椅，后排四人条椅，均配有安全带，带4具空呼器架，</w:t>
      </w:r>
      <w:r>
        <w:rPr>
          <w:rFonts w:hint="eastAsia" w:ascii="宋体" w:hAnsi="宋体" w:cs="仿宋_GB2312"/>
          <w:color w:val="000000"/>
          <w:kern w:val="0"/>
          <w:sz w:val="24"/>
          <w:szCs w:val="24"/>
        </w:rPr>
        <w:t>内可嵌6.8—9L空气呼吸器支架（可调），有机械锁止机构将空气呼吸器锁住，机械锁止机构的解除手柄应在乘员方便接触处，手柄的大小应保证戴防护手套可操作。座椅放置空气呼吸器后，背板至座板（垫）前沿的距离不得小于35cm,座板（垫）与支座的前悬不得大于5cm。座椅下设置可放</w:t>
      </w:r>
      <w:r>
        <w:rPr>
          <w:rFonts w:hint="eastAsia" w:ascii="宋体" w:hAnsi="宋体"/>
          <w:color w:val="000000"/>
          <w:kern w:val="0"/>
          <w:sz w:val="24"/>
          <w:szCs w:val="24"/>
        </w:rPr>
        <w:t>入消防器材的储物箱，</w:t>
      </w:r>
      <w:r>
        <w:rPr>
          <w:rFonts w:hint="eastAsia" w:ascii="宋体" w:hAnsi="宋体" w:cs="宋体"/>
          <w:color w:val="000000"/>
          <w:kern w:val="0"/>
          <w:sz w:val="24"/>
          <w:szCs w:val="24"/>
        </w:rPr>
        <w:t>储物箱能放置两具以上9升空呼器</w:t>
      </w:r>
      <w:r>
        <w:rPr>
          <w:rFonts w:hint="eastAsia" w:ascii="宋体" w:hAnsi="宋体"/>
          <w:color w:val="000000"/>
          <w:kern w:val="0"/>
          <w:sz w:val="24"/>
          <w:szCs w:val="24"/>
        </w:rPr>
        <w:t>。多处储物空间，自动温控环保空调系统（无氟里昂），收音机+CD，电动电热后视镜，电动电热广角镜、右前侧下视镜等。配置行车记录仪、带雷达测距报警功能的倒车影像系统，加装警用车载台（</w:t>
      </w:r>
      <w:r>
        <w:rPr>
          <w:rFonts w:hint="eastAsia" w:ascii="宋体" w:hAnsi="宋体"/>
          <w:bCs/>
          <w:color w:val="000000"/>
          <w:kern w:val="0"/>
          <w:sz w:val="24"/>
          <w:szCs w:val="24"/>
        </w:rPr>
        <w:t>须与警用摩托罗拉GP3688对讲机系统兼容</w:t>
      </w:r>
      <w:r>
        <w:rPr>
          <w:rFonts w:hint="eastAsia" w:ascii="宋体" w:hAnsi="宋体"/>
          <w:color w:val="000000"/>
          <w:kern w:val="0"/>
          <w:sz w:val="24"/>
          <w:szCs w:val="24"/>
        </w:rPr>
        <w:t>）；仪表盘为图表式显示系统，国际标准公制单位，仪表板上应预留通讯设备、GPS导航设备的安装位置，当所需电源的电压、电流与整车电源不符时，必须装有变压整流设备，不得直接与电瓶连接。</w:t>
      </w:r>
      <w:r>
        <w:rPr>
          <w:rFonts w:hint="eastAsia" w:ascii="宋体" w:hAnsi="宋体" w:cs="宋体"/>
          <w:color w:val="000000"/>
          <w:kern w:val="0"/>
          <w:sz w:val="24"/>
          <w:szCs w:val="24"/>
        </w:rPr>
        <w:t>预留车载电台电源24V接口2个、GPS定位12V接口2个、首车图传48V接口1个</w:t>
      </w:r>
      <w:r>
        <w:rPr>
          <w:rFonts w:hint="eastAsia" w:ascii="宋体" w:hAnsi="宋体"/>
          <w:color w:val="000000"/>
          <w:kern w:val="0"/>
          <w:sz w:val="24"/>
          <w:szCs w:val="24"/>
        </w:rPr>
        <w:t>，设有1个不小于6″的液晶显示器。在驾驶室内安装指示警告灯，当驾驶室门开启时指示警告灯亮。</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（三）上装</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1、厢体采用高强度铝合金板（铝合金板厚度≥3mm）或优质不锈钢材料制成，各部位结合紧密，厢体永不生锈，保质期10年。罐和顶部区域高强度铝合金板（铝合金板厚度≥3mm）或优质不锈钢材料制成，车</w:t>
      </w:r>
      <w:r>
        <w:rPr>
          <w:rFonts w:hint="eastAsia" w:ascii="宋体" w:hAnsi="宋体" w:cs="宋体"/>
          <w:color w:val="000000"/>
          <w:kern w:val="0"/>
          <w:sz w:val="24"/>
          <w:szCs w:val="24"/>
        </w:rPr>
        <w:t>左右两边各设置3个或以上器材箱，采用为高强度铝合金型材</w:t>
      </w:r>
      <w:r>
        <w:rPr>
          <w:rFonts w:hint="eastAsia" w:ascii="宋体" w:hAnsi="宋体"/>
          <w:color w:val="000000"/>
          <w:kern w:val="0"/>
          <w:sz w:val="24"/>
          <w:szCs w:val="24"/>
        </w:rPr>
        <w:t>或优质不锈钢，</w:t>
      </w:r>
      <w:r>
        <w:rPr>
          <w:rFonts w:hint="eastAsia" w:ascii="宋体" w:hAnsi="宋体" w:cs="宋体"/>
          <w:color w:val="000000"/>
          <w:kern w:val="0"/>
          <w:sz w:val="24"/>
          <w:szCs w:val="24"/>
        </w:rPr>
        <w:t>表面经过阳极氧化处理；</w:t>
      </w:r>
      <w:r>
        <w:rPr>
          <w:rFonts w:hint="eastAsia" w:ascii="宋体" w:hAnsi="宋体"/>
          <w:color w:val="000000"/>
          <w:kern w:val="0"/>
          <w:sz w:val="24"/>
          <w:szCs w:val="24"/>
        </w:rPr>
        <w:t>每个器材箱卷帘门防尘、防水，且启闭灵活顺畅，卷帘门锁止装置牢固耐用，操作便捷，卷帘门开关时，对应的器材室照明装置应同时启闭（全套卷帘门免费保修不少于5年）。在驾驶室内能显示每个器材门启闭情况，并具备未关闭警示标志。接近每个储物箱的位置均设有脚踏翻板，放下时前后边缘</w:t>
      </w:r>
      <w:r>
        <w:rPr>
          <w:rFonts w:hint="eastAsia" w:ascii="宋体" w:hAnsi="宋体" w:cs="宋体"/>
          <w:color w:val="000000"/>
          <w:kern w:val="0"/>
          <w:sz w:val="24"/>
          <w:szCs w:val="24"/>
        </w:rPr>
        <w:t>有黄色警告灯闪烁，驾驶室内有声光提示</w:t>
      </w:r>
      <w:r>
        <w:rPr>
          <w:rFonts w:hint="eastAsia" w:ascii="宋体" w:hAnsi="宋体"/>
          <w:color w:val="000000"/>
          <w:kern w:val="0"/>
          <w:sz w:val="24"/>
          <w:szCs w:val="24"/>
        </w:rPr>
        <w:t>；内部器材架可根据器材大小轻松调整，器材架结构根据用户需求摆放器材进行设计，按照人性化、实战实用、便于存取、减少损耗的原则，设置时常用、重型的固定在下方。在器材箱内搁板外沿上翻或安装挡板，防止器材在车辆行驶时出现器材滑落现象，器材箱内的器材要固定好，保证不会出现移位损坏，器材摆放醒目位置装有相对应器材的名称铭牌。车顶工作甲板有防滑措施，拉梯架的设置应合理方便尾部设有滚轮，固定牢固</w:t>
      </w:r>
      <w:r>
        <w:rPr>
          <w:rFonts w:hint="eastAsia" w:ascii="宋体" w:hAnsi="宋体" w:cs="宋体"/>
          <w:color w:val="000000"/>
          <w:kern w:val="0"/>
          <w:sz w:val="24"/>
          <w:szCs w:val="24"/>
        </w:rPr>
        <w:t>，无需人员爬上车顶即可方便取用救援拉梯</w:t>
      </w:r>
      <w:r>
        <w:rPr>
          <w:rFonts w:hint="eastAsia" w:ascii="宋体" w:hAnsi="宋体"/>
          <w:color w:val="000000"/>
          <w:kern w:val="0"/>
          <w:sz w:val="24"/>
          <w:szCs w:val="24"/>
        </w:rPr>
        <w:t>（</w:t>
      </w:r>
      <w:r>
        <w:rPr>
          <w:rFonts w:hint="eastAsia" w:ascii="宋体" w:hAnsi="宋体" w:cs="宋体"/>
          <w:color w:val="000000"/>
          <w:kern w:val="0"/>
          <w:sz w:val="24"/>
          <w:szCs w:val="24"/>
        </w:rPr>
        <w:t>优先采用翻转式结构</w:t>
      </w:r>
      <w:r>
        <w:rPr>
          <w:rFonts w:hint="eastAsia" w:ascii="宋体" w:hAnsi="宋体"/>
          <w:color w:val="000000"/>
          <w:kern w:val="0"/>
          <w:sz w:val="24"/>
          <w:szCs w:val="24"/>
        </w:rPr>
        <w:t>）。上装改装后牌照的安装固定位置、面积尺寸和照明应符合相关要求。整个泵房底部密封良好，管路通过处采取有效措施进行处理，防止泥沙和灰尘进入。</w:t>
      </w:r>
    </w:p>
    <w:p>
      <w:pPr>
        <w:widowControl/>
        <w:spacing w:line="360" w:lineRule="auto"/>
        <w:ind w:firstLine="480" w:firstLineChars="200"/>
        <w:rPr>
          <w:rFonts w:hint="eastAsia" w:ascii="宋体" w:hAnsi="宋体" w:cs="宋体"/>
          <w:color w:val="000000"/>
          <w:kern w:val="0"/>
          <w:sz w:val="24"/>
        </w:rPr>
      </w:pPr>
      <w:r>
        <w:rPr>
          <w:rFonts w:hint="eastAsia" w:ascii="宋体" w:hAnsi="宋体"/>
          <w:bCs/>
          <w:kern w:val="0"/>
          <w:sz w:val="24"/>
          <w:szCs w:val="24"/>
        </w:rPr>
        <w:t>2、罐体：</w:t>
      </w:r>
      <w:r>
        <w:rPr>
          <w:rFonts w:hint="eastAsia" w:ascii="宋体" w:hAnsi="宋体"/>
          <w:kern w:val="0"/>
          <w:sz w:val="24"/>
          <w:szCs w:val="24"/>
        </w:rPr>
        <w:t>水罐容积约3.5吨，A类泡沫罐约0.2吨，B类泡沫罐约0.5吨，罐体顶</w:t>
      </w:r>
      <w:r>
        <w:rPr>
          <w:rFonts w:hint="eastAsia" w:ascii="宋体" w:hAnsi="宋体"/>
          <w:color w:val="000000"/>
          <w:kern w:val="0"/>
          <w:sz w:val="24"/>
          <w:szCs w:val="24"/>
        </w:rPr>
        <w:t>板及侧板厚≥3mm，底板厚≥4mm，优质316不锈钢，经过酸洗钝化处理并设有“牺牲”阳极装置，能更好地保护罐体免被腐蚀，保质期≥10年。顶部装有快速锁紧和开启及卸荷装置的人孔盖(口径≥∮450mm)；设置溢流口1个，带绿色玻璃钢管帽的溢流管，满足罐体溢流及通气要求；罐底下面安装排水口，管径≥65mm；泵往罐注水管径≥DN65；左右侧各2个罐注水口（共4个接头），内径≥DN80，雄性接口，配有铜质球阀、滤网、卡式接口及闷盖等（闷盖设有泄压孔）。泡沫罐配有2个带黄色玻璃钢管帽的溢流管，满足罐体溢流及通气要求；排液管管径≥DN40球阀，带固定装置及闷盖（闷盖设有泄压孔），铜质；车两侧各设≥1个DN65铜质球阀的A类泡沫、B类泡沫补液口（也可在车尾部设置，并可利用泡沫供液车供液管线、220V电动泡沫泵及DN65泡沫吸液管向泡沫罐加注泡沫），并配有1套罐液位系统，在泵室控制面板上通过液位表显示</w:t>
      </w:r>
      <w:r>
        <w:rPr>
          <w:rFonts w:hint="eastAsia" w:ascii="宋体" w:hAnsi="宋体" w:cs="宋体"/>
          <w:color w:val="000000"/>
          <w:kern w:val="0"/>
          <w:sz w:val="24"/>
        </w:rPr>
        <w:t>（带低液位报警功能）</w:t>
      </w:r>
      <w:r>
        <w:rPr>
          <w:rFonts w:hint="eastAsia" w:ascii="宋体" w:hAnsi="宋体"/>
          <w:color w:val="000000"/>
          <w:kern w:val="0"/>
          <w:sz w:val="24"/>
          <w:szCs w:val="24"/>
        </w:rPr>
        <w:t>。</w:t>
      </w:r>
    </w:p>
    <w:p>
      <w:pPr>
        <w:widowControl/>
        <w:spacing w:line="360" w:lineRule="auto"/>
        <w:ind w:firstLine="480" w:firstLineChars="200"/>
        <w:rPr>
          <w:rFonts w:hint="eastAsia" w:ascii="宋体" w:hAnsi="宋体"/>
          <w:color w:val="000000"/>
          <w:kern w:val="0"/>
          <w:sz w:val="24"/>
          <w:szCs w:val="24"/>
        </w:rPr>
      </w:pPr>
      <w:r>
        <w:rPr>
          <w:rFonts w:hint="eastAsia" w:ascii="宋体" w:hAnsi="宋体"/>
          <w:bCs/>
          <w:kern w:val="0"/>
          <w:sz w:val="24"/>
          <w:szCs w:val="24"/>
        </w:rPr>
        <w:t>3、消防泵：</w:t>
      </w:r>
      <w:r>
        <w:rPr>
          <w:rFonts w:hint="eastAsia" w:ascii="宋体" w:hAnsi="宋体"/>
          <w:kern w:val="0"/>
          <w:sz w:val="24"/>
          <w:szCs w:val="24"/>
        </w:rPr>
        <w:t>国际知名品牌常压离心消防泵，泵壳及叶轮为防腐轻合金，泵轴为高级不锈钢，机械轴封，压力1.0Mpa时流量≥3500L/min，消防泵通过取力器由汽车发动</w:t>
      </w:r>
      <w:r>
        <w:rPr>
          <w:rFonts w:hint="eastAsia" w:ascii="宋体" w:hAnsi="宋体"/>
          <w:color w:val="000000"/>
          <w:kern w:val="0"/>
          <w:sz w:val="24"/>
          <w:szCs w:val="24"/>
        </w:rPr>
        <w:t>机驱动，有</w:t>
      </w:r>
      <w:r>
        <w:rPr>
          <w:rFonts w:hint="eastAsia" w:ascii="宋体" w:hAnsi="宋体" w:cs="宋体"/>
          <w:color w:val="000000"/>
          <w:kern w:val="0"/>
          <w:sz w:val="24"/>
          <w:szCs w:val="24"/>
        </w:rPr>
        <w:t>附加冷却装置能够连续运转24小时以上</w:t>
      </w:r>
      <w:r>
        <w:rPr>
          <w:rFonts w:hint="eastAsia" w:ascii="宋体" w:hAnsi="宋体"/>
          <w:color w:val="000000"/>
          <w:kern w:val="0"/>
          <w:sz w:val="24"/>
          <w:szCs w:val="24"/>
        </w:rPr>
        <w:t>；优先采用与水泵同一品牌的真空泵，最大吸深≥7米，最大真空度≥85kPa，引水时间≤60秒。所有水管及泵接头为防腐热浸镀钢、刚性橡胶管或弹性橡胶连接材质，所有泡沫管及泵接头为高级不锈钢，青铜、刚性橡胶管或聚酯材料；配置≥1个DN150吸水口，配不锈钢蝶阀，手动控制，带滤网，卡式接口，并配有闷盖；4个常压出口，左右各一个DN80、DN65雌性卡式接口，包括闷盖；1个常压炮供水管，与车顶炮连接；1个泵排水口，10mm球阀，手动操作。</w:t>
      </w:r>
    </w:p>
    <w:p>
      <w:pPr>
        <w:widowControl/>
        <w:spacing w:line="360" w:lineRule="auto"/>
        <w:ind w:firstLine="480" w:firstLineChars="200"/>
        <w:rPr>
          <w:rFonts w:hint="eastAsia" w:ascii="宋体" w:hAnsi="宋体"/>
          <w:color w:val="000000"/>
          <w:kern w:val="0"/>
          <w:sz w:val="24"/>
          <w:szCs w:val="24"/>
        </w:rPr>
      </w:pPr>
      <w:r>
        <w:rPr>
          <w:rFonts w:hint="eastAsia" w:ascii="宋体" w:hAnsi="宋体"/>
          <w:bCs/>
          <w:kern w:val="0"/>
          <w:sz w:val="24"/>
          <w:szCs w:val="24"/>
        </w:rPr>
        <w:t>4、泡沫比例混合器：</w:t>
      </w:r>
      <w:r>
        <w:rPr>
          <w:rFonts w:hint="eastAsia" w:ascii="宋体" w:hAnsi="宋体"/>
          <w:kern w:val="0"/>
          <w:sz w:val="24"/>
          <w:szCs w:val="24"/>
        </w:rPr>
        <w:t>优先采用与消防泵原厂配套的泡沫比例混合器，自动“环泵</w:t>
      </w:r>
      <w:r>
        <w:rPr>
          <w:rFonts w:hint="eastAsia" w:ascii="宋体" w:hAnsi="宋体"/>
          <w:color w:val="000000"/>
          <w:kern w:val="0"/>
          <w:sz w:val="24"/>
          <w:szCs w:val="24"/>
        </w:rPr>
        <w:t>式”，混合比例3%、6%可调节（优先采用1%-10%可手动调节的自动比例混合器），手动启动；1个≥DN65泡沫罐吸液管，带气动操作球阀；1个≥DN50外吸泡沫管，带手动操作球阀及卡式接扣，通过外吸泡沫管冲洗泡沫。泡沫吸液管路装有单向阀，防止泡沫倒流进泡沫罐，单向阀要便于检查和清洗。</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5、消防控制系统：配有国际知名品牌泵室内泵控制系统和消防炮控制系统。泵室内泵控制系统位于车后部，包括常压表、真空表、取力器启动开关指示、油门控制开关、发动机油压显示、泵工作累时表、泵转速表、水罐液位计、水罐吸水启动开关、真空泵启动开关、A类泡沫罐液位计、B类泡沫罐液位计、泡沫罐出液启动开关、CAFS控制面板等，在明显位置附加操作流程及说明铭牌（中文）。消防炮控制系统位于车顶，包括常压表、水罐液位计、B类泡沫罐液位计、面板工作灯开关、炮出水启动开关、油门控制开关等。</w:t>
      </w:r>
    </w:p>
    <w:p>
      <w:pPr>
        <w:widowControl/>
        <w:spacing w:line="360" w:lineRule="auto"/>
        <w:ind w:firstLine="480" w:firstLineChars="200"/>
        <w:rPr>
          <w:rFonts w:hint="eastAsia" w:ascii="宋体" w:hAnsi="宋体"/>
          <w:bCs/>
          <w:kern w:val="0"/>
          <w:sz w:val="24"/>
          <w:szCs w:val="24"/>
        </w:rPr>
      </w:pPr>
      <w:r>
        <w:rPr>
          <w:rFonts w:hint="eastAsia" w:ascii="宋体" w:hAnsi="宋体"/>
          <w:bCs/>
          <w:kern w:val="0"/>
          <w:sz w:val="24"/>
          <w:szCs w:val="24"/>
        </w:rPr>
        <w:t>6、消防炮：</w:t>
      </w:r>
      <w:r>
        <w:rPr>
          <w:rFonts w:hint="eastAsia" w:ascii="宋体" w:hAnsi="宋体"/>
          <w:kern w:val="0"/>
          <w:sz w:val="24"/>
          <w:szCs w:val="24"/>
        </w:rPr>
        <w:t>国际知名品牌，原装消防炮，遥控水/泡沫两用炮，压力1.0Mpa时流量≥40L/s，水射程≥60米，泡沫射程≥50米。</w:t>
      </w:r>
    </w:p>
    <w:p>
      <w:pPr>
        <w:widowControl/>
        <w:spacing w:line="360" w:lineRule="auto"/>
        <w:ind w:firstLine="480" w:firstLineChars="200"/>
        <w:rPr>
          <w:rFonts w:hint="eastAsia" w:ascii="宋体" w:hAnsi="宋体"/>
          <w:kern w:val="0"/>
          <w:sz w:val="24"/>
          <w:szCs w:val="24"/>
        </w:rPr>
      </w:pPr>
      <w:r>
        <w:rPr>
          <w:rFonts w:hint="eastAsia" w:ascii="宋体" w:hAnsi="宋体"/>
          <w:bCs/>
          <w:kern w:val="0"/>
          <w:sz w:val="24"/>
          <w:szCs w:val="24"/>
        </w:rPr>
        <w:t>7、压缩空气泡沫系统：优先采用</w:t>
      </w:r>
      <w:r>
        <w:rPr>
          <w:rFonts w:hint="eastAsia" w:ascii="宋体" w:hAnsi="宋体"/>
          <w:kern w:val="0"/>
          <w:sz w:val="24"/>
          <w:szCs w:val="24"/>
        </w:rPr>
        <w:t>国际知名品牌，与消防泵原厂配套系统；可以使用常规的A类及B类泡沫；电驱正压泡沫比例混合系统，混合比0.1-1%，无级调节；2个DN65常压侧出口，每个出口可以独立人工调节CAFS输出的干湿程度，额定压力时压缩空气泡沫流量≥3000L/min。</w:t>
      </w:r>
    </w:p>
    <w:p>
      <w:pPr>
        <w:widowControl/>
        <w:spacing w:line="360" w:lineRule="auto"/>
        <w:ind w:firstLine="480" w:firstLineChars="200"/>
        <w:rPr>
          <w:rFonts w:hint="eastAsia" w:ascii="宋体" w:hAnsi="宋体"/>
          <w:kern w:val="0"/>
          <w:sz w:val="24"/>
          <w:szCs w:val="24"/>
        </w:rPr>
      </w:pPr>
      <w:r>
        <w:rPr>
          <w:rFonts w:hint="eastAsia" w:ascii="宋体" w:hAnsi="宋体"/>
          <w:bCs/>
          <w:kern w:val="0"/>
          <w:sz w:val="24"/>
          <w:szCs w:val="24"/>
        </w:rPr>
        <w:t>8、牵引绞盘：</w:t>
      </w:r>
      <w:r>
        <w:rPr>
          <w:rFonts w:hint="eastAsia" w:ascii="宋体" w:hAnsi="宋体"/>
          <w:kern w:val="0"/>
          <w:sz w:val="24"/>
          <w:szCs w:val="24"/>
        </w:rPr>
        <w:t>国际知名品牌，原装产品，牵引力≥5吨，长度≥30m；电动控制，液压驱动，前置式。</w:t>
      </w:r>
    </w:p>
    <w:p>
      <w:pPr>
        <w:widowControl/>
        <w:spacing w:line="360" w:lineRule="auto"/>
        <w:ind w:firstLine="480" w:firstLineChars="200"/>
        <w:rPr>
          <w:rFonts w:hint="eastAsia" w:ascii="宋体" w:hAnsi="宋体"/>
          <w:color w:val="000000"/>
          <w:kern w:val="0"/>
          <w:sz w:val="24"/>
          <w:szCs w:val="24"/>
        </w:rPr>
      </w:pPr>
      <w:r>
        <w:rPr>
          <w:rFonts w:hint="eastAsia" w:ascii="宋体" w:hAnsi="宋体"/>
          <w:bCs/>
          <w:kern w:val="0"/>
          <w:sz w:val="24"/>
          <w:szCs w:val="24"/>
        </w:rPr>
        <w:t>9、发电照明系统：</w:t>
      </w:r>
      <w:r>
        <w:rPr>
          <w:rFonts w:hint="eastAsia" w:ascii="宋体" w:hAnsi="宋体"/>
          <w:kern w:val="0"/>
          <w:sz w:val="24"/>
          <w:szCs w:val="24"/>
        </w:rPr>
        <w:t>国际知名品牌，原装产品，主升降杆采用电控气压云台，可伸缩，升降照明灯最大离地面高度≥7.5m，360°全方位照明，带自动复位功能，照明灯功率4×1000W/220V，</w:t>
      </w:r>
      <w:r>
        <w:rPr>
          <w:rFonts w:hint="eastAsia" w:ascii="宋体" w:hAnsi="宋体"/>
          <w:color w:val="000000"/>
          <w:kern w:val="0"/>
          <w:sz w:val="24"/>
          <w:szCs w:val="24"/>
        </w:rPr>
        <w:t>卤素灯，有线遥控；国际知名品牌发电机，额定功率≥5KW（优先采用额定功率大的），可持续工作8小时以上。加装复位接近开关，当升降杆和照明灯具未回收到车辆行驶状态时，驾驶室有提示。</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10、警报系统：1个1.6m长排爆闪警灯安装于驾驶室顶部，可从驾驶室开关，红色，电子公共广播系统，带警笛，包括麦克风及100W扬声器，安装于驾驶室顶；左右两侧各3组红蓝爆闪灯。</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11、上装电气：每个储物箱1个LED照明灯，储物箱在驾驶室内带控制灯，红灯亮时，警告提示车门未关；配1个70W的卤素灯泡安装于车顶，车顶过线、接头均有保护，能承受车顶行人的意外踩踏冲击；探照灯带枢轴，线缆及插头，可手动调整照明角度。安装有全自动充电充气装置，充电充气装置应配有≥30米配套使用的电缆线盘。</w:t>
      </w:r>
    </w:p>
    <w:p>
      <w:pPr>
        <w:widowControl/>
        <w:spacing w:line="360" w:lineRule="auto"/>
        <w:ind w:firstLine="482" w:firstLineChars="200"/>
        <w:rPr>
          <w:rFonts w:hint="eastAsia" w:ascii="宋体" w:hAnsi="宋体"/>
          <w:b/>
          <w:bCs/>
          <w:color w:val="000000"/>
          <w:kern w:val="0"/>
          <w:sz w:val="24"/>
          <w:szCs w:val="24"/>
        </w:rPr>
      </w:pPr>
      <w:r>
        <w:rPr>
          <w:rFonts w:hint="eastAsia" w:ascii="宋体" w:hAnsi="宋体"/>
          <w:b/>
          <w:bCs/>
          <w:color w:val="000000"/>
          <w:kern w:val="0"/>
          <w:sz w:val="24"/>
          <w:szCs w:val="24"/>
        </w:rPr>
        <w:t>（四）随车器材清单及技术参数要求</w:t>
      </w:r>
    </w:p>
    <w:tbl>
      <w:tblPr>
        <w:tblStyle w:val="3"/>
        <w:tblW w:w="9180" w:type="dxa"/>
        <w:jc w:val="center"/>
        <w:tblInd w:w="0" w:type="dxa"/>
        <w:tblLayout w:type="fixed"/>
        <w:tblCellMar>
          <w:top w:w="0" w:type="dxa"/>
          <w:left w:w="108" w:type="dxa"/>
          <w:bottom w:w="0" w:type="dxa"/>
          <w:right w:w="108" w:type="dxa"/>
        </w:tblCellMar>
      </w:tblPr>
      <w:tblGrid>
        <w:gridCol w:w="781"/>
        <w:gridCol w:w="2162"/>
        <w:gridCol w:w="2268"/>
        <w:gridCol w:w="993"/>
        <w:gridCol w:w="850"/>
        <w:gridCol w:w="2126"/>
      </w:tblGrid>
      <w:tr>
        <w:tblPrEx>
          <w:tblLayout w:type="fixed"/>
          <w:tblCellMar>
            <w:top w:w="0" w:type="dxa"/>
            <w:left w:w="108" w:type="dxa"/>
            <w:bottom w:w="0" w:type="dxa"/>
            <w:right w:w="108" w:type="dxa"/>
          </w:tblCellMar>
        </w:tblPrEx>
        <w:trPr>
          <w:trHeight w:val="290"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ind w:right="-107" w:rightChars="-51"/>
              <w:jc w:val="center"/>
              <w:rPr>
                <w:rFonts w:ascii="宋体" w:hAnsi="宋体"/>
                <w:b/>
                <w:bCs/>
                <w:color w:val="000000"/>
                <w:kern w:val="0"/>
                <w:sz w:val="24"/>
                <w:szCs w:val="24"/>
              </w:rPr>
            </w:pPr>
            <w:r>
              <w:rPr>
                <w:rFonts w:hint="eastAsia" w:ascii="宋体" w:hAnsi="宋体" w:cs="宋体"/>
                <w:b/>
                <w:bCs/>
                <w:color w:val="000000"/>
                <w:kern w:val="0"/>
                <w:sz w:val="24"/>
                <w:szCs w:val="24"/>
              </w:rPr>
              <w:t>序号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b/>
                <w:bCs/>
                <w:color w:val="000000"/>
                <w:kern w:val="0"/>
                <w:sz w:val="24"/>
                <w:szCs w:val="24"/>
              </w:rPr>
            </w:pPr>
            <w:r>
              <w:rPr>
                <w:rFonts w:hint="eastAsia" w:ascii="宋体" w:hAnsi="宋体" w:cs="宋体"/>
                <w:b/>
                <w:bCs/>
                <w:color w:val="000000"/>
                <w:kern w:val="0"/>
                <w:sz w:val="24"/>
                <w:szCs w:val="24"/>
              </w:rPr>
              <w:t>名称</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jc w:val="center"/>
              <w:rPr>
                <w:rFonts w:ascii="宋体" w:hAnsi="宋体"/>
                <w:b/>
                <w:bCs/>
                <w:color w:val="000000"/>
                <w:kern w:val="0"/>
                <w:sz w:val="24"/>
                <w:szCs w:val="24"/>
              </w:rPr>
            </w:pPr>
            <w:r>
              <w:rPr>
                <w:rFonts w:hint="eastAsia" w:ascii="宋体" w:hAnsi="宋体" w:cs="宋体"/>
                <w:b/>
                <w:bCs/>
                <w:color w:val="000000"/>
                <w:kern w:val="0"/>
                <w:sz w:val="24"/>
                <w:szCs w:val="24"/>
              </w:rPr>
              <w:t>规格型号</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b/>
                <w:bCs/>
                <w:color w:val="000000"/>
                <w:kern w:val="0"/>
                <w:sz w:val="24"/>
                <w:szCs w:val="24"/>
              </w:rPr>
            </w:pPr>
            <w:r>
              <w:rPr>
                <w:rFonts w:hint="eastAsia" w:ascii="宋体" w:hAnsi="宋体" w:cs="宋体"/>
                <w:b/>
                <w:bCs/>
                <w:color w:val="000000"/>
                <w:kern w:val="0"/>
                <w:sz w:val="24"/>
                <w:szCs w:val="24"/>
              </w:rPr>
              <w:t>单位</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b/>
                <w:bCs/>
                <w:color w:val="000000"/>
                <w:kern w:val="0"/>
                <w:sz w:val="24"/>
                <w:szCs w:val="24"/>
              </w:rPr>
            </w:pPr>
            <w:r>
              <w:rPr>
                <w:rFonts w:hint="eastAsia" w:ascii="宋体" w:hAnsi="宋体" w:cs="宋体"/>
                <w:b/>
                <w:bCs/>
                <w:color w:val="000000"/>
                <w:kern w:val="0"/>
                <w:sz w:val="24"/>
                <w:szCs w:val="24"/>
              </w:rPr>
              <w:t>数量</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b/>
                <w:bCs/>
                <w:color w:val="000000"/>
                <w:kern w:val="0"/>
                <w:sz w:val="24"/>
                <w:szCs w:val="24"/>
              </w:rPr>
            </w:pPr>
            <w:r>
              <w:rPr>
                <w:rFonts w:hint="eastAsia" w:ascii="宋体" w:hAnsi="宋体" w:cs="宋体"/>
                <w:b/>
                <w:bCs/>
                <w:color w:val="000000"/>
                <w:kern w:val="0"/>
                <w:sz w:val="24"/>
                <w:szCs w:val="24"/>
              </w:rPr>
              <w:t>备注</w:t>
            </w:r>
          </w:p>
        </w:tc>
      </w:tr>
      <w:tr>
        <w:tblPrEx>
          <w:tblLayout w:type="fixed"/>
          <w:tblCellMar>
            <w:top w:w="0" w:type="dxa"/>
            <w:left w:w="108" w:type="dxa"/>
            <w:bottom w:w="0" w:type="dxa"/>
            <w:right w:w="108" w:type="dxa"/>
          </w:tblCellMar>
        </w:tblPrEx>
        <w:trPr>
          <w:trHeight w:val="273"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1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消防吸水管</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DN150（与水泵配套）</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 xml:space="preserve">米 </w:t>
            </w:r>
          </w:p>
        </w:tc>
        <w:tc>
          <w:tcPr>
            <w:tcW w:w="850"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8</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共4根，每根2m</w:t>
            </w: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2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滤水器</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150（与水泵配套）</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hint="eastAsia" w:ascii="宋体" w:hAnsi="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3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s="宋体"/>
                <w:color w:val="000000"/>
                <w:kern w:val="0"/>
                <w:sz w:val="24"/>
                <w:szCs w:val="24"/>
              </w:rPr>
            </w:pPr>
            <w:r>
              <w:rPr>
                <w:rFonts w:hint="eastAsia" w:ascii="宋体" w:hAnsi="宋体" w:cs="宋体"/>
                <w:color w:val="000000"/>
                <w:sz w:val="24"/>
                <w:szCs w:val="24"/>
              </w:rPr>
              <w:t xml:space="preserve">消防水带 </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s="宋体"/>
                <w:color w:val="000000"/>
                <w:kern w:val="0"/>
                <w:sz w:val="24"/>
                <w:szCs w:val="24"/>
              </w:rPr>
            </w:pPr>
            <w:r>
              <w:rPr>
                <w:rFonts w:hint="eastAsia" w:ascii="宋体" w:hAnsi="宋体" w:cs="宋体"/>
                <w:color w:val="000000"/>
                <w:sz w:val="24"/>
                <w:szCs w:val="24"/>
              </w:rPr>
              <w:t>20-65-20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盘</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hint="eastAsia" w:ascii="宋体" w:hAnsi="宋体" w:cs="宋体"/>
                <w:color w:val="000000"/>
                <w:kern w:val="0"/>
                <w:sz w:val="24"/>
                <w:szCs w:val="24"/>
              </w:rPr>
            </w:pPr>
            <w:r>
              <w:rPr>
                <w:rFonts w:hint="eastAsia" w:ascii="宋体" w:hAnsi="宋体" w:cs="宋体"/>
                <w:color w:val="000000"/>
                <w:sz w:val="24"/>
                <w:szCs w:val="24"/>
              </w:rPr>
              <w:t>卡式快速接口</w:t>
            </w:r>
          </w:p>
        </w:tc>
      </w:tr>
      <w:tr>
        <w:tblPrEx>
          <w:tblLayout w:type="fixed"/>
          <w:tblCellMar>
            <w:top w:w="0" w:type="dxa"/>
            <w:left w:w="108" w:type="dxa"/>
            <w:bottom w:w="0" w:type="dxa"/>
            <w:right w:w="108" w:type="dxa"/>
          </w:tblCellMar>
        </w:tblPrEx>
        <w:trPr>
          <w:trHeight w:val="28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4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hint="eastAsia" w:ascii="宋体" w:hAnsi="宋体" w:cs="宋体"/>
                <w:color w:val="000000"/>
                <w:kern w:val="0"/>
                <w:sz w:val="24"/>
                <w:szCs w:val="24"/>
              </w:rPr>
            </w:pPr>
            <w:r>
              <w:rPr>
                <w:rFonts w:hint="eastAsia" w:ascii="宋体" w:hAnsi="宋体" w:cs="宋体"/>
                <w:color w:val="000000"/>
                <w:sz w:val="24"/>
                <w:szCs w:val="24"/>
              </w:rPr>
              <w:t>消防水带</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kern w:val="0"/>
                <w:sz w:val="24"/>
                <w:szCs w:val="24"/>
              </w:rPr>
            </w:pPr>
            <w:r>
              <w:rPr>
                <w:rFonts w:hint="eastAsia" w:ascii="宋体" w:hAnsi="宋体" w:cs="宋体"/>
                <w:color w:val="000000"/>
                <w:sz w:val="24"/>
                <w:szCs w:val="24"/>
              </w:rPr>
              <w:t>20-80-20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盘</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hint="eastAsia" w:ascii="宋体" w:hAnsi="宋体" w:cs="宋体"/>
                <w:color w:val="000000"/>
                <w:kern w:val="0"/>
                <w:sz w:val="24"/>
                <w:szCs w:val="24"/>
              </w:rPr>
            </w:pPr>
            <w:r>
              <w:rPr>
                <w:rFonts w:hint="eastAsia" w:ascii="宋体" w:hAnsi="宋体" w:cs="宋体"/>
                <w:color w:val="000000"/>
                <w:sz w:val="24"/>
                <w:szCs w:val="24"/>
              </w:rPr>
              <w:t>卡式快速接口</w:t>
            </w: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5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分水器</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80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6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集水器</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150-2B1</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7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异径接口</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65/80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4</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8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水带包布</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olor w:val="000000"/>
                <w:sz w:val="24"/>
                <w:szCs w:val="24"/>
              </w:rPr>
              <w:t>L=400mm</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4</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3"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PDGDAK+TimesNewRoman"/>
                <w:color w:val="000000"/>
                <w:kern w:val="0"/>
                <w:sz w:val="24"/>
                <w:szCs w:val="24"/>
              </w:rPr>
            </w:pPr>
            <w:r>
              <w:rPr>
                <w:rFonts w:hint="eastAsia" w:ascii="宋体" w:hAnsi="宋体" w:cs="PDGDAK+TimesNewRoman"/>
                <w:color w:val="000000"/>
                <w:kern w:val="0"/>
                <w:sz w:val="24"/>
                <w:szCs w:val="24"/>
              </w:rPr>
              <w:t xml:space="preserve">9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护带桥</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570*380*160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副</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olor w:val="000000"/>
                <w:sz w:val="24"/>
                <w:szCs w:val="24"/>
              </w:rPr>
              <w:t>橡胶</w:t>
            </w: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PDGDAK+TimesNewRoman"/>
                <w:color w:val="000000"/>
                <w:kern w:val="0"/>
                <w:sz w:val="24"/>
                <w:szCs w:val="24"/>
              </w:rPr>
            </w:pPr>
            <w:r>
              <w:rPr>
                <w:rFonts w:hint="eastAsia" w:ascii="宋体" w:hAnsi="宋体" w:cs="PDGDAK+TimesNewRoman"/>
                <w:color w:val="000000"/>
                <w:kern w:val="0"/>
                <w:sz w:val="24"/>
                <w:szCs w:val="24"/>
              </w:rPr>
              <w:t xml:space="preserve">10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水带挂钩</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olor w:val="000000"/>
                <w:sz w:val="24"/>
                <w:szCs w:val="24"/>
              </w:rPr>
              <w:t>L=440mm</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4</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11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地上消火栓扳手</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大口57mm/小口30mm/L=390/铸铁</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PDGDAK+TimesNewRoman"/>
                <w:color w:val="000000"/>
                <w:kern w:val="0"/>
                <w:sz w:val="24"/>
                <w:szCs w:val="24"/>
              </w:rPr>
            </w:pPr>
            <w:r>
              <w:rPr>
                <w:rFonts w:hint="eastAsia" w:ascii="宋体" w:hAnsi="宋体" w:cs="PDGDAK+TimesNewRoman"/>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12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地下消火栓扳手</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ascii="宋体" w:hAnsi="宋体" w:cs="宋体"/>
                <w:color w:val="000000"/>
                <w:sz w:val="24"/>
                <w:szCs w:val="24"/>
              </w:rPr>
              <w:t>985-1370mm</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套</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PDGDAK+TimesNewRoman"/>
                <w:color w:val="000000"/>
                <w:kern w:val="0"/>
                <w:sz w:val="24"/>
                <w:szCs w:val="24"/>
              </w:rPr>
            </w:pPr>
            <w:r>
              <w:rPr>
                <w:rFonts w:hint="eastAsia" w:ascii="宋体" w:hAnsi="宋体" w:cs="PDGDAK+TimesNewRoman"/>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3"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13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消防吸水管扳手</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DN150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吸液胶管扳手</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≥DN40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3"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混合器吸液管</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≥DN40，3m、5m各1根</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根</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包括插入管</w:t>
            </w: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kern w:val="0"/>
                <w:sz w:val="24"/>
                <w:szCs w:val="24"/>
              </w:rPr>
              <w:t>16</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空气泡沫枪</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PQ8</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支</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包括吸液管</w:t>
            </w: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17 </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多功能水枪</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s="宋体"/>
                <w:color w:val="000000"/>
                <w:sz w:val="24"/>
                <w:szCs w:val="24"/>
              </w:rPr>
              <w:t>国际知名品牌</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支</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3</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kern w:val="0"/>
                <w:sz w:val="24"/>
                <w:szCs w:val="24"/>
              </w:rPr>
              <w:t>18</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hint="eastAsia" w:ascii="宋体" w:hAnsi="宋体" w:cs="宋体"/>
                <w:color w:val="000000"/>
                <w:kern w:val="0"/>
                <w:sz w:val="24"/>
                <w:szCs w:val="24"/>
              </w:rPr>
            </w:pPr>
            <w:r>
              <w:rPr>
                <w:rFonts w:hint="eastAsia" w:ascii="宋体" w:hAnsi="宋体" w:cs="宋体"/>
                <w:color w:val="000000"/>
                <w:sz w:val="24"/>
                <w:szCs w:val="24"/>
              </w:rPr>
              <w:t>A类泡沫枪</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kern w:val="0"/>
                <w:sz w:val="24"/>
                <w:szCs w:val="24"/>
              </w:rPr>
            </w:pPr>
            <w:r>
              <w:rPr>
                <w:rFonts w:hint="eastAsia" w:ascii="宋体" w:hAnsi="宋体" w:cs="宋体"/>
                <w:color w:val="000000"/>
                <w:sz w:val="24"/>
                <w:szCs w:val="24"/>
              </w:rPr>
              <w:t>国际知名品牌</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hint="eastAsia" w:ascii="宋体" w:hAnsi="宋体" w:cs="宋体"/>
                <w:color w:val="000000"/>
                <w:kern w:val="0"/>
                <w:sz w:val="24"/>
                <w:szCs w:val="24"/>
              </w:rPr>
            </w:pPr>
            <w:r>
              <w:rPr>
                <w:rFonts w:hint="eastAsia" w:ascii="宋体" w:hAnsi="宋体" w:cs="宋体"/>
                <w:color w:val="000000"/>
                <w:sz w:val="24"/>
                <w:szCs w:val="24"/>
              </w:rPr>
              <w:t>支</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hint="eastAsia" w:ascii="宋体" w:hAnsi="宋体" w:cs="宋体"/>
                <w:color w:val="000000"/>
                <w:kern w:val="0"/>
                <w:sz w:val="24"/>
                <w:szCs w:val="24"/>
              </w:rPr>
            </w:pPr>
            <w:r>
              <w:rPr>
                <w:rFonts w:hint="eastAsia" w:ascii="宋体" w:hAnsi="宋体" w:cs="宋体"/>
                <w:color w:val="000000"/>
                <w:sz w:val="24"/>
                <w:szCs w:val="24"/>
              </w:rPr>
              <w:t>2</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bCs/>
                <w:iCs/>
                <w:color w:val="000000"/>
                <w:kern w:val="0"/>
                <w:sz w:val="24"/>
                <w:szCs w:val="24"/>
              </w:rPr>
            </w:pPr>
            <w:r>
              <w:rPr>
                <w:rFonts w:hint="eastAsia" w:ascii="宋体" w:hAnsi="宋体" w:cs="宋体"/>
                <w:bCs/>
                <w:iCs/>
                <w:color w:val="000000"/>
                <w:kern w:val="0"/>
                <w:sz w:val="24"/>
                <w:szCs w:val="24"/>
              </w:rPr>
              <w:t>19</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铁锹</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ascii="宋体" w:hAnsi="宋体"/>
                <w:color w:val="000000"/>
                <w:sz w:val="24"/>
                <w:szCs w:val="24"/>
              </w:rPr>
              <w:t>1080mm</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bCs/>
                <w:iCs/>
                <w:color w:val="000000"/>
                <w:kern w:val="0"/>
                <w:sz w:val="24"/>
                <w:szCs w:val="24"/>
              </w:rPr>
            </w:pPr>
            <w:r>
              <w:rPr>
                <w:rFonts w:hint="eastAsia" w:ascii="宋体" w:hAnsi="宋体"/>
                <w:bCs/>
                <w:iCs/>
                <w:color w:val="000000"/>
                <w:kern w:val="0"/>
                <w:sz w:val="24"/>
                <w:szCs w:val="24"/>
              </w:rPr>
              <w:t>20</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宋体" w:hAnsi="宋体"/>
                <w:bCs/>
                <w:iCs/>
                <w:color w:val="000000"/>
                <w:kern w:val="0"/>
                <w:sz w:val="24"/>
                <w:szCs w:val="24"/>
              </w:rPr>
            </w:pPr>
            <w:r>
              <w:rPr>
                <w:rFonts w:hint="eastAsia" w:ascii="宋体" w:hAnsi="宋体" w:cs="宋体"/>
                <w:b w:val="0"/>
                <w:i w:val="0"/>
                <w:color w:val="000000"/>
                <w:sz w:val="24"/>
                <w:szCs w:val="24"/>
              </w:rPr>
              <w:t>消防腰斧</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ascii="宋体" w:hAnsi="宋体" w:cs="宋体"/>
                <w:color w:val="000000"/>
                <w:sz w:val="24"/>
                <w:szCs w:val="24"/>
              </w:rPr>
              <w:t>270</w:t>
            </w:r>
            <w:r>
              <w:rPr>
                <w:rFonts w:hint="eastAsia" w:ascii="宋体" w:hAnsi="宋体" w:cs="宋体"/>
                <w:color w:val="000000"/>
                <w:sz w:val="24"/>
                <w:szCs w:val="24"/>
              </w:rPr>
              <w:t>×</w:t>
            </w:r>
            <w:r>
              <w:rPr>
                <w:rFonts w:ascii="宋体" w:hAnsi="宋体" w:cs="宋体"/>
                <w:color w:val="000000"/>
                <w:sz w:val="24"/>
                <w:szCs w:val="24"/>
              </w:rPr>
              <w:t>160</w:t>
            </w:r>
            <w:r>
              <w:rPr>
                <w:rFonts w:hint="eastAsia" w:ascii="宋体" w:hAnsi="宋体" w:cs="宋体"/>
                <w:color w:val="000000"/>
                <w:sz w:val="24"/>
                <w:szCs w:val="24"/>
              </w:rPr>
              <w:t>×</w:t>
            </w:r>
            <w:r>
              <w:rPr>
                <w:rFonts w:ascii="宋体" w:hAnsi="宋体" w:cs="宋体"/>
                <w:color w:val="000000"/>
                <w:sz w:val="24"/>
                <w:szCs w:val="24"/>
              </w:rPr>
              <w:t>40</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rPr>
                <w:rFonts w:ascii="宋体" w:hAnsi="宋体"/>
                <w:bCs/>
                <w:iCs/>
                <w:color w:val="000000"/>
                <w:kern w:val="0"/>
                <w:sz w:val="24"/>
                <w:szCs w:val="24"/>
              </w:rPr>
            </w:pPr>
            <w:r>
              <w:rPr>
                <w:rFonts w:hint="eastAsia" w:ascii="宋体" w:hAnsi="宋体" w:cs="宋体"/>
                <w:b w:val="0"/>
                <w:i w:val="0"/>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rPr>
                <w:rFonts w:ascii="宋体" w:hAnsi="宋体" w:cs="宋体"/>
                <w:bCs/>
                <w:iCs/>
                <w:color w:val="000000"/>
                <w:kern w:val="0"/>
                <w:sz w:val="24"/>
                <w:szCs w:val="24"/>
              </w:rPr>
            </w:pPr>
            <w:r>
              <w:rPr>
                <w:rFonts w:hint="eastAsia" w:ascii="宋体" w:hAnsi="宋体" w:cs="宋体"/>
                <w:b w:val="0"/>
                <w:i w:val="0"/>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宋体" w:hAnsi="宋体"/>
                <w:b w:val="0"/>
                <w:bCs/>
                <w:i w:val="0"/>
                <w:iCs/>
                <w:color w:val="000000"/>
                <w:kern w:val="0"/>
                <w:sz w:val="24"/>
                <w:szCs w:val="24"/>
              </w:rPr>
            </w:pPr>
          </w:p>
        </w:tc>
      </w:tr>
      <w:tr>
        <w:tblPrEx>
          <w:tblLayout w:type="fixed"/>
          <w:tblCellMar>
            <w:top w:w="0" w:type="dxa"/>
            <w:left w:w="108" w:type="dxa"/>
            <w:bottom w:w="0" w:type="dxa"/>
            <w:right w:w="108" w:type="dxa"/>
          </w:tblCellMar>
        </w:tblPrEx>
        <w:trPr>
          <w:trHeight w:val="273"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hint="eastAsia" w:ascii="宋体" w:hAnsi="宋体"/>
                <w:color w:val="000000"/>
                <w:kern w:val="0"/>
                <w:sz w:val="24"/>
                <w:szCs w:val="24"/>
              </w:rPr>
            </w:pPr>
            <w:r>
              <w:rPr>
                <w:rFonts w:hint="eastAsia" w:ascii="宋体" w:hAnsi="宋体"/>
                <w:color w:val="000000"/>
                <w:kern w:val="0"/>
                <w:sz w:val="24"/>
                <w:szCs w:val="24"/>
              </w:rPr>
              <w:t>21</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宋体" w:hAnsi="宋体"/>
                <w:bCs/>
                <w:iCs/>
                <w:color w:val="000000"/>
                <w:kern w:val="0"/>
                <w:sz w:val="24"/>
                <w:szCs w:val="24"/>
              </w:rPr>
            </w:pPr>
            <w:r>
              <w:rPr>
                <w:rFonts w:hint="eastAsia" w:ascii="宋体" w:hAnsi="宋体" w:cs="宋体"/>
                <w:b w:val="0"/>
                <w:i w:val="0"/>
                <w:color w:val="000000"/>
                <w:sz w:val="24"/>
                <w:szCs w:val="24"/>
              </w:rPr>
              <w:t>丁字镐</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ascii="宋体" w:hAnsi="宋体"/>
                <w:color w:val="000000"/>
                <w:sz w:val="24"/>
                <w:szCs w:val="24"/>
              </w:rPr>
              <w:t>910mm</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rPr>
                <w:rFonts w:ascii="宋体" w:hAnsi="宋体"/>
                <w:bCs/>
                <w:iCs/>
                <w:color w:val="000000"/>
                <w:kern w:val="0"/>
                <w:sz w:val="24"/>
                <w:szCs w:val="24"/>
              </w:rPr>
            </w:pPr>
            <w:r>
              <w:rPr>
                <w:rFonts w:hint="eastAsia" w:ascii="宋体" w:hAnsi="宋体" w:cs="宋体"/>
                <w:b w:val="0"/>
                <w:i w:val="0"/>
                <w:color w:val="000000"/>
                <w:sz w:val="24"/>
                <w:szCs w:val="24"/>
              </w:rPr>
              <w:t>件</w:t>
            </w:r>
          </w:p>
        </w:tc>
        <w:tc>
          <w:tcPr>
            <w:tcW w:w="850"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rPr>
                <w:rFonts w:ascii="宋体" w:hAnsi="宋体" w:cs="宋体"/>
                <w:bCs/>
                <w:iCs/>
                <w:color w:val="000000"/>
                <w:kern w:val="0"/>
                <w:sz w:val="24"/>
                <w:szCs w:val="24"/>
              </w:rPr>
            </w:pPr>
            <w:r>
              <w:rPr>
                <w:rFonts w:hint="eastAsia" w:ascii="宋体" w:hAnsi="宋体" w:cs="宋体"/>
                <w:b w:val="0"/>
                <w:i w:val="0"/>
                <w:color w:val="000000"/>
                <w:sz w:val="24"/>
                <w:szCs w:val="24"/>
              </w:rPr>
              <w:t>1</w:t>
            </w: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宋体" w:hAnsi="宋体"/>
                <w:b w:val="0"/>
                <w:bCs/>
                <w:i w:val="0"/>
                <w:iCs/>
                <w:color w:val="000000"/>
                <w:kern w:val="0"/>
                <w:sz w:val="24"/>
                <w:szCs w:val="24"/>
              </w:rPr>
            </w:pPr>
          </w:p>
        </w:tc>
      </w:tr>
      <w:tr>
        <w:tblPrEx>
          <w:tblLayout w:type="fixed"/>
          <w:tblCellMar>
            <w:top w:w="0" w:type="dxa"/>
            <w:left w:w="108" w:type="dxa"/>
            <w:bottom w:w="0" w:type="dxa"/>
            <w:right w:w="108" w:type="dxa"/>
          </w:tblCellMar>
        </w:tblPrEx>
        <w:trPr>
          <w:trHeight w:val="275" w:hRule="atLeast"/>
          <w:jc w:val="center"/>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hint="eastAsia" w:ascii="宋体" w:hAnsi="宋体"/>
                <w:color w:val="000000"/>
                <w:kern w:val="0"/>
                <w:sz w:val="24"/>
                <w:szCs w:val="24"/>
              </w:rPr>
            </w:pPr>
            <w:r>
              <w:rPr>
                <w:rFonts w:hint="eastAsia" w:ascii="宋体" w:hAnsi="宋体"/>
                <w:color w:val="000000"/>
                <w:kern w:val="0"/>
                <w:sz w:val="24"/>
                <w:szCs w:val="24"/>
              </w:rPr>
              <w:t>22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r>
              <w:rPr>
                <w:rFonts w:hint="eastAsia" w:ascii="宋体" w:hAnsi="宋体" w:cs="宋体"/>
                <w:color w:val="000000"/>
                <w:sz w:val="24"/>
                <w:szCs w:val="24"/>
              </w:rPr>
              <w:t>铁铤</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exact"/>
              <w:rPr>
                <w:rFonts w:ascii="宋体" w:hAnsi="宋体"/>
                <w:color w:val="000000"/>
                <w:kern w:val="0"/>
                <w:sz w:val="24"/>
                <w:szCs w:val="24"/>
              </w:rPr>
            </w:pPr>
            <w:r>
              <w:rPr>
                <w:rFonts w:hint="eastAsia" w:ascii="宋体" w:hAnsi="宋体"/>
                <w:color w:val="000000"/>
                <w:sz w:val="24"/>
                <w:szCs w:val="24"/>
              </w:rPr>
              <w:t>955mm/弯(V+尖)/钢质</w:t>
            </w:r>
          </w:p>
        </w:tc>
        <w:tc>
          <w:tcPr>
            <w:tcW w:w="993"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olor w:val="000000"/>
                <w:kern w:val="0"/>
                <w:sz w:val="24"/>
                <w:szCs w:val="24"/>
              </w:rPr>
            </w:pPr>
            <w:r>
              <w:rPr>
                <w:rFonts w:hint="eastAsia" w:ascii="宋体" w:hAnsi="宋体" w:cs="宋体"/>
                <w:color w:val="000000"/>
                <w:sz w:val="24"/>
                <w:szCs w:val="24"/>
              </w:rPr>
              <w:t>件</w:t>
            </w:r>
          </w:p>
        </w:tc>
        <w:tc>
          <w:tcPr>
            <w:tcW w:w="850" w:type="dxa"/>
            <w:tcBorders>
              <w:top w:val="single" w:color="auto"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center"/>
              <w:rPr>
                <w:rFonts w:ascii="宋体" w:hAnsi="宋体" w:cs="宋体"/>
                <w:color w:val="000000"/>
                <w:kern w:val="0"/>
                <w:sz w:val="24"/>
                <w:szCs w:val="24"/>
              </w:rPr>
            </w:pPr>
            <w:r>
              <w:rPr>
                <w:rFonts w:hint="eastAsia" w:ascii="宋体" w:hAnsi="宋体" w:cs="宋体"/>
                <w:color w:val="000000"/>
                <w:sz w:val="24"/>
                <w:szCs w:val="24"/>
              </w:rPr>
              <w:t>1</w:t>
            </w:r>
          </w:p>
        </w:tc>
        <w:tc>
          <w:tcPr>
            <w:tcW w:w="2126" w:type="dxa"/>
            <w:tcBorders>
              <w:top w:val="single" w:color="auto"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jc w:val="left"/>
              <w:rPr>
                <w:rFonts w:ascii="宋体" w:hAnsi="宋体"/>
                <w:color w:val="000000"/>
                <w:kern w:val="0"/>
                <w:sz w:val="24"/>
                <w:szCs w:val="24"/>
              </w:rPr>
            </w:pPr>
          </w:p>
        </w:tc>
      </w:tr>
    </w:tbl>
    <w:p>
      <w:pPr>
        <w:widowControl/>
        <w:spacing w:line="360" w:lineRule="auto"/>
        <w:ind w:firstLine="482" w:firstLineChars="200"/>
        <w:rPr>
          <w:rFonts w:hint="eastAsia" w:ascii="宋体" w:hAnsi="宋体"/>
          <w:b/>
          <w:bCs/>
          <w:color w:val="000000"/>
          <w:kern w:val="0"/>
          <w:sz w:val="24"/>
          <w:szCs w:val="24"/>
        </w:rPr>
      </w:pPr>
      <w:r>
        <w:rPr>
          <w:rFonts w:hint="eastAsia" w:ascii="宋体" w:hAnsi="宋体"/>
          <w:b/>
          <w:bCs/>
          <w:color w:val="000000"/>
          <w:kern w:val="0"/>
          <w:sz w:val="24"/>
          <w:szCs w:val="24"/>
        </w:rPr>
        <w:t>（五）其他相关要求</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1、整车须符合GB7956.1-2014消防车第1部分通用技术条件和GB7956.6-2015消防车第6部分压缩空气泡沫消防车的要求。</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2、整车须有3C认证，须提供3C认证证书和型式检验报告，若整车主要部件与型式检验报告不符，须提供差异检验报告</w:t>
      </w:r>
      <w:r>
        <w:rPr>
          <w:rFonts w:hint="eastAsia" w:ascii="宋体" w:hAnsi="宋体" w:cs="宋体"/>
          <w:color w:val="000000"/>
          <w:kern w:val="0"/>
          <w:sz w:val="24"/>
          <w:szCs w:val="24"/>
        </w:rPr>
        <w:t>（无3C认证证书及型式检验报告的可承诺交货时提供）</w:t>
      </w:r>
      <w:r>
        <w:rPr>
          <w:rFonts w:hint="eastAsia" w:ascii="宋体" w:hAnsi="宋体"/>
          <w:color w:val="000000"/>
          <w:kern w:val="0"/>
          <w:sz w:val="24"/>
          <w:szCs w:val="24"/>
        </w:rPr>
        <w:t>，交货时以上主要国际知名品牌部件须提供报关单及相关证明材料。</w:t>
      </w:r>
    </w:p>
    <w:p>
      <w:pPr>
        <w:widowControl/>
        <w:spacing w:line="360" w:lineRule="auto"/>
        <w:ind w:firstLine="470" w:firstLineChars="196"/>
        <w:rPr>
          <w:rFonts w:hint="eastAsia" w:ascii="宋体" w:hAnsi="宋体" w:cs="仿宋_GB2312"/>
          <w:kern w:val="0"/>
          <w:sz w:val="24"/>
          <w:szCs w:val="24"/>
        </w:rPr>
      </w:pPr>
      <w:r>
        <w:rPr>
          <w:rFonts w:hint="eastAsia" w:ascii="宋体" w:hAnsi="宋体" w:cs="仿宋_GB2312"/>
          <w:kern w:val="0"/>
          <w:sz w:val="24"/>
          <w:szCs w:val="24"/>
        </w:rPr>
        <w:t>3、整车设计应充分考虑海南高温潮湿，空气含盐成分高和台风雨天多等因素，要有可靠的防水、防潮、防锈、防盐和防酸碱等保护措施（整车钣金、器材架等易锈蚀部件免费保修期≥5年）。</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4、各种仪表和装置的计量单位为中国计量单位</w:t>
      </w:r>
      <w:r>
        <w:rPr>
          <w:rFonts w:hint="eastAsia" w:ascii="宋体" w:hAnsi="宋体" w:cs="宋体"/>
          <w:kern w:val="0"/>
          <w:sz w:val="24"/>
          <w:szCs w:val="24"/>
        </w:rPr>
        <w:t>，仪表采用压力真空联用表，</w:t>
      </w:r>
      <w:r>
        <w:rPr>
          <w:rFonts w:hint="eastAsia" w:ascii="宋体" w:hAnsi="宋体" w:cs="宋体"/>
          <w:color w:val="000000"/>
          <w:kern w:val="0"/>
          <w:sz w:val="24"/>
          <w:szCs w:val="24"/>
        </w:rPr>
        <w:t>各种指示标牌为中文标识；泵室内操控盘所有参数显示、控制功能的操作，具有中文标识；所有开关阀门具有中文标识；</w:t>
      </w:r>
      <w:r>
        <w:rPr>
          <w:rFonts w:hint="eastAsia" w:ascii="宋体" w:hAnsi="宋体"/>
          <w:color w:val="000000"/>
          <w:kern w:val="0"/>
          <w:sz w:val="24"/>
          <w:szCs w:val="24"/>
        </w:rPr>
        <w:t>符合部局标识统型要求。</w:t>
      </w:r>
      <w:r>
        <w:rPr>
          <w:rFonts w:hint="eastAsia" w:ascii="宋体" w:hAnsi="宋体" w:cs="宋体"/>
          <w:color w:val="000000"/>
          <w:kern w:val="0"/>
          <w:sz w:val="24"/>
          <w:szCs w:val="24"/>
        </w:rPr>
        <w:t>车身贴有进口3M反光安全标识。随车消防水带须有3C认证证书和3C标识。</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5、操作说明和标识：操作说明和标识应包括以下内容：消防泵额定流量和出口压力数值及操作说明；消防泵出口压力显示(精度不低于2.5级）；消防泵进口压力显示(精度不低于2.5级）；消防泵转速显示及累计工作时间显示；水罐的液位显示；发动机水温显示；发动机机油温度显示；仪表板照明灯和开关；紧急停止按钮；冲洗标识和开关位置；面板上仪表及开关的用途说明牌。在各注液口处应设有“*罐注液口”字样的标牌，标牌应永久性固定。</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6、凡本技术参数低于现行国家标准的，均需满足现行国家标准；凡本技术参数高于现行国家标准的，以本技术参数为准。</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7、车辆外观标识须满足消防救援局的统型要求。</w:t>
      </w:r>
    </w:p>
    <w:p>
      <w:pPr>
        <w:spacing w:line="254" w:lineRule="exact"/>
        <w:rPr>
          <w:rFonts w:ascii="Times New Roman" w:hAnsi="Times New Roman"/>
          <w:sz w:val="20"/>
          <w:szCs w:val="20"/>
        </w:rPr>
      </w:pPr>
    </w:p>
    <w:p>
      <w:pPr>
        <w:widowControl/>
        <w:spacing w:line="360" w:lineRule="auto"/>
        <w:ind w:firstLine="482" w:firstLineChars="200"/>
        <w:jc w:val="center"/>
        <w:rPr>
          <w:rFonts w:hint="eastAsia" w:ascii="宋体" w:hAnsi="宋体"/>
          <w:b/>
          <w:bCs/>
          <w:color w:val="000000"/>
          <w:kern w:val="0"/>
          <w:sz w:val="24"/>
          <w:szCs w:val="24"/>
        </w:rPr>
      </w:pPr>
      <w:r>
        <w:rPr>
          <w:rFonts w:ascii="宋体" w:hAnsi="宋体"/>
          <w:b/>
          <w:bCs/>
          <w:color w:val="000000"/>
          <w:kern w:val="0"/>
          <w:sz w:val="24"/>
          <w:szCs w:val="24"/>
        </w:rPr>
        <w:br w:type="page"/>
      </w:r>
      <w:r>
        <w:rPr>
          <w:rFonts w:hint="eastAsia" w:ascii="宋体" w:hAnsi="宋体"/>
          <w:b/>
          <w:bCs/>
          <w:color w:val="000000"/>
          <w:kern w:val="0"/>
          <w:sz w:val="24"/>
          <w:szCs w:val="24"/>
        </w:rPr>
        <w:t>B包抢险救援消防车技术参数</w:t>
      </w:r>
    </w:p>
    <w:p>
      <w:pPr>
        <w:widowControl/>
        <w:spacing w:line="360" w:lineRule="auto"/>
        <w:ind w:firstLine="480" w:firstLineChars="200"/>
        <w:rPr>
          <w:rFonts w:hint="eastAsia" w:ascii="宋体" w:hAnsi="宋体"/>
          <w:bCs/>
          <w:color w:val="000000"/>
          <w:kern w:val="0"/>
          <w:sz w:val="24"/>
          <w:szCs w:val="24"/>
        </w:rPr>
      </w:pPr>
      <w:r>
        <w:rPr>
          <w:rFonts w:hint="eastAsia" w:ascii="宋体" w:hAnsi="宋体"/>
          <w:bCs/>
          <w:color w:val="000000"/>
          <w:kern w:val="0"/>
          <w:sz w:val="24"/>
          <w:szCs w:val="24"/>
        </w:rPr>
        <w:t>一、底盘</w:t>
      </w:r>
    </w:p>
    <w:p>
      <w:pPr>
        <w:widowControl/>
        <w:spacing w:line="360" w:lineRule="auto"/>
        <w:ind w:firstLine="480" w:firstLineChars="200"/>
        <w:rPr>
          <w:rFonts w:hint="eastAsia" w:ascii="宋体" w:hAnsi="宋体"/>
          <w:color w:val="000000"/>
          <w:kern w:val="0"/>
          <w:sz w:val="24"/>
          <w:szCs w:val="24"/>
        </w:rPr>
      </w:pPr>
      <w:r>
        <w:rPr>
          <w:rFonts w:hint="eastAsia" w:ascii="宋体" w:hAnsi="宋体"/>
          <w:kern w:val="0"/>
          <w:sz w:val="24"/>
          <w:szCs w:val="24"/>
        </w:rPr>
        <w:t>采用国际知名品牌专用底盘，最</w:t>
      </w:r>
      <w:r>
        <w:rPr>
          <w:rFonts w:hint="eastAsia" w:ascii="宋体" w:hAnsi="宋体"/>
          <w:color w:val="000000"/>
          <w:kern w:val="0"/>
          <w:sz w:val="24"/>
          <w:szCs w:val="24"/>
        </w:rPr>
        <w:t>高时速≥100</w:t>
      </w:r>
      <w:r>
        <w:rPr>
          <w:rFonts w:ascii="宋体" w:hAnsi="宋体"/>
          <w:color w:val="000000"/>
          <w:kern w:val="0"/>
          <w:sz w:val="24"/>
          <w:szCs w:val="24"/>
        </w:rPr>
        <w:t>km/h</w:t>
      </w:r>
      <w:r>
        <w:rPr>
          <w:rFonts w:hint="eastAsia" w:ascii="宋体" w:hAnsi="宋体"/>
          <w:color w:val="000000"/>
          <w:kern w:val="0"/>
          <w:sz w:val="24"/>
          <w:szCs w:val="24"/>
        </w:rPr>
        <w:t>，</w:t>
      </w:r>
      <w:r>
        <w:rPr>
          <w:rFonts w:hint="eastAsia" w:ascii="宋体" w:hAnsi="宋体"/>
          <w:kern w:val="0"/>
          <w:sz w:val="24"/>
          <w:szCs w:val="24"/>
        </w:rPr>
        <w:t>优先</w:t>
      </w:r>
      <w:r>
        <w:rPr>
          <w:rFonts w:hint="eastAsia" w:ascii="宋体" w:hAnsi="宋体" w:cs="宋体"/>
          <w:kern w:val="0"/>
          <w:sz w:val="24"/>
          <w:szCs w:val="24"/>
        </w:rPr>
        <w:t>选用自动变速箱，</w:t>
      </w:r>
      <w:r>
        <w:rPr>
          <w:rFonts w:ascii="宋体" w:hAnsi="宋体"/>
          <w:kern w:val="0"/>
          <w:sz w:val="24"/>
          <w:szCs w:val="24"/>
        </w:rPr>
        <w:t>轴距</w:t>
      </w:r>
      <w:r>
        <w:rPr>
          <w:rFonts w:hint="eastAsia" w:ascii="宋体" w:hAnsi="宋体"/>
          <w:kern w:val="0"/>
          <w:sz w:val="24"/>
          <w:szCs w:val="24"/>
        </w:rPr>
        <w:t>≤</w:t>
      </w:r>
      <w:r>
        <w:rPr>
          <w:rFonts w:hint="eastAsia" w:ascii="宋体" w:hAnsi="宋体"/>
          <w:color w:val="000000"/>
          <w:kern w:val="0"/>
          <w:sz w:val="24"/>
          <w:szCs w:val="24"/>
        </w:rPr>
        <w:t>4500mm，六缸直列涡轮增压中冷电控共轨喷射柴油发动机，功率≥</w:t>
      </w:r>
      <w:r>
        <w:rPr>
          <w:rFonts w:ascii="宋体" w:hAnsi="宋体"/>
          <w:color w:val="000000"/>
          <w:kern w:val="0"/>
          <w:sz w:val="24"/>
          <w:szCs w:val="24"/>
        </w:rPr>
        <w:t>2</w:t>
      </w:r>
      <w:r>
        <w:rPr>
          <w:rFonts w:hint="eastAsia" w:ascii="宋体" w:hAnsi="宋体"/>
          <w:color w:val="000000"/>
          <w:kern w:val="0"/>
          <w:sz w:val="24"/>
          <w:szCs w:val="24"/>
        </w:rPr>
        <w:t>00kw，排放量达</w:t>
      </w:r>
      <w:r>
        <w:rPr>
          <w:rFonts w:hint="eastAsia" w:ascii="宋体" w:hAnsi="宋体"/>
          <w:kern w:val="0"/>
          <w:sz w:val="24"/>
          <w:szCs w:val="24"/>
        </w:rPr>
        <w:t>到欧V（含）以上标准</w:t>
      </w:r>
      <w:r>
        <w:rPr>
          <w:rFonts w:hint="eastAsia" w:ascii="宋体" w:hAnsi="宋体" w:cs="宋体"/>
          <w:kern w:val="0"/>
          <w:sz w:val="24"/>
          <w:szCs w:val="24"/>
        </w:rPr>
        <w:t>（加配尿素溶液罐和加满尿素溶液），驱动形式</w:t>
      </w:r>
      <w:r>
        <w:rPr>
          <w:rFonts w:hint="eastAsia" w:ascii="宋体" w:hAnsi="宋体"/>
          <w:kern w:val="0"/>
          <w:sz w:val="24"/>
          <w:szCs w:val="24"/>
        </w:rPr>
        <w:t>4×2，整车满载质量≤18</w:t>
      </w:r>
      <w:r>
        <w:rPr>
          <w:rFonts w:hint="eastAsia" w:ascii="宋体" w:hAnsi="宋体"/>
          <w:color w:val="000000"/>
          <w:kern w:val="0"/>
          <w:sz w:val="24"/>
          <w:szCs w:val="24"/>
        </w:rPr>
        <w:t>吨；底盘原厂匹配变速箱</w:t>
      </w:r>
      <w:r>
        <w:rPr>
          <w:rFonts w:ascii="宋体" w:hAnsi="宋体"/>
          <w:color w:val="000000"/>
          <w:kern w:val="0"/>
          <w:sz w:val="24"/>
          <w:szCs w:val="24"/>
        </w:rPr>
        <w:t>取力</w:t>
      </w:r>
      <w:r>
        <w:rPr>
          <w:rFonts w:hint="eastAsia" w:ascii="宋体" w:hAnsi="宋体"/>
          <w:color w:val="000000"/>
          <w:kern w:val="0"/>
          <w:sz w:val="24"/>
          <w:szCs w:val="24"/>
        </w:rPr>
        <w:t>，</w:t>
      </w:r>
      <w:r>
        <w:rPr>
          <w:rFonts w:ascii="宋体" w:hAnsi="宋体"/>
          <w:color w:val="000000"/>
          <w:kern w:val="0"/>
          <w:sz w:val="24"/>
          <w:szCs w:val="24"/>
        </w:rPr>
        <w:t>液压助力，方向盘高度和倾角可调</w:t>
      </w:r>
      <w:r>
        <w:rPr>
          <w:rFonts w:hint="eastAsia" w:ascii="宋体" w:hAnsi="宋体"/>
          <w:color w:val="000000"/>
          <w:kern w:val="0"/>
          <w:sz w:val="24"/>
          <w:szCs w:val="24"/>
        </w:rPr>
        <w:t>；</w:t>
      </w:r>
      <w:r>
        <w:rPr>
          <w:rFonts w:ascii="宋体" w:hAnsi="宋体"/>
          <w:color w:val="000000"/>
          <w:kern w:val="0"/>
          <w:sz w:val="24"/>
          <w:szCs w:val="24"/>
        </w:rPr>
        <w:t>前后桥伸缩减震器</w:t>
      </w:r>
      <w:r>
        <w:rPr>
          <w:rFonts w:hint="eastAsia" w:ascii="宋体" w:hAnsi="宋体"/>
          <w:color w:val="000000"/>
          <w:kern w:val="0"/>
          <w:sz w:val="24"/>
          <w:szCs w:val="24"/>
        </w:rPr>
        <w:t>；</w:t>
      </w:r>
      <w:r>
        <w:rPr>
          <w:rFonts w:ascii="宋体" w:hAnsi="宋体"/>
          <w:color w:val="000000"/>
          <w:kern w:val="0"/>
          <w:sz w:val="24"/>
          <w:szCs w:val="24"/>
        </w:rPr>
        <w:t>前桥抛物线形钢板弹簧，后桥半椭圆形钢板弹簧</w:t>
      </w:r>
      <w:r>
        <w:rPr>
          <w:rFonts w:hint="eastAsia" w:ascii="宋体" w:hAnsi="宋体"/>
          <w:color w:val="000000"/>
          <w:kern w:val="0"/>
          <w:sz w:val="24"/>
          <w:szCs w:val="24"/>
        </w:rPr>
        <w:t>；智能制动系统，带电子制动系统（EBS）含防抱死制动系统（ABS），发动机排气制动，前桥盘式制动，后桥盘式制动，不含石棉制动器摩擦片，加热式空气干燥器；</w:t>
      </w:r>
      <w:r>
        <w:rPr>
          <w:rFonts w:hint="eastAsia" w:ascii="宋体" w:hAnsi="宋体" w:cs="宋体"/>
          <w:color w:val="000000"/>
          <w:kern w:val="0"/>
          <w:sz w:val="24"/>
          <w:szCs w:val="24"/>
        </w:rPr>
        <w:t>底盘原厂原装子午线真空胎（含备胎）；</w:t>
      </w:r>
      <w:r>
        <w:rPr>
          <w:rFonts w:hint="eastAsia" w:ascii="宋体" w:hAnsi="宋体"/>
          <w:color w:val="000000"/>
          <w:kern w:val="0"/>
          <w:sz w:val="24"/>
          <w:szCs w:val="24"/>
        </w:rPr>
        <w:t>主车架采用原车车架，副车架采用结构钢，整体贯通式一次性折弯成型，前后各加装2个类似U形状的吊钩（优先使用双向减振式），每个吊钩涉及承受≥100KN负荷。在车辆尾部横梁中央位置上加装牵引拖钩。在驾驶室内和电瓶处分被设置总电源开关。无尿素时，发动机功率不下降。</w:t>
      </w:r>
    </w:p>
    <w:p>
      <w:pPr>
        <w:widowControl/>
        <w:spacing w:line="360" w:lineRule="auto"/>
        <w:ind w:firstLine="482" w:firstLineChars="200"/>
        <w:rPr>
          <w:rFonts w:hint="eastAsia" w:ascii="宋体" w:hAnsi="宋体"/>
          <w:color w:val="000000"/>
          <w:kern w:val="0"/>
          <w:sz w:val="24"/>
          <w:szCs w:val="24"/>
        </w:rPr>
      </w:pPr>
      <w:r>
        <w:rPr>
          <w:rFonts w:hint="eastAsia" w:ascii="宋体" w:hAnsi="宋体"/>
          <w:b/>
          <w:color w:val="000000"/>
          <w:kern w:val="0"/>
          <w:sz w:val="24"/>
          <w:szCs w:val="24"/>
        </w:rPr>
        <w:t>底盘免费维护保养</w:t>
      </w:r>
      <w:r>
        <w:rPr>
          <w:rFonts w:ascii="宋体" w:hAnsi="宋体" w:cs="宋体"/>
          <w:b/>
          <w:color w:val="000000"/>
          <w:kern w:val="0"/>
          <w:sz w:val="24"/>
          <w:szCs w:val="24"/>
        </w:rPr>
        <w:t>≥</w:t>
      </w:r>
      <w:r>
        <w:rPr>
          <w:rFonts w:hint="eastAsia" w:ascii="宋体" w:hAnsi="宋体"/>
          <w:b/>
          <w:color w:val="000000"/>
          <w:kern w:val="0"/>
          <w:sz w:val="24"/>
          <w:szCs w:val="24"/>
        </w:rPr>
        <w:t>2年，上装免费维修</w:t>
      </w:r>
      <w:r>
        <w:rPr>
          <w:rFonts w:ascii="宋体" w:hAnsi="宋体" w:cs="宋体"/>
          <w:b/>
          <w:color w:val="000000"/>
          <w:kern w:val="0"/>
          <w:sz w:val="24"/>
          <w:szCs w:val="24"/>
        </w:rPr>
        <w:t>≥</w:t>
      </w:r>
      <w:r>
        <w:rPr>
          <w:rFonts w:hint="eastAsia" w:ascii="宋体" w:hAnsi="宋体" w:cs="宋体"/>
          <w:b/>
          <w:color w:val="000000"/>
          <w:kern w:val="0"/>
          <w:sz w:val="24"/>
          <w:szCs w:val="24"/>
        </w:rPr>
        <w:t>3年，整车提供终身维修保养。</w:t>
      </w:r>
    </w:p>
    <w:p>
      <w:pPr>
        <w:widowControl/>
        <w:spacing w:line="360" w:lineRule="auto"/>
        <w:ind w:firstLine="480" w:firstLineChars="200"/>
        <w:rPr>
          <w:rFonts w:hint="eastAsia" w:ascii="宋体" w:hAnsi="宋体"/>
          <w:bCs/>
          <w:color w:val="000000"/>
          <w:kern w:val="0"/>
          <w:sz w:val="24"/>
          <w:szCs w:val="24"/>
        </w:rPr>
      </w:pPr>
      <w:r>
        <w:rPr>
          <w:rFonts w:hint="eastAsia" w:ascii="宋体" w:hAnsi="宋体"/>
          <w:bCs/>
          <w:color w:val="000000"/>
          <w:kern w:val="0"/>
          <w:sz w:val="24"/>
          <w:szCs w:val="24"/>
        </w:rPr>
        <w:t>二、</w:t>
      </w:r>
      <w:r>
        <w:rPr>
          <w:rFonts w:ascii="宋体" w:hAnsi="宋体"/>
          <w:bCs/>
          <w:color w:val="000000"/>
          <w:kern w:val="0"/>
          <w:sz w:val="24"/>
          <w:szCs w:val="24"/>
        </w:rPr>
        <w:t>驾驶室</w:t>
      </w:r>
    </w:p>
    <w:p>
      <w:pPr>
        <w:widowControl/>
        <w:spacing w:line="360" w:lineRule="auto"/>
        <w:ind w:firstLine="480" w:firstLineChars="200"/>
        <w:rPr>
          <w:rFonts w:hint="eastAsia" w:ascii="宋体" w:hAnsi="宋体" w:cs="宋体"/>
          <w:color w:val="000000"/>
          <w:kern w:val="0"/>
          <w:sz w:val="24"/>
        </w:rPr>
      </w:pPr>
      <w:r>
        <w:rPr>
          <w:rFonts w:hint="eastAsia" w:ascii="宋体" w:hAnsi="宋体"/>
          <w:color w:val="000000"/>
          <w:kern w:val="0"/>
          <w:sz w:val="24"/>
          <w:szCs w:val="24"/>
        </w:rPr>
        <w:t>采用底盘生产厂原装双排座4门驾乘室，且经过安全碰撞试验，车窗玻璃采用加强型防爆玻璃。驾驶室总长宜大于2.75m，内净高（乘员室地面到驾驶室内天花板距离）大于1.5m，驾乘室底板与发动机之间必须有完整的保温隔热材料，驾乘室整体密封性良好。座位1+1+4，在生产线上直接安装，</w:t>
      </w:r>
      <w:r>
        <w:rPr>
          <w:rFonts w:ascii="宋体" w:hAnsi="宋体"/>
          <w:color w:val="000000"/>
          <w:kern w:val="0"/>
          <w:sz w:val="24"/>
          <w:szCs w:val="24"/>
        </w:rPr>
        <w:t>消防红色</w:t>
      </w:r>
      <w:r>
        <w:rPr>
          <w:rFonts w:hint="eastAsia" w:ascii="宋体" w:hAnsi="宋体"/>
          <w:color w:val="000000"/>
          <w:kern w:val="0"/>
          <w:sz w:val="24"/>
          <w:szCs w:val="24"/>
        </w:rPr>
        <w:t>。除驾驶员侧外，其它车门的开启角度不得小于85度。高舒适空气弹簧司机座椅</w:t>
      </w:r>
      <w:r>
        <w:rPr>
          <w:rFonts w:ascii="宋体" w:hAnsi="宋体"/>
          <w:color w:val="000000"/>
          <w:kern w:val="0"/>
          <w:sz w:val="24"/>
          <w:szCs w:val="24"/>
        </w:rPr>
        <w:t>，前排</w:t>
      </w:r>
      <w:r>
        <w:rPr>
          <w:rFonts w:hint="eastAsia" w:ascii="宋体" w:hAnsi="宋体"/>
          <w:color w:val="000000"/>
          <w:kern w:val="0"/>
          <w:sz w:val="24"/>
          <w:szCs w:val="24"/>
        </w:rPr>
        <w:t>单人</w:t>
      </w:r>
      <w:r>
        <w:rPr>
          <w:rFonts w:ascii="宋体" w:hAnsi="宋体"/>
          <w:color w:val="000000"/>
          <w:kern w:val="0"/>
          <w:sz w:val="24"/>
          <w:szCs w:val="24"/>
        </w:rPr>
        <w:t>副司机座椅，</w:t>
      </w:r>
      <w:r>
        <w:rPr>
          <w:rFonts w:hint="eastAsia" w:ascii="宋体" w:hAnsi="宋体"/>
          <w:color w:val="000000"/>
          <w:kern w:val="0"/>
          <w:sz w:val="24"/>
          <w:szCs w:val="24"/>
        </w:rPr>
        <w:t>后排四人条椅，配安全带，带4具空呼器架，并有足够的空间保证身着消防服的人员乘坐及移动。</w:t>
      </w:r>
      <w:r>
        <w:rPr>
          <w:rFonts w:hint="eastAsia" w:ascii="宋体" w:hAnsi="宋体" w:cs="仿宋_GB2312"/>
          <w:color w:val="000000"/>
          <w:kern w:val="0"/>
          <w:sz w:val="24"/>
          <w:szCs w:val="24"/>
        </w:rPr>
        <w:t>椅放置空气呼吸器后，背板至座板（垫）前沿的距离不得小于35cm, 座板（垫）与支座的前悬不得大于5cm。</w:t>
      </w:r>
      <w:r>
        <w:rPr>
          <w:rFonts w:hint="eastAsia" w:ascii="宋体" w:hAnsi="宋体"/>
          <w:color w:val="000000"/>
          <w:kern w:val="0"/>
          <w:sz w:val="24"/>
          <w:szCs w:val="24"/>
        </w:rPr>
        <w:t>座椅下设置可放入消防器材的储物箱。</w:t>
      </w:r>
      <w:r>
        <w:rPr>
          <w:rFonts w:ascii="宋体" w:hAnsi="宋体"/>
          <w:color w:val="000000"/>
          <w:kern w:val="0"/>
          <w:sz w:val="24"/>
          <w:szCs w:val="24"/>
        </w:rPr>
        <w:t>多处储物空间，自动温控环保</w:t>
      </w:r>
      <w:r>
        <w:rPr>
          <w:rFonts w:hint="eastAsia" w:ascii="宋体" w:hAnsi="宋体"/>
          <w:color w:val="000000"/>
          <w:kern w:val="0"/>
          <w:sz w:val="24"/>
          <w:szCs w:val="24"/>
        </w:rPr>
        <w:t>大容量</w:t>
      </w:r>
      <w:r>
        <w:rPr>
          <w:rFonts w:ascii="宋体" w:hAnsi="宋体"/>
          <w:color w:val="000000"/>
          <w:kern w:val="0"/>
          <w:sz w:val="24"/>
          <w:szCs w:val="24"/>
        </w:rPr>
        <w:t>空调系统，收音机+CD，电动电热后视镜，电动电热广角镜、</w:t>
      </w:r>
      <w:r>
        <w:rPr>
          <w:rFonts w:hint="eastAsia" w:ascii="宋体" w:hAnsi="宋体"/>
          <w:color w:val="000000"/>
          <w:kern w:val="0"/>
          <w:sz w:val="24"/>
          <w:szCs w:val="24"/>
        </w:rPr>
        <w:t>右侧</w:t>
      </w:r>
      <w:r>
        <w:rPr>
          <w:rFonts w:ascii="宋体" w:hAnsi="宋体"/>
          <w:color w:val="000000"/>
          <w:kern w:val="0"/>
          <w:sz w:val="24"/>
          <w:szCs w:val="24"/>
        </w:rPr>
        <w:t>电动电热下视镜</w:t>
      </w:r>
      <w:r>
        <w:rPr>
          <w:rFonts w:hint="eastAsia" w:ascii="宋体" w:hAnsi="宋体"/>
          <w:color w:val="000000"/>
          <w:kern w:val="0"/>
          <w:sz w:val="24"/>
          <w:szCs w:val="24"/>
        </w:rPr>
        <w:t>，右前侧下视镜</w:t>
      </w:r>
      <w:r>
        <w:rPr>
          <w:rFonts w:ascii="宋体" w:hAnsi="宋体"/>
          <w:color w:val="000000"/>
          <w:kern w:val="0"/>
          <w:sz w:val="24"/>
          <w:szCs w:val="24"/>
        </w:rPr>
        <w:t>等等。</w:t>
      </w:r>
      <w:r>
        <w:rPr>
          <w:rFonts w:hint="eastAsia" w:ascii="宋体" w:hAnsi="宋体" w:cs="宋体"/>
          <w:color w:val="000000"/>
          <w:kern w:val="0"/>
          <w:sz w:val="24"/>
          <w:szCs w:val="24"/>
        </w:rPr>
        <w:t>仪表板上应预留通讯设备、GPS导航设备的安装位置，当所需电源的电压、电流与整车电源不符时，必须装有变压整流设备，不得直接与电瓶连接；预留车载电台电源24V接口2个、GPS定位12V接口2个、首车图传48V接口1个。配有带雷达测距报警功能的倒车影像系统。</w:t>
      </w:r>
      <w:r>
        <w:rPr>
          <w:rFonts w:hint="eastAsia" w:ascii="宋体" w:hAnsi="宋体"/>
          <w:color w:val="000000"/>
          <w:kern w:val="0"/>
          <w:sz w:val="24"/>
          <w:szCs w:val="24"/>
        </w:rPr>
        <w:t>加装警用车载台</w:t>
      </w:r>
      <w:r>
        <w:rPr>
          <w:rFonts w:hint="eastAsia" w:ascii="宋体" w:hAnsi="宋体"/>
          <w:b/>
          <w:color w:val="000000"/>
          <w:kern w:val="0"/>
          <w:sz w:val="24"/>
          <w:szCs w:val="24"/>
        </w:rPr>
        <w:t>（</w:t>
      </w:r>
      <w:r>
        <w:rPr>
          <w:rFonts w:hint="eastAsia" w:ascii="宋体" w:hAnsi="宋体"/>
          <w:b/>
          <w:bCs/>
          <w:color w:val="000000"/>
          <w:kern w:val="0"/>
          <w:sz w:val="24"/>
          <w:szCs w:val="24"/>
        </w:rPr>
        <w:t>须与警用摩托罗拉GP3688对讲机系统兼容</w:t>
      </w:r>
      <w:r>
        <w:rPr>
          <w:rFonts w:hint="eastAsia" w:ascii="宋体" w:hAnsi="宋体"/>
          <w:b/>
          <w:color w:val="000000"/>
          <w:kern w:val="0"/>
          <w:sz w:val="24"/>
          <w:szCs w:val="24"/>
        </w:rPr>
        <w:t>）。</w:t>
      </w:r>
      <w:r>
        <w:rPr>
          <w:rFonts w:hint="eastAsia" w:ascii="宋体" w:hAnsi="宋体" w:cs="宋体"/>
          <w:color w:val="000000"/>
          <w:kern w:val="0"/>
          <w:sz w:val="24"/>
          <w:szCs w:val="24"/>
        </w:rPr>
        <w:t>驶室仪表板上或附近应有可安装五个以上的备用按钮和相应指示灯位置。功率输出装置的操纵按钮旁必须有中文指示和工作指示灯，按钮须有自锁功能；驾驶室可单独翻转，采用双向液压举升缸，翻转角应≥45º。在驾驶室内安装指示警告灯，当驾驶室、乘员室、器材门开启时指示警告灯亮，在自动充电充气装置电源插头末脱离时，指示警告灯亮并带有≥95声贝的警示音</w:t>
      </w:r>
      <w:r>
        <w:rPr>
          <w:rFonts w:hint="eastAsia" w:ascii="宋体" w:hAnsi="宋体"/>
          <w:color w:val="000000"/>
          <w:kern w:val="0"/>
          <w:sz w:val="24"/>
          <w:szCs w:val="24"/>
        </w:rPr>
        <w:t>。</w:t>
      </w:r>
      <w:r>
        <w:rPr>
          <w:rFonts w:hint="eastAsia" w:ascii="宋体" w:hAnsi="宋体" w:cs="宋体"/>
          <w:color w:val="000000"/>
          <w:kern w:val="0"/>
          <w:sz w:val="24"/>
        </w:rPr>
        <w:t>充电充气装置应配有≥30米配套使用的电缆线盘。</w:t>
      </w:r>
    </w:p>
    <w:p>
      <w:pPr>
        <w:widowControl/>
        <w:spacing w:line="360" w:lineRule="auto"/>
        <w:ind w:firstLine="480" w:firstLineChars="200"/>
        <w:rPr>
          <w:rFonts w:hint="eastAsia" w:ascii="宋体" w:hAnsi="宋体"/>
          <w:bCs/>
          <w:color w:val="000000"/>
          <w:kern w:val="0"/>
          <w:sz w:val="24"/>
          <w:szCs w:val="24"/>
        </w:rPr>
      </w:pPr>
      <w:r>
        <w:rPr>
          <w:rFonts w:hint="eastAsia" w:ascii="宋体" w:hAnsi="宋体"/>
          <w:bCs/>
          <w:color w:val="000000"/>
          <w:kern w:val="0"/>
          <w:sz w:val="24"/>
          <w:szCs w:val="24"/>
        </w:rPr>
        <w:t>三、上装</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（一）厢体</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厢体采用全铝合金技术，其结构为铝合金板式粘接结构；内部器材架采用铝合金型材搭建，可根据器材轻松调整。布置科学，器材存取方便，</w:t>
      </w:r>
      <w:r>
        <w:rPr>
          <w:rFonts w:hint="eastAsia" w:ascii="宋体" w:hAnsi="宋体"/>
          <w:b/>
          <w:color w:val="000000"/>
          <w:kern w:val="0"/>
          <w:sz w:val="24"/>
          <w:szCs w:val="24"/>
        </w:rPr>
        <w:t>器材摆放根据用户需求设置（用户提供器材样品或者详细外形尺寸参数）。</w:t>
      </w:r>
      <w:r>
        <w:rPr>
          <w:rFonts w:hint="eastAsia" w:ascii="宋体" w:hAnsi="宋体"/>
          <w:color w:val="000000"/>
          <w:kern w:val="0"/>
          <w:sz w:val="24"/>
          <w:szCs w:val="24"/>
        </w:rPr>
        <w:t>厢体为高强度铝合金材料，铝合金板厚度≥3</w:t>
      </w:r>
      <w:r>
        <w:rPr>
          <w:rFonts w:ascii="宋体" w:hAnsi="宋体"/>
          <w:color w:val="000000"/>
          <w:kern w:val="0"/>
          <w:sz w:val="24"/>
          <w:szCs w:val="24"/>
        </w:rPr>
        <w:t>mm</w:t>
      </w:r>
      <w:r>
        <w:rPr>
          <w:rFonts w:hint="eastAsia" w:ascii="宋体" w:hAnsi="宋体"/>
          <w:color w:val="000000"/>
          <w:kern w:val="0"/>
          <w:sz w:val="24"/>
          <w:szCs w:val="24"/>
        </w:rPr>
        <w:t>，内部器材搭架采用铝合金型材和板材搭建。车辆底部作防锈防腐等喷涂处理；部件烤漆后整车装配，确保底盘原配件不受高温烤漆后热老化影响。储物箱门采用防水防尘优质铝合金卷帘门，启闭灵活，密封性好，设按钮式加拉杆条锁（全套卷帘门免费保修不少于5年）。驾驶室设置卷帘门打开状态警告灯（门未关时灯亮）。上装厢体设置于同一水平面，左、右设置防护装饰铝板，车顶喷涂防滑漆，以保证人员行走安全。带轻合金梯级保护及车顶扶手，梯蹬有防滑设计，保证人员上下安全。挡泥板为</w:t>
      </w:r>
      <w:r>
        <w:rPr>
          <w:rFonts w:ascii="宋体" w:hAnsi="宋体"/>
          <w:color w:val="000000"/>
          <w:kern w:val="0"/>
          <w:sz w:val="24"/>
          <w:szCs w:val="24"/>
        </w:rPr>
        <w:t>玻璃钢材质</w:t>
      </w:r>
      <w:r>
        <w:rPr>
          <w:rFonts w:hint="eastAsia" w:ascii="宋体" w:hAnsi="宋体"/>
          <w:color w:val="000000"/>
          <w:kern w:val="0"/>
          <w:sz w:val="24"/>
          <w:szCs w:val="24"/>
        </w:rPr>
        <w:t>，白色，每个桥的轮胎上方设有胎压数据标识。每边均设有3个或3个以上翻板式脚踏板（包括轮胎侧部），面板为花纹铝板，通过气弹簧助力，方便可靠，可承受大于150kg重量，内部有翻板锁止机构。</w:t>
      </w:r>
      <w:r>
        <w:rPr>
          <w:rFonts w:hint="eastAsia" w:ascii="宋体" w:hAnsi="宋体" w:cs="宋体"/>
          <w:color w:val="000000"/>
          <w:kern w:val="0"/>
          <w:sz w:val="24"/>
          <w:szCs w:val="24"/>
        </w:rPr>
        <w:t>安装有全自动充电、充气装置，保证车辆随时出动，启动发动机电源插头自行弹出。</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（二）随车吊</w:t>
      </w:r>
    </w:p>
    <w:p>
      <w:pPr>
        <w:widowControl/>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国际知名品牌，外部颜色与消防车同色，利用三点轴承固定在</w:t>
      </w:r>
      <w:r>
        <w:rPr>
          <w:rFonts w:ascii="宋体" w:hAnsi="宋体"/>
          <w:color w:val="000000"/>
          <w:kern w:val="0"/>
          <w:sz w:val="24"/>
          <w:szCs w:val="24"/>
        </w:rPr>
        <w:t>车</w:t>
      </w:r>
      <w:r>
        <w:rPr>
          <w:rFonts w:hint="eastAsia" w:ascii="宋体" w:hAnsi="宋体"/>
          <w:color w:val="000000"/>
          <w:kern w:val="0"/>
          <w:sz w:val="24"/>
          <w:szCs w:val="24"/>
        </w:rPr>
        <w:t>辆</w:t>
      </w:r>
      <w:r>
        <w:rPr>
          <w:rFonts w:ascii="宋体" w:hAnsi="宋体"/>
          <w:color w:val="000000"/>
          <w:kern w:val="0"/>
          <w:sz w:val="24"/>
          <w:szCs w:val="24"/>
        </w:rPr>
        <w:t>后部</w:t>
      </w:r>
      <w:r>
        <w:rPr>
          <w:rFonts w:hint="eastAsia" w:ascii="宋体" w:hAnsi="宋体"/>
          <w:color w:val="000000"/>
          <w:kern w:val="0"/>
          <w:sz w:val="24"/>
          <w:szCs w:val="24"/>
        </w:rPr>
        <w:t>，随车吊由分布在其两侧的操作杆直接控制，杆采用交叉连接，以使两侧控制时操作杆功能顺序相同；自动液压</w:t>
      </w:r>
      <w:r>
        <w:rPr>
          <w:rFonts w:ascii="宋体" w:hAnsi="宋体"/>
          <w:color w:val="000000"/>
          <w:kern w:val="0"/>
          <w:sz w:val="24"/>
          <w:szCs w:val="24"/>
        </w:rPr>
        <w:t>H</w:t>
      </w:r>
      <w:r>
        <w:rPr>
          <w:rFonts w:hint="eastAsia" w:ascii="宋体" w:hAnsi="宋体"/>
          <w:color w:val="000000"/>
          <w:kern w:val="0"/>
          <w:sz w:val="24"/>
          <w:szCs w:val="24"/>
        </w:rPr>
        <w:t>型支腿，带示范警告灯；起重能力≥5吨，铰链系统由起重臂和摆动臂组成，摆动臂与液压伸展臂相结合；伸展臂的最前端装有起重吊钩，通过卸压阀提供超载保护。</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（三）照明系统</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1、云台照明灯</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国际知名品牌，电控气压式，可伸高和回缩；离地高度≥6m，云台可以实现</w:t>
      </w:r>
      <w:r>
        <w:rPr>
          <w:rFonts w:ascii="宋体" w:hAnsi="宋体"/>
          <w:color w:val="000000"/>
          <w:kern w:val="0"/>
          <w:sz w:val="24"/>
          <w:szCs w:val="24"/>
        </w:rPr>
        <w:t>360</w:t>
      </w:r>
      <w:r>
        <w:rPr>
          <w:rFonts w:hint="eastAsia" w:ascii="宋体" w:hAnsi="宋体"/>
          <w:color w:val="000000"/>
          <w:kern w:val="0"/>
          <w:sz w:val="24"/>
          <w:szCs w:val="24"/>
        </w:rPr>
        <w:t>°全方位照明，灯具可旋转365°并倾斜近300°；控制器：云台水平、俯仰左右、一键自动复位；杆的升、降、收缩到位信号。灯具功率:</w:t>
      </w:r>
      <w:r>
        <w:rPr>
          <w:rFonts w:ascii="宋体" w:hAnsi="宋体"/>
          <w:color w:val="000000"/>
          <w:kern w:val="0"/>
          <w:sz w:val="24"/>
          <w:szCs w:val="24"/>
        </w:rPr>
        <w:t xml:space="preserve"> 4</w:t>
      </w:r>
      <w:r>
        <w:rPr>
          <w:rFonts w:hint="eastAsia" w:ascii="宋体" w:hAnsi="宋体"/>
          <w:color w:val="000000"/>
          <w:kern w:val="0"/>
          <w:sz w:val="24"/>
          <w:szCs w:val="24"/>
        </w:rPr>
        <w:t>×</w:t>
      </w:r>
      <w:r>
        <w:rPr>
          <w:rFonts w:ascii="宋体" w:hAnsi="宋体"/>
          <w:color w:val="000000"/>
          <w:kern w:val="0"/>
          <w:sz w:val="24"/>
          <w:szCs w:val="24"/>
        </w:rPr>
        <w:t>1000</w:t>
      </w:r>
      <w:r>
        <w:rPr>
          <w:rFonts w:hint="eastAsia" w:ascii="宋体" w:hAnsi="宋体"/>
          <w:color w:val="000000"/>
          <w:kern w:val="0"/>
          <w:sz w:val="24"/>
          <w:szCs w:val="24"/>
        </w:rPr>
        <w:t>W</w:t>
      </w:r>
      <w:r>
        <w:rPr>
          <w:rFonts w:ascii="宋体" w:hAnsi="宋体"/>
          <w:color w:val="000000"/>
          <w:kern w:val="0"/>
          <w:sz w:val="24"/>
          <w:szCs w:val="24"/>
        </w:rPr>
        <w:t>/220V</w:t>
      </w:r>
      <w:r>
        <w:rPr>
          <w:rFonts w:hint="eastAsia" w:ascii="宋体" w:hAnsi="宋体"/>
          <w:color w:val="000000"/>
          <w:kern w:val="0"/>
          <w:sz w:val="24"/>
          <w:szCs w:val="24"/>
        </w:rPr>
        <w:t>，卤素灯炮，位于上装中部，允许最大风速为110km/h。</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2、发电机</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国际知名品牌，功率≥10KW，</w:t>
      </w:r>
      <w:r>
        <w:rPr>
          <w:rFonts w:ascii="宋体" w:hAnsi="宋体"/>
          <w:color w:val="000000"/>
          <w:kern w:val="0"/>
          <w:sz w:val="24"/>
          <w:szCs w:val="24"/>
        </w:rPr>
        <w:t>额定电压</w:t>
      </w:r>
      <w:r>
        <w:rPr>
          <w:rFonts w:hint="eastAsia" w:ascii="宋体" w:hAnsi="宋体"/>
          <w:color w:val="000000"/>
          <w:kern w:val="0"/>
          <w:sz w:val="24"/>
          <w:szCs w:val="24"/>
        </w:rPr>
        <w:t>：</w:t>
      </w:r>
      <w:r>
        <w:rPr>
          <w:rFonts w:ascii="宋体" w:hAnsi="宋体"/>
          <w:color w:val="000000"/>
          <w:kern w:val="0"/>
          <w:sz w:val="24"/>
          <w:szCs w:val="24"/>
        </w:rPr>
        <w:t>220V</w:t>
      </w:r>
      <w:r>
        <w:rPr>
          <w:rFonts w:hint="eastAsia" w:ascii="宋体" w:hAnsi="宋体"/>
          <w:color w:val="000000"/>
          <w:kern w:val="0"/>
          <w:sz w:val="24"/>
          <w:szCs w:val="24"/>
        </w:rPr>
        <w:t>/</w:t>
      </w:r>
      <w:r>
        <w:rPr>
          <w:rFonts w:ascii="宋体" w:hAnsi="宋体"/>
          <w:color w:val="000000"/>
          <w:kern w:val="0"/>
          <w:sz w:val="24"/>
          <w:szCs w:val="24"/>
        </w:rPr>
        <w:t>380V</w:t>
      </w:r>
      <w:r>
        <w:rPr>
          <w:rFonts w:hint="eastAsia" w:ascii="宋体" w:hAnsi="宋体"/>
          <w:color w:val="000000"/>
          <w:kern w:val="0"/>
          <w:sz w:val="24"/>
          <w:szCs w:val="24"/>
        </w:rPr>
        <w:t>；</w:t>
      </w:r>
      <w:r>
        <w:rPr>
          <w:rFonts w:ascii="宋体" w:hAnsi="宋体"/>
          <w:color w:val="000000"/>
          <w:kern w:val="0"/>
          <w:sz w:val="24"/>
          <w:szCs w:val="24"/>
        </w:rPr>
        <w:t>额定频率</w:t>
      </w:r>
      <w:r>
        <w:rPr>
          <w:rFonts w:hint="eastAsia" w:ascii="宋体" w:hAnsi="宋体"/>
          <w:color w:val="000000"/>
          <w:kern w:val="0"/>
          <w:sz w:val="24"/>
          <w:szCs w:val="24"/>
        </w:rPr>
        <w:t>：</w:t>
      </w:r>
      <w:r>
        <w:rPr>
          <w:rFonts w:ascii="宋体" w:hAnsi="宋体"/>
          <w:color w:val="000000"/>
          <w:kern w:val="0"/>
          <w:sz w:val="24"/>
          <w:szCs w:val="24"/>
        </w:rPr>
        <w:t>50Hz</w:t>
      </w:r>
      <w:r>
        <w:rPr>
          <w:rFonts w:hint="eastAsia" w:ascii="宋体" w:hAnsi="宋体"/>
          <w:color w:val="000000"/>
          <w:kern w:val="0"/>
          <w:sz w:val="24"/>
          <w:szCs w:val="24"/>
        </w:rPr>
        <w:t>。</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（四）牵引绞盘</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国际知名品牌，前置式，额定牵引力≥7000kg，绞盘钢丝绳有效工作长度≥30m。直径不小于9.5mm，设有过载保护装置。</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（五）电气系统</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1、警报系统</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视觉警报装置颜色：红色爆闪，驾驶室顶视觉警报装置：长排爆闪警灯安装于驾驶室顶部，可从驾驶室开关。电子警笛：</w:t>
      </w:r>
      <w:r>
        <w:rPr>
          <w:rFonts w:ascii="宋体" w:hAnsi="宋体"/>
          <w:color w:val="000000"/>
          <w:kern w:val="0"/>
          <w:sz w:val="24"/>
          <w:szCs w:val="24"/>
        </w:rPr>
        <w:t>电子公共广播系统，带警笛，包括麦克风及100W扬声器，安装于驾驶室顶</w:t>
      </w:r>
      <w:r>
        <w:rPr>
          <w:rFonts w:hint="eastAsia" w:ascii="宋体" w:hAnsi="宋体"/>
          <w:color w:val="000000"/>
          <w:kern w:val="0"/>
          <w:sz w:val="24"/>
          <w:szCs w:val="24"/>
        </w:rPr>
        <w:t>。侧警灯：左右两侧各3组红蓝爆闪灯。</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2、上装电气</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电压：24V。储物箱照明：每个储物箱1个LED照明灯，门开关：储物箱在驾驶室内带控制灯，用于指示储物箱打开。环绕照明灯：环绕照明灯4×70W /24V卤素雾灯，左右两侧各2个。火场照明：1个探照灯带枢轴，线缆及插头，可手动调整照明角度，安装于车顶后部，带不小于70W的灯泡，黑色。倒车系统：倒车可视系统，驾驶室内设有1个6</w:t>
      </w:r>
      <w:r>
        <w:rPr>
          <w:rFonts w:ascii="宋体" w:hAnsi="宋体"/>
          <w:color w:val="000000"/>
          <w:kern w:val="0"/>
          <w:sz w:val="24"/>
          <w:szCs w:val="24"/>
        </w:rPr>
        <w:t>″</w:t>
      </w:r>
      <w:r>
        <w:rPr>
          <w:rFonts w:hint="eastAsia" w:ascii="宋体" w:hAnsi="宋体"/>
          <w:color w:val="000000"/>
          <w:kern w:val="0"/>
          <w:sz w:val="24"/>
          <w:szCs w:val="24"/>
        </w:rPr>
        <w:t>液晶显示器。</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（六）器材箱及支架</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器材布置及固定设计：根据实用性及最佳取放原则，合理紧凑布置，结合人机学原理及器材特性设置滑车、旋转架、储物盒等辅助装置；器材固定牢固可靠，</w:t>
      </w:r>
      <w:r>
        <w:rPr>
          <w:rFonts w:hint="eastAsia" w:ascii="宋体" w:hAnsi="宋体"/>
          <w:b/>
          <w:color w:val="000000"/>
          <w:kern w:val="0"/>
          <w:sz w:val="24"/>
          <w:szCs w:val="24"/>
        </w:rPr>
        <w:t>并符合客户提出的要求</w:t>
      </w:r>
      <w:r>
        <w:rPr>
          <w:rFonts w:hint="eastAsia" w:ascii="宋体" w:hAnsi="宋体"/>
          <w:color w:val="000000"/>
          <w:kern w:val="0"/>
          <w:sz w:val="24"/>
          <w:szCs w:val="24"/>
        </w:rPr>
        <w:t>。在器材箱内边缘安装挡板，防止器材在车辆行驶时出现器材滑落现象，储物盒有防碰处理，确保器材与储物盒不相互刮碰损伤，并可根据不同的储物需要，调节各层储物盒的相对位置；储物盒的锐边作软化处理，保护消防员及行人的安全。</w:t>
      </w:r>
    </w:p>
    <w:p>
      <w:pPr>
        <w:widowControl/>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（七）外表颜色</w:t>
      </w:r>
    </w:p>
    <w:p>
      <w:pPr>
        <w:widowControl/>
        <w:spacing w:line="360" w:lineRule="auto"/>
        <w:ind w:firstLine="480" w:firstLineChars="200"/>
        <w:rPr>
          <w:rFonts w:hint="eastAsia" w:ascii="宋体" w:hAnsi="宋体"/>
          <w:color w:val="000000"/>
          <w:kern w:val="0"/>
          <w:sz w:val="24"/>
          <w:szCs w:val="24"/>
        </w:rPr>
      </w:pPr>
      <w:r>
        <w:rPr>
          <w:rFonts w:hint="eastAsia" w:ascii="宋体" w:hAnsi="宋体"/>
          <w:color w:val="000000"/>
          <w:kern w:val="0"/>
          <w:sz w:val="24"/>
          <w:szCs w:val="24"/>
        </w:rPr>
        <w:t>驾驶室和上装外表面：</w:t>
      </w:r>
      <w:r>
        <w:rPr>
          <w:rFonts w:ascii="宋体" w:hAnsi="宋体"/>
          <w:color w:val="000000"/>
          <w:kern w:val="0"/>
          <w:sz w:val="24"/>
          <w:szCs w:val="24"/>
        </w:rPr>
        <w:t>R03</w:t>
      </w:r>
      <w:r>
        <w:rPr>
          <w:rFonts w:hint="eastAsia" w:ascii="宋体" w:hAnsi="宋体"/>
          <w:color w:val="000000"/>
          <w:kern w:val="0"/>
          <w:sz w:val="24"/>
          <w:szCs w:val="24"/>
        </w:rPr>
        <w:t>消防红。副车架：面漆与底盘同色。前轮罩和保险杠：保持原底盘颜色不变。后轮罩：白色。厢体内外露表面：保持原铝板颜色不变。卷帘门：保持原铝板颜色不变。上装装饰件、后爬梯、外露电器、信号装置等：保持原颜色不变。</w:t>
      </w:r>
    </w:p>
    <w:p>
      <w:pPr>
        <w:keepNext/>
        <w:keepLines/>
        <w:tabs>
          <w:tab w:val="left" w:pos="0"/>
        </w:tabs>
        <w:spacing w:line="360" w:lineRule="auto"/>
        <w:ind w:firstLine="480" w:firstLineChars="200"/>
        <w:outlineLvl w:val="0"/>
        <w:rPr>
          <w:rFonts w:hint="eastAsia" w:ascii="宋体" w:hAnsi="宋体"/>
          <w:bCs/>
          <w:color w:val="000000"/>
          <w:sz w:val="24"/>
          <w:szCs w:val="24"/>
        </w:rPr>
      </w:pPr>
      <w:r>
        <w:rPr>
          <w:rFonts w:hint="eastAsia" w:ascii="宋体" w:hAnsi="宋体"/>
          <w:bCs/>
          <w:color w:val="000000"/>
          <w:sz w:val="24"/>
          <w:szCs w:val="24"/>
        </w:rPr>
        <w:t>四、其它</w:t>
      </w:r>
    </w:p>
    <w:p>
      <w:pPr>
        <w:widowControl/>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1.整车须符合GB7956.1-2014消防车第1部分通用技术条件和GB7956.14-2015消防车第14部分抢险救援消防车的要求。</w:t>
      </w:r>
    </w:p>
    <w:p>
      <w:pPr>
        <w:widowControl/>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2.整车须提供3C认证证书和型式检验报告（可承诺交车时提供），若整车主要部件与型式检验报告不符，须提供差异检验报告，交货时需提供以上国际知名品牌部件的相关证明材料（含报关单、质检报告等）。</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bCs/>
          <w:color w:val="000000"/>
          <w:sz w:val="24"/>
          <w:szCs w:val="24"/>
        </w:rPr>
        <w:t>3.</w:t>
      </w:r>
      <w:r>
        <w:rPr>
          <w:rFonts w:hint="eastAsia" w:ascii="宋体" w:hAnsi="宋体"/>
          <w:color w:val="000000"/>
          <w:kern w:val="0"/>
          <w:sz w:val="24"/>
          <w:szCs w:val="24"/>
        </w:rPr>
        <w:t>车上阀门、开关、按钮等指示、铭牌和所有随车器材放置位置均用中文或图形标注。消防车各种仪表，操作说明、标牌等内容、字体、颜色应符合要求，标牌为永久性金属材料，铆钉固定，不脱落，不生锈，不掉字，不变色。</w:t>
      </w:r>
      <w:r>
        <w:rPr>
          <w:rFonts w:hint="eastAsia" w:ascii="宋体" w:hAnsi="宋体" w:cs="宋体"/>
          <w:color w:val="000000"/>
          <w:kern w:val="0"/>
          <w:sz w:val="24"/>
          <w:szCs w:val="24"/>
        </w:rPr>
        <w:t>车身贴有进口3M反光安全标识。</w:t>
      </w:r>
      <w:r>
        <w:rPr>
          <w:rFonts w:ascii="宋体" w:hAnsi="宋体" w:cs="宋体"/>
          <w:color w:val="000000"/>
          <w:kern w:val="0"/>
          <w:sz w:val="24"/>
          <w:szCs w:val="24"/>
        </w:rPr>
        <w:t>消防车配备至少</w:t>
      </w:r>
      <w:r>
        <w:rPr>
          <w:rFonts w:hint="eastAsia" w:ascii="宋体" w:hAnsi="宋体" w:cs="宋体"/>
          <w:color w:val="000000"/>
          <w:kern w:val="0"/>
          <w:sz w:val="24"/>
          <w:szCs w:val="24"/>
        </w:rPr>
        <w:t>4</w:t>
      </w:r>
      <w:r>
        <w:rPr>
          <w:rFonts w:ascii="宋体" w:hAnsi="宋体" w:cs="宋体"/>
          <w:color w:val="000000"/>
          <w:kern w:val="0"/>
          <w:sz w:val="24"/>
          <w:szCs w:val="24"/>
        </w:rPr>
        <w:t>个车轮制动块</w:t>
      </w:r>
      <w:r>
        <w:rPr>
          <w:rFonts w:hint="eastAsia" w:ascii="宋体" w:hAnsi="宋体" w:cs="宋体"/>
          <w:color w:val="000000"/>
          <w:kern w:val="0"/>
          <w:sz w:val="24"/>
          <w:szCs w:val="24"/>
        </w:rPr>
        <w:t>，在</w:t>
      </w:r>
      <w:r>
        <w:rPr>
          <w:rFonts w:ascii="宋体" w:hAnsi="宋体" w:cs="宋体"/>
          <w:color w:val="000000"/>
          <w:kern w:val="0"/>
          <w:sz w:val="24"/>
          <w:szCs w:val="24"/>
        </w:rPr>
        <w:t>消防车满载状态停留在20％的坡道上，变速器置于空档位置</w:t>
      </w:r>
      <w:r>
        <w:rPr>
          <w:rFonts w:hint="eastAsia" w:ascii="宋体" w:hAnsi="宋体" w:cs="宋体"/>
          <w:color w:val="000000"/>
          <w:kern w:val="0"/>
          <w:sz w:val="24"/>
          <w:szCs w:val="24"/>
        </w:rPr>
        <w:t>，</w:t>
      </w:r>
      <w:r>
        <w:rPr>
          <w:rFonts w:ascii="宋体" w:hAnsi="宋体" w:cs="宋体"/>
          <w:color w:val="000000"/>
          <w:kern w:val="0"/>
          <w:sz w:val="24"/>
          <w:szCs w:val="24"/>
        </w:rPr>
        <w:t>制动块放好并松开驻车制动时，车辆不得移动。</w:t>
      </w:r>
    </w:p>
    <w:p>
      <w:pPr>
        <w:widowControl/>
        <w:spacing w:line="360" w:lineRule="auto"/>
        <w:ind w:firstLine="480" w:firstLineChars="200"/>
        <w:rPr>
          <w:rFonts w:hint="eastAsia" w:ascii="宋体" w:hAnsi="宋体" w:cs="仿宋_GB2312"/>
          <w:color w:val="000000"/>
          <w:kern w:val="0"/>
          <w:sz w:val="24"/>
          <w:szCs w:val="24"/>
        </w:rPr>
      </w:pPr>
      <w:r>
        <w:rPr>
          <w:rFonts w:hint="eastAsia" w:ascii="宋体" w:hAnsi="宋体" w:cs="宋体"/>
          <w:color w:val="000000"/>
          <w:kern w:val="0"/>
          <w:sz w:val="24"/>
          <w:szCs w:val="24"/>
        </w:rPr>
        <w:t>4.</w:t>
      </w:r>
      <w:r>
        <w:rPr>
          <w:rFonts w:hint="eastAsia" w:ascii="宋体" w:hAnsi="宋体" w:cs="宋体"/>
          <w:b/>
          <w:color w:val="000000"/>
          <w:kern w:val="0"/>
          <w:sz w:val="24"/>
          <w:szCs w:val="24"/>
        </w:rPr>
        <w:t>须提供器材架设计图和原车结构实物图片。</w:t>
      </w:r>
      <w:r>
        <w:rPr>
          <w:rFonts w:hint="eastAsia" w:ascii="宋体" w:hAnsi="宋体" w:cs="仿宋_GB2312"/>
          <w:color w:val="000000"/>
          <w:kern w:val="0"/>
          <w:sz w:val="24"/>
          <w:szCs w:val="24"/>
        </w:rPr>
        <w:t>整车设计要充分考虑海南高温潮湿，空气含盐成分高和台风雨天多等因素，要有可靠的防水、防潮、防锈、防盐和防酸碱等保护措施。</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5.整车供货厂商须提供底盘轴距、最小转弯半径、接近角、离去角、最小离地间隙、最大涉水高度、最大轴荷质量、百公里油耗、0-60km加速时间等详细参数。</w:t>
      </w:r>
    </w:p>
    <w:p>
      <w:pPr>
        <w:widowControl/>
        <w:spacing w:line="360" w:lineRule="auto"/>
        <w:ind w:firstLine="480" w:firstLineChars="200"/>
        <w:rPr>
          <w:rFonts w:hint="eastAsia" w:ascii="宋体" w:hAnsi="宋体" w:cs="宋体"/>
          <w:b/>
          <w:color w:val="000000"/>
          <w:kern w:val="0"/>
          <w:sz w:val="24"/>
          <w:szCs w:val="24"/>
        </w:rPr>
      </w:pPr>
      <w:r>
        <w:rPr>
          <w:rFonts w:hint="eastAsia" w:ascii="宋体" w:hAnsi="宋体" w:cs="宋体"/>
          <w:color w:val="000000"/>
          <w:kern w:val="0"/>
          <w:sz w:val="24"/>
          <w:szCs w:val="24"/>
        </w:rPr>
        <w:t>6.</w:t>
      </w:r>
      <w:r>
        <w:rPr>
          <w:rFonts w:hint="eastAsia" w:ascii="宋体" w:hAnsi="宋体" w:cs="宋体"/>
          <w:b/>
          <w:color w:val="000000"/>
          <w:kern w:val="0"/>
          <w:sz w:val="24"/>
          <w:szCs w:val="24"/>
        </w:rPr>
        <w:t>凡本技术参数低于现行国家标准的，均需满足现行国家标准；凡本技术参数高于现行国家标准的，以本技术参数为准。</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7、车辆外观标识须满足消防救援局的统型要求。</w:t>
      </w:r>
    </w:p>
    <w:p>
      <w:pPr>
        <w:keepNext/>
        <w:keepLines/>
        <w:tabs>
          <w:tab w:val="left" w:pos="0"/>
        </w:tabs>
        <w:spacing w:line="360" w:lineRule="auto"/>
        <w:ind w:firstLine="480" w:firstLineChars="200"/>
        <w:outlineLvl w:val="0"/>
        <w:rPr>
          <w:rFonts w:hint="eastAsia" w:ascii="宋体" w:hAnsi="宋体"/>
          <w:bCs/>
          <w:color w:val="000000"/>
          <w:sz w:val="24"/>
          <w:szCs w:val="24"/>
        </w:rPr>
      </w:pPr>
      <w:r>
        <w:rPr>
          <w:rFonts w:hint="eastAsia" w:ascii="宋体" w:hAnsi="宋体"/>
          <w:bCs/>
          <w:color w:val="000000"/>
          <w:sz w:val="24"/>
          <w:szCs w:val="24"/>
        </w:rPr>
        <w:t>五、随车器材表</w:t>
      </w:r>
    </w:p>
    <w:tbl>
      <w:tblPr>
        <w:tblStyle w:val="3"/>
        <w:tblW w:w="8760" w:type="dxa"/>
        <w:tblInd w:w="16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675"/>
        <w:gridCol w:w="2089"/>
        <w:gridCol w:w="1093"/>
        <w:gridCol w:w="2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887" w:type="dxa"/>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序号</w:t>
            </w:r>
          </w:p>
        </w:tc>
        <w:tc>
          <w:tcPr>
            <w:tcW w:w="2675" w:type="dxa"/>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名 称</w:t>
            </w:r>
          </w:p>
        </w:tc>
        <w:tc>
          <w:tcPr>
            <w:tcW w:w="2089" w:type="dxa"/>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规   格</w:t>
            </w:r>
          </w:p>
        </w:tc>
        <w:tc>
          <w:tcPr>
            <w:tcW w:w="1093" w:type="dxa"/>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数量</w:t>
            </w:r>
          </w:p>
        </w:tc>
        <w:tc>
          <w:tcPr>
            <w:tcW w:w="2016" w:type="dxa"/>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7"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2675" w:type="dxa"/>
            <w:noWrap w:val="0"/>
            <w:vAlign w:val="center"/>
          </w:tcPr>
          <w:p>
            <w:pPr>
              <w:widowControl/>
              <w:jc w:val="center"/>
              <w:rPr>
                <w:rFonts w:hint="eastAsia" w:ascii="宋体" w:hAnsi="宋体" w:cs="宋体"/>
                <w:kern w:val="0"/>
                <w:sz w:val="24"/>
                <w:szCs w:val="24"/>
              </w:rPr>
            </w:pPr>
            <w:r>
              <w:rPr>
                <w:rFonts w:hint="eastAsia" w:ascii="宋体" w:hAnsi="宋体"/>
              </w:rPr>
              <w:t>移动线盘</w:t>
            </w:r>
          </w:p>
        </w:tc>
        <w:tc>
          <w:tcPr>
            <w:tcW w:w="2089" w:type="dxa"/>
            <w:noWrap w:val="0"/>
            <w:vAlign w:val="center"/>
          </w:tcPr>
          <w:p>
            <w:pPr>
              <w:widowControl/>
              <w:jc w:val="center"/>
              <w:rPr>
                <w:rFonts w:hint="eastAsia" w:ascii="宋体" w:hAnsi="宋体" w:cs="宋体"/>
                <w:kern w:val="0"/>
                <w:sz w:val="24"/>
                <w:szCs w:val="24"/>
              </w:rPr>
            </w:pPr>
            <w:r>
              <w:rPr>
                <w:rFonts w:hint="eastAsia" w:ascii="宋体" w:hAnsi="宋体"/>
              </w:rPr>
              <w:t>220V/30m</w:t>
            </w:r>
          </w:p>
        </w:tc>
        <w:tc>
          <w:tcPr>
            <w:tcW w:w="1093" w:type="dxa"/>
            <w:noWrap w:val="0"/>
            <w:vAlign w:val="center"/>
          </w:tcPr>
          <w:p>
            <w:pPr>
              <w:widowControl/>
              <w:jc w:val="center"/>
              <w:rPr>
                <w:rFonts w:hint="eastAsia" w:ascii="宋体" w:hAnsi="宋体" w:cs="宋体"/>
                <w:kern w:val="0"/>
                <w:sz w:val="24"/>
                <w:szCs w:val="24"/>
              </w:rPr>
            </w:pPr>
            <w:r>
              <w:rPr>
                <w:rFonts w:hint="eastAsia" w:ascii="宋体" w:hAnsi="宋体"/>
              </w:rPr>
              <w:t>1 盘</w:t>
            </w:r>
          </w:p>
        </w:tc>
        <w:tc>
          <w:tcPr>
            <w:tcW w:w="2016" w:type="dxa"/>
            <w:noWrap w:val="0"/>
            <w:vAlign w:val="center"/>
          </w:tcPr>
          <w:p>
            <w:pPr>
              <w:widowControl/>
              <w:jc w:val="center"/>
              <w:rPr>
                <w:rFonts w:hint="eastAsia"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7"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2675" w:type="dxa"/>
            <w:noWrap w:val="0"/>
            <w:vAlign w:val="center"/>
          </w:tcPr>
          <w:p>
            <w:pPr>
              <w:widowControl/>
              <w:jc w:val="center"/>
              <w:rPr>
                <w:rFonts w:hint="eastAsia" w:ascii="宋体" w:hAnsi="宋体" w:cs="宋体"/>
                <w:kern w:val="0"/>
                <w:sz w:val="24"/>
                <w:szCs w:val="24"/>
              </w:rPr>
            </w:pPr>
            <w:r>
              <w:rPr>
                <w:rFonts w:hint="eastAsia" w:ascii="宋体" w:hAnsi="宋体"/>
              </w:rPr>
              <w:t>移动线盘</w:t>
            </w:r>
          </w:p>
        </w:tc>
        <w:tc>
          <w:tcPr>
            <w:tcW w:w="2089" w:type="dxa"/>
            <w:noWrap w:val="0"/>
            <w:vAlign w:val="center"/>
          </w:tcPr>
          <w:p>
            <w:pPr>
              <w:widowControl/>
              <w:jc w:val="center"/>
              <w:rPr>
                <w:rFonts w:hint="eastAsia" w:ascii="宋体" w:hAnsi="宋体" w:cs="宋体"/>
                <w:kern w:val="0"/>
                <w:sz w:val="24"/>
                <w:szCs w:val="24"/>
              </w:rPr>
            </w:pPr>
            <w:r>
              <w:rPr>
                <w:rFonts w:hint="eastAsia" w:ascii="宋体" w:hAnsi="宋体"/>
              </w:rPr>
              <w:t>380V/50m</w:t>
            </w:r>
          </w:p>
        </w:tc>
        <w:tc>
          <w:tcPr>
            <w:tcW w:w="1093" w:type="dxa"/>
            <w:noWrap w:val="0"/>
            <w:vAlign w:val="center"/>
          </w:tcPr>
          <w:p>
            <w:pPr>
              <w:widowControl/>
              <w:jc w:val="center"/>
              <w:rPr>
                <w:rFonts w:hint="eastAsia" w:ascii="宋体" w:hAnsi="宋体" w:cs="宋体"/>
                <w:kern w:val="0"/>
                <w:sz w:val="24"/>
                <w:szCs w:val="24"/>
              </w:rPr>
            </w:pPr>
            <w:r>
              <w:rPr>
                <w:rFonts w:hint="eastAsia" w:ascii="宋体" w:hAnsi="宋体"/>
              </w:rPr>
              <w:t>1盘</w:t>
            </w:r>
          </w:p>
        </w:tc>
        <w:tc>
          <w:tcPr>
            <w:tcW w:w="2016" w:type="dxa"/>
            <w:noWrap w:val="0"/>
            <w:vAlign w:val="center"/>
          </w:tcPr>
          <w:p>
            <w:pPr>
              <w:widowControl/>
              <w:jc w:val="center"/>
              <w:rPr>
                <w:rFonts w:hint="eastAsia"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7"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2675" w:type="dxa"/>
            <w:noWrap w:val="0"/>
            <w:vAlign w:val="center"/>
          </w:tcPr>
          <w:p>
            <w:pPr>
              <w:widowControl/>
              <w:jc w:val="center"/>
              <w:rPr>
                <w:rFonts w:hint="eastAsia" w:ascii="宋体" w:hAnsi="宋体" w:cs="宋体"/>
                <w:kern w:val="0"/>
                <w:sz w:val="24"/>
                <w:szCs w:val="24"/>
              </w:rPr>
            </w:pPr>
            <w:r>
              <w:rPr>
                <w:rFonts w:hint="eastAsia" w:ascii="宋体" w:hAnsi="宋体"/>
              </w:rPr>
              <w:t>移动照明灯组</w:t>
            </w:r>
          </w:p>
        </w:tc>
        <w:tc>
          <w:tcPr>
            <w:tcW w:w="2089" w:type="dxa"/>
            <w:noWrap w:val="0"/>
            <w:vAlign w:val="center"/>
          </w:tcPr>
          <w:p>
            <w:pPr>
              <w:widowControl/>
              <w:jc w:val="center"/>
              <w:rPr>
                <w:rFonts w:hint="eastAsia" w:ascii="宋体" w:hAnsi="宋体" w:cs="宋体"/>
                <w:kern w:val="0"/>
                <w:sz w:val="24"/>
                <w:szCs w:val="24"/>
              </w:rPr>
            </w:pPr>
            <w:r>
              <w:rPr>
                <w:rFonts w:hint="eastAsia" w:ascii="宋体" w:hAnsi="宋体"/>
              </w:rPr>
              <w:t>2×500W</w:t>
            </w:r>
          </w:p>
        </w:tc>
        <w:tc>
          <w:tcPr>
            <w:tcW w:w="1093" w:type="dxa"/>
            <w:noWrap w:val="0"/>
            <w:vAlign w:val="center"/>
          </w:tcPr>
          <w:p>
            <w:pPr>
              <w:widowControl/>
              <w:jc w:val="center"/>
              <w:rPr>
                <w:rFonts w:hint="eastAsia" w:ascii="宋体" w:hAnsi="宋体" w:cs="宋体"/>
                <w:kern w:val="0"/>
                <w:sz w:val="24"/>
                <w:szCs w:val="24"/>
              </w:rPr>
            </w:pPr>
            <w:r>
              <w:rPr>
                <w:rFonts w:hint="eastAsia" w:ascii="宋体" w:hAnsi="宋体"/>
              </w:rPr>
              <w:t>1套</w:t>
            </w:r>
          </w:p>
        </w:tc>
        <w:tc>
          <w:tcPr>
            <w:tcW w:w="2016" w:type="dxa"/>
            <w:noWrap w:val="0"/>
            <w:vAlign w:val="center"/>
          </w:tcPr>
          <w:p>
            <w:pPr>
              <w:widowControl/>
              <w:jc w:val="center"/>
              <w:rPr>
                <w:rFonts w:hint="eastAsia"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7"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2675" w:type="dxa"/>
            <w:noWrap w:val="0"/>
            <w:vAlign w:val="center"/>
          </w:tcPr>
          <w:p>
            <w:pPr>
              <w:widowControl/>
              <w:jc w:val="center"/>
              <w:rPr>
                <w:rFonts w:hint="eastAsia" w:ascii="宋体" w:hAnsi="宋体" w:cs="宋体"/>
                <w:kern w:val="0"/>
                <w:sz w:val="24"/>
                <w:szCs w:val="24"/>
              </w:rPr>
            </w:pPr>
            <w:r>
              <w:rPr>
                <w:rFonts w:hint="eastAsia" w:ascii="宋体" w:hAnsi="宋体"/>
              </w:rPr>
              <w:t>备用灯管</w:t>
            </w:r>
          </w:p>
        </w:tc>
        <w:tc>
          <w:tcPr>
            <w:tcW w:w="2089" w:type="dxa"/>
            <w:noWrap w:val="0"/>
            <w:vAlign w:val="center"/>
          </w:tcPr>
          <w:p>
            <w:pPr>
              <w:widowControl/>
              <w:jc w:val="center"/>
              <w:rPr>
                <w:rFonts w:hint="eastAsia" w:ascii="宋体" w:hAnsi="宋体" w:cs="宋体"/>
                <w:kern w:val="0"/>
                <w:sz w:val="24"/>
                <w:szCs w:val="24"/>
              </w:rPr>
            </w:pPr>
            <w:r>
              <w:rPr>
                <w:rFonts w:hint="eastAsia" w:ascii="宋体" w:hAnsi="宋体"/>
              </w:rPr>
              <w:t>1000W</w:t>
            </w:r>
          </w:p>
        </w:tc>
        <w:tc>
          <w:tcPr>
            <w:tcW w:w="1093" w:type="dxa"/>
            <w:noWrap w:val="0"/>
            <w:vAlign w:val="center"/>
          </w:tcPr>
          <w:p>
            <w:pPr>
              <w:widowControl/>
              <w:jc w:val="center"/>
              <w:rPr>
                <w:rFonts w:hint="eastAsia" w:ascii="宋体" w:hAnsi="宋体" w:cs="宋体"/>
                <w:kern w:val="0"/>
                <w:sz w:val="24"/>
                <w:szCs w:val="24"/>
              </w:rPr>
            </w:pPr>
            <w:r>
              <w:rPr>
                <w:rFonts w:hint="eastAsia" w:ascii="宋体" w:hAnsi="宋体"/>
              </w:rPr>
              <w:t>2支</w:t>
            </w:r>
          </w:p>
        </w:tc>
        <w:tc>
          <w:tcPr>
            <w:tcW w:w="2016" w:type="dxa"/>
            <w:noWrap w:val="0"/>
            <w:vAlign w:val="center"/>
          </w:tcPr>
          <w:p>
            <w:pPr>
              <w:widowControl/>
              <w:jc w:val="center"/>
              <w:rPr>
                <w:rFonts w:hint="eastAsia"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7"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c>
          <w:tcPr>
            <w:tcW w:w="2675" w:type="dxa"/>
            <w:noWrap w:val="0"/>
            <w:vAlign w:val="center"/>
          </w:tcPr>
          <w:p>
            <w:pPr>
              <w:widowControl/>
              <w:jc w:val="center"/>
              <w:rPr>
                <w:rFonts w:hint="eastAsia" w:ascii="宋体" w:hAnsi="宋体" w:cs="宋体"/>
                <w:kern w:val="0"/>
                <w:sz w:val="24"/>
                <w:szCs w:val="24"/>
              </w:rPr>
            </w:pPr>
            <w:r>
              <w:rPr>
                <w:rFonts w:hint="eastAsia" w:ascii="宋体" w:hAnsi="宋体"/>
              </w:rPr>
              <w:t>备用灯管</w:t>
            </w:r>
          </w:p>
        </w:tc>
        <w:tc>
          <w:tcPr>
            <w:tcW w:w="2089" w:type="dxa"/>
            <w:noWrap w:val="0"/>
            <w:vAlign w:val="center"/>
          </w:tcPr>
          <w:p>
            <w:pPr>
              <w:widowControl/>
              <w:jc w:val="center"/>
              <w:rPr>
                <w:rFonts w:hint="eastAsia" w:ascii="宋体" w:hAnsi="宋体" w:cs="宋体"/>
                <w:kern w:val="0"/>
                <w:sz w:val="24"/>
                <w:szCs w:val="24"/>
              </w:rPr>
            </w:pPr>
            <w:r>
              <w:rPr>
                <w:rFonts w:hint="eastAsia" w:ascii="宋体" w:hAnsi="宋体"/>
              </w:rPr>
              <w:t>500W</w:t>
            </w:r>
          </w:p>
        </w:tc>
        <w:tc>
          <w:tcPr>
            <w:tcW w:w="1093" w:type="dxa"/>
            <w:noWrap w:val="0"/>
            <w:vAlign w:val="center"/>
          </w:tcPr>
          <w:p>
            <w:pPr>
              <w:widowControl/>
              <w:jc w:val="center"/>
              <w:rPr>
                <w:rFonts w:hint="eastAsia" w:ascii="宋体" w:hAnsi="宋体" w:cs="宋体"/>
                <w:kern w:val="0"/>
                <w:sz w:val="24"/>
                <w:szCs w:val="24"/>
              </w:rPr>
            </w:pPr>
            <w:r>
              <w:rPr>
                <w:rFonts w:hint="eastAsia" w:ascii="宋体" w:hAnsi="宋体"/>
              </w:rPr>
              <w:t>2支</w:t>
            </w:r>
          </w:p>
        </w:tc>
        <w:tc>
          <w:tcPr>
            <w:tcW w:w="2016" w:type="dxa"/>
            <w:noWrap w:val="0"/>
            <w:vAlign w:val="center"/>
          </w:tcPr>
          <w:p>
            <w:pPr>
              <w:widowControl/>
              <w:jc w:val="center"/>
              <w:rPr>
                <w:rFonts w:hint="eastAsia"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7"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w:t>
            </w:r>
          </w:p>
        </w:tc>
        <w:tc>
          <w:tcPr>
            <w:tcW w:w="2675" w:type="dxa"/>
            <w:noWrap w:val="0"/>
            <w:vAlign w:val="center"/>
          </w:tcPr>
          <w:p>
            <w:pPr>
              <w:widowControl/>
              <w:jc w:val="center"/>
              <w:rPr>
                <w:rFonts w:hint="eastAsia" w:ascii="宋体" w:hAnsi="宋体" w:cs="宋体"/>
                <w:kern w:val="0"/>
                <w:sz w:val="24"/>
                <w:szCs w:val="24"/>
              </w:rPr>
            </w:pPr>
            <w:r>
              <w:rPr>
                <w:rFonts w:hint="eastAsia" w:ascii="宋体" w:hAnsi="宋体"/>
              </w:rPr>
              <w:t>动滑轮组</w:t>
            </w:r>
          </w:p>
        </w:tc>
        <w:tc>
          <w:tcPr>
            <w:tcW w:w="2089" w:type="dxa"/>
            <w:noWrap w:val="0"/>
            <w:vAlign w:val="center"/>
          </w:tcPr>
          <w:p>
            <w:pPr>
              <w:widowControl/>
              <w:jc w:val="center"/>
              <w:rPr>
                <w:rFonts w:hint="eastAsia" w:ascii="宋体" w:hAnsi="宋体" w:cs="宋体"/>
                <w:kern w:val="0"/>
                <w:sz w:val="24"/>
                <w:szCs w:val="24"/>
              </w:rPr>
            </w:pPr>
          </w:p>
        </w:tc>
        <w:tc>
          <w:tcPr>
            <w:tcW w:w="1093" w:type="dxa"/>
            <w:noWrap w:val="0"/>
            <w:vAlign w:val="center"/>
          </w:tcPr>
          <w:p>
            <w:pPr>
              <w:widowControl/>
              <w:jc w:val="center"/>
              <w:rPr>
                <w:rFonts w:hint="eastAsia" w:ascii="宋体" w:hAnsi="宋体" w:cs="宋体"/>
                <w:kern w:val="0"/>
                <w:sz w:val="24"/>
                <w:szCs w:val="24"/>
              </w:rPr>
            </w:pPr>
            <w:r>
              <w:rPr>
                <w:rFonts w:hint="eastAsia" w:ascii="宋体" w:hAnsi="宋体"/>
              </w:rPr>
              <w:t>1套</w:t>
            </w:r>
          </w:p>
        </w:tc>
        <w:tc>
          <w:tcPr>
            <w:tcW w:w="2016" w:type="dxa"/>
            <w:noWrap w:val="0"/>
            <w:vAlign w:val="center"/>
          </w:tcPr>
          <w:p>
            <w:pPr>
              <w:widowControl/>
              <w:jc w:val="center"/>
              <w:rPr>
                <w:rFonts w:hint="eastAsia" w:ascii="宋体" w:hAnsi="宋体" w:cs="宋体"/>
                <w:kern w:val="0"/>
                <w:sz w:val="24"/>
                <w:szCs w:val="24"/>
              </w:rPr>
            </w:pPr>
          </w:p>
        </w:tc>
      </w:tr>
    </w:tbl>
    <w:p>
      <w:pPr>
        <w:spacing w:before="156" w:beforeLines="50" w:after="156" w:afterLines="50" w:line="360" w:lineRule="auto"/>
        <w:rPr>
          <w:rFonts w:hint="eastAsia" w:ascii="宋体" w:hAnsi="宋体" w:cs="宋体"/>
          <w:b/>
          <w:sz w:val="28"/>
          <w:szCs w:val="28"/>
        </w:rPr>
      </w:pPr>
      <w:r>
        <w:rPr>
          <w:rFonts w:hint="eastAsia" w:ascii="宋体" w:hAnsi="宋体" w:cs="宋体"/>
          <w:b/>
          <w:sz w:val="28"/>
          <w:szCs w:val="28"/>
        </w:rPr>
        <w:t>消防车辆项目（A、B包）相关要求：</w:t>
      </w:r>
    </w:p>
    <w:p>
      <w:pPr>
        <w:spacing w:line="274" w:lineRule="exact"/>
        <w:ind w:left="520"/>
        <w:rPr>
          <w:rFonts w:ascii="Times New Roman" w:hAnsi="Times New Roman"/>
          <w:color w:val="000000"/>
          <w:sz w:val="20"/>
          <w:szCs w:val="20"/>
        </w:rPr>
      </w:pPr>
      <w:r>
        <w:rPr>
          <w:rFonts w:hint="eastAsia" w:ascii="宋体" w:hAnsi="宋体" w:cs="宋体"/>
          <w:color w:val="000000"/>
          <w:sz w:val="24"/>
          <w:szCs w:val="24"/>
        </w:rPr>
        <w:t>1、</w:t>
      </w:r>
      <w:r>
        <w:rPr>
          <w:rFonts w:ascii="宋体" w:hAnsi="宋体" w:cs="宋体"/>
          <w:color w:val="000000"/>
          <w:sz w:val="24"/>
          <w:szCs w:val="24"/>
        </w:rPr>
        <w:t>交货期：自签订合同之日起</w:t>
      </w:r>
      <w:r>
        <w:rPr>
          <w:rFonts w:hint="eastAsia" w:ascii="宋体" w:hAnsi="宋体" w:cs="宋体"/>
          <w:sz w:val="24"/>
          <w:szCs w:val="24"/>
        </w:rPr>
        <w:t>300</w:t>
      </w:r>
      <w:r>
        <w:rPr>
          <w:rFonts w:ascii="宋体" w:hAnsi="宋体" w:cs="宋体"/>
          <w:color w:val="000000"/>
          <w:sz w:val="24"/>
          <w:szCs w:val="24"/>
        </w:rPr>
        <w:t>天内。交付地点为：甲方指定地点。</w:t>
      </w:r>
    </w:p>
    <w:p>
      <w:pPr>
        <w:widowControl/>
        <w:spacing w:line="360" w:lineRule="auto"/>
        <w:ind w:firstLine="480" w:firstLineChars="200"/>
        <w:rPr>
          <w:rFonts w:ascii="Times New Roman" w:hAnsi="Times New Roman"/>
          <w:color w:val="000000"/>
          <w:sz w:val="20"/>
          <w:szCs w:val="20"/>
        </w:rPr>
      </w:pPr>
      <w:r>
        <w:rPr>
          <w:rFonts w:hint="eastAsia" w:ascii="宋体" w:hAnsi="宋体" w:cs="宋体"/>
          <w:color w:val="000000"/>
          <w:kern w:val="0"/>
          <w:sz w:val="24"/>
          <w:szCs w:val="24"/>
        </w:rPr>
        <w:t>2、供应商必须提供详细的保修期内技术支持和服务方案，技术支持和服务方案包括（但不限于）：</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（1）每产品问题 2 小时内响应，48 小时内上门服务，并在 2 天内修复，否则，必须提供备用装备器材。整车质保期不少于 1 年，</w:t>
      </w:r>
      <w:r>
        <w:rPr>
          <w:rFonts w:ascii="宋体" w:hAnsi="宋体" w:cs="宋体"/>
          <w:color w:val="000000"/>
          <w:kern w:val="0"/>
          <w:sz w:val="24"/>
          <w:szCs w:val="24"/>
        </w:rPr>
        <w:t>底盘质保期不少于2年</w:t>
      </w:r>
      <w:r>
        <w:rPr>
          <w:rFonts w:hint="eastAsia" w:ascii="宋体" w:hAnsi="宋体" w:cs="宋体"/>
          <w:color w:val="000000"/>
          <w:kern w:val="0"/>
          <w:sz w:val="24"/>
          <w:szCs w:val="24"/>
        </w:rPr>
        <w:t>，上装质保期不少于3年，保修期不少于5年</w:t>
      </w:r>
      <w:r>
        <w:rPr>
          <w:rFonts w:ascii="宋体" w:hAnsi="宋体" w:cs="宋体"/>
          <w:color w:val="000000"/>
          <w:kern w:val="0"/>
          <w:sz w:val="24"/>
          <w:szCs w:val="24"/>
        </w:rPr>
        <w:t>。</w:t>
      </w:r>
      <w:r>
        <w:rPr>
          <w:rFonts w:hint="eastAsia" w:ascii="宋体" w:hAnsi="宋体" w:cs="宋体"/>
          <w:color w:val="000000"/>
          <w:kern w:val="0"/>
          <w:sz w:val="24"/>
          <w:szCs w:val="24"/>
        </w:rPr>
        <w:t>质保期内定期回访，每年不少于 2 次，免费提供技术培训，并提供采购人要求的所有培训资料，所有装备超过保修期后，三年内维修只收取零部件成本费。</w:t>
      </w:r>
    </w:p>
    <w:p>
      <w:pPr>
        <w:spacing w:line="192" w:lineRule="exact"/>
        <w:rPr>
          <w:rFonts w:ascii="Times New Roman" w:hAnsi="Times New Roman"/>
          <w:color w:val="000000"/>
          <w:sz w:val="20"/>
          <w:szCs w:val="20"/>
        </w:rPr>
      </w:pPr>
    </w:p>
    <w:p>
      <w:pPr>
        <w:widowControl/>
        <w:spacing w:line="360" w:lineRule="auto"/>
        <w:ind w:firstLine="480" w:firstLineChars="200"/>
        <w:rPr>
          <w:rFonts w:ascii="宋体" w:hAns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2</w:t>
      </w:r>
      <w:r>
        <w:rPr>
          <w:rFonts w:ascii="宋体" w:hAnsi="宋体" w:cs="宋体"/>
          <w:color w:val="000000"/>
          <w:kern w:val="0"/>
          <w:sz w:val="24"/>
          <w:szCs w:val="24"/>
        </w:rPr>
        <w:t>）提供区域维修服务网络和技术保障能力情况，对售后服务进行承诺</w:t>
      </w:r>
      <w:r>
        <w:rPr>
          <w:rFonts w:hint="eastAsia" w:ascii="宋体" w:hAnsi="宋体" w:cs="宋体"/>
          <w:color w:val="000000"/>
          <w:kern w:val="0"/>
          <w:sz w:val="24"/>
          <w:szCs w:val="24"/>
        </w:rPr>
        <w:t>；提供全寿命周期的主要耗损件、易损件及更换总成的目录和年度价格清单，并承诺保证供应且价格合理。</w:t>
      </w:r>
    </w:p>
    <w:p>
      <w:pPr>
        <w:widowControl/>
        <w:spacing w:line="360" w:lineRule="auto"/>
        <w:ind w:firstLine="480" w:firstLineChars="200"/>
        <w:rPr>
          <w:rFonts w:ascii="Times New Roman" w:hAnsi="Times New Roman"/>
          <w:color w:val="000000"/>
          <w:sz w:val="20"/>
          <w:szCs w:val="20"/>
        </w:rPr>
      </w:pPr>
      <w:r>
        <w:rPr>
          <w:rFonts w:hint="eastAsia" w:ascii="宋体" w:hAnsi="宋体" w:cs="宋体"/>
          <w:color w:val="000000"/>
          <w:kern w:val="0"/>
          <w:sz w:val="24"/>
          <w:szCs w:val="24"/>
        </w:rPr>
        <w:t>（3）在质保期内，同一产品、同一质量问题，连续两次维修仍无法正常使用，中标人必须予以更换同品牌、同型号全新装备器材或者性能更加高级的替代产品，用户不再支付额外任何费用。</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kern w:val="0"/>
          <w:sz w:val="24"/>
          <w:szCs w:val="24"/>
        </w:rPr>
        <w:t>供应商不能低于成本价恶意报价，如供应商的报价过低，明显不符合市场价格，则采购人有权要求中标人提供中标金额的10%作为履约保证金。</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4、每件产品必须提供至少一份纸质中文使用说明书和电子文档说明书。</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5、供应商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pPr>
        <w:spacing w:before="156" w:beforeLines="50" w:after="156" w:afterLines="50" w:line="360" w:lineRule="auto"/>
        <w:rPr>
          <w:rFonts w:hint="eastAsia" w:ascii="宋体" w:hAnsi="宋体" w:cs="宋体"/>
          <w:b/>
          <w:sz w:val="28"/>
          <w:szCs w:val="28"/>
        </w:rPr>
      </w:pPr>
    </w:p>
    <w:p>
      <w:pPr>
        <w:spacing w:before="156" w:beforeLines="50" w:after="156" w:afterLines="50" w:line="360" w:lineRule="auto"/>
        <w:rPr>
          <w:rFonts w:hint="eastAsia" w:ascii="宋体" w:hAnsi="宋体" w:cs="宋体"/>
          <w:b/>
          <w:sz w:val="28"/>
          <w:szCs w:val="28"/>
        </w:rPr>
      </w:pPr>
    </w:p>
    <w:p>
      <w:pPr>
        <w:spacing w:before="156" w:beforeLines="50" w:after="156" w:afterLines="50" w:line="360" w:lineRule="auto"/>
        <w:jc w:val="center"/>
        <w:rPr>
          <w:rFonts w:hint="eastAsia" w:ascii="宋体" w:hAnsi="宋体" w:cs="宋体"/>
          <w:b/>
          <w:sz w:val="24"/>
          <w:szCs w:val="24"/>
        </w:rPr>
      </w:pPr>
      <w:r>
        <w:rPr>
          <w:rFonts w:ascii="宋体" w:hAnsi="宋体" w:cs="宋体"/>
          <w:b/>
          <w:sz w:val="24"/>
          <w:szCs w:val="24"/>
        </w:rPr>
        <w:br w:type="page"/>
      </w:r>
      <w:r>
        <w:rPr>
          <w:rFonts w:hint="eastAsia" w:ascii="宋体" w:hAnsi="宋体" w:cs="宋体"/>
          <w:b/>
          <w:sz w:val="24"/>
          <w:szCs w:val="24"/>
        </w:rPr>
        <w:t>C、D包技术参数要求</w:t>
      </w:r>
    </w:p>
    <w:tbl>
      <w:tblPr>
        <w:tblStyle w:val="3"/>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757"/>
        <w:gridCol w:w="549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92" w:type="dxa"/>
            <w:noWrap w:val="0"/>
            <w:vAlign w:val="center"/>
          </w:tcPr>
          <w:p>
            <w:pPr>
              <w:jc w:val="center"/>
              <w:rPr>
                <w:rFonts w:hint="eastAsia" w:ascii="宋体" w:hAnsi="宋体" w:cs="宋体"/>
                <w:b/>
                <w:bCs/>
                <w:szCs w:val="24"/>
              </w:rPr>
            </w:pPr>
            <w:r>
              <w:rPr>
                <w:rFonts w:hint="eastAsia" w:ascii="宋体" w:hAnsi="宋体" w:cs="宋体"/>
                <w:b/>
                <w:bCs/>
                <w:szCs w:val="24"/>
              </w:rPr>
              <w:t>序号</w:t>
            </w:r>
          </w:p>
        </w:tc>
        <w:tc>
          <w:tcPr>
            <w:tcW w:w="1757" w:type="dxa"/>
            <w:noWrap w:val="0"/>
            <w:vAlign w:val="center"/>
          </w:tcPr>
          <w:p>
            <w:pPr>
              <w:jc w:val="center"/>
              <w:rPr>
                <w:rFonts w:hint="eastAsia" w:ascii="宋体" w:hAnsi="宋体" w:cs="宋体"/>
                <w:b/>
                <w:bCs/>
                <w:szCs w:val="24"/>
              </w:rPr>
            </w:pPr>
            <w:r>
              <w:rPr>
                <w:rFonts w:hint="eastAsia" w:ascii="宋体" w:hAnsi="宋体" w:cs="宋体"/>
                <w:b/>
                <w:bCs/>
                <w:szCs w:val="24"/>
              </w:rPr>
              <w:t>装备名称</w:t>
            </w:r>
          </w:p>
        </w:tc>
        <w:tc>
          <w:tcPr>
            <w:tcW w:w="5492" w:type="dxa"/>
            <w:noWrap w:val="0"/>
            <w:vAlign w:val="center"/>
          </w:tcPr>
          <w:p>
            <w:pPr>
              <w:jc w:val="center"/>
              <w:rPr>
                <w:rFonts w:hint="eastAsia" w:ascii="宋体" w:hAnsi="宋体" w:cs="宋体"/>
                <w:b/>
                <w:bCs/>
                <w:szCs w:val="24"/>
              </w:rPr>
            </w:pPr>
            <w:r>
              <w:rPr>
                <w:rFonts w:hint="eastAsia" w:ascii="宋体" w:hAnsi="宋体" w:cs="宋体"/>
                <w:b/>
                <w:bCs/>
                <w:szCs w:val="24"/>
              </w:rPr>
              <w:t>技术需求参数</w:t>
            </w:r>
          </w:p>
        </w:tc>
        <w:tc>
          <w:tcPr>
            <w:tcW w:w="1380" w:type="dxa"/>
            <w:noWrap w:val="0"/>
            <w:vAlign w:val="center"/>
          </w:tcPr>
          <w:p>
            <w:pPr>
              <w:jc w:val="center"/>
              <w:rPr>
                <w:rFonts w:hint="eastAsia" w:ascii="宋体" w:hAnsi="宋体" w:cs="宋体"/>
                <w:b/>
                <w:bCs/>
                <w:szCs w:val="24"/>
              </w:rPr>
            </w:pPr>
            <w:r>
              <w:rPr>
                <w:rFonts w:hint="eastAsia" w:ascii="宋体" w:hAnsi="宋体" w:cs="宋体"/>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noWrap w:val="0"/>
            <w:vAlign w:val="center"/>
          </w:tcPr>
          <w:p>
            <w:pPr>
              <w:jc w:val="center"/>
              <w:rPr>
                <w:rFonts w:hint="eastAsia" w:ascii="宋体" w:hAnsi="宋体" w:cs="宋体"/>
                <w:szCs w:val="24"/>
              </w:rPr>
            </w:pPr>
            <w:r>
              <w:rPr>
                <w:rFonts w:hint="eastAsia" w:ascii="宋体" w:hAnsi="宋体" w:cs="宋体"/>
                <w:szCs w:val="24"/>
              </w:rPr>
              <w:t>1</w:t>
            </w:r>
          </w:p>
        </w:tc>
        <w:tc>
          <w:tcPr>
            <w:tcW w:w="1757" w:type="dxa"/>
            <w:noWrap w:val="0"/>
            <w:vAlign w:val="center"/>
          </w:tcPr>
          <w:p>
            <w:pPr>
              <w:jc w:val="center"/>
              <w:rPr>
                <w:rFonts w:hint="eastAsia" w:ascii="宋体" w:hAnsi="宋体" w:cs="宋体"/>
                <w:szCs w:val="24"/>
              </w:rPr>
            </w:pPr>
            <w:r>
              <w:rPr>
                <w:rFonts w:hint="eastAsia" w:ascii="宋体" w:hAnsi="宋体" w:cs="宋体"/>
                <w:szCs w:val="21"/>
              </w:rPr>
              <w:t>多功能越野折叠叉车</w:t>
            </w:r>
          </w:p>
        </w:tc>
        <w:tc>
          <w:tcPr>
            <w:tcW w:w="5492" w:type="dxa"/>
            <w:noWrap w:val="0"/>
            <w:vAlign w:val="center"/>
          </w:tcPr>
          <w:p>
            <w:pPr>
              <w:rPr>
                <w:rFonts w:hint="eastAsia" w:ascii="宋体" w:hAnsi="宋体" w:cs="宋体"/>
                <w:szCs w:val="24"/>
              </w:rPr>
            </w:pPr>
            <w:r>
              <w:rPr>
                <w:rFonts w:hint="eastAsia" w:ascii="宋体" w:hAnsi="宋体" w:cs="宋体"/>
                <w:szCs w:val="24"/>
              </w:rPr>
              <w:t>1.国际知名品牌，四轮驱动，可折叠在一个狭小的空间内，便于与各类消防车相结合，可快速更换工作臂，满足灭火、排烟、救援、器材和泡沫液的转运及危险品处理等各种需求，具有超强的越野和爬坡能力，可遥控操作。双重滑动式门架，充气加强型大花纹轮胎，配备车叉1套、货叉架1套。</w:t>
            </w:r>
          </w:p>
          <w:p>
            <w:pPr>
              <w:rPr>
                <w:rFonts w:hint="eastAsia" w:ascii="宋体" w:hAnsi="宋体" w:cs="宋体"/>
                <w:szCs w:val="24"/>
              </w:rPr>
            </w:pPr>
            <w:r>
              <w:rPr>
                <w:rFonts w:hint="eastAsia" w:ascii="宋体" w:hAnsi="宋体" w:cs="宋体"/>
                <w:szCs w:val="24"/>
              </w:rPr>
              <w:t>2.柴油发动机功率≥25KW，最大行驶速度约12km/h，起重能力≥2T，空载最大爬坡能力≥30%，转弯半径≤3.7m，遥控操作距离≥250m，空载重量≤2T，门架可倾斜度（前/后）约4゜/ 7゜，举升高度≥2.8m，离地高度≥60mm，车体总长度≤2.5米、宽度≤2米。</w:t>
            </w:r>
          </w:p>
          <w:p>
            <w:r>
              <w:rPr>
                <w:rFonts w:hint="eastAsia" w:ascii="宋体" w:hAnsi="宋体" w:cs="宋体"/>
                <w:szCs w:val="24"/>
              </w:rPr>
              <w:t>3.须提供完整的操作视频1份，对产品结构、功能、特点进行详细讲述。</w:t>
            </w:r>
          </w:p>
          <w:p/>
          <w:p>
            <w:pPr>
              <w:rPr>
                <w:rFonts w:hint="eastAsia" w:ascii="宋体" w:hAnsi="宋体" w:cs="宋体"/>
                <w:szCs w:val="24"/>
              </w:rPr>
            </w:pPr>
          </w:p>
        </w:tc>
        <w:tc>
          <w:tcPr>
            <w:tcW w:w="1380" w:type="dxa"/>
            <w:noWrap w:val="0"/>
            <w:vAlign w:val="center"/>
          </w:tcPr>
          <w:p>
            <w:pPr>
              <w:jc w:val="center"/>
              <w:rPr>
                <w:rFonts w:hint="eastAsia" w:ascii="宋体" w:hAnsi="宋体" w:cs="宋体"/>
                <w:szCs w:val="24"/>
              </w:rPr>
            </w:pPr>
            <w:r>
              <w:rPr>
                <w:rFonts w:hint="eastAsia" w:ascii="宋体" w:hAnsi="宋体" w:cs="宋体"/>
                <w:szCs w:val="24"/>
              </w:rPr>
              <w:t>C包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noWrap w:val="0"/>
            <w:vAlign w:val="center"/>
          </w:tcPr>
          <w:p>
            <w:pPr>
              <w:jc w:val="center"/>
              <w:rPr>
                <w:rFonts w:hint="eastAsia" w:ascii="宋体" w:hAnsi="宋体" w:cs="宋体"/>
                <w:szCs w:val="24"/>
              </w:rPr>
            </w:pPr>
            <w:r>
              <w:rPr>
                <w:rFonts w:hint="eastAsia" w:ascii="宋体" w:hAnsi="宋体" w:cs="宋体"/>
                <w:szCs w:val="24"/>
              </w:rPr>
              <w:t>2</w:t>
            </w:r>
          </w:p>
        </w:tc>
        <w:tc>
          <w:tcPr>
            <w:tcW w:w="1757" w:type="dxa"/>
            <w:noWrap w:val="0"/>
            <w:vAlign w:val="center"/>
          </w:tcPr>
          <w:p>
            <w:pPr>
              <w:jc w:val="center"/>
              <w:rPr>
                <w:rFonts w:hint="eastAsia" w:ascii="宋体" w:hAnsi="宋体" w:cs="宋体"/>
                <w:szCs w:val="24"/>
              </w:rPr>
            </w:pPr>
            <w:r>
              <w:rPr>
                <w:rFonts w:hint="eastAsia" w:ascii="宋体" w:hAnsi="宋体" w:cs="宋体"/>
                <w:bCs/>
                <w:szCs w:val="21"/>
              </w:rPr>
              <w:t>大功率手抬机动泵</w:t>
            </w:r>
          </w:p>
        </w:tc>
        <w:tc>
          <w:tcPr>
            <w:tcW w:w="5492" w:type="dxa"/>
            <w:noWrap w:val="0"/>
            <w:vAlign w:val="center"/>
          </w:tcPr>
          <w:p>
            <w:pPr>
              <w:rPr>
                <w:rFonts w:hint="eastAsia" w:ascii="宋体" w:hAnsi="宋体" w:cs="宋体"/>
                <w:szCs w:val="24"/>
              </w:rPr>
            </w:pPr>
            <w:r>
              <w:rPr>
                <w:rFonts w:hint="eastAsia" w:ascii="宋体" w:hAnsi="宋体" w:cs="宋体"/>
                <w:szCs w:val="24"/>
              </w:rPr>
              <w:t>1.配置有电启动或手启动装置，全自动引水。</w:t>
            </w:r>
          </w:p>
          <w:p>
            <w:pPr>
              <w:rPr>
                <w:rFonts w:hint="eastAsia" w:ascii="宋体" w:hAnsi="宋体" w:cs="宋体"/>
                <w:szCs w:val="24"/>
              </w:rPr>
            </w:pPr>
            <w:r>
              <w:rPr>
                <w:rFonts w:hint="eastAsia" w:ascii="宋体" w:hAnsi="宋体" w:cs="宋体"/>
                <w:szCs w:val="24"/>
              </w:rPr>
              <w:t>2.采用双缸或三缸四冲程发动机，功率≥45KW，转速≤6000rpm，排量≥</w:t>
            </w:r>
            <w:r>
              <w:rPr>
                <w:rFonts w:ascii="宋体" w:hAnsi="宋体" w:cs="宋体"/>
                <w:szCs w:val="24"/>
              </w:rPr>
              <w:t>84</w:t>
            </w:r>
            <w:r>
              <w:rPr>
                <w:rFonts w:hint="eastAsia" w:ascii="宋体" w:hAnsi="宋体" w:cs="宋体"/>
                <w:szCs w:val="24"/>
              </w:rPr>
              <w:t>0</w:t>
            </w:r>
            <w:r>
              <w:rPr>
                <w:rFonts w:ascii="宋体" w:hAnsi="宋体" w:cs="宋体"/>
                <w:szCs w:val="24"/>
              </w:rPr>
              <w:t>CC</w:t>
            </w:r>
            <w:r>
              <w:rPr>
                <w:rFonts w:hint="eastAsia" w:ascii="宋体" w:hAnsi="宋体" w:cs="宋体"/>
                <w:szCs w:val="24"/>
              </w:rPr>
              <w:t>。</w:t>
            </w:r>
          </w:p>
          <w:p>
            <w:pPr>
              <w:rPr>
                <w:rFonts w:hint="eastAsia" w:ascii="宋体" w:hAnsi="宋体" w:cs="宋体"/>
                <w:szCs w:val="24"/>
              </w:rPr>
            </w:pPr>
            <w:r>
              <w:rPr>
                <w:rFonts w:hint="eastAsia" w:ascii="宋体" w:hAnsi="宋体" w:cs="宋体"/>
                <w:szCs w:val="24"/>
              </w:rPr>
              <w:t>3.10bar最大输出流量≥1700L/min，3bar/4bar压力最大输出流量≥2400L/min，最大出水压力≥15bar。</w:t>
            </w:r>
          </w:p>
          <w:p>
            <w:pPr>
              <w:rPr>
                <w:rFonts w:hint="eastAsia" w:ascii="宋体" w:hAnsi="宋体" w:cs="宋体"/>
                <w:szCs w:val="24"/>
              </w:rPr>
            </w:pPr>
            <w:r>
              <w:rPr>
                <w:rFonts w:hint="eastAsia" w:ascii="宋体" w:hAnsi="宋体" w:cs="宋体"/>
                <w:szCs w:val="24"/>
              </w:rPr>
              <w:t>4.约7米高度时的引水时间≤30s；燃油容量≥15L（可运行1小时以上），重量≤170kg。</w:t>
            </w:r>
          </w:p>
          <w:p>
            <w:pPr>
              <w:rPr>
                <w:rFonts w:hint="eastAsia" w:ascii="宋体" w:hAnsi="宋体" w:cs="宋体"/>
                <w:szCs w:val="24"/>
              </w:rPr>
            </w:pPr>
            <w:r>
              <w:rPr>
                <w:rFonts w:hint="eastAsia" w:ascii="宋体" w:hAnsi="宋体" w:cs="宋体"/>
                <w:szCs w:val="24"/>
              </w:rPr>
              <w:t>出水口为65mm卡扣式或配快速转换口；配置带轮移动架、8米吸水管、单向阀滤水器，吸水口口径不小于80mm。</w:t>
            </w:r>
          </w:p>
          <w:p>
            <w:r>
              <w:rPr>
                <w:rFonts w:hint="eastAsia" w:ascii="宋体" w:hAnsi="宋体" w:cs="宋体"/>
                <w:szCs w:val="24"/>
              </w:rPr>
              <w:t>5.须提供样品1套，现场能满足操作、演示的要求。</w:t>
            </w:r>
          </w:p>
          <w:p/>
          <w:p/>
          <w:p/>
          <w:p/>
          <w:p>
            <w:pPr>
              <w:rPr>
                <w:rFonts w:hint="eastAsia" w:ascii="宋体" w:hAnsi="宋体" w:cs="宋体"/>
                <w:szCs w:val="24"/>
              </w:rPr>
            </w:pPr>
          </w:p>
        </w:tc>
        <w:tc>
          <w:tcPr>
            <w:tcW w:w="1380" w:type="dxa"/>
            <w:noWrap w:val="0"/>
            <w:vAlign w:val="center"/>
          </w:tcPr>
          <w:p>
            <w:pPr>
              <w:jc w:val="center"/>
              <w:rPr>
                <w:rFonts w:hint="eastAsia" w:ascii="宋体" w:hAnsi="宋体" w:cs="宋体"/>
                <w:szCs w:val="24"/>
              </w:rPr>
            </w:pPr>
            <w:r>
              <w:rPr>
                <w:rFonts w:hint="eastAsia" w:ascii="宋体" w:hAnsi="宋体" w:cs="宋体"/>
                <w:szCs w:val="24"/>
              </w:rPr>
              <w:t>D包</w:t>
            </w:r>
          </w:p>
        </w:tc>
      </w:tr>
    </w:tbl>
    <w:p>
      <w:pPr>
        <w:spacing w:before="156" w:beforeLines="50" w:after="156" w:afterLines="50" w:line="360" w:lineRule="auto"/>
        <w:jc w:val="center"/>
        <w:rPr>
          <w:rFonts w:ascii="宋体" w:hAnsi="宋体" w:cs="宋体"/>
          <w:b/>
          <w:sz w:val="24"/>
          <w:szCs w:val="24"/>
        </w:rPr>
      </w:pPr>
    </w:p>
    <w:p>
      <w:pPr>
        <w:keepNext/>
        <w:keepLines/>
        <w:spacing w:before="260" w:after="260" w:line="413" w:lineRule="auto"/>
        <w:jc w:val="center"/>
        <w:outlineLvl w:val="1"/>
        <w:rPr>
          <w:rFonts w:hint="eastAsia" w:ascii="宋体" w:hAnsi="宋体"/>
          <w:b/>
          <w:bCs/>
          <w:sz w:val="24"/>
          <w:szCs w:val="24"/>
        </w:rPr>
      </w:pPr>
      <w:r>
        <w:rPr>
          <w:rFonts w:ascii="Arial" w:hAnsi="Arial" w:eastAsia="黑体"/>
          <w:b/>
          <w:bCs/>
          <w:sz w:val="32"/>
          <w:szCs w:val="32"/>
        </w:rPr>
        <w:br w:type="page"/>
      </w:r>
      <w:r>
        <w:rPr>
          <w:rFonts w:hint="eastAsia" w:ascii="宋体" w:hAnsi="宋体"/>
          <w:b/>
          <w:bCs/>
          <w:sz w:val="24"/>
          <w:szCs w:val="24"/>
        </w:rPr>
        <w:t>E包举高消防车模拟训练设备技术参数要求</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一、产品概述与特点</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举高消防车模拟训练设施采用先进的虚拟仿真软件通过模拟仿真登高平台消防车的机械结构、原理演示、操作运行动作，运用多屏立体显示系统进行真实的显示，以真实机械的操作方式对虚拟机械进行实时控制，把真实的操纵设备与虚拟机械和虚拟场景以及仿真的火场救援现场等场景相连接，使操作人员可以在本教学系统中真实的体会到实际操作消防车的感觉，达到高效虚拟教学的目的。</w:t>
      </w:r>
    </w:p>
    <w:p>
      <w:pPr>
        <w:widowControl/>
        <w:spacing w:line="360" w:lineRule="auto"/>
        <w:ind w:firstLine="482" w:firstLineChars="200"/>
        <w:jc w:val="left"/>
        <w:rPr>
          <w:rFonts w:hint="eastAsia" w:ascii="宋体" w:hAnsi="宋体" w:cs="宋体"/>
          <w:b/>
          <w:kern w:val="0"/>
          <w:sz w:val="24"/>
          <w:szCs w:val="28"/>
        </w:rPr>
      </w:pPr>
      <w:r>
        <w:rPr>
          <w:rFonts w:hint="eastAsia" w:ascii="宋体" w:hAnsi="宋体" w:cs="宋体"/>
          <w:b/>
          <w:kern w:val="0"/>
          <w:sz w:val="24"/>
          <w:szCs w:val="28"/>
        </w:rPr>
        <w:t>特点：</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1．采用先进的三维技术和虚拟现实软件相结合实现对真实举高消防车的逼真三维立体模拟仿真，配合全面的操作演示功能，使消防队员能够在短时间内快速掌握举高消防车的基本结构，操作特点，实现边学边用，安全可靠，学习效率大幅提高。</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2．利用1:1的比例实现真实操纵台与虚拟场景进行交互，操作体验真实感更强。</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3．采用四屏分体显示结构构成立体环绕显示系统，能表现正前、正上和左右两前侧的灭火救援场景，场景更逼真。</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4．通过详细的操作训练，规范举高消防车的各种操作步骤、方式，有效减少错误操作，同时对于消防队员进行故障的判断、保养有较大帮助。</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5．采用音场系统实时高保真模拟车辆运行环境声、报警声，使临场感受更逼真。</w:t>
      </w: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6．系统具有使用成本低、维护简单等特点。</w:t>
      </w:r>
    </w:p>
    <w:p>
      <w:pPr>
        <w:widowControl/>
        <w:ind w:firstLine="420" w:firstLineChars="200"/>
        <w:jc w:val="left"/>
        <w:rPr>
          <w:rFonts w:hint="eastAsia" w:ascii="宋体" w:hAnsi="宋体" w:cs="宋体"/>
          <w:kern w:val="0"/>
        </w:rPr>
      </w:pP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二、主要配置及技术参数性能</w:t>
      </w:r>
    </w:p>
    <w:tbl>
      <w:tblPr>
        <w:tblStyle w:val="3"/>
        <w:tblW w:w="8854" w:type="dxa"/>
        <w:jc w:val="center"/>
        <w:tblInd w:w="-5" w:type="dxa"/>
        <w:tblLayout w:type="fixed"/>
        <w:tblCellMar>
          <w:top w:w="0" w:type="dxa"/>
          <w:left w:w="0" w:type="dxa"/>
          <w:bottom w:w="0" w:type="dxa"/>
          <w:right w:w="0" w:type="dxa"/>
        </w:tblCellMar>
      </w:tblPr>
      <w:tblGrid>
        <w:gridCol w:w="858"/>
        <w:gridCol w:w="1415"/>
        <w:gridCol w:w="6581"/>
      </w:tblGrid>
      <w:tr>
        <w:tblPrEx>
          <w:tblLayout w:type="fixed"/>
          <w:tblCellMar>
            <w:top w:w="0" w:type="dxa"/>
            <w:left w:w="0" w:type="dxa"/>
            <w:bottom w:w="0" w:type="dxa"/>
            <w:right w:w="0" w:type="dxa"/>
          </w:tblCellMar>
        </w:tblPrEx>
        <w:trPr>
          <w:trHeight w:val="415" w:hRule="atLeast"/>
          <w:jc w:val="center"/>
        </w:trPr>
        <w:tc>
          <w:tcPr>
            <w:tcW w:w="8854" w:type="dxa"/>
            <w:gridSpan w:val="3"/>
            <w:tcBorders>
              <w:top w:val="single" w:color="000000" w:sz="4" w:space="0"/>
              <w:left w:val="single" w:color="000000" w:sz="4" w:space="0"/>
              <w:bottom w:val="single" w:color="000000" w:sz="4" w:space="0"/>
              <w:right w:val="single" w:color="000000" w:sz="4" w:space="0"/>
            </w:tcBorders>
            <w:shd w:val="clear" w:color="auto" w:fill="DADADA"/>
            <w:noWrap w:val="0"/>
            <w:vAlign w:val="center"/>
          </w:tcPr>
          <w:p>
            <w:pPr>
              <w:widowControl/>
              <w:ind w:firstLine="420" w:firstLineChars="200"/>
              <w:jc w:val="center"/>
              <w:rPr>
                <w:rFonts w:hint="eastAsia" w:ascii="宋体" w:hAnsi="宋体" w:cs="宋体"/>
                <w:kern w:val="0"/>
              </w:rPr>
            </w:pPr>
            <w:r>
              <w:rPr>
                <w:rFonts w:hint="eastAsia" w:ascii="宋体" w:hAnsi="宋体" w:cs="宋体"/>
                <w:kern w:val="0"/>
              </w:rPr>
              <w:t>硬件主要性能参数</w:t>
            </w:r>
          </w:p>
        </w:tc>
      </w:tr>
      <w:tr>
        <w:tblPrEx>
          <w:tblLayout w:type="fixed"/>
          <w:tblCellMar>
            <w:top w:w="0" w:type="dxa"/>
            <w:left w:w="0" w:type="dxa"/>
            <w:bottom w:w="0" w:type="dxa"/>
            <w:right w:w="0" w:type="dxa"/>
          </w:tblCellMar>
        </w:tblPrEx>
        <w:trPr>
          <w:trHeight w:val="926" w:hRule="exact"/>
          <w:jc w:val="center"/>
        </w:trPr>
        <w:tc>
          <w:tcPr>
            <w:tcW w:w="858"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模拟操作台</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下车操纵台</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下车操纵台样式参照常见消防车下车操作设计，设有翻转门及固定机构，翻转门后的箱体内设下车控制箱及支腿调平盒，箱体左右两侧设有下车支腿模拟控制杆结构。</w:t>
            </w:r>
          </w:p>
        </w:tc>
      </w:tr>
      <w:tr>
        <w:tblPrEx>
          <w:tblLayout w:type="fixed"/>
          <w:tblCellMar>
            <w:top w:w="0" w:type="dxa"/>
            <w:left w:w="0" w:type="dxa"/>
            <w:bottom w:w="0" w:type="dxa"/>
            <w:right w:w="0" w:type="dxa"/>
          </w:tblCellMar>
        </w:tblPrEx>
        <w:trPr>
          <w:trHeight w:val="927" w:hRule="exact"/>
          <w:jc w:val="center"/>
        </w:trPr>
        <w:tc>
          <w:tcPr>
            <w:tcW w:w="858"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上车操纵台</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转台操纵台主要为座椅支架、踏板及上车操纵箱柜结构构成，踏板骨架为优质碳钢框架，铺设防滑花纹板。上下操纵箱柜结构用于安装固定上车控制箱和上车器件箱。</w:t>
            </w:r>
          </w:p>
        </w:tc>
      </w:tr>
      <w:tr>
        <w:tblPrEx>
          <w:tblLayout w:type="fixed"/>
          <w:tblCellMar>
            <w:top w:w="0" w:type="dxa"/>
            <w:left w:w="0" w:type="dxa"/>
            <w:bottom w:w="0" w:type="dxa"/>
            <w:right w:w="0" w:type="dxa"/>
          </w:tblCellMar>
        </w:tblPrEx>
        <w:trPr>
          <w:trHeight w:val="914" w:hRule="exact"/>
          <w:jc w:val="center"/>
        </w:trPr>
        <w:tc>
          <w:tcPr>
            <w:tcW w:w="858"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显示器固定结构</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显示器固定机构由位于中间的显示器固定体和上、左、右3个可旋转显示器固定支架构成，旋转显示器固定支架可沿贴合方向自由灵活旋转，并可以固定于预先设置好的工作和行驶位。</w:t>
            </w:r>
          </w:p>
        </w:tc>
      </w:tr>
      <w:tr>
        <w:tblPrEx>
          <w:tblLayout w:type="fixed"/>
          <w:tblCellMar>
            <w:top w:w="0" w:type="dxa"/>
            <w:left w:w="0" w:type="dxa"/>
            <w:bottom w:w="0" w:type="dxa"/>
            <w:right w:w="0" w:type="dxa"/>
          </w:tblCellMar>
        </w:tblPrEx>
        <w:trPr>
          <w:trHeight w:val="994" w:hRule="exact"/>
          <w:jc w:val="center"/>
        </w:trPr>
        <w:tc>
          <w:tcPr>
            <w:tcW w:w="858"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连接及移动机构</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操纵台各部件可通过预先设置的连接机构进行拆解和组装，移动机构设置在上车操纵台底部，由两组车轮组成，每组两个，并有锁止机构，防止使用过程中移动。</w:t>
            </w:r>
          </w:p>
        </w:tc>
      </w:tr>
      <w:tr>
        <w:tblPrEx>
          <w:tblLayout w:type="fixed"/>
          <w:tblCellMar>
            <w:top w:w="0" w:type="dxa"/>
            <w:left w:w="0" w:type="dxa"/>
            <w:bottom w:w="0" w:type="dxa"/>
            <w:right w:w="0" w:type="dxa"/>
          </w:tblCellMar>
        </w:tblPrEx>
        <w:trPr>
          <w:trHeight w:val="1002" w:hRule="exact"/>
          <w:jc w:val="center"/>
        </w:trPr>
        <w:tc>
          <w:tcPr>
            <w:tcW w:w="858"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器件及操作</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高度仿真的操作平台，整个平台的设计与真实消防车的操作平台完全一致、所有按钮及操作手柄输出的信号和力度也完全相同，而反馈回来的虚拟传感器信号能够在真实仪表中体现，保证显示信号的正确性。</w:t>
            </w:r>
          </w:p>
        </w:tc>
      </w:tr>
      <w:tr>
        <w:tblPrEx>
          <w:tblLayout w:type="fixed"/>
          <w:tblCellMar>
            <w:top w:w="0" w:type="dxa"/>
            <w:left w:w="0" w:type="dxa"/>
            <w:bottom w:w="0" w:type="dxa"/>
            <w:right w:w="0" w:type="dxa"/>
          </w:tblCellMar>
        </w:tblPrEx>
        <w:trPr>
          <w:trHeight w:val="708" w:hRule="exact"/>
          <w:jc w:val="center"/>
        </w:trPr>
        <w:tc>
          <w:tcPr>
            <w:tcW w:w="858" w:type="dxa"/>
            <w:vMerge w:val="restart"/>
            <w:tcBorders>
              <w:top w:val="single" w:color="auto" w:sz="4" w:space="0"/>
              <w:left w:val="single" w:color="000000" w:sz="4" w:space="0"/>
              <w:bottom w:val="nil"/>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控制系统</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控制器</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工作电压：11~36VDC；工作电流≤2A；处理器≥16位，频率≥16MHz；RAM≥512KB；IO点数≥80。</w:t>
            </w:r>
          </w:p>
        </w:tc>
      </w:tr>
      <w:tr>
        <w:tblPrEx>
          <w:tblLayout w:type="fixed"/>
          <w:tblCellMar>
            <w:top w:w="0" w:type="dxa"/>
            <w:left w:w="0" w:type="dxa"/>
            <w:bottom w:w="0" w:type="dxa"/>
            <w:right w:w="0" w:type="dxa"/>
          </w:tblCellMar>
        </w:tblPrEx>
        <w:trPr>
          <w:trHeight w:val="704" w:hRule="exact"/>
          <w:jc w:val="center"/>
        </w:trPr>
        <w:tc>
          <w:tcPr>
            <w:tcW w:w="858" w:type="dxa"/>
            <w:vMerge w:val="continue"/>
            <w:tcBorders>
              <w:top w:val="single" w:color="auto" w:sz="4" w:space="0"/>
              <w:left w:val="single" w:color="000000" w:sz="4" w:space="0"/>
              <w:bottom w:val="nil"/>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显示器</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工作电压：10~36VDC；工作电流≤160mA(24V)；显示器尺寸≥7寸。</w:t>
            </w:r>
          </w:p>
        </w:tc>
      </w:tr>
      <w:tr>
        <w:tblPrEx>
          <w:tblLayout w:type="fixed"/>
          <w:tblCellMar>
            <w:top w:w="0" w:type="dxa"/>
            <w:left w:w="0" w:type="dxa"/>
            <w:bottom w:w="0" w:type="dxa"/>
            <w:right w:w="0" w:type="dxa"/>
          </w:tblCellMar>
        </w:tblPrEx>
        <w:trPr>
          <w:trHeight w:val="705" w:hRule="exact"/>
          <w:jc w:val="center"/>
        </w:trPr>
        <w:tc>
          <w:tcPr>
            <w:tcW w:w="85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显示系统</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显示器</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电源规格：220V,50/60Hz；屏幕尺寸≥42寸；屏幕比例16:9；分辨率≥1920×1080；显示格式≥1080P。</w:t>
            </w:r>
          </w:p>
        </w:tc>
      </w:tr>
      <w:tr>
        <w:tblPrEx>
          <w:tblLayout w:type="fixed"/>
          <w:tblCellMar>
            <w:top w:w="0" w:type="dxa"/>
            <w:left w:w="0" w:type="dxa"/>
            <w:bottom w:w="0" w:type="dxa"/>
            <w:right w:w="0" w:type="dxa"/>
          </w:tblCellMar>
        </w:tblPrEx>
        <w:trPr>
          <w:trHeight w:val="284"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分屏器</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2路输入， 3路输出</w:t>
            </w:r>
          </w:p>
        </w:tc>
      </w:tr>
      <w:tr>
        <w:tblPrEx>
          <w:tblLayout w:type="fixed"/>
          <w:tblCellMar>
            <w:top w:w="0" w:type="dxa"/>
            <w:left w:w="0" w:type="dxa"/>
            <w:bottom w:w="0" w:type="dxa"/>
            <w:right w:w="0" w:type="dxa"/>
          </w:tblCellMar>
        </w:tblPrEx>
        <w:trPr>
          <w:trHeight w:val="427" w:hRule="exact"/>
          <w:jc w:val="center"/>
        </w:trPr>
        <w:tc>
          <w:tcPr>
            <w:tcW w:w="85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台式主机系统</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操作系统</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Windows XP或以上操作系统</w:t>
            </w:r>
          </w:p>
        </w:tc>
      </w:tr>
      <w:tr>
        <w:tblPrEx>
          <w:tblLayout w:type="fixed"/>
          <w:tblCellMar>
            <w:top w:w="0" w:type="dxa"/>
            <w:left w:w="0" w:type="dxa"/>
            <w:bottom w:w="0" w:type="dxa"/>
            <w:right w:w="0" w:type="dxa"/>
          </w:tblCellMar>
        </w:tblPrEx>
        <w:trPr>
          <w:trHeight w:val="432"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处理器</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英特尔酷睿i5（含）以上处理器，≥1.8GHz；双核或者四核。</w:t>
            </w:r>
          </w:p>
        </w:tc>
      </w:tr>
      <w:tr>
        <w:tblPrEx>
          <w:tblLayout w:type="fixed"/>
          <w:tblCellMar>
            <w:top w:w="0" w:type="dxa"/>
            <w:left w:w="0" w:type="dxa"/>
            <w:bottom w:w="0" w:type="dxa"/>
            <w:right w:w="0" w:type="dxa"/>
          </w:tblCellMar>
        </w:tblPrEx>
        <w:trPr>
          <w:trHeight w:val="427" w:hRule="exact"/>
          <w:jc w:val="center"/>
        </w:trPr>
        <w:tc>
          <w:tcPr>
            <w:tcW w:w="85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台式主机系统</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磁盘驱动器</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≥500G</w:t>
            </w:r>
          </w:p>
        </w:tc>
      </w:tr>
      <w:tr>
        <w:tblPrEx>
          <w:tblLayout w:type="fixed"/>
          <w:tblCellMar>
            <w:top w:w="0" w:type="dxa"/>
            <w:left w:w="0" w:type="dxa"/>
            <w:bottom w:w="0" w:type="dxa"/>
            <w:right w:w="0" w:type="dxa"/>
          </w:tblCellMar>
        </w:tblPrEx>
        <w:trPr>
          <w:trHeight w:val="427"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内存</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≥4G</w:t>
            </w:r>
          </w:p>
        </w:tc>
      </w:tr>
      <w:tr>
        <w:tblPrEx>
          <w:tblLayout w:type="fixed"/>
          <w:tblCellMar>
            <w:top w:w="0" w:type="dxa"/>
            <w:left w:w="0" w:type="dxa"/>
            <w:bottom w:w="0" w:type="dxa"/>
            <w:right w:w="0" w:type="dxa"/>
          </w:tblCellMar>
        </w:tblPrEx>
        <w:trPr>
          <w:trHeight w:val="427"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显卡</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≥2G</w:t>
            </w:r>
          </w:p>
        </w:tc>
      </w:tr>
      <w:tr>
        <w:tblPrEx>
          <w:tblLayout w:type="fixed"/>
          <w:tblCellMar>
            <w:top w:w="0" w:type="dxa"/>
            <w:left w:w="0" w:type="dxa"/>
            <w:bottom w:w="0" w:type="dxa"/>
            <w:right w:w="0" w:type="dxa"/>
          </w:tblCellMar>
        </w:tblPrEx>
        <w:trPr>
          <w:trHeight w:val="427"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无线键盘鼠标</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配套无线键盘鼠标1套</w:t>
            </w:r>
          </w:p>
        </w:tc>
      </w:tr>
      <w:tr>
        <w:tblPrEx>
          <w:tblLayout w:type="fixed"/>
          <w:tblCellMar>
            <w:top w:w="0" w:type="dxa"/>
            <w:left w:w="0" w:type="dxa"/>
            <w:bottom w:w="0" w:type="dxa"/>
            <w:right w:w="0" w:type="dxa"/>
          </w:tblCellMar>
        </w:tblPrEx>
        <w:trPr>
          <w:trHeight w:val="427" w:hRule="exac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音场系统</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音箱</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大功率音响1套，具有立体环绕功能</w:t>
            </w:r>
          </w:p>
        </w:tc>
      </w:tr>
      <w:tr>
        <w:tblPrEx>
          <w:tblLayout w:type="fixed"/>
          <w:tblCellMar>
            <w:top w:w="0" w:type="dxa"/>
            <w:left w:w="0" w:type="dxa"/>
            <w:bottom w:w="0" w:type="dxa"/>
            <w:right w:w="0" w:type="dxa"/>
          </w:tblCellMar>
        </w:tblPrEx>
        <w:trPr>
          <w:trHeight w:val="418" w:hRule="atLeast"/>
          <w:jc w:val="center"/>
        </w:trPr>
        <w:tc>
          <w:tcPr>
            <w:tcW w:w="8854" w:type="dxa"/>
            <w:gridSpan w:val="3"/>
            <w:tcBorders>
              <w:top w:val="nil"/>
              <w:left w:val="single" w:color="000000" w:sz="4" w:space="0"/>
              <w:bottom w:val="single" w:color="auto" w:sz="4" w:space="0"/>
              <w:right w:val="single" w:color="000000" w:sz="4" w:space="0"/>
            </w:tcBorders>
            <w:noWrap w:val="0"/>
            <w:vAlign w:val="center"/>
          </w:tcPr>
          <w:tbl>
            <w:tblPr>
              <w:tblStyle w:val="3"/>
              <w:tblW w:w="9072" w:type="dxa"/>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trHeight w:val="415" w:hRule="atLeast"/>
              </w:trPr>
              <w:tc>
                <w:tcPr>
                  <w:tcW w:w="9072" w:type="dxa"/>
                  <w:tcBorders>
                    <w:top w:val="nil"/>
                    <w:left w:val="single" w:color="000000" w:sz="4" w:space="0"/>
                    <w:bottom w:val="single" w:color="000000" w:sz="4" w:space="0"/>
                    <w:right w:val="single" w:color="000000" w:sz="4" w:space="0"/>
                  </w:tcBorders>
                  <w:shd w:val="clear" w:color="auto" w:fill="D9D9D9"/>
                  <w:noWrap w:val="0"/>
                  <w:vAlign w:val="center"/>
                </w:tcPr>
                <w:p>
                  <w:pPr>
                    <w:widowControl/>
                    <w:jc w:val="center"/>
                    <w:rPr>
                      <w:rFonts w:hint="eastAsia" w:ascii="宋体" w:hAnsi="宋体" w:cs="宋体"/>
                      <w:kern w:val="0"/>
                    </w:rPr>
                  </w:pPr>
                  <w:r>
                    <w:rPr>
                      <w:rFonts w:hint="eastAsia" w:ascii="宋体" w:hAnsi="宋体" w:cs="宋体"/>
                      <w:kern w:val="0"/>
                    </w:rPr>
                    <w:t>软件实现的功能要求</w:t>
                  </w:r>
                </w:p>
              </w:tc>
            </w:tr>
          </w:tbl>
          <w:p>
            <w:pPr>
              <w:widowControl/>
              <w:ind w:firstLine="420" w:firstLineChars="200"/>
              <w:jc w:val="center"/>
              <w:rPr>
                <w:rFonts w:hint="eastAsia" w:ascii="宋体" w:hAnsi="宋体" w:cs="宋体"/>
                <w:kern w:val="0"/>
              </w:rPr>
            </w:pPr>
          </w:p>
        </w:tc>
      </w:tr>
      <w:tr>
        <w:tblPrEx>
          <w:tblLayout w:type="fixed"/>
          <w:tblCellMar>
            <w:top w:w="0" w:type="dxa"/>
            <w:left w:w="0" w:type="dxa"/>
            <w:bottom w:w="0" w:type="dxa"/>
            <w:right w:w="0" w:type="dxa"/>
          </w:tblCellMar>
        </w:tblPrEx>
        <w:trPr>
          <w:trHeight w:val="3961" w:hRule="exact"/>
          <w:jc w:val="center"/>
        </w:trPr>
        <w:tc>
          <w:tcPr>
            <w:tcW w:w="85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培训系统</w:t>
            </w:r>
          </w:p>
        </w:tc>
        <w:tc>
          <w:tcPr>
            <w:tcW w:w="1415" w:type="dxa"/>
            <w:tcBorders>
              <w:top w:val="single" w:color="000000"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软件实现</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kern w:val="0"/>
              </w:rPr>
            </w:pPr>
            <w:r>
              <w:rPr>
                <w:rFonts w:hint="eastAsia" w:ascii="宋体" w:hAnsi="宋体" w:cs="宋体"/>
                <w:kern w:val="0"/>
              </w:rPr>
              <w:t>1、采用三维技术和虚拟现实软件相结合建立与实际登高平台消防车尺寸一致的三维立体模型，模型贴图纹理清晰，真实感强，并使重点细节可视化，保证各动作的运动速度感、力度感与实物相符，同时各运动部件的重力、惯性力、抖动等物理属性与实际相一致。</w:t>
            </w:r>
          </w:p>
          <w:p>
            <w:pPr>
              <w:widowControl/>
              <w:ind w:firstLine="420" w:firstLineChars="200"/>
              <w:jc w:val="left"/>
              <w:rPr>
                <w:rFonts w:hint="eastAsia" w:ascii="宋体" w:hAnsi="宋体" w:cs="宋体"/>
                <w:kern w:val="0"/>
              </w:rPr>
            </w:pPr>
            <w:r>
              <w:rPr>
                <w:rFonts w:hint="eastAsia" w:ascii="宋体" w:hAnsi="宋体" w:cs="宋体"/>
                <w:kern w:val="0"/>
              </w:rPr>
              <w:t>2、支持画面缩放和外部可见的细节查看。</w:t>
            </w:r>
          </w:p>
          <w:p>
            <w:pPr>
              <w:widowControl/>
              <w:ind w:firstLine="420" w:firstLineChars="200"/>
              <w:jc w:val="left"/>
              <w:rPr>
                <w:rFonts w:hint="eastAsia" w:ascii="宋体" w:hAnsi="宋体" w:cs="宋体"/>
                <w:bCs/>
                <w:kern w:val="0"/>
              </w:rPr>
            </w:pPr>
            <w:r>
              <w:rPr>
                <w:rFonts w:hint="eastAsia" w:ascii="宋体" w:hAnsi="宋体" w:cs="宋体"/>
                <w:kern w:val="0"/>
              </w:rPr>
              <w:t>3、</w:t>
            </w:r>
            <w:r>
              <w:rPr>
                <w:rFonts w:hint="eastAsia" w:ascii="宋体" w:hAnsi="宋体" w:cs="宋体"/>
                <w:bCs/>
                <w:kern w:val="0"/>
              </w:rPr>
              <w:t>由四台超薄液晶显示器构成环绕式显示系统。能表现正前、正上和左右两前侧的灭火救援场景，四个场景之间衔接自然，并跟随操作同步变化。</w:t>
            </w:r>
          </w:p>
          <w:p>
            <w:pPr>
              <w:widowControl/>
              <w:ind w:firstLine="420" w:firstLineChars="200"/>
              <w:jc w:val="left"/>
              <w:rPr>
                <w:rFonts w:hint="eastAsia" w:ascii="宋体" w:hAnsi="宋体" w:cs="宋体"/>
                <w:bCs/>
                <w:kern w:val="0"/>
              </w:rPr>
            </w:pPr>
            <w:r>
              <w:rPr>
                <w:rFonts w:hint="eastAsia" w:ascii="宋体" w:hAnsi="宋体" w:cs="宋体"/>
                <w:bCs/>
                <w:kern w:val="0"/>
              </w:rPr>
              <w:t>4、按下车、转台和平台三处操作台设置对应的视角显示，视角设置位置应与实际操作一致，视角显示应随着操作位置变更自动切换，无需采用鼠标键盘等额外工具。</w:t>
            </w:r>
          </w:p>
          <w:p>
            <w:pPr>
              <w:widowControl/>
              <w:ind w:firstLine="420" w:firstLineChars="200"/>
              <w:jc w:val="left"/>
              <w:rPr>
                <w:rFonts w:hint="eastAsia" w:ascii="宋体" w:hAnsi="宋体" w:cs="宋体"/>
                <w:kern w:val="0"/>
              </w:rPr>
            </w:pPr>
            <w:r>
              <w:rPr>
                <w:rFonts w:hint="eastAsia" w:ascii="宋体" w:hAnsi="宋体" w:cs="宋体"/>
                <w:bCs/>
                <w:kern w:val="0"/>
              </w:rPr>
              <w:t>5、可以通过工具栏多角度全方位浏览场景，了解更全面的现场信息。</w:t>
            </w:r>
          </w:p>
        </w:tc>
      </w:tr>
      <w:tr>
        <w:tblPrEx>
          <w:tblLayout w:type="fixed"/>
          <w:tblCellMar>
            <w:top w:w="0" w:type="dxa"/>
            <w:left w:w="0" w:type="dxa"/>
            <w:bottom w:w="0" w:type="dxa"/>
            <w:right w:w="0" w:type="dxa"/>
          </w:tblCellMar>
        </w:tblPrEx>
        <w:trPr>
          <w:trHeight w:val="1565"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培训功能</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1、设有消防车的基础功能介绍，包括常见的安全检测装置（例如支腿检测、臂架支架检测、转台对中检测、平台对中检测、平台防碰检测等）、消防系统功能、液压手动装置、平台踏板装置和安全带设置等。各项功能相关器件随着选择在虚拟消防车上重点体现，配以必要的相关文字说明，并可以结合缩放和旋转等方式全面学习。</w:t>
            </w:r>
          </w:p>
        </w:tc>
      </w:tr>
      <w:tr>
        <w:tblPrEx>
          <w:tblLayout w:type="fixed"/>
          <w:tblCellMar>
            <w:top w:w="0" w:type="dxa"/>
            <w:left w:w="0" w:type="dxa"/>
            <w:bottom w:w="0" w:type="dxa"/>
            <w:right w:w="0" w:type="dxa"/>
          </w:tblCellMar>
        </w:tblPrEx>
        <w:trPr>
          <w:trHeight w:val="1002"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2、设有消防车的维修保养功能，常用安全检测装置，包括支腿检测、臂架支架检测、转台对中检测、平台对中检测、平台防碰检测等，应具有完善的维修保养步骤。</w:t>
            </w:r>
          </w:p>
        </w:tc>
      </w:tr>
      <w:tr>
        <w:tblPrEx>
          <w:tblLayout w:type="fixed"/>
          <w:tblCellMar>
            <w:top w:w="0" w:type="dxa"/>
            <w:left w:w="0" w:type="dxa"/>
            <w:bottom w:w="0" w:type="dxa"/>
            <w:right w:w="0" w:type="dxa"/>
          </w:tblCellMar>
        </w:tblPrEx>
        <w:trPr>
          <w:trHeight w:val="718"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auto"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3、设有包括住宅小区和商业区等常见的场景模式以及晴天、阴天、雨天等常见的环境模式。</w:t>
            </w:r>
          </w:p>
        </w:tc>
      </w:tr>
      <w:tr>
        <w:tblPrEx>
          <w:tblLayout w:type="fixed"/>
          <w:tblCellMar>
            <w:top w:w="0" w:type="dxa"/>
            <w:left w:w="0" w:type="dxa"/>
            <w:bottom w:w="0" w:type="dxa"/>
            <w:right w:w="0" w:type="dxa"/>
          </w:tblCellMar>
        </w:tblPrEx>
        <w:trPr>
          <w:trHeight w:val="758" w:hRule="exact"/>
          <w:jc w:val="center"/>
        </w:trPr>
        <w:tc>
          <w:tcPr>
            <w:tcW w:w="85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培训系统</w:t>
            </w:r>
          </w:p>
        </w:tc>
        <w:tc>
          <w:tcPr>
            <w:tcW w:w="1415" w:type="dxa"/>
            <w:vMerge w:val="restart"/>
            <w:tcBorders>
              <w:top w:val="single" w:color="auto" w:sz="4" w:space="0"/>
              <w:left w:val="single" w:color="auto" w:sz="4" w:space="0"/>
              <w:bottom w:val="nil"/>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培训功能</w:t>
            </w:r>
          </w:p>
        </w:tc>
        <w:tc>
          <w:tcPr>
            <w:tcW w:w="6581"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4、设有常见特殊工况的处理，包括应急汽油机泵的启动步骤、紧急收车步骤、平台倾斜熄火后的恢复步骤等规范的操作训练。</w:t>
            </w:r>
          </w:p>
        </w:tc>
      </w:tr>
      <w:tr>
        <w:tblPrEx>
          <w:tblLayout w:type="fixed"/>
          <w:tblCellMar>
            <w:top w:w="0" w:type="dxa"/>
            <w:left w:w="0" w:type="dxa"/>
            <w:bottom w:w="0" w:type="dxa"/>
            <w:right w:w="0" w:type="dxa"/>
          </w:tblCellMar>
        </w:tblPrEx>
        <w:trPr>
          <w:trHeight w:val="654"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5、培训操作包括的下车操作培训、上车操作培训、消防灭火操作和火场救援操作可在一个场景内完整进行。</w:t>
            </w:r>
          </w:p>
        </w:tc>
      </w:tr>
      <w:tr>
        <w:tblPrEx>
          <w:tblLayout w:type="fixed"/>
          <w:tblCellMar>
            <w:top w:w="0" w:type="dxa"/>
            <w:left w:w="0" w:type="dxa"/>
            <w:bottom w:w="0" w:type="dxa"/>
            <w:right w:w="0" w:type="dxa"/>
          </w:tblCellMar>
        </w:tblPrEx>
        <w:trPr>
          <w:trHeight w:val="720"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6、下车操作培训包括全手动操纵、自动调平操作和一键调平/一键收车等。</w:t>
            </w:r>
          </w:p>
        </w:tc>
      </w:tr>
      <w:tr>
        <w:tblPrEx>
          <w:tblLayout w:type="fixed"/>
          <w:tblCellMar>
            <w:top w:w="0" w:type="dxa"/>
            <w:left w:w="0" w:type="dxa"/>
            <w:bottom w:w="0" w:type="dxa"/>
            <w:right w:w="0" w:type="dxa"/>
          </w:tblCellMar>
        </w:tblPrEx>
        <w:trPr>
          <w:trHeight w:val="2402"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restart"/>
            <w:tcBorders>
              <w:top w:val="single" w:color="auto" w:sz="4" w:space="0"/>
              <w:left w:val="single" w:color="auto" w:sz="4" w:space="0"/>
              <w:bottom w:val="nil"/>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培训功能</w:t>
            </w:r>
          </w:p>
        </w:tc>
        <w:tc>
          <w:tcPr>
            <w:tcW w:w="6581"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7、上车操作培训分转台操作培训和平台操作培训，</w:t>
            </w:r>
            <w:r>
              <w:rPr>
                <w:rFonts w:hint="eastAsia" w:ascii="宋体" w:hAnsi="宋体" w:cs="宋体"/>
                <w:kern w:val="0"/>
              </w:rPr>
              <w:t>可控制虚拟车辆进行各种上车动作，包括转台回转、伸缩臂伸缩、伸缩臂变幅和曲臂展收等上车手柄操作以及平台回转、手动调平、防碰恢复、水炮操作等，手柄操作角度直接影响对应动作的快慢，并且操作过程严格受到安全保护功能限制，并设有彩色显示器，可显示虚拟车辆臂架变幅、伸缩工作的作业曲线、监控臂架的工作高度、变幅角度、工作半径等数据。</w:t>
            </w:r>
            <w:r>
              <w:rPr>
                <w:rFonts w:hint="eastAsia" w:ascii="宋体" w:hAnsi="宋体" w:cs="宋体"/>
                <w:bCs/>
                <w:kern w:val="0"/>
              </w:rPr>
              <w:t>除学员椅外，另设教员椅，便于教员指导教学。</w:t>
            </w:r>
          </w:p>
        </w:tc>
      </w:tr>
      <w:tr>
        <w:tblPrEx>
          <w:tblLayout w:type="fixed"/>
          <w:tblCellMar>
            <w:top w:w="0" w:type="dxa"/>
            <w:left w:w="0" w:type="dxa"/>
            <w:bottom w:w="0" w:type="dxa"/>
            <w:right w:w="0" w:type="dxa"/>
          </w:tblCellMar>
        </w:tblPrEx>
        <w:trPr>
          <w:trHeight w:val="693"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8、消防灭火操作培训包含水炮基本的左右、上下等动作操作，操作水流灭火及烟雾影响也体现在操作场景中。</w:t>
            </w:r>
          </w:p>
        </w:tc>
      </w:tr>
      <w:tr>
        <w:tblPrEx>
          <w:tblLayout w:type="fixed"/>
          <w:tblCellMar>
            <w:top w:w="0" w:type="dxa"/>
            <w:left w:w="0" w:type="dxa"/>
            <w:bottom w:w="0" w:type="dxa"/>
            <w:right w:w="0" w:type="dxa"/>
          </w:tblCellMar>
        </w:tblPrEx>
        <w:trPr>
          <w:trHeight w:val="1284"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9、火场救援操作培训体现定点操作的能力，只有达到指定位置才能触发救援操作，并实时切换场景进入救援模式，救援模式为特殊模式，基本视角为向下斜45°，其中一个显示屏可实时显示正下的视角，辅助定位获救人员安置。人员成功获救后自动切回正常位置。</w:t>
            </w:r>
          </w:p>
        </w:tc>
      </w:tr>
      <w:tr>
        <w:tblPrEx>
          <w:tblLayout w:type="fixed"/>
          <w:tblCellMar>
            <w:top w:w="0" w:type="dxa"/>
            <w:left w:w="0" w:type="dxa"/>
            <w:bottom w:w="0" w:type="dxa"/>
            <w:right w:w="0" w:type="dxa"/>
          </w:tblCellMar>
        </w:tblPrEx>
        <w:trPr>
          <w:trHeight w:val="977"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10、操作速度，主要指水平及垂直支腿展收、</w:t>
            </w:r>
            <w:r>
              <w:rPr>
                <w:rFonts w:hint="eastAsia" w:ascii="宋体" w:hAnsi="宋体" w:cs="宋体"/>
                <w:kern w:val="0"/>
              </w:rPr>
              <w:t>转台回转、伸缩臂伸缩、伸缩臂变幅和曲臂展收等可预先调整，用以进行有针对性车辆的性能培训。</w:t>
            </w:r>
          </w:p>
        </w:tc>
      </w:tr>
      <w:tr>
        <w:tblPrEx>
          <w:tblLayout w:type="fixed"/>
          <w:tblCellMar>
            <w:top w:w="0" w:type="dxa"/>
            <w:left w:w="0" w:type="dxa"/>
            <w:bottom w:w="0" w:type="dxa"/>
            <w:right w:w="0" w:type="dxa"/>
          </w:tblCellMar>
        </w:tblPrEx>
        <w:trPr>
          <w:trHeight w:val="1274" w:hRule="atLeas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宋体" w:hAnsi="宋体" w:cs="宋体"/>
                <w:kern w:val="0"/>
              </w:rPr>
            </w:pP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Cs/>
                <w:kern w:val="0"/>
              </w:rPr>
            </w:pPr>
            <w:r>
              <w:rPr>
                <w:rFonts w:hint="eastAsia" w:ascii="宋体" w:hAnsi="宋体" w:cs="宋体"/>
                <w:bCs/>
                <w:kern w:val="0"/>
              </w:rPr>
              <w:t>11、培训台操作与虚拟培训场景实时交互，培训台的各种操作实时在虚拟培训场景中体现，虚拟场景中车辆的各种数据及报警信息实时反馈到对应操纵台的显示设备中，各种场景和音效数据传输完全同步，不存在滞后、卡滞、缺失等现象。</w:t>
            </w:r>
          </w:p>
        </w:tc>
      </w:tr>
      <w:tr>
        <w:tblPrEx>
          <w:tblLayout w:type="fixed"/>
          <w:tblCellMar>
            <w:top w:w="0" w:type="dxa"/>
            <w:left w:w="0" w:type="dxa"/>
            <w:bottom w:w="0" w:type="dxa"/>
            <w:right w:w="0" w:type="dxa"/>
          </w:tblCellMar>
        </w:tblPrEx>
        <w:trPr>
          <w:trHeight w:val="1278" w:hRule="exact"/>
          <w:jc w:val="center"/>
        </w:trPr>
        <w:tc>
          <w:tcPr>
            <w:tcW w:w="8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cs="宋体"/>
                <w:kern w:val="0"/>
              </w:rPr>
            </w:pPr>
          </w:p>
        </w:tc>
        <w:tc>
          <w:tcPr>
            <w:tcW w:w="141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kern w:val="0"/>
              </w:rPr>
            </w:pPr>
            <w:r>
              <w:rPr>
                <w:rFonts w:hint="eastAsia" w:ascii="宋体" w:hAnsi="宋体" w:cs="宋体"/>
                <w:kern w:val="0"/>
              </w:rPr>
              <w:t>考核</w:t>
            </w:r>
          </w:p>
        </w:tc>
        <w:tc>
          <w:tcPr>
            <w:tcW w:w="6581"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宋体" w:hAnsi="宋体" w:cs="宋体"/>
                <w:b/>
                <w:bCs/>
                <w:kern w:val="0"/>
              </w:rPr>
            </w:pPr>
            <w:r>
              <w:rPr>
                <w:rFonts w:hint="eastAsia" w:ascii="宋体" w:hAnsi="宋体" w:cs="宋体"/>
                <w:bCs/>
                <w:kern w:val="0"/>
              </w:rPr>
              <w:t>考核内容包含完整的下车操作、上车操作、消防灭火操作和火场救援操作，车辆操作过程中的不规范操作及错误操作实时记录，考核完成后自动进行评分，并将本次考核过程中问题及分数保存，可随时查看或导出。</w:t>
            </w:r>
          </w:p>
        </w:tc>
      </w:tr>
    </w:tbl>
    <w:p>
      <w:pPr>
        <w:widowControl/>
        <w:ind w:firstLine="420" w:firstLineChars="200"/>
        <w:jc w:val="left"/>
        <w:rPr>
          <w:rFonts w:hint="eastAsia" w:ascii="宋体" w:hAnsi="宋体" w:cs="宋体"/>
          <w:kern w:val="0"/>
        </w:rPr>
      </w:pPr>
    </w:p>
    <w:p>
      <w:pPr>
        <w:widowControl/>
        <w:spacing w:line="360" w:lineRule="auto"/>
        <w:ind w:firstLine="480" w:firstLineChars="200"/>
        <w:jc w:val="left"/>
        <w:rPr>
          <w:rFonts w:hint="eastAsia" w:ascii="宋体" w:hAnsi="宋体" w:cs="宋体"/>
          <w:kern w:val="0"/>
          <w:sz w:val="24"/>
          <w:szCs w:val="28"/>
        </w:rPr>
      </w:pPr>
      <w:r>
        <w:rPr>
          <w:rFonts w:hint="eastAsia" w:ascii="宋体" w:hAnsi="宋体" w:cs="宋体"/>
          <w:kern w:val="0"/>
          <w:sz w:val="24"/>
          <w:szCs w:val="28"/>
        </w:rPr>
        <w:t>三、 随机备件及工具</w:t>
      </w:r>
    </w:p>
    <w:tbl>
      <w:tblPr>
        <w:tblStyle w:val="3"/>
        <w:tblW w:w="7696" w:type="dxa"/>
        <w:jc w:val="center"/>
        <w:tblInd w:w="-5" w:type="dxa"/>
        <w:tblLayout w:type="fixed"/>
        <w:tblCellMar>
          <w:top w:w="0" w:type="dxa"/>
          <w:left w:w="0" w:type="dxa"/>
          <w:bottom w:w="0" w:type="dxa"/>
          <w:right w:w="0" w:type="dxa"/>
        </w:tblCellMar>
      </w:tblPr>
      <w:tblGrid>
        <w:gridCol w:w="710"/>
        <w:gridCol w:w="2405"/>
        <w:gridCol w:w="1037"/>
        <w:gridCol w:w="1276"/>
        <w:gridCol w:w="2268"/>
      </w:tblGrid>
      <w:tr>
        <w:tblPrEx>
          <w:tblLayout w:type="fixed"/>
          <w:tblCellMar>
            <w:top w:w="0" w:type="dxa"/>
            <w:left w:w="0" w:type="dxa"/>
            <w:bottom w:w="0" w:type="dxa"/>
            <w:right w:w="0" w:type="dxa"/>
          </w:tblCellMar>
        </w:tblPrEx>
        <w:trPr>
          <w:trHeight w:val="440"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9" w:right="-20"/>
              <w:jc w:val="center"/>
              <w:rPr>
                <w:rFonts w:hint="eastAsia" w:ascii="宋体" w:hAnsi="宋体" w:cs="宋体"/>
                <w:b/>
                <w:bCs/>
                <w:kern w:val="0"/>
                <w:szCs w:val="21"/>
              </w:rPr>
            </w:pPr>
            <w:r>
              <w:rPr>
                <w:rFonts w:hint="eastAsia" w:ascii="宋体" w:hAnsi="宋体" w:cs="宋体"/>
                <w:b/>
                <w:bCs/>
                <w:kern w:val="0"/>
                <w:position w:val="-1"/>
                <w:szCs w:val="21"/>
              </w:rPr>
              <w:t>序号</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right="-20"/>
              <w:jc w:val="center"/>
              <w:rPr>
                <w:rFonts w:hint="eastAsia" w:ascii="宋体" w:hAnsi="宋体" w:cs="宋体"/>
                <w:b/>
                <w:bCs/>
                <w:kern w:val="0"/>
                <w:szCs w:val="21"/>
              </w:rPr>
            </w:pPr>
            <w:r>
              <w:rPr>
                <w:rFonts w:hint="eastAsia" w:ascii="宋体" w:hAnsi="宋体" w:cs="宋体"/>
                <w:b/>
                <w:bCs/>
                <w:kern w:val="0"/>
                <w:position w:val="-1"/>
                <w:szCs w:val="21"/>
              </w:rPr>
              <w:t>名称及规格</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right="-20"/>
              <w:jc w:val="center"/>
              <w:rPr>
                <w:rFonts w:hint="eastAsia" w:ascii="宋体" w:hAnsi="宋体" w:cs="宋体"/>
                <w:b/>
                <w:bCs/>
                <w:kern w:val="0"/>
                <w:szCs w:val="21"/>
              </w:rPr>
            </w:pPr>
            <w:r>
              <w:rPr>
                <w:rFonts w:hint="eastAsia" w:ascii="宋体" w:hAnsi="宋体" w:cs="宋体"/>
                <w:b/>
                <w:bCs/>
                <w:kern w:val="0"/>
                <w:position w:val="-1"/>
                <w:szCs w:val="21"/>
              </w:rPr>
              <w:t>单位</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right="-20"/>
              <w:jc w:val="center"/>
              <w:rPr>
                <w:rFonts w:hint="eastAsia" w:ascii="宋体" w:hAnsi="宋体" w:cs="宋体"/>
                <w:b/>
                <w:bCs/>
                <w:kern w:val="0"/>
                <w:szCs w:val="21"/>
              </w:rPr>
            </w:pPr>
            <w:r>
              <w:rPr>
                <w:rFonts w:hint="eastAsia" w:ascii="宋体" w:hAnsi="宋体" w:cs="宋体"/>
                <w:b/>
                <w:bCs/>
                <w:kern w:val="0"/>
                <w:position w:val="-1"/>
                <w:szCs w:val="21"/>
              </w:rPr>
              <w:t>数量</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right="759"/>
              <w:jc w:val="center"/>
              <w:rPr>
                <w:rFonts w:hint="eastAsia" w:ascii="宋体" w:hAnsi="宋体" w:cs="宋体"/>
                <w:b/>
                <w:bCs/>
                <w:kern w:val="0"/>
                <w:szCs w:val="21"/>
              </w:rPr>
            </w:pPr>
            <w:r>
              <w:rPr>
                <w:rFonts w:hint="eastAsia" w:ascii="宋体" w:hAnsi="宋体" w:cs="宋体"/>
                <w:b/>
                <w:bCs/>
                <w:kern w:val="0"/>
                <w:position w:val="-1"/>
                <w:szCs w:val="21"/>
              </w:rPr>
              <w:t>备注</w:t>
            </w: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0" w:right="-20"/>
              <w:jc w:val="left"/>
              <w:rPr>
                <w:rFonts w:hint="eastAsia" w:ascii="宋体" w:hAnsi="宋体" w:cs="宋体"/>
                <w:kern w:val="0"/>
                <w:szCs w:val="21"/>
              </w:rPr>
            </w:pPr>
            <w:r>
              <w:rPr>
                <w:rFonts w:hint="eastAsia" w:ascii="宋体" w:hAnsi="宋体" w:cs="宋体"/>
                <w:kern w:val="0"/>
                <w:position w:val="-1"/>
                <w:szCs w:val="21"/>
              </w:rPr>
              <w:t>保险丝管20A</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2" w:right="-20"/>
              <w:jc w:val="center"/>
              <w:rPr>
                <w:rFonts w:hint="eastAsia" w:ascii="宋体" w:hAnsi="宋体" w:cs="宋体"/>
                <w:kern w:val="0"/>
                <w:szCs w:val="21"/>
              </w:rPr>
            </w:pPr>
            <w:r>
              <w:rPr>
                <w:rFonts w:hint="eastAsia" w:ascii="宋体" w:hAnsi="宋体" w:cs="宋体"/>
                <w:kern w:val="0"/>
                <w:position w:val="-1"/>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94"/>
              <w:ind w:left="331" w:right="313"/>
              <w:jc w:val="center"/>
              <w:rPr>
                <w:rFonts w:hint="eastAsia" w:ascii="宋体" w:hAnsi="宋体" w:cs="宋体"/>
                <w:kern w:val="0"/>
                <w:szCs w:val="21"/>
              </w:rPr>
            </w:pPr>
            <w:r>
              <w:rPr>
                <w:rFonts w:hint="eastAsia" w:ascii="宋体" w:hAnsi="宋体" w:cs="宋体"/>
                <w:kern w:val="0"/>
                <w:szCs w:val="21"/>
              </w:rPr>
              <w:t>10</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ind w:left="717" w:right="697"/>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2</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0" w:right="-20"/>
              <w:jc w:val="left"/>
              <w:rPr>
                <w:rFonts w:hint="eastAsia" w:ascii="宋体" w:hAnsi="宋体" w:cs="宋体"/>
                <w:kern w:val="0"/>
                <w:szCs w:val="21"/>
              </w:rPr>
            </w:pPr>
            <w:r>
              <w:rPr>
                <w:rFonts w:hint="eastAsia" w:ascii="宋体" w:hAnsi="宋体" w:cs="宋体"/>
                <w:kern w:val="0"/>
                <w:position w:val="-1"/>
                <w:szCs w:val="21"/>
              </w:rPr>
              <w:t>保险丝管10A</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center"/>
              <w:rPr>
                <w:rFonts w:hint="eastAsia" w:ascii="宋体" w:hAnsi="宋体" w:cs="宋体"/>
                <w:kern w:val="0"/>
                <w:szCs w:val="21"/>
              </w:rPr>
            </w:pPr>
            <w:r>
              <w:rPr>
                <w:rFonts w:hint="eastAsia" w:ascii="宋体" w:hAnsi="宋体" w:cs="宋体"/>
                <w:kern w:val="0"/>
                <w:position w:val="-1"/>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94"/>
              <w:ind w:left="331" w:right="313"/>
              <w:jc w:val="center"/>
              <w:rPr>
                <w:rFonts w:hint="eastAsia" w:ascii="宋体" w:hAnsi="宋体" w:cs="宋体"/>
                <w:kern w:val="0"/>
                <w:szCs w:val="21"/>
              </w:rPr>
            </w:pPr>
            <w:r>
              <w:rPr>
                <w:rFonts w:hint="eastAsia" w:ascii="宋体" w:hAnsi="宋体" w:cs="宋体"/>
                <w:kern w:val="0"/>
                <w:szCs w:val="21"/>
              </w:rPr>
              <w:t>20</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ind w:left="717" w:right="697"/>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3</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3" w:lineRule="exact"/>
              <w:ind w:left="100" w:right="-20"/>
              <w:jc w:val="left"/>
              <w:rPr>
                <w:rFonts w:hint="eastAsia" w:ascii="宋体" w:hAnsi="宋体" w:cs="宋体"/>
                <w:kern w:val="0"/>
                <w:szCs w:val="21"/>
              </w:rPr>
            </w:pPr>
            <w:r>
              <w:rPr>
                <w:rFonts w:hint="eastAsia" w:ascii="宋体" w:hAnsi="宋体" w:cs="宋体"/>
                <w:kern w:val="0"/>
                <w:szCs w:val="21"/>
              </w:rPr>
              <w:t>接近开关</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48"/>
              <w:ind w:left="102" w:right="-20"/>
              <w:jc w:val="center"/>
              <w:rPr>
                <w:rFonts w:hint="eastAsia" w:ascii="宋体" w:hAnsi="宋体" w:cs="宋体"/>
                <w:kern w:val="0"/>
                <w:szCs w:val="21"/>
              </w:rPr>
            </w:pPr>
            <w:r>
              <w:rPr>
                <w:rFonts w:hint="eastAsia" w:ascii="宋体" w:hAnsi="宋体" w:cs="宋体"/>
                <w:kern w:val="0"/>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ind w:left="379" w:right="361"/>
              <w:jc w:val="center"/>
              <w:rPr>
                <w:rFonts w:hint="eastAsia" w:ascii="宋体" w:hAnsi="宋体" w:cs="宋体"/>
                <w:kern w:val="0"/>
                <w:szCs w:val="21"/>
              </w:rPr>
            </w:pPr>
            <w:r>
              <w:rPr>
                <w:rFonts w:hint="eastAsia" w:ascii="宋体" w:hAnsi="宋体" w:cs="宋体"/>
                <w:kern w:val="0"/>
                <w:szCs w:val="21"/>
              </w:rPr>
              <w:t>2</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4</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0" w:right="-20"/>
              <w:jc w:val="left"/>
              <w:rPr>
                <w:rFonts w:hint="eastAsia" w:ascii="宋体" w:hAnsi="宋体" w:cs="宋体"/>
                <w:kern w:val="0"/>
                <w:szCs w:val="21"/>
              </w:rPr>
            </w:pPr>
            <w:r>
              <w:rPr>
                <w:rFonts w:hint="eastAsia" w:ascii="宋体" w:hAnsi="宋体" w:cs="宋体"/>
                <w:kern w:val="0"/>
                <w:szCs w:val="21"/>
              </w:rPr>
              <w:t>继电器</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2" w:right="-20"/>
              <w:jc w:val="center"/>
              <w:rPr>
                <w:rFonts w:hint="eastAsia" w:ascii="宋体" w:hAnsi="宋体" w:cs="宋体"/>
                <w:kern w:val="0"/>
                <w:szCs w:val="21"/>
              </w:rPr>
            </w:pPr>
            <w:r>
              <w:rPr>
                <w:rFonts w:hint="eastAsia" w:ascii="宋体" w:hAnsi="宋体" w:cs="宋体"/>
                <w:kern w:val="0"/>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94"/>
              <w:ind w:left="391" w:right="373"/>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777" w:right="757"/>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5</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0" w:right="-20"/>
              <w:jc w:val="left"/>
              <w:rPr>
                <w:rFonts w:hint="eastAsia" w:ascii="宋体" w:hAnsi="宋体" w:cs="宋体"/>
                <w:kern w:val="0"/>
                <w:szCs w:val="21"/>
              </w:rPr>
            </w:pPr>
            <w:r>
              <w:rPr>
                <w:rFonts w:hint="eastAsia" w:ascii="宋体" w:hAnsi="宋体" w:cs="宋体"/>
                <w:kern w:val="0"/>
                <w:position w:val="-1"/>
                <w:szCs w:val="21"/>
              </w:rPr>
              <w:t>灯泡</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102" w:right="-20"/>
              <w:jc w:val="center"/>
              <w:rPr>
                <w:rFonts w:hint="eastAsia" w:ascii="宋体" w:hAnsi="宋体" w:cs="宋体"/>
                <w:kern w:val="0"/>
                <w:szCs w:val="21"/>
              </w:rPr>
            </w:pPr>
            <w:r>
              <w:rPr>
                <w:rFonts w:hint="eastAsia" w:ascii="宋体" w:hAnsi="宋体" w:cs="宋体"/>
                <w:kern w:val="0"/>
                <w:position w:val="-1"/>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94"/>
              <w:ind w:left="391" w:right="373"/>
              <w:jc w:val="center"/>
              <w:rPr>
                <w:rFonts w:hint="eastAsia" w:ascii="宋体" w:hAnsi="宋体" w:cs="宋体"/>
                <w:kern w:val="0"/>
                <w:szCs w:val="21"/>
              </w:rPr>
            </w:pPr>
            <w:r>
              <w:rPr>
                <w:rFonts w:hint="eastAsia" w:ascii="宋体" w:hAnsi="宋体" w:cs="宋体"/>
                <w:kern w:val="0"/>
                <w:szCs w:val="21"/>
              </w:rPr>
              <w:t>3</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7" w:lineRule="exact"/>
              <w:ind w:left="777" w:right="757"/>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6</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0" w:right="-20"/>
              <w:jc w:val="left"/>
              <w:rPr>
                <w:rFonts w:hint="eastAsia" w:ascii="宋体" w:hAnsi="宋体" w:cs="宋体"/>
                <w:kern w:val="0"/>
                <w:szCs w:val="21"/>
              </w:rPr>
            </w:pPr>
            <w:r>
              <w:rPr>
                <w:rFonts w:hint="eastAsia" w:ascii="宋体" w:hAnsi="宋体" w:cs="宋体"/>
                <w:kern w:val="0"/>
                <w:szCs w:val="21"/>
              </w:rPr>
              <w:t>箱灯</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3" w:lineRule="exact"/>
              <w:ind w:left="102" w:right="-20"/>
              <w:jc w:val="center"/>
              <w:rPr>
                <w:rFonts w:hint="eastAsia" w:ascii="宋体" w:hAnsi="宋体" w:cs="宋体"/>
                <w:kern w:val="0"/>
                <w:szCs w:val="21"/>
              </w:rPr>
            </w:pPr>
            <w:r>
              <w:rPr>
                <w:rFonts w:hint="eastAsia" w:ascii="宋体" w:hAnsi="宋体" w:cs="宋体"/>
                <w:kern w:val="0"/>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391" w:right="373"/>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7</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0" w:right="-20"/>
              <w:jc w:val="left"/>
              <w:rPr>
                <w:rFonts w:hint="eastAsia" w:ascii="宋体" w:hAnsi="宋体" w:cs="宋体"/>
                <w:kern w:val="0"/>
                <w:szCs w:val="21"/>
              </w:rPr>
            </w:pPr>
            <w:r>
              <w:rPr>
                <w:rFonts w:hint="eastAsia" w:ascii="宋体" w:hAnsi="宋体" w:cs="宋体"/>
                <w:kern w:val="0"/>
                <w:szCs w:val="21"/>
              </w:rPr>
              <w:t>蜂鸣器</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3" w:lineRule="exact"/>
              <w:ind w:left="102" w:right="-20"/>
              <w:jc w:val="center"/>
              <w:rPr>
                <w:rFonts w:hint="eastAsia" w:ascii="宋体" w:hAnsi="宋体" w:cs="宋体"/>
                <w:kern w:val="0"/>
                <w:szCs w:val="21"/>
              </w:rPr>
            </w:pPr>
            <w:r>
              <w:rPr>
                <w:rFonts w:hint="eastAsia" w:ascii="宋体" w:hAnsi="宋体" w:cs="宋体"/>
                <w:kern w:val="0"/>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391" w:right="373"/>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8</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0" w:right="-20"/>
              <w:jc w:val="left"/>
              <w:rPr>
                <w:rFonts w:hint="eastAsia" w:ascii="宋体" w:hAnsi="宋体" w:cs="宋体"/>
                <w:kern w:val="0"/>
                <w:szCs w:val="21"/>
              </w:rPr>
            </w:pPr>
            <w:r>
              <w:rPr>
                <w:rFonts w:hint="eastAsia" w:ascii="宋体" w:hAnsi="宋体" w:cs="宋体"/>
                <w:kern w:val="0"/>
                <w:szCs w:val="21"/>
              </w:rPr>
              <w:t>开关元件</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center"/>
              <w:rPr>
                <w:rFonts w:hint="eastAsia" w:ascii="宋体" w:hAnsi="宋体" w:cs="宋体"/>
                <w:kern w:val="0"/>
                <w:szCs w:val="21"/>
              </w:rPr>
            </w:pPr>
            <w:r>
              <w:rPr>
                <w:rFonts w:hint="eastAsia" w:ascii="宋体" w:hAnsi="宋体" w:cs="宋体"/>
                <w:kern w:val="0"/>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391" w:right="373"/>
              <w:jc w:val="center"/>
              <w:rPr>
                <w:rFonts w:hint="eastAsia" w:ascii="宋体" w:hAnsi="宋体" w:cs="宋体"/>
                <w:kern w:val="0"/>
                <w:szCs w:val="21"/>
              </w:rPr>
            </w:pPr>
            <w:r>
              <w:rPr>
                <w:rFonts w:hint="eastAsia" w:ascii="宋体" w:hAnsi="宋体" w:cs="宋体"/>
                <w:kern w:val="0"/>
                <w:szCs w:val="21"/>
              </w:rPr>
              <w:t>3</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9</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0" w:right="-20"/>
              <w:jc w:val="left"/>
              <w:rPr>
                <w:rFonts w:hint="eastAsia" w:ascii="宋体" w:hAnsi="宋体" w:cs="宋体"/>
                <w:kern w:val="0"/>
                <w:szCs w:val="21"/>
              </w:rPr>
            </w:pPr>
            <w:r>
              <w:rPr>
                <w:rFonts w:hint="eastAsia" w:ascii="宋体" w:hAnsi="宋体" w:cs="宋体"/>
                <w:kern w:val="0"/>
                <w:szCs w:val="21"/>
              </w:rPr>
              <w:t>开关元件</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center"/>
              <w:rPr>
                <w:rFonts w:hint="eastAsia" w:ascii="宋体" w:hAnsi="宋体" w:cs="宋体"/>
                <w:kern w:val="0"/>
                <w:szCs w:val="21"/>
              </w:rPr>
            </w:pPr>
            <w:r>
              <w:rPr>
                <w:rFonts w:hint="eastAsia" w:ascii="宋体" w:hAnsi="宋体" w:cs="宋体"/>
                <w:kern w:val="0"/>
                <w:szCs w:val="21"/>
              </w:rPr>
              <w:t>个</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391" w:right="373"/>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29" w:right="-20"/>
              <w:rPr>
                <w:rFonts w:hint="eastAsia" w:ascii="宋体" w:hAnsi="宋体" w:cs="宋体"/>
                <w:kern w:val="0"/>
                <w:szCs w:val="21"/>
              </w:rPr>
            </w:pPr>
            <w:r>
              <w:rPr>
                <w:rFonts w:hint="eastAsia" w:ascii="宋体" w:hAnsi="宋体" w:cs="宋体"/>
                <w:kern w:val="0"/>
                <w:szCs w:val="21"/>
              </w:rPr>
              <w:t>10</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left"/>
              <w:rPr>
                <w:rFonts w:hint="eastAsia" w:ascii="宋体" w:hAnsi="宋体" w:cs="宋体"/>
                <w:kern w:val="0"/>
                <w:szCs w:val="21"/>
              </w:rPr>
            </w:pPr>
            <w:r>
              <w:rPr>
                <w:rFonts w:hint="eastAsia" w:ascii="宋体" w:hAnsi="宋体" w:cs="宋体"/>
                <w:kern w:val="0"/>
                <w:position w:val="-1"/>
                <w:szCs w:val="21"/>
              </w:rPr>
              <w:t>开口扳手8～32</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222" w:right="-20"/>
              <w:jc w:val="center"/>
              <w:rPr>
                <w:rFonts w:hint="eastAsia" w:ascii="宋体" w:hAnsi="宋体" w:cs="宋体"/>
                <w:kern w:val="0"/>
                <w:szCs w:val="21"/>
              </w:rPr>
            </w:pPr>
            <w:r>
              <w:rPr>
                <w:rFonts w:hint="eastAsia" w:ascii="宋体" w:hAnsi="宋体" w:cs="宋体"/>
                <w:kern w:val="0"/>
                <w:position w:val="-1"/>
                <w:szCs w:val="21"/>
              </w:rPr>
              <w:t>套</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29" w:right="-20"/>
              <w:rPr>
                <w:rFonts w:hint="eastAsia" w:ascii="宋体" w:hAnsi="宋体" w:cs="宋体"/>
                <w:kern w:val="0"/>
                <w:szCs w:val="21"/>
              </w:rPr>
            </w:pPr>
            <w:r>
              <w:rPr>
                <w:rFonts w:hint="eastAsia" w:ascii="宋体" w:hAnsi="宋体" w:cs="宋体"/>
                <w:kern w:val="0"/>
                <w:szCs w:val="21"/>
              </w:rPr>
              <w:t>11</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left"/>
              <w:rPr>
                <w:rFonts w:hint="eastAsia" w:ascii="宋体" w:hAnsi="宋体" w:cs="宋体"/>
                <w:kern w:val="0"/>
                <w:szCs w:val="21"/>
              </w:rPr>
            </w:pPr>
            <w:r>
              <w:rPr>
                <w:rFonts w:hint="eastAsia" w:ascii="宋体" w:hAnsi="宋体" w:cs="宋体"/>
                <w:kern w:val="0"/>
                <w:position w:val="-1"/>
                <w:szCs w:val="21"/>
              </w:rPr>
              <w:t>活动扳手150</w:t>
            </w:r>
            <w:r>
              <w:rPr>
                <w:rFonts w:hint="eastAsia" w:ascii="宋体" w:hAnsi="宋体" w:cs="宋体"/>
                <w:w w:val="107"/>
                <w:kern w:val="0"/>
                <w:position w:val="-1"/>
                <w:szCs w:val="21"/>
              </w:rPr>
              <w:t>×</w:t>
            </w:r>
            <w:r>
              <w:rPr>
                <w:rFonts w:hint="eastAsia" w:ascii="宋体" w:hAnsi="宋体" w:cs="宋体"/>
                <w:kern w:val="0"/>
                <w:position w:val="-1"/>
                <w:szCs w:val="21"/>
              </w:rPr>
              <w:t>18</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222" w:right="-20"/>
              <w:jc w:val="center"/>
              <w:rPr>
                <w:rFonts w:hint="eastAsia" w:ascii="宋体" w:hAnsi="宋体" w:cs="宋体"/>
                <w:kern w:val="0"/>
                <w:szCs w:val="21"/>
              </w:rPr>
            </w:pPr>
            <w:r>
              <w:rPr>
                <w:rFonts w:hint="eastAsia" w:ascii="宋体" w:hAnsi="宋体" w:cs="宋体"/>
                <w:kern w:val="0"/>
                <w:position w:val="-1"/>
                <w:szCs w:val="21"/>
              </w:rPr>
              <w:t>件</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29" w:right="-20"/>
              <w:rPr>
                <w:rFonts w:hint="eastAsia" w:ascii="宋体" w:hAnsi="宋体" w:cs="宋体"/>
                <w:kern w:val="0"/>
                <w:szCs w:val="21"/>
              </w:rPr>
            </w:pPr>
            <w:r>
              <w:rPr>
                <w:rFonts w:hint="eastAsia" w:ascii="宋体" w:hAnsi="宋体" w:cs="宋体"/>
                <w:kern w:val="0"/>
                <w:szCs w:val="21"/>
              </w:rPr>
              <w:t>12</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3" w:lineRule="exact"/>
              <w:ind w:left="102" w:right="-20"/>
              <w:jc w:val="left"/>
              <w:rPr>
                <w:rFonts w:hint="eastAsia" w:ascii="宋体" w:hAnsi="宋体" w:cs="宋体"/>
                <w:kern w:val="0"/>
                <w:szCs w:val="21"/>
              </w:rPr>
            </w:pPr>
            <w:r>
              <w:rPr>
                <w:rFonts w:hint="eastAsia" w:ascii="宋体" w:hAnsi="宋体" w:cs="宋体"/>
                <w:kern w:val="0"/>
                <w:position w:val="-1"/>
                <w:szCs w:val="21"/>
              </w:rPr>
              <w:t>活动扳手</w:t>
            </w:r>
            <w:r>
              <w:rPr>
                <w:rFonts w:hint="eastAsia" w:ascii="宋体" w:hAnsi="宋体" w:cs="宋体"/>
                <w:w w:val="81"/>
                <w:kern w:val="0"/>
                <w:position w:val="-1"/>
                <w:szCs w:val="21"/>
              </w:rPr>
              <w:t>300mm</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222" w:right="-20"/>
              <w:jc w:val="center"/>
              <w:rPr>
                <w:rFonts w:hint="eastAsia" w:ascii="宋体" w:hAnsi="宋体" w:cs="宋体"/>
                <w:kern w:val="0"/>
                <w:szCs w:val="21"/>
              </w:rPr>
            </w:pPr>
            <w:r>
              <w:rPr>
                <w:rFonts w:hint="eastAsia" w:ascii="宋体" w:hAnsi="宋体" w:cs="宋体"/>
                <w:kern w:val="0"/>
                <w:position w:val="-1"/>
                <w:szCs w:val="21"/>
              </w:rPr>
              <w:t>件</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157" w:right="-20"/>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ind w:left="229" w:right="-20"/>
              <w:rPr>
                <w:rFonts w:hint="eastAsia" w:ascii="宋体" w:hAnsi="宋体" w:cs="宋体"/>
                <w:kern w:val="0"/>
                <w:szCs w:val="21"/>
              </w:rPr>
            </w:pPr>
            <w:r>
              <w:rPr>
                <w:rFonts w:hint="eastAsia" w:ascii="宋体" w:hAnsi="宋体" w:cs="宋体"/>
                <w:kern w:val="0"/>
                <w:szCs w:val="21"/>
              </w:rPr>
              <w:t>13</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left"/>
              <w:rPr>
                <w:rFonts w:hint="eastAsia" w:ascii="宋体" w:hAnsi="宋体" w:cs="宋体"/>
                <w:kern w:val="0"/>
                <w:szCs w:val="21"/>
              </w:rPr>
            </w:pPr>
            <w:r>
              <w:rPr>
                <w:rFonts w:hint="eastAsia" w:ascii="宋体" w:hAnsi="宋体" w:cs="宋体"/>
                <w:kern w:val="0"/>
                <w:position w:val="-1"/>
                <w:szCs w:val="21"/>
              </w:rPr>
              <w:t>一字螺丝刀100</w:t>
            </w:r>
            <w:r>
              <w:rPr>
                <w:rFonts w:hint="eastAsia" w:ascii="宋体" w:hAnsi="宋体" w:cs="宋体"/>
                <w:w w:val="107"/>
                <w:kern w:val="0"/>
                <w:position w:val="-1"/>
                <w:szCs w:val="21"/>
              </w:rPr>
              <w:t>×</w:t>
            </w:r>
            <w:r>
              <w:rPr>
                <w:rFonts w:hint="eastAsia" w:ascii="宋体" w:hAnsi="宋体" w:cs="宋体"/>
                <w:kern w:val="0"/>
                <w:position w:val="-1"/>
                <w:szCs w:val="21"/>
              </w:rPr>
              <w:t>6</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222" w:right="-20"/>
              <w:jc w:val="center"/>
              <w:rPr>
                <w:rFonts w:hint="eastAsia" w:ascii="宋体" w:hAnsi="宋体" w:cs="宋体"/>
                <w:kern w:val="0"/>
                <w:szCs w:val="21"/>
              </w:rPr>
            </w:pPr>
            <w:r>
              <w:rPr>
                <w:rFonts w:hint="eastAsia" w:ascii="宋体" w:hAnsi="宋体" w:cs="宋体"/>
                <w:kern w:val="0"/>
                <w:position w:val="-1"/>
                <w:szCs w:val="21"/>
              </w:rPr>
              <w:t>件</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ind w:left="88" w:right="71"/>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ind w:left="229" w:right="-20"/>
              <w:rPr>
                <w:rFonts w:hint="eastAsia" w:ascii="宋体" w:hAnsi="宋体" w:cs="宋体"/>
                <w:kern w:val="0"/>
                <w:szCs w:val="21"/>
              </w:rPr>
            </w:pPr>
            <w:r>
              <w:rPr>
                <w:rFonts w:hint="eastAsia" w:ascii="宋体" w:hAnsi="宋体" w:cs="宋体"/>
                <w:kern w:val="0"/>
                <w:szCs w:val="21"/>
              </w:rPr>
              <w:t>14</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102" w:right="-20"/>
              <w:jc w:val="left"/>
              <w:rPr>
                <w:rFonts w:hint="eastAsia" w:ascii="宋体" w:hAnsi="宋体" w:cs="宋体"/>
                <w:kern w:val="0"/>
                <w:szCs w:val="21"/>
              </w:rPr>
            </w:pPr>
            <w:r>
              <w:rPr>
                <w:rFonts w:hint="eastAsia" w:ascii="宋体" w:hAnsi="宋体" w:cs="宋体"/>
                <w:kern w:val="0"/>
                <w:position w:val="-1"/>
                <w:szCs w:val="21"/>
              </w:rPr>
              <w:t>螺丝刀11003B</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222" w:right="-20"/>
              <w:jc w:val="center"/>
              <w:rPr>
                <w:rFonts w:hint="eastAsia" w:ascii="宋体" w:hAnsi="宋体" w:cs="宋体"/>
                <w:kern w:val="0"/>
                <w:szCs w:val="21"/>
              </w:rPr>
            </w:pPr>
            <w:r>
              <w:rPr>
                <w:rFonts w:hint="eastAsia" w:ascii="宋体" w:hAnsi="宋体" w:cs="宋体"/>
                <w:kern w:val="0"/>
                <w:position w:val="-1"/>
                <w:szCs w:val="21"/>
              </w:rPr>
              <w:t>件</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2" w:lineRule="exact"/>
              <w:ind w:left="88" w:right="71"/>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23" w:hRule="atLeast"/>
          <w:jc w:val="center"/>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ind w:left="229" w:right="-20"/>
              <w:rPr>
                <w:rFonts w:hint="eastAsia" w:ascii="宋体" w:hAnsi="宋体" w:cs="宋体"/>
                <w:kern w:val="0"/>
                <w:szCs w:val="21"/>
              </w:rPr>
            </w:pPr>
            <w:r>
              <w:rPr>
                <w:rFonts w:hint="eastAsia" w:ascii="宋体" w:hAnsi="宋体" w:cs="宋体"/>
                <w:kern w:val="0"/>
                <w:szCs w:val="21"/>
              </w:rPr>
              <w:t>15</w:t>
            </w:r>
          </w:p>
        </w:tc>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3" w:lineRule="exact"/>
              <w:ind w:left="102" w:right="-20"/>
              <w:jc w:val="left"/>
              <w:rPr>
                <w:rFonts w:hint="eastAsia" w:ascii="宋体" w:hAnsi="宋体" w:cs="宋体"/>
                <w:kern w:val="0"/>
                <w:szCs w:val="21"/>
              </w:rPr>
            </w:pPr>
            <w:r>
              <w:rPr>
                <w:rFonts w:hint="eastAsia" w:ascii="宋体" w:hAnsi="宋体" w:cs="宋体"/>
                <w:kern w:val="0"/>
                <w:position w:val="-1"/>
                <w:szCs w:val="21"/>
              </w:rPr>
              <w:t>螺丝刀32003B</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5" w:lineRule="exact"/>
              <w:ind w:left="222" w:right="-20"/>
              <w:jc w:val="center"/>
              <w:rPr>
                <w:rFonts w:hint="eastAsia" w:ascii="宋体" w:hAnsi="宋体" w:cs="宋体"/>
                <w:kern w:val="0"/>
                <w:szCs w:val="21"/>
              </w:rPr>
            </w:pPr>
            <w:r>
              <w:rPr>
                <w:rFonts w:hint="eastAsia" w:ascii="宋体" w:hAnsi="宋体" w:cs="宋体"/>
                <w:kern w:val="0"/>
                <w:position w:val="-1"/>
                <w:szCs w:val="21"/>
              </w:rPr>
              <w:t>件</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58"/>
              <w:ind w:left="251" w:right="231"/>
              <w:jc w:val="center"/>
              <w:rPr>
                <w:rFonts w:hint="eastAsia" w:ascii="宋体" w:hAnsi="宋体" w:cs="宋体"/>
                <w:kern w:val="0"/>
                <w:szCs w:val="21"/>
              </w:rPr>
            </w:pPr>
            <w:r>
              <w:rPr>
                <w:rFonts w:hint="eastAsia" w:ascii="宋体" w:hAnsi="宋体" w:cs="宋体"/>
                <w:kern w:val="0"/>
                <w:szCs w:val="21"/>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0"/>
                <w:szCs w:val="21"/>
              </w:rPr>
            </w:pPr>
          </w:p>
        </w:tc>
      </w:tr>
    </w:tbl>
    <w:p>
      <w:pPr>
        <w:tabs>
          <w:tab w:val="left" w:pos="1469"/>
        </w:tabs>
        <w:jc w:val="left"/>
        <w:rPr>
          <w:rFonts w:ascii="宋体" w:hAnsi="宋体" w:cs="宋体"/>
          <w:b/>
          <w:sz w:val="28"/>
          <w:szCs w:val="28"/>
        </w:rPr>
      </w:pPr>
    </w:p>
    <w:p>
      <w:pPr>
        <w:keepNext/>
        <w:keepLines/>
        <w:spacing w:before="260" w:after="260" w:line="413" w:lineRule="auto"/>
        <w:outlineLvl w:val="1"/>
        <w:rPr>
          <w:rFonts w:hint="eastAsia" w:ascii="宋体" w:hAnsi="宋体"/>
          <w:b/>
          <w:bCs/>
          <w:sz w:val="32"/>
          <w:szCs w:val="32"/>
        </w:rPr>
      </w:pPr>
      <w:r>
        <w:rPr>
          <w:rFonts w:ascii="Arial" w:hAnsi="Arial" w:eastAsia="黑体"/>
          <w:b/>
          <w:bCs/>
          <w:sz w:val="32"/>
          <w:szCs w:val="32"/>
        </w:rPr>
        <w:br w:type="page"/>
      </w:r>
      <w:r>
        <w:rPr>
          <w:rFonts w:hint="eastAsia" w:ascii="宋体" w:hAnsi="宋体" w:cs="宋体"/>
          <w:b/>
          <w:bCs/>
          <w:sz w:val="28"/>
          <w:szCs w:val="28"/>
        </w:rPr>
        <w:t>消防装备项目（C、D、E包）相关要求</w:t>
      </w:r>
    </w:p>
    <w:p>
      <w:pPr>
        <w:spacing w:line="274" w:lineRule="exact"/>
        <w:ind w:left="520"/>
        <w:rPr>
          <w:rFonts w:ascii="Times New Roman" w:hAnsi="Times New Roman"/>
          <w:color w:val="000000"/>
          <w:sz w:val="20"/>
          <w:szCs w:val="20"/>
        </w:rPr>
      </w:pPr>
      <w:r>
        <w:rPr>
          <w:rFonts w:hint="eastAsia" w:ascii="宋体" w:hAnsi="宋体" w:cs="宋体"/>
          <w:color w:val="000000"/>
          <w:sz w:val="24"/>
          <w:szCs w:val="24"/>
        </w:rPr>
        <w:t>1、</w:t>
      </w:r>
      <w:r>
        <w:rPr>
          <w:rFonts w:ascii="宋体" w:hAnsi="宋体" w:cs="宋体"/>
          <w:color w:val="000000"/>
          <w:sz w:val="24"/>
          <w:szCs w:val="24"/>
        </w:rPr>
        <w:t>交货期：自签订合同之日</w:t>
      </w:r>
      <w:r>
        <w:rPr>
          <w:rFonts w:ascii="宋体" w:hAnsi="宋体" w:cs="宋体"/>
          <w:sz w:val="24"/>
          <w:szCs w:val="24"/>
        </w:rPr>
        <w:t>起</w:t>
      </w:r>
      <w:r>
        <w:rPr>
          <w:rFonts w:hint="eastAsia" w:ascii="宋体" w:hAnsi="宋体" w:cs="宋体"/>
          <w:sz w:val="24"/>
          <w:szCs w:val="24"/>
        </w:rPr>
        <w:t>120</w:t>
      </w:r>
      <w:r>
        <w:rPr>
          <w:rFonts w:ascii="宋体" w:hAnsi="宋体" w:cs="宋体"/>
          <w:sz w:val="24"/>
          <w:szCs w:val="24"/>
        </w:rPr>
        <w:t>天</w:t>
      </w:r>
      <w:r>
        <w:rPr>
          <w:rFonts w:ascii="宋体" w:hAnsi="宋体" w:cs="宋体"/>
          <w:color w:val="000000"/>
          <w:sz w:val="24"/>
          <w:szCs w:val="24"/>
        </w:rPr>
        <w:t>内。交付地点为：甲方指定地点。</w:t>
      </w:r>
    </w:p>
    <w:p>
      <w:pPr>
        <w:widowControl/>
        <w:spacing w:line="360" w:lineRule="auto"/>
        <w:ind w:firstLine="480" w:firstLineChars="200"/>
        <w:rPr>
          <w:rFonts w:ascii="Times New Roman" w:hAnsi="Times New Roman"/>
          <w:color w:val="000000"/>
          <w:sz w:val="20"/>
          <w:szCs w:val="20"/>
        </w:rPr>
      </w:pPr>
      <w:r>
        <w:rPr>
          <w:rFonts w:hint="eastAsia" w:ascii="宋体" w:hAnsi="宋体" w:cs="宋体"/>
          <w:color w:val="000000"/>
          <w:kern w:val="0"/>
          <w:sz w:val="24"/>
          <w:szCs w:val="24"/>
        </w:rPr>
        <w:t>2、供应商必须提供详细的保修期内技术支持和服务方案，技术支持和服务方案包括（但不限于）：</w:t>
      </w:r>
    </w:p>
    <w:p>
      <w:pPr>
        <w:widowControl/>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（1）每产品问题 2 小时内响应，48 小时内上门服务，并在 2 天内修复，否则，必须提供备用装备器材。产品质保期不少于 2年，保修期不得少于3年，终身维修。质保期内定期回访，每年不少于 2 次，免费提供技术培训，并提供采购人要求的所有培训资料，所有装备超过保修期后，三年内维修只收取零部件成本费。</w:t>
      </w:r>
    </w:p>
    <w:p>
      <w:pPr>
        <w:spacing w:line="360" w:lineRule="auto"/>
        <w:ind w:firstLine="480" w:firstLineChars="200"/>
        <w:rPr>
          <w:rFonts w:ascii="宋体" w:hAns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2</w:t>
      </w:r>
      <w:r>
        <w:rPr>
          <w:rFonts w:ascii="宋体" w:hAnsi="宋体" w:cs="宋体"/>
          <w:color w:val="000000"/>
          <w:kern w:val="0"/>
          <w:sz w:val="24"/>
          <w:szCs w:val="24"/>
        </w:rPr>
        <w:t>）提供区域维修服务网络和技术保障能力情况，对售后服务进行承诺</w:t>
      </w:r>
      <w:r>
        <w:rPr>
          <w:rFonts w:hint="eastAsia" w:ascii="宋体" w:hAnsi="宋体" w:cs="宋体"/>
          <w:color w:val="000000"/>
          <w:kern w:val="0"/>
          <w:sz w:val="24"/>
          <w:szCs w:val="24"/>
        </w:rPr>
        <w:t>；提供全寿命周期的主要耗损件、易损件及更换总成的目录和年度价格清单，并承诺保证供应且价格合理。</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（3）在质保期内，同一产品、同一质量问题，连续两次维修仍无法正常使用，中标人必须予以更换同品牌、同型号全新装备器材或者性能更加高级的替代产品，用户不再支付额外任何费用。</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kern w:val="0"/>
          <w:sz w:val="24"/>
          <w:szCs w:val="24"/>
        </w:rPr>
        <w:t>供应商不能低于成本价恶意报价，如供应商的报价过低，明显不符合市场价格，则采购人有权要求中标人提供中标金额的10%作为履约保证金。</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4、每件产品必须提供至少一份纸质中文使用说明书和电子文档说明书。</w:t>
      </w:r>
    </w:p>
    <w:p>
      <w:pPr>
        <w:widowControl/>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5、供应商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pPr>
        <w:widowControl/>
        <w:spacing w:line="360" w:lineRule="auto"/>
        <w:ind w:firstLine="482" w:firstLineChars="200"/>
        <w:rPr>
          <w:rFonts w:hint="eastAsia" w:ascii="宋体" w:hAnsi="宋体" w:cs="宋体"/>
          <w:b/>
          <w:bCs/>
          <w:color w:val="000000"/>
          <w:kern w:val="0"/>
          <w:sz w:val="24"/>
          <w:szCs w:val="24"/>
        </w:rPr>
      </w:pPr>
      <w:r>
        <w:rPr>
          <w:rFonts w:hint="eastAsia" w:ascii="宋体" w:hAnsi="宋体" w:cs="宋体"/>
          <w:b/>
          <w:bCs/>
          <w:color w:val="000000"/>
          <w:kern w:val="0"/>
          <w:sz w:val="24"/>
          <w:szCs w:val="24"/>
        </w:rPr>
        <w:t>6、C、D包如是进口产品须提供生产厂家或国内总代理的授权书。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PDGDAK+TimesNew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256BA"/>
    <w:rsid w:val="17166D12"/>
    <w:rsid w:val="2D125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2019-03-14T03:41:00Z</dcterms:created>
  <dc:creator>许许如颜</dc:creator>
  <cp:lastModifiedBy>许许如颜</cp:lastModifiedBy>
  <dcterms:modified xsi:type="dcterms:W3CDTF">2019-03-14T03:44:41Z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