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numPr>
          <w:ilvl w:val="0"/>
          <w:numId w:val="1"/>
        </w:numPr>
        <w:spacing w:line="240" w:lineRule="auto"/>
        <w:rPr>
          <w:rFonts w:hint="eastAsia" w:hAnsi="宋体"/>
          <w:color w:val="000000"/>
          <w:sz w:val="44"/>
          <w:szCs w:val="44"/>
        </w:rPr>
      </w:pPr>
      <w:r>
        <w:rPr>
          <w:rFonts w:hint="eastAsia" w:hAnsi="宋体"/>
          <w:color w:val="000000"/>
          <w:sz w:val="44"/>
          <w:szCs w:val="44"/>
        </w:rPr>
        <w:t>用户需求书</w:t>
      </w:r>
    </w:p>
    <w:p>
      <w:pPr>
        <w:rPr>
          <w:rFonts w:hint="eastAsia"/>
          <w:color w:val="000000"/>
        </w:rPr>
      </w:pPr>
    </w:p>
    <w:p>
      <w:pPr>
        <w:pStyle w:val="5"/>
        <w:snapToGrid w:val="0"/>
        <w:spacing w:before="0" w:after="0"/>
        <w:rPr>
          <w:rFonts w:ascii="宋体" w:hAnsi="宋体" w:eastAsia="宋体"/>
        </w:rPr>
      </w:pPr>
      <w:bookmarkStart w:id="0" w:name="_Toc439166307"/>
      <w:r>
        <w:rPr>
          <w:rFonts w:hint="eastAsia" w:ascii="宋体" w:hAnsi="宋体" w:eastAsia="宋体"/>
        </w:rPr>
        <w:t>一、项目</w:t>
      </w:r>
      <w:bookmarkEnd w:id="0"/>
      <w:r>
        <w:rPr>
          <w:rFonts w:hint="eastAsia" w:ascii="宋体" w:hAnsi="宋体" w:eastAsia="宋体"/>
        </w:rPr>
        <w:t>名称</w:t>
      </w:r>
    </w:p>
    <w:p>
      <w:pPr>
        <w:adjustRightInd w:val="0"/>
        <w:snapToGrid w:val="0"/>
        <w:spacing w:line="360" w:lineRule="auto"/>
        <w:ind w:firstLine="480" w:firstLineChars="200"/>
        <w:rPr>
          <w:rFonts w:hAnsi="宋体"/>
          <w:bCs/>
          <w:sz w:val="24"/>
        </w:rPr>
      </w:pPr>
      <w:r>
        <w:rPr>
          <w:rFonts w:hint="eastAsia" w:hAnsi="宋体"/>
          <w:bCs/>
          <w:sz w:val="24"/>
        </w:rPr>
        <w:t>海南省琼山监狱罪犯食堂燃油采购</w:t>
      </w:r>
    </w:p>
    <w:p>
      <w:pPr>
        <w:pStyle w:val="5"/>
        <w:snapToGrid w:val="0"/>
        <w:spacing w:before="0" w:after="0"/>
        <w:rPr>
          <w:rFonts w:ascii="宋体" w:hAnsi="宋体" w:eastAsia="宋体"/>
        </w:rPr>
      </w:pPr>
      <w:r>
        <w:rPr>
          <w:rFonts w:hint="eastAsia" w:ascii="宋体" w:hAnsi="宋体" w:eastAsia="宋体"/>
        </w:rPr>
        <w:t>二、采购清单</w:t>
      </w:r>
    </w:p>
    <w:tbl>
      <w:tblPr>
        <w:tblStyle w:val="7"/>
        <w:tblW w:w="9075" w:type="dxa"/>
        <w:tblInd w:w="-150" w:type="dxa"/>
        <w:tblLayout w:type="fixed"/>
        <w:tblCellMar>
          <w:top w:w="0" w:type="dxa"/>
          <w:left w:w="30" w:type="dxa"/>
          <w:bottom w:w="0" w:type="dxa"/>
          <w:right w:w="30" w:type="dxa"/>
        </w:tblCellMar>
      </w:tblPr>
      <w:tblGrid>
        <w:gridCol w:w="720"/>
        <w:gridCol w:w="1899"/>
        <w:gridCol w:w="2961"/>
        <w:gridCol w:w="1260"/>
        <w:gridCol w:w="720"/>
        <w:gridCol w:w="1515"/>
      </w:tblGrid>
      <w:tr>
        <w:tblPrEx>
          <w:tblLayout w:type="fixed"/>
          <w:tblCellMar>
            <w:top w:w="0" w:type="dxa"/>
            <w:left w:w="30" w:type="dxa"/>
            <w:bottom w:w="0" w:type="dxa"/>
            <w:right w:w="30" w:type="dxa"/>
          </w:tblCellMar>
        </w:tblPrEx>
        <w:trPr>
          <w:trHeight w:val="593"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Ansi="宋体" w:cs="Arial"/>
                <w:b/>
                <w:sz w:val="24"/>
                <w:szCs w:val="24"/>
              </w:rPr>
            </w:pPr>
            <w:r>
              <w:rPr>
                <w:rFonts w:hAnsi="宋体" w:cs="Arial"/>
                <w:b/>
                <w:sz w:val="24"/>
                <w:szCs w:val="24"/>
              </w:rPr>
              <w:t>序号</w:t>
            </w:r>
          </w:p>
        </w:tc>
        <w:tc>
          <w:tcPr>
            <w:tcW w:w="1899" w:type="dxa"/>
            <w:tcBorders>
              <w:top w:val="single" w:color="auto" w:sz="8" w:space="0"/>
              <w:left w:val="single" w:color="auto" w:sz="8" w:space="0"/>
              <w:bottom w:val="single" w:color="auto" w:sz="8" w:space="0"/>
              <w:right w:val="single" w:color="auto" w:sz="4" w:space="0"/>
            </w:tcBorders>
            <w:noWrap w:val="0"/>
            <w:vAlign w:val="center"/>
          </w:tcPr>
          <w:p>
            <w:pPr>
              <w:autoSpaceDE w:val="0"/>
              <w:autoSpaceDN w:val="0"/>
              <w:adjustRightInd w:val="0"/>
              <w:jc w:val="center"/>
              <w:rPr>
                <w:rFonts w:hAnsi="宋体" w:cs="Arial"/>
                <w:b/>
                <w:sz w:val="24"/>
                <w:szCs w:val="24"/>
              </w:rPr>
            </w:pPr>
            <w:r>
              <w:rPr>
                <w:rFonts w:hAnsi="宋体" w:cs="Arial"/>
                <w:b/>
                <w:sz w:val="24"/>
                <w:szCs w:val="24"/>
              </w:rPr>
              <w:t>名称</w:t>
            </w:r>
          </w:p>
        </w:tc>
        <w:tc>
          <w:tcPr>
            <w:tcW w:w="2961"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Ansi="宋体" w:cs="Arial"/>
                <w:b/>
                <w:sz w:val="24"/>
                <w:szCs w:val="24"/>
              </w:rPr>
            </w:pPr>
            <w:r>
              <w:rPr>
                <w:rFonts w:hint="eastAsia" w:hAnsi="宋体" w:cs="Arial"/>
                <w:b/>
                <w:sz w:val="24"/>
                <w:szCs w:val="24"/>
              </w:rPr>
              <w:t>技术参数及要求</w:t>
            </w:r>
          </w:p>
        </w:tc>
        <w:tc>
          <w:tcPr>
            <w:tcW w:w="126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Ansi="宋体" w:cs="Arial"/>
                <w:b/>
                <w:sz w:val="24"/>
                <w:szCs w:val="24"/>
              </w:rPr>
            </w:pPr>
            <w:r>
              <w:rPr>
                <w:rFonts w:hint="eastAsia" w:hAnsi="宋体" w:cs="Arial"/>
                <w:b/>
                <w:sz w:val="24"/>
                <w:szCs w:val="24"/>
              </w:rPr>
              <w:t>数量</w:t>
            </w:r>
          </w:p>
        </w:tc>
        <w:tc>
          <w:tcPr>
            <w:tcW w:w="72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Ansi="宋体" w:cs="Arial"/>
                <w:b/>
                <w:sz w:val="24"/>
                <w:szCs w:val="24"/>
              </w:rPr>
            </w:pPr>
            <w:r>
              <w:rPr>
                <w:rFonts w:hint="eastAsia" w:hAnsi="宋体" w:cs="Arial"/>
                <w:b/>
                <w:sz w:val="24"/>
                <w:szCs w:val="24"/>
              </w:rPr>
              <w:t>单位</w:t>
            </w:r>
          </w:p>
        </w:tc>
        <w:tc>
          <w:tcPr>
            <w:tcW w:w="1515"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Ansi="宋体" w:cs="Arial"/>
                <w:b/>
                <w:sz w:val="24"/>
                <w:szCs w:val="24"/>
              </w:rPr>
            </w:pPr>
            <w:r>
              <w:rPr>
                <w:rFonts w:hint="eastAsia" w:hAnsi="宋体" w:cs="Arial"/>
                <w:b/>
                <w:sz w:val="24"/>
                <w:szCs w:val="24"/>
              </w:rPr>
              <w:t>采购预算</w:t>
            </w:r>
          </w:p>
        </w:tc>
      </w:tr>
      <w:tr>
        <w:tblPrEx>
          <w:tblLayout w:type="fixed"/>
          <w:tblCellMar>
            <w:top w:w="0" w:type="dxa"/>
            <w:left w:w="30" w:type="dxa"/>
            <w:bottom w:w="0" w:type="dxa"/>
            <w:right w:w="30" w:type="dxa"/>
          </w:tblCellMar>
        </w:tblPrEx>
        <w:trPr>
          <w:trHeight w:val="1148" w:hRule="exact"/>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Ansi="宋体" w:cs="Arial"/>
                <w:sz w:val="24"/>
                <w:szCs w:val="24"/>
              </w:rPr>
            </w:pPr>
            <w:r>
              <w:rPr>
                <w:rFonts w:hAnsi="宋体" w:cs="Arial"/>
                <w:sz w:val="24"/>
                <w:szCs w:val="24"/>
              </w:rPr>
              <w:t>1</w:t>
            </w:r>
          </w:p>
        </w:tc>
        <w:tc>
          <w:tcPr>
            <w:tcW w:w="1899" w:type="dxa"/>
            <w:tcBorders>
              <w:top w:val="single" w:color="auto" w:sz="8" w:space="0"/>
              <w:left w:val="single" w:color="auto" w:sz="8" w:space="0"/>
              <w:bottom w:val="single" w:color="auto" w:sz="8" w:space="0"/>
              <w:right w:val="single" w:color="auto" w:sz="4" w:space="0"/>
            </w:tcBorders>
            <w:noWrap w:val="0"/>
            <w:vAlign w:val="center"/>
          </w:tcPr>
          <w:p>
            <w:pPr>
              <w:adjustRightInd w:val="0"/>
              <w:snapToGrid w:val="0"/>
              <w:spacing w:line="360" w:lineRule="auto"/>
              <w:rPr>
                <w:rFonts w:hAnsi="宋体"/>
                <w:bCs/>
                <w:sz w:val="24"/>
                <w:szCs w:val="24"/>
              </w:rPr>
            </w:pPr>
            <w:r>
              <w:rPr>
                <w:rFonts w:hint="eastAsia" w:hAnsi="宋体"/>
                <w:bCs/>
                <w:sz w:val="24"/>
                <w:szCs w:val="24"/>
              </w:rPr>
              <w:t>醇化油（燃油）</w:t>
            </w:r>
          </w:p>
        </w:tc>
        <w:tc>
          <w:tcPr>
            <w:tcW w:w="2961" w:type="dxa"/>
            <w:tcBorders>
              <w:top w:val="single" w:color="auto" w:sz="8" w:space="0"/>
              <w:left w:val="single" w:color="auto" w:sz="4" w:space="0"/>
              <w:bottom w:val="single" w:color="auto" w:sz="8" w:space="0"/>
              <w:right w:val="single" w:color="auto" w:sz="8" w:space="0"/>
            </w:tcBorders>
            <w:noWrap w:val="0"/>
            <w:vAlign w:val="center"/>
          </w:tcPr>
          <w:p>
            <w:pPr>
              <w:widowControl/>
              <w:spacing w:line="300" w:lineRule="auto"/>
              <w:jc w:val="left"/>
              <w:rPr>
                <w:rFonts w:hAnsi="宋体" w:cs="宋体"/>
                <w:sz w:val="24"/>
                <w:szCs w:val="24"/>
              </w:rPr>
            </w:pPr>
            <w:r>
              <w:rPr>
                <w:rFonts w:hint="eastAsia" w:hAnsi="宋体" w:cs="宋体"/>
                <w:sz w:val="24"/>
                <w:szCs w:val="24"/>
              </w:rPr>
              <w:t>醇化油：生物醇油</w:t>
            </w:r>
          </w:p>
          <w:p>
            <w:pPr>
              <w:rPr>
                <w:sz w:val="24"/>
                <w:szCs w:val="24"/>
              </w:rPr>
            </w:pPr>
            <w:r>
              <w:rPr>
                <w:rFonts w:hint="eastAsia"/>
                <w:sz w:val="24"/>
                <w:szCs w:val="24"/>
              </w:rPr>
              <w:t>醇基燃料，主要用于厨房灶具燃料等</w:t>
            </w:r>
          </w:p>
        </w:tc>
        <w:tc>
          <w:tcPr>
            <w:tcW w:w="126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Ansi="宋体" w:cs="Arial"/>
                <w:sz w:val="24"/>
                <w:szCs w:val="24"/>
              </w:rPr>
            </w:pPr>
            <w:r>
              <w:rPr>
                <w:rFonts w:hint="eastAsia" w:hAnsi="宋体" w:cs="Arial"/>
                <w:sz w:val="24"/>
                <w:szCs w:val="24"/>
              </w:rPr>
              <w:t>165000</w:t>
            </w:r>
          </w:p>
        </w:tc>
        <w:tc>
          <w:tcPr>
            <w:tcW w:w="72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Ansi="宋体" w:cs="Arial"/>
                <w:sz w:val="24"/>
                <w:szCs w:val="24"/>
              </w:rPr>
            </w:pPr>
            <w:r>
              <w:rPr>
                <w:rFonts w:hint="eastAsia" w:hAnsi="宋体" w:cs="Arial"/>
                <w:sz w:val="24"/>
                <w:szCs w:val="24"/>
              </w:rPr>
              <w:t>升</w:t>
            </w:r>
          </w:p>
        </w:tc>
        <w:tc>
          <w:tcPr>
            <w:tcW w:w="1515"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int="eastAsia" w:hAnsi="宋体" w:cs="Arial"/>
                <w:sz w:val="24"/>
                <w:szCs w:val="24"/>
              </w:rPr>
            </w:pPr>
            <w:r>
              <w:rPr>
                <w:rFonts w:hint="eastAsia" w:hAnsi="宋体" w:cs="Arial"/>
                <w:sz w:val="24"/>
                <w:szCs w:val="24"/>
              </w:rPr>
              <w:t>717750.00元</w:t>
            </w:r>
          </w:p>
        </w:tc>
      </w:tr>
    </w:tbl>
    <w:p>
      <w:pPr>
        <w:pStyle w:val="2"/>
        <w:ind w:left="680" w:firstLine="422"/>
      </w:pPr>
    </w:p>
    <w:p>
      <w:pPr>
        <w:pStyle w:val="5"/>
        <w:snapToGrid w:val="0"/>
        <w:spacing w:before="0" w:after="0"/>
        <w:rPr>
          <w:rFonts w:ascii="宋体" w:hAnsi="宋体" w:eastAsia="宋体"/>
        </w:rPr>
      </w:pPr>
      <w:r>
        <w:rPr>
          <w:rFonts w:hint="eastAsia" w:ascii="宋体" w:hAnsi="宋体" w:eastAsia="宋体"/>
        </w:rPr>
        <w:t>三、相关要求</w:t>
      </w:r>
    </w:p>
    <w:p>
      <w:pPr>
        <w:adjustRightInd w:val="0"/>
        <w:snapToGrid w:val="0"/>
        <w:spacing w:line="360" w:lineRule="auto"/>
        <w:ind w:firstLine="480"/>
        <w:rPr>
          <w:rFonts w:hAnsi="宋体"/>
          <w:sz w:val="24"/>
        </w:rPr>
      </w:pPr>
      <w:r>
        <w:rPr>
          <w:rFonts w:hint="eastAsia" w:hAnsi="宋体"/>
          <w:sz w:val="24"/>
        </w:rPr>
        <w:t>1、交货期：</w:t>
      </w:r>
      <w:r>
        <w:rPr>
          <w:rFonts w:hint="eastAsia" w:hAnsi="宋体"/>
          <w:b/>
          <w:sz w:val="24"/>
          <w:lang w:val="en-GB"/>
        </w:rPr>
        <w:t>接到采购人电话通知后24小时内送到采购人指定地点</w:t>
      </w:r>
      <w:r>
        <w:rPr>
          <w:rFonts w:hint="eastAsia" w:hAnsi="宋体"/>
          <w:sz w:val="24"/>
        </w:rPr>
        <w:t>。</w:t>
      </w:r>
    </w:p>
    <w:p>
      <w:pPr>
        <w:adjustRightInd w:val="0"/>
        <w:snapToGrid w:val="0"/>
        <w:spacing w:line="360" w:lineRule="auto"/>
        <w:ind w:firstLine="480"/>
        <w:rPr>
          <w:rFonts w:hAnsi="宋体" w:cs="Tahoma"/>
          <w:sz w:val="24"/>
        </w:rPr>
      </w:pPr>
      <w:r>
        <w:rPr>
          <w:rFonts w:hint="eastAsia" w:hAnsi="宋体"/>
          <w:sz w:val="24"/>
        </w:rPr>
        <w:t>2、</w:t>
      </w:r>
      <w:r>
        <w:rPr>
          <w:rFonts w:hint="eastAsia" w:hAnsi="宋体" w:cs="Tahoma"/>
          <w:sz w:val="24"/>
        </w:rPr>
        <w:t>、成交人要保持同采购人的密切联系，遇有重大事项及时报告和反馈信息，尊重项目业主方的意见，接受项目业主方的提议、监督和指导。</w:t>
      </w:r>
    </w:p>
    <w:p>
      <w:pPr>
        <w:adjustRightInd w:val="0"/>
        <w:snapToGrid w:val="0"/>
        <w:spacing w:line="360" w:lineRule="auto"/>
        <w:ind w:firstLine="480"/>
        <w:rPr>
          <w:rFonts w:hAnsi="宋体" w:cs="Tahoma"/>
          <w:sz w:val="24"/>
        </w:rPr>
      </w:pPr>
      <w:r>
        <w:rPr>
          <w:rFonts w:hint="eastAsia" w:hAnsi="宋体" w:cs="Tahoma"/>
          <w:sz w:val="24"/>
        </w:rPr>
        <w:t>3、服务要求：</w:t>
      </w:r>
    </w:p>
    <w:p>
      <w:pPr>
        <w:adjustRightInd w:val="0"/>
        <w:snapToGrid w:val="0"/>
        <w:spacing w:line="360" w:lineRule="auto"/>
        <w:ind w:firstLine="480"/>
        <w:rPr>
          <w:rFonts w:hAnsi="宋体" w:cs="Tahoma"/>
          <w:sz w:val="24"/>
        </w:rPr>
      </w:pPr>
      <w:r>
        <w:rPr>
          <w:rFonts w:hint="eastAsia" w:hAnsi="宋体" w:cs="Tahoma"/>
          <w:sz w:val="24"/>
        </w:rPr>
        <w:t>（1）供应商须保证按时按质按量将货物完好无损送达使用单位，如有缺漏、损坏，由供应商负责调换、补齐。按照使用单位人员通知的时间、数量、品种、品质要求准备时送货，经验收合格后签字确认，不能以任何理由推托，一旦造成影响，供应商应承担相应的经济赔偿。</w:t>
      </w:r>
    </w:p>
    <w:p>
      <w:pPr>
        <w:adjustRightInd w:val="0"/>
        <w:snapToGrid w:val="0"/>
        <w:spacing w:line="360" w:lineRule="auto"/>
        <w:ind w:firstLine="480"/>
        <w:rPr>
          <w:rFonts w:hAnsi="宋体" w:cs="Tahoma"/>
          <w:sz w:val="24"/>
        </w:rPr>
      </w:pPr>
      <w:r>
        <w:rPr>
          <w:rFonts w:hint="eastAsia" w:hAnsi="宋体" w:cs="Tahoma"/>
          <w:sz w:val="24"/>
        </w:rPr>
        <w:t>（2）质保期半年，质保期自验收之日起计算。从验收合格之日起半年内有质量问题，供应商负责免费更换。</w:t>
      </w:r>
    </w:p>
    <w:p>
      <w:pPr>
        <w:adjustRightInd w:val="0"/>
        <w:snapToGrid w:val="0"/>
        <w:spacing w:line="360" w:lineRule="auto"/>
        <w:ind w:firstLine="480"/>
        <w:rPr>
          <w:rFonts w:hAnsi="宋体" w:cs="Tahoma"/>
          <w:sz w:val="24"/>
        </w:rPr>
      </w:pPr>
      <w:r>
        <w:rPr>
          <w:rFonts w:hint="eastAsia" w:hAnsi="宋体" w:cs="Tahoma"/>
          <w:sz w:val="24"/>
        </w:rPr>
        <w:t>（3）采购人如提出质量异议，保证在20分钟内做出答复，并妥善商处。无法在20分钟内解决的，应在1小时内提供备用产品，使采购人能够正常使用。因产品质量问题发生事故，由供应商承担经济赔偿责任及其他法律责任。</w:t>
      </w:r>
    </w:p>
    <w:p>
      <w:pPr>
        <w:adjustRightInd w:val="0"/>
        <w:snapToGrid w:val="0"/>
        <w:spacing w:line="360" w:lineRule="auto"/>
        <w:ind w:firstLine="480"/>
        <w:rPr>
          <w:rFonts w:hAnsi="宋体" w:cs="Tahoma"/>
          <w:sz w:val="24"/>
        </w:rPr>
      </w:pPr>
      <w:r>
        <w:rPr>
          <w:rFonts w:hint="eastAsia" w:hAnsi="宋体" w:cs="Tahoma"/>
          <w:sz w:val="24"/>
        </w:rPr>
        <w:t>（4）免费灶炉、炉膛、阀门、油路、钢管、油桶（鼓）并定期检修维护，每月小检一次，每半年大检一次。</w:t>
      </w:r>
    </w:p>
    <w:p>
      <w:pPr>
        <w:spacing w:line="500" w:lineRule="exact"/>
        <w:ind w:firstLine="480" w:firstLineChars="200"/>
        <w:rPr>
          <w:rFonts w:hAnsi="宋体"/>
          <w:sz w:val="24"/>
        </w:rPr>
      </w:pPr>
      <w:r>
        <w:rPr>
          <w:rFonts w:hint="eastAsia" w:hAnsi="宋体"/>
          <w:sz w:val="24"/>
        </w:rPr>
        <w:t>（5）验收：成交供应商将货物送达采购人指定地点后，由采购人进行验收。</w:t>
      </w:r>
    </w:p>
    <w:p>
      <w:pPr>
        <w:pStyle w:val="2"/>
        <w:ind w:left="680" w:firstLine="422"/>
      </w:pPr>
    </w:p>
    <w:p>
      <w:pPr>
        <w:spacing w:line="500" w:lineRule="exact"/>
        <w:ind w:firstLine="482" w:firstLineChars="200"/>
        <w:rPr>
          <w:rFonts w:hAnsi="宋体"/>
          <w:sz w:val="24"/>
        </w:rPr>
      </w:pPr>
      <w:r>
        <w:rPr>
          <w:rFonts w:hint="eastAsia" w:hAnsi="宋体" w:cs="Tahoma"/>
          <w:b/>
          <w:sz w:val="24"/>
        </w:rPr>
        <w:t>4、</w:t>
      </w:r>
      <w:r>
        <w:rPr>
          <w:rFonts w:hint="eastAsia" w:hAnsi="宋体"/>
          <w:sz w:val="24"/>
        </w:rPr>
        <w:t>如项目实施过程中出现成交供应商不按响应文件或合同内容要求执行，无法满足项目实施标准要求、偷工减料、降低质量标准、超过工期等行为，采购人有权终止合同没收履约保证金并报政府采购主管部门严肃处理。</w:t>
      </w:r>
    </w:p>
    <w:p>
      <w:pPr>
        <w:adjustRightInd w:val="0"/>
        <w:snapToGrid w:val="0"/>
        <w:spacing w:line="500" w:lineRule="exact"/>
        <w:ind w:firstLine="480"/>
      </w:pPr>
      <w:r>
        <w:rPr>
          <w:rFonts w:hint="eastAsia" w:hAnsi="宋体" w:cs="Tahoma"/>
          <w:b/>
          <w:sz w:val="24"/>
        </w:rPr>
        <w:t>5、由于本项目</w:t>
      </w:r>
      <w:r>
        <w:rPr>
          <w:rFonts w:hAnsi="宋体" w:cs="Tahoma"/>
          <w:b/>
          <w:sz w:val="24"/>
        </w:rPr>
        <w:t>根据质量和服务均能满足采购文件实质性响应要求且最后报价最低的原则确定成交供应商，</w:t>
      </w:r>
      <w:r>
        <w:rPr>
          <w:rFonts w:hint="eastAsia" w:hAnsi="宋体" w:cs="Tahoma"/>
          <w:b/>
          <w:sz w:val="24"/>
        </w:rPr>
        <w:t>因此报价人对本章的技术、功能及资质的要求必须全部满足或优于，否则报价无效。</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70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autoSpaceDE w:val="0"/>
      <w:autoSpaceDN w:val="0"/>
      <w:adjustRightInd w:val="0"/>
      <w:spacing w:before="240" w:beforeLines="0" w:after="120" w:afterLines="0" w:line="300" w:lineRule="auto"/>
      <w:jc w:val="center"/>
      <w:outlineLvl w:val="0"/>
    </w:pPr>
    <w:rPr>
      <w:rFonts w:hAnsi="Times New Roman"/>
      <w:b/>
      <w:kern w:val="44"/>
      <w:sz w:val="32"/>
    </w:rPr>
  </w:style>
  <w:style w:type="paragraph" w:styleId="5">
    <w:name w:val="heading 2"/>
    <w:basedOn w:val="1"/>
    <w:next w:val="1"/>
    <w:qFormat/>
    <w:uiPriority w:val="9"/>
    <w:pPr>
      <w:keepNext/>
      <w:keepLines/>
      <w:spacing w:before="260" w:beforeLines="0" w:after="260" w:afterLines="0" w:line="413" w:lineRule="auto"/>
      <w:outlineLvl w:val="1"/>
    </w:pPr>
    <w:rPr>
      <w:rFonts w:ascii="Arial" w:hAnsi="Arial" w:eastAsia="黑体"/>
      <w:b/>
      <w:bCs/>
      <w:kern w:val="2"/>
      <w:sz w:val="32"/>
      <w:szCs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Arial" w:hAnsi="Arial"/>
      <w:b/>
      <w:bCs/>
      <w:szCs w:val="28"/>
    </w:rPr>
  </w:style>
  <w:style w:type="paragraph" w:styleId="3">
    <w:name w:val="Body Text Indent"/>
    <w:basedOn w:val="1"/>
    <w:uiPriority w:val="0"/>
    <w:pPr>
      <w:spacing w:after="120" w:afterLines="0"/>
      <w:ind w:left="420" w:leftChars="200"/>
    </w:pPr>
    <w:rPr>
      <w:rFonts w:ascii="Times New Roman" w:hAnsi="Times New Roman"/>
      <w:kern w:val="2"/>
      <w:sz w:val="21"/>
    </w:rPr>
  </w:style>
  <w:style w:type="paragraph" w:styleId="6">
    <w:name w:val="Normal Indent"/>
    <w:basedOn w:val="1"/>
    <w:uiPriority w:val="0"/>
    <w:pPr>
      <w:autoSpaceDE w:val="0"/>
      <w:autoSpaceDN w:val="0"/>
      <w:adjustRightInd w:val="0"/>
      <w:ind w:firstLine="420"/>
      <w:jc w:val="left"/>
    </w:pPr>
    <w:rPr>
      <w:rFonts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wangbing</dc:creator>
  <cp:lastModifiedBy>林中偶遇</cp:lastModifiedBy>
  <dcterms:modified xsi:type="dcterms:W3CDTF">2019-02-27T11:13:57Z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