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华文中宋" w:hAnsi="华文中宋" w:eastAsia="华文中宋"/>
          <w:sz w:val="36"/>
        </w:rPr>
      </w:pPr>
      <w:r>
        <w:rPr>
          <w:rFonts w:ascii="华文中宋" w:hAnsi="华文中宋" w:eastAsia="华文中宋"/>
          <w:sz w:val="36"/>
        </w:rPr>
        <w:drawing>
          <wp:inline distT="0" distB="0" distL="0" distR="0">
            <wp:extent cx="685800" cy="542925"/>
            <wp:effectExtent l="19050" t="0" r="0" b="0"/>
            <wp:docPr id="1" name="图片 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con"/>
                    <pic:cNvPicPr>
                      <a:picLocks noChangeAspect="1" noChangeArrowheads="1"/>
                    </pic:cNvPicPr>
                  </pic:nvPicPr>
                  <pic:blipFill>
                    <a:blip r:embed="rId6" cstate="print"/>
                    <a:srcRect/>
                    <a:stretch>
                      <a:fillRect/>
                    </a:stretch>
                  </pic:blipFill>
                  <pic:spPr>
                    <a:xfrm>
                      <a:off x="0" y="0"/>
                      <a:ext cx="685800" cy="542925"/>
                    </a:xfrm>
                    <a:prstGeom prst="rect">
                      <a:avLst/>
                    </a:prstGeom>
                    <a:noFill/>
                    <a:ln w="9525" cmpd="sng">
                      <a:noFill/>
                      <a:miter lim="800000"/>
                      <a:headEnd/>
                      <a:tailEnd/>
                    </a:ln>
                  </pic:spPr>
                </pic:pic>
              </a:graphicData>
            </a:graphic>
          </wp:inline>
        </w:drawing>
      </w:r>
    </w:p>
    <w:p>
      <w:pPr>
        <w:pStyle w:val="22"/>
        <w:ind w:firstLine="0" w:firstLineChars="0"/>
        <w:jc w:val="left"/>
        <w:rPr>
          <w:rFonts w:ascii="黑体"/>
          <w:b w:val="0"/>
          <w:color w:val="auto"/>
          <w:sz w:val="52"/>
        </w:rPr>
      </w:pPr>
      <w:r>
        <w:rPr>
          <w:color w:val="auto"/>
        </w:rPr>
        <w:t>GXTC</w:t>
      </w:r>
    </w:p>
    <w:p>
      <w:pPr>
        <w:jc w:val="center"/>
        <w:rPr>
          <w:rFonts w:eastAsia="黑体"/>
          <w:b/>
          <w:bCs/>
          <w:sz w:val="84"/>
        </w:rPr>
      </w:pPr>
    </w:p>
    <w:p>
      <w:pPr>
        <w:jc w:val="center"/>
        <w:rPr>
          <w:rFonts w:eastAsia="黑体"/>
          <w:b/>
          <w:bCs/>
          <w:sz w:val="48"/>
          <w:szCs w:val="48"/>
        </w:rPr>
      </w:pPr>
    </w:p>
    <w:p>
      <w:pPr>
        <w:jc w:val="center"/>
        <w:rPr>
          <w:rFonts w:eastAsia="黑体"/>
          <w:b/>
          <w:bCs/>
          <w:sz w:val="48"/>
          <w:szCs w:val="48"/>
        </w:rPr>
      </w:pPr>
      <w:r>
        <w:rPr>
          <w:rFonts w:eastAsia="黑体"/>
          <w:b/>
          <w:bCs/>
          <w:sz w:val="48"/>
          <w:szCs w:val="48"/>
        </w:rPr>
        <w:t>政府采购竞争性谈判</w:t>
      </w:r>
    </w:p>
    <w:p>
      <w:pPr>
        <w:jc w:val="center"/>
        <w:rPr>
          <w:rFonts w:eastAsia="黑体"/>
          <w:b/>
          <w:bCs/>
          <w:sz w:val="48"/>
          <w:szCs w:val="48"/>
        </w:rPr>
      </w:pPr>
    </w:p>
    <w:p>
      <w:pPr>
        <w:jc w:val="center"/>
        <w:rPr>
          <w:rFonts w:eastAsia="黑体"/>
          <w:b/>
          <w:bCs/>
          <w:sz w:val="84"/>
        </w:rPr>
      </w:pPr>
      <w:r>
        <w:rPr>
          <w:rFonts w:hint="eastAsia" w:eastAsia="黑体"/>
          <w:b/>
          <w:bCs/>
          <w:sz w:val="84"/>
        </w:rPr>
        <w:t>谈 判 文 件</w:t>
      </w:r>
    </w:p>
    <w:p>
      <w:pPr>
        <w:adjustRightInd w:val="0"/>
        <w:jc w:val="center"/>
        <w:textAlignment w:val="baseline"/>
        <w:rPr>
          <w:b/>
          <w:bCs/>
          <w:sz w:val="36"/>
        </w:rPr>
      </w:pPr>
    </w:p>
    <w:p>
      <w:pPr>
        <w:adjustRightInd w:val="0"/>
        <w:ind w:firstLine="1084" w:firstLineChars="300"/>
        <w:jc w:val="left"/>
        <w:textAlignment w:val="baseline"/>
        <w:rPr>
          <w:b/>
          <w:bCs/>
          <w:sz w:val="36"/>
        </w:rPr>
      </w:pPr>
    </w:p>
    <w:p>
      <w:pPr>
        <w:adjustRightInd w:val="0"/>
        <w:jc w:val="center"/>
        <w:textAlignment w:val="baseline"/>
        <w:rPr>
          <w:rFonts w:hint="eastAsia" w:eastAsia="宋体"/>
          <w:b/>
          <w:bCs/>
          <w:sz w:val="32"/>
          <w:szCs w:val="32"/>
          <w:lang w:eastAsia="zh-CN"/>
        </w:rPr>
      </w:pPr>
      <w:r>
        <w:rPr>
          <w:rFonts w:hint="eastAsia"/>
          <w:b/>
          <w:bCs/>
          <w:sz w:val="32"/>
          <w:szCs w:val="32"/>
        </w:rPr>
        <w:t>项目编号：GXTC-CZ-188500</w:t>
      </w:r>
      <w:r>
        <w:rPr>
          <w:rFonts w:hint="eastAsia"/>
          <w:b/>
          <w:bCs/>
          <w:sz w:val="32"/>
          <w:szCs w:val="32"/>
          <w:lang w:val="en-US" w:eastAsia="zh-CN"/>
        </w:rPr>
        <w:t>5</w:t>
      </w:r>
    </w:p>
    <w:p>
      <w:pPr>
        <w:adjustRightInd w:val="0"/>
        <w:jc w:val="center"/>
        <w:textAlignment w:val="baseline"/>
        <w:rPr>
          <w:rFonts w:hint="eastAsia"/>
          <w:b/>
          <w:bCs/>
          <w:sz w:val="32"/>
          <w:szCs w:val="32"/>
        </w:rPr>
      </w:pPr>
      <w:r>
        <w:rPr>
          <w:rFonts w:hint="eastAsia"/>
          <w:b/>
          <w:bCs/>
          <w:sz w:val="32"/>
          <w:szCs w:val="32"/>
        </w:rPr>
        <w:t>项目名称：文昌市会文镇湖峰村委会瓦灶园村农村生活</w:t>
      </w:r>
    </w:p>
    <w:p>
      <w:pPr>
        <w:adjustRightInd w:val="0"/>
        <w:jc w:val="center"/>
        <w:textAlignment w:val="baseline"/>
        <w:rPr>
          <w:b/>
          <w:bCs/>
          <w:sz w:val="32"/>
          <w:szCs w:val="32"/>
          <w:lang w:val="zh-CN"/>
        </w:rPr>
      </w:pPr>
      <w:r>
        <w:rPr>
          <w:rFonts w:hint="eastAsia"/>
          <w:b/>
          <w:bCs/>
          <w:sz w:val="32"/>
          <w:szCs w:val="32"/>
        </w:rPr>
        <w:t>污水治理项目</w:t>
      </w:r>
    </w:p>
    <w:p>
      <w:pPr>
        <w:autoSpaceDE w:val="0"/>
        <w:autoSpaceDN w:val="0"/>
        <w:adjustRightInd w:val="0"/>
        <w:snapToGrid w:val="0"/>
        <w:spacing w:afterLines="50"/>
        <w:jc w:val="center"/>
        <w:rPr>
          <w:rFonts w:ascii="宋体" w:hAnsi="宋体" w:cs="黑体"/>
          <w:kern w:val="0"/>
          <w:sz w:val="32"/>
          <w:szCs w:val="32"/>
        </w:rPr>
      </w:pPr>
    </w:p>
    <w:p>
      <w:pPr>
        <w:autoSpaceDE w:val="0"/>
        <w:autoSpaceDN w:val="0"/>
        <w:adjustRightInd w:val="0"/>
        <w:snapToGrid w:val="0"/>
        <w:spacing w:afterLines="50"/>
        <w:jc w:val="center"/>
        <w:rPr>
          <w:rFonts w:ascii="宋体" w:hAnsi="宋体" w:cs="黑体"/>
          <w:kern w:val="0"/>
          <w:sz w:val="32"/>
          <w:szCs w:val="32"/>
        </w:rPr>
      </w:pPr>
    </w:p>
    <w:p>
      <w:pPr>
        <w:autoSpaceDE w:val="0"/>
        <w:autoSpaceDN w:val="0"/>
        <w:adjustRightInd w:val="0"/>
        <w:snapToGrid w:val="0"/>
        <w:spacing w:afterLines="50"/>
        <w:jc w:val="center"/>
        <w:rPr>
          <w:rFonts w:ascii="宋体" w:hAnsi="宋体" w:cs="黑体"/>
          <w:kern w:val="0"/>
          <w:sz w:val="32"/>
          <w:szCs w:val="32"/>
        </w:rPr>
      </w:pPr>
    </w:p>
    <w:p>
      <w:pPr>
        <w:autoSpaceDE w:val="0"/>
        <w:autoSpaceDN w:val="0"/>
        <w:adjustRightInd w:val="0"/>
        <w:snapToGrid w:val="0"/>
        <w:spacing w:afterLines="50"/>
        <w:jc w:val="center"/>
        <w:rPr>
          <w:rFonts w:ascii="宋体" w:hAnsi="宋体" w:cs="黑体"/>
          <w:kern w:val="0"/>
          <w:sz w:val="32"/>
          <w:szCs w:val="32"/>
        </w:rPr>
      </w:pPr>
    </w:p>
    <w:tbl>
      <w:tblPr>
        <w:tblStyle w:val="88"/>
        <w:tblW w:w="747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60"/>
        <w:gridCol w:w="4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0" w:type="dxa"/>
          </w:tcPr>
          <w:p>
            <w:pPr>
              <w:autoSpaceDE w:val="0"/>
              <w:autoSpaceDN w:val="0"/>
              <w:adjustRightInd w:val="0"/>
              <w:snapToGrid w:val="0"/>
              <w:spacing w:afterLines="50"/>
              <w:jc w:val="center"/>
              <w:rPr>
                <w:rFonts w:ascii="宋体" w:hAnsi="宋体" w:cs="黑体"/>
                <w:kern w:val="0"/>
                <w:sz w:val="32"/>
                <w:szCs w:val="32"/>
              </w:rPr>
            </w:pPr>
            <w:r>
              <w:rPr>
                <w:rFonts w:hint="eastAsia" w:ascii="宋体" w:hAnsi="宋体" w:cs="黑体"/>
                <w:kern w:val="0"/>
                <w:sz w:val="32"/>
                <w:szCs w:val="32"/>
              </w:rPr>
              <w:t>采   购   人：</w:t>
            </w:r>
          </w:p>
        </w:tc>
        <w:tc>
          <w:tcPr>
            <w:tcW w:w="4814" w:type="dxa"/>
          </w:tcPr>
          <w:p>
            <w:pPr>
              <w:autoSpaceDE w:val="0"/>
              <w:autoSpaceDN w:val="0"/>
              <w:adjustRightInd w:val="0"/>
              <w:snapToGrid w:val="0"/>
              <w:spacing w:afterLines="50"/>
              <w:jc w:val="left"/>
              <w:rPr>
                <w:rFonts w:ascii="宋体" w:hAnsi="宋体" w:cs="黑体"/>
                <w:kern w:val="0"/>
                <w:sz w:val="32"/>
                <w:szCs w:val="32"/>
              </w:rPr>
            </w:pPr>
            <w:r>
              <w:rPr>
                <w:rFonts w:hint="eastAsia" w:ascii="宋体" w:hAnsi="宋体" w:cs="黑体"/>
                <w:kern w:val="0"/>
                <w:sz w:val="32"/>
                <w:szCs w:val="32"/>
              </w:rPr>
              <w:t>文昌市生态环境保护局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0" w:type="dxa"/>
          </w:tcPr>
          <w:p>
            <w:pPr>
              <w:autoSpaceDE w:val="0"/>
              <w:autoSpaceDN w:val="0"/>
              <w:adjustRightInd w:val="0"/>
              <w:snapToGrid w:val="0"/>
              <w:spacing w:afterLines="50"/>
              <w:jc w:val="center"/>
              <w:rPr>
                <w:rFonts w:ascii="宋体" w:hAnsi="宋体" w:cs="黑体"/>
                <w:kern w:val="0"/>
                <w:sz w:val="32"/>
                <w:szCs w:val="32"/>
              </w:rPr>
            </w:pPr>
            <w:r>
              <w:rPr>
                <w:rFonts w:hint="eastAsia" w:ascii="宋体" w:hAnsi="宋体" w:cs="黑体"/>
                <w:kern w:val="0"/>
                <w:sz w:val="32"/>
                <w:szCs w:val="32"/>
              </w:rPr>
              <w:t>采购代理机构：</w:t>
            </w:r>
          </w:p>
        </w:tc>
        <w:tc>
          <w:tcPr>
            <w:tcW w:w="4814" w:type="dxa"/>
          </w:tcPr>
          <w:p>
            <w:pPr>
              <w:autoSpaceDE w:val="0"/>
              <w:autoSpaceDN w:val="0"/>
              <w:adjustRightInd w:val="0"/>
              <w:snapToGrid w:val="0"/>
              <w:spacing w:afterLines="50"/>
              <w:jc w:val="left"/>
              <w:rPr>
                <w:rFonts w:ascii="宋体" w:hAnsi="宋体" w:cs="黑体"/>
                <w:kern w:val="0"/>
                <w:sz w:val="32"/>
                <w:szCs w:val="32"/>
              </w:rPr>
            </w:pPr>
            <w:r>
              <w:rPr>
                <w:rFonts w:hint="eastAsia" w:ascii="宋体" w:hAnsi="宋体" w:cs="黑体"/>
                <w:kern w:val="0"/>
                <w:sz w:val="32"/>
                <w:szCs w:val="32"/>
              </w:rPr>
              <w:t>国信招标集团股份有限公司</w:t>
            </w:r>
          </w:p>
        </w:tc>
      </w:tr>
    </w:tbl>
    <w:p>
      <w:pPr>
        <w:autoSpaceDE w:val="0"/>
        <w:autoSpaceDN w:val="0"/>
        <w:adjustRightInd w:val="0"/>
        <w:snapToGrid w:val="0"/>
        <w:spacing w:afterLines="50"/>
        <w:jc w:val="center"/>
        <w:rPr>
          <w:rFonts w:ascii="宋体" w:hAnsi="宋体" w:cs="黑体"/>
          <w:kern w:val="0"/>
          <w:sz w:val="32"/>
          <w:szCs w:val="32"/>
        </w:rPr>
      </w:pPr>
    </w:p>
    <w:p>
      <w:pPr>
        <w:autoSpaceDE w:val="0"/>
        <w:autoSpaceDN w:val="0"/>
        <w:adjustRightInd w:val="0"/>
        <w:snapToGrid w:val="0"/>
        <w:spacing w:afterLines="50"/>
        <w:jc w:val="center"/>
        <w:rPr>
          <w:rFonts w:ascii="宋体" w:hAnsi="宋体" w:cs="黑体"/>
          <w:kern w:val="0"/>
          <w:sz w:val="32"/>
          <w:szCs w:val="32"/>
        </w:rPr>
      </w:pPr>
      <w:r>
        <w:rPr>
          <w:rFonts w:hint="eastAsia" w:ascii="宋体" w:hAnsi="宋体" w:cs="黑体"/>
          <w:kern w:val="0"/>
          <w:sz w:val="32"/>
          <w:szCs w:val="32"/>
        </w:rPr>
        <w:t>2018年11月2</w:t>
      </w:r>
      <w:r>
        <w:rPr>
          <w:rFonts w:hint="eastAsia" w:ascii="宋体" w:hAnsi="宋体" w:cs="黑体"/>
          <w:kern w:val="0"/>
          <w:sz w:val="32"/>
          <w:szCs w:val="32"/>
          <w:lang w:val="en-US" w:eastAsia="zh-CN"/>
        </w:rPr>
        <w:t>7</w:t>
      </w:r>
      <w:r>
        <w:rPr>
          <w:rFonts w:hint="eastAsia" w:ascii="宋体" w:hAnsi="宋体" w:cs="黑体"/>
          <w:kern w:val="0"/>
          <w:sz w:val="32"/>
          <w:szCs w:val="32"/>
        </w:rPr>
        <w:t>日</w:t>
      </w:r>
    </w:p>
    <w:p>
      <w:pPr>
        <w:widowControl/>
        <w:jc w:val="left"/>
        <w:rPr>
          <w:b/>
          <w:bCs/>
          <w:sz w:val="52"/>
          <w:szCs w:val="52"/>
        </w:rPr>
      </w:pPr>
      <w:r>
        <w:rPr>
          <w:rFonts w:ascii="宋体" w:hAnsi="宋体" w:cs="黑体"/>
          <w:kern w:val="0"/>
          <w:sz w:val="32"/>
          <w:szCs w:val="32"/>
        </w:rPr>
        <w:br w:type="page"/>
      </w:r>
    </w:p>
    <w:sdt>
      <w:sdtPr>
        <w:rPr>
          <w:rFonts w:ascii="宋体" w:hAnsi="宋体"/>
          <w:b/>
          <w:bCs/>
          <w:sz w:val="52"/>
          <w:szCs w:val="52"/>
        </w:rPr>
        <w:id w:val="147472837"/>
        <w:docPartObj>
          <w:docPartGallery w:val="Table of Contents"/>
          <w:docPartUnique/>
        </w:docPartObj>
      </w:sdtPr>
      <w:sdtEndPr>
        <w:rPr>
          <w:rFonts w:ascii="宋体" w:hAnsi="宋体" w:cs="黑体"/>
          <w:b/>
          <w:bCs/>
          <w:kern w:val="0"/>
          <w:sz w:val="21"/>
          <w:szCs w:val="32"/>
        </w:rPr>
      </w:sdtEndPr>
      <w:sdtContent>
        <w:p>
          <w:pPr>
            <w:spacing w:before="0" w:beforeLines="0" w:after="0" w:afterLines="0" w:line="240" w:lineRule="auto"/>
            <w:ind w:left="0" w:leftChars="0" w:right="0" w:rightChars="0" w:firstLine="0" w:firstLineChars="0"/>
            <w:jc w:val="center"/>
          </w:pPr>
          <w:bookmarkStart w:id="0" w:name="_Toc12919"/>
          <w:bookmarkEnd w:id="0"/>
          <w:r>
            <w:rPr>
              <w:rFonts w:ascii="宋体" w:hAnsi="宋体" w:eastAsia="宋体"/>
              <w:b/>
              <w:bCs/>
              <w:sz w:val="52"/>
              <w:szCs w:val="52"/>
            </w:rPr>
            <w:t>目录</w:t>
          </w:r>
          <w:r>
            <w:rPr>
              <w:rFonts w:ascii="宋体" w:hAnsi="宋体" w:cs="黑体"/>
              <w:sz w:val="32"/>
              <w:szCs w:val="32"/>
            </w:rPr>
            <w:fldChar w:fldCharType="begin"/>
          </w:r>
          <w:r>
            <w:rPr>
              <w:rFonts w:ascii="宋体" w:hAnsi="宋体" w:cs="黑体"/>
              <w:sz w:val="32"/>
              <w:szCs w:val="32"/>
            </w:rPr>
            <w:instrText xml:space="preserve">TOC \o "1-3" \h \u </w:instrText>
          </w:r>
          <w:r>
            <w:rPr>
              <w:rFonts w:ascii="宋体" w:hAnsi="宋体" w:cs="黑体"/>
              <w:sz w:val="32"/>
              <w:szCs w:val="32"/>
            </w:rPr>
            <w:fldChar w:fldCharType="separate"/>
          </w:r>
        </w:p>
        <w:p>
          <w:pPr>
            <w:pStyle w:val="53"/>
            <w:keepNext w:val="0"/>
            <w:keepLines w:val="0"/>
            <w:pageBreakBefore w:val="0"/>
            <w:widowControl w:val="0"/>
            <w:tabs>
              <w:tab w:val="right" w:leader="dot" w:pos="9412"/>
              <w:tab w:val="clear" w:pos="8778"/>
            </w:tabs>
            <w:kinsoku/>
            <w:wordWrap/>
            <w:overflowPunct/>
            <w:topLinePunct w:val="0"/>
            <w:autoSpaceDE/>
            <w:autoSpaceDN/>
            <w:bidi w:val="0"/>
            <w:adjustRightInd/>
            <w:spacing w:line="560" w:lineRule="exact"/>
            <w:textAlignment w:val="auto"/>
            <w:outlineLvl w:val="9"/>
            <w:rPr>
              <w:sz w:val="24"/>
              <w:szCs w:val="24"/>
            </w:rPr>
          </w:pPr>
          <w:r>
            <w:rPr>
              <w:rFonts w:ascii="宋体" w:hAnsi="宋体" w:cs="黑体"/>
              <w:kern w:val="0"/>
              <w:sz w:val="24"/>
              <w:szCs w:val="24"/>
            </w:rPr>
            <w:fldChar w:fldCharType="begin"/>
          </w:r>
          <w:r>
            <w:rPr>
              <w:rFonts w:ascii="宋体" w:hAnsi="宋体" w:cs="黑体"/>
              <w:kern w:val="0"/>
              <w:sz w:val="24"/>
              <w:szCs w:val="24"/>
            </w:rPr>
            <w:instrText xml:space="preserve"> HYPERLINK \l _Toc7980 </w:instrText>
          </w:r>
          <w:r>
            <w:rPr>
              <w:rFonts w:ascii="宋体" w:hAnsi="宋体" w:cs="黑体"/>
              <w:kern w:val="0"/>
              <w:sz w:val="24"/>
              <w:szCs w:val="24"/>
            </w:rPr>
            <w:fldChar w:fldCharType="separate"/>
          </w:r>
          <w:r>
            <w:rPr>
              <w:rFonts w:hint="eastAsia" w:ascii="宋体" w:hAnsi="宋体" w:cs="黑体"/>
              <w:bCs/>
              <w:kern w:val="0"/>
              <w:sz w:val="24"/>
              <w:szCs w:val="24"/>
            </w:rPr>
            <w:t>第一章  竞争性谈判公告</w:t>
          </w:r>
          <w:r>
            <w:rPr>
              <w:sz w:val="24"/>
              <w:szCs w:val="24"/>
            </w:rPr>
            <w:tab/>
          </w:r>
          <w:r>
            <w:rPr>
              <w:sz w:val="24"/>
              <w:szCs w:val="24"/>
            </w:rPr>
            <w:fldChar w:fldCharType="begin"/>
          </w:r>
          <w:r>
            <w:rPr>
              <w:sz w:val="24"/>
              <w:szCs w:val="24"/>
            </w:rPr>
            <w:instrText xml:space="preserve"> PAGEREF _Toc7980 </w:instrText>
          </w:r>
          <w:r>
            <w:rPr>
              <w:sz w:val="24"/>
              <w:szCs w:val="24"/>
            </w:rPr>
            <w:fldChar w:fldCharType="separate"/>
          </w:r>
          <w:r>
            <w:rPr>
              <w:sz w:val="24"/>
              <w:szCs w:val="24"/>
            </w:rPr>
            <w:t>4</w:t>
          </w:r>
          <w:r>
            <w:rPr>
              <w:sz w:val="24"/>
              <w:szCs w:val="24"/>
            </w:rPr>
            <w:fldChar w:fldCharType="end"/>
          </w:r>
          <w:r>
            <w:rPr>
              <w:rFonts w:ascii="宋体" w:hAnsi="宋体" w:cs="黑体"/>
              <w:kern w:val="0"/>
              <w:sz w:val="24"/>
              <w:szCs w:val="24"/>
            </w:rPr>
            <w:fldChar w:fldCharType="end"/>
          </w:r>
        </w:p>
        <w:p>
          <w:pPr>
            <w:pStyle w:val="53"/>
            <w:keepNext w:val="0"/>
            <w:keepLines w:val="0"/>
            <w:pageBreakBefore w:val="0"/>
            <w:widowControl w:val="0"/>
            <w:tabs>
              <w:tab w:val="right" w:leader="dot" w:pos="9412"/>
              <w:tab w:val="clear" w:pos="8778"/>
            </w:tabs>
            <w:kinsoku/>
            <w:wordWrap/>
            <w:overflowPunct/>
            <w:topLinePunct w:val="0"/>
            <w:autoSpaceDE/>
            <w:autoSpaceDN/>
            <w:bidi w:val="0"/>
            <w:adjustRightInd/>
            <w:spacing w:line="560" w:lineRule="exact"/>
            <w:textAlignment w:val="auto"/>
            <w:outlineLvl w:val="9"/>
            <w:rPr>
              <w:sz w:val="24"/>
              <w:szCs w:val="24"/>
            </w:rPr>
          </w:pPr>
          <w:r>
            <w:rPr>
              <w:rFonts w:ascii="宋体" w:hAnsi="宋体" w:cs="黑体"/>
              <w:kern w:val="0"/>
              <w:sz w:val="24"/>
              <w:szCs w:val="24"/>
            </w:rPr>
            <w:fldChar w:fldCharType="begin"/>
          </w:r>
          <w:r>
            <w:rPr>
              <w:rFonts w:ascii="宋体" w:hAnsi="宋体" w:cs="黑体"/>
              <w:kern w:val="0"/>
              <w:sz w:val="24"/>
              <w:szCs w:val="24"/>
            </w:rPr>
            <w:instrText xml:space="preserve"> HYPERLINK \l _Toc25924 </w:instrText>
          </w:r>
          <w:r>
            <w:rPr>
              <w:rFonts w:ascii="宋体" w:hAnsi="宋体" w:cs="黑体"/>
              <w:kern w:val="0"/>
              <w:sz w:val="24"/>
              <w:szCs w:val="24"/>
            </w:rPr>
            <w:fldChar w:fldCharType="separate"/>
          </w:r>
          <w:r>
            <w:rPr>
              <w:rFonts w:hint="eastAsia" w:ascii="宋体" w:hAnsi="宋体" w:cs="黑体"/>
              <w:kern w:val="0"/>
              <w:sz w:val="24"/>
              <w:szCs w:val="24"/>
            </w:rPr>
            <w:t>第二章</w:t>
          </w:r>
          <w:r>
            <w:rPr>
              <w:rFonts w:hint="eastAsia" w:ascii="宋体" w:hAnsi="宋体" w:cs="黑体"/>
              <w:kern w:val="0"/>
              <w:sz w:val="24"/>
              <w:szCs w:val="24"/>
              <w:lang w:val="en-US" w:eastAsia="zh-CN"/>
            </w:rPr>
            <w:t xml:space="preserve">  </w:t>
          </w:r>
          <w:r>
            <w:rPr>
              <w:rFonts w:hint="eastAsia" w:ascii="宋体" w:hAnsi="宋体" w:cs="黑体"/>
              <w:kern w:val="0"/>
              <w:sz w:val="24"/>
              <w:szCs w:val="24"/>
            </w:rPr>
            <w:t>供应商须知</w:t>
          </w:r>
          <w:r>
            <w:rPr>
              <w:sz w:val="24"/>
              <w:szCs w:val="24"/>
            </w:rPr>
            <w:tab/>
          </w:r>
          <w:r>
            <w:rPr>
              <w:sz w:val="24"/>
              <w:szCs w:val="24"/>
            </w:rPr>
            <w:fldChar w:fldCharType="begin"/>
          </w:r>
          <w:r>
            <w:rPr>
              <w:sz w:val="24"/>
              <w:szCs w:val="24"/>
            </w:rPr>
            <w:instrText xml:space="preserve"> PAGEREF _Toc25924 </w:instrText>
          </w:r>
          <w:r>
            <w:rPr>
              <w:sz w:val="24"/>
              <w:szCs w:val="24"/>
            </w:rPr>
            <w:fldChar w:fldCharType="separate"/>
          </w:r>
          <w:r>
            <w:rPr>
              <w:sz w:val="24"/>
              <w:szCs w:val="24"/>
            </w:rPr>
            <w:t>7</w:t>
          </w:r>
          <w:r>
            <w:rPr>
              <w:sz w:val="24"/>
              <w:szCs w:val="24"/>
            </w:rPr>
            <w:fldChar w:fldCharType="end"/>
          </w:r>
          <w:r>
            <w:rPr>
              <w:rFonts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sz w:val="24"/>
              <w:szCs w:val="24"/>
            </w:rPr>
          </w:pPr>
          <w:r>
            <w:rPr>
              <w:rFonts w:ascii="宋体" w:hAnsi="宋体" w:cs="黑体"/>
              <w:kern w:val="0"/>
              <w:sz w:val="24"/>
              <w:szCs w:val="24"/>
            </w:rPr>
            <w:fldChar w:fldCharType="begin"/>
          </w:r>
          <w:r>
            <w:rPr>
              <w:rFonts w:ascii="宋体" w:hAnsi="宋体" w:cs="黑体"/>
              <w:kern w:val="0"/>
              <w:sz w:val="24"/>
              <w:szCs w:val="24"/>
            </w:rPr>
            <w:instrText xml:space="preserve"> HYPERLINK \l _Toc31428 </w:instrText>
          </w:r>
          <w:r>
            <w:rPr>
              <w:rFonts w:ascii="宋体" w:hAnsi="宋体" w:cs="黑体"/>
              <w:kern w:val="0"/>
              <w:sz w:val="24"/>
              <w:szCs w:val="24"/>
            </w:rPr>
            <w:fldChar w:fldCharType="separate"/>
          </w:r>
          <w:r>
            <w:rPr>
              <w:rFonts w:hint="eastAsia" w:ascii="宋体" w:hAnsi="宋体" w:cs="黑体"/>
              <w:kern w:val="0"/>
              <w:sz w:val="24"/>
              <w:szCs w:val="24"/>
            </w:rPr>
            <w:t>（一）供应商须知前附表</w:t>
          </w:r>
          <w:r>
            <w:rPr>
              <w:sz w:val="24"/>
              <w:szCs w:val="24"/>
            </w:rPr>
            <w:tab/>
          </w:r>
          <w:r>
            <w:rPr>
              <w:sz w:val="24"/>
              <w:szCs w:val="24"/>
            </w:rPr>
            <w:fldChar w:fldCharType="begin"/>
          </w:r>
          <w:r>
            <w:rPr>
              <w:sz w:val="24"/>
              <w:szCs w:val="24"/>
            </w:rPr>
            <w:instrText xml:space="preserve"> PAGEREF _Toc31428 </w:instrText>
          </w:r>
          <w:r>
            <w:rPr>
              <w:sz w:val="24"/>
              <w:szCs w:val="24"/>
            </w:rPr>
            <w:fldChar w:fldCharType="separate"/>
          </w:r>
          <w:r>
            <w:rPr>
              <w:sz w:val="24"/>
              <w:szCs w:val="24"/>
            </w:rPr>
            <w:t>7</w:t>
          </w:r>
          <w:r>
            <w:rPr>
              <w:sz w:val="24"/>
              <w:szCs w:val="24"/>
            </w:rPr>
            <w:fldChar w:fldCharType="end"/>
          </w:r>
          <w:r>
            <w:rPr>
              <w:rFonts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sz w:val="24"/>
              <w:szCs w:val="24"/>
            </w:rPr>
          </w:pPr>
          <w:r>
            <w:rPr>
              <w:rFonts w:ascii="宋体" w:hAnsi="宋体" w:cs="黑体"/>
              <w:kern w:val="0"/>
              <w:sz w:val="24"/>
              <w:szCs w:val="24"/>
            </w:rPr>
            <w:fldChar w:fldCharType="begin"/>
          </w:r>
          <w:r>
            <w:rPr>
              <w:rFonts w:ascii="宋体" w:hAnsi="宋体" w:cs="黑体"/>
              <w:kern w:val="0"/>
              <w:sz w:val="24"/>
              <w:szCs w:val="24"/>
            </w:rPr>
            <w:instrText xml:space="preserve"> HYPERLINK \l _Toc14530 </w:instrText>
          </w:r>
          <w:r>
            <w:rPr>
              <w:rFonts w:ascii="宋体" w:hAnsi="宋体" w:cs="黑体"/>
              <w:kern w:val="0"/>
              <w:sz w:val="24"/>
              <w:szCs w:val="24"/>
            </w:rPr>
            <w:fldChar w:fldCharType="separate"/>
          </w:r>
          <w:r>
            <w:rPr>
              <w:rFonts w:hint="eastAsia" w:ascii="宋体" w:hAnsi="宋体" w:cs="黑体"/>
              <w:kern w:val="0"/>
              <w:sz w:val="24"/>
              <w:szCs w:val="24"/>
            </w:rPr>
            <w:t>（二）供应商须知</w:t>
          </w:r>
          <w:r>
            <w:rPr>
              <w:sz w:val="24"/>
              <w:szCs w:val="24"/>
            </w:rPr>
            <w:tab/>
          </w:r>
          <w:r>
            <w:rPr>
              <w:sz w:val="24"/>
              <w:szCs w:val="24"/>
            </w:rPr>
            <w:fldChar w:fldCharType="begin"/>
          </w:r>
          <w:r>
            <w:rPr>
              <w:sz w:val="24"/>
              <w:szCs w:val="24"/>
            </w:rPr>
            <w:instrText xml:space="preserve"> PAGEREF _Toc14530 </w:instrText>
          </w:r>
          <w:r>
            <w:rPr>
              <w:sz w:val="24"/>
              <w:szCs w:val="24"/>
            </w:rPr>
            <w:fldChar w:fldCharType="separate"/>
          </w:r>
          <w:r>
            <w:rPr>
              <w:sz w:val="24"/>
              <w:szCs w:val="24"/>
            </w:rPr>
            <w:t>9</w:t>
          </w:r>
          <w:r>
            <w:rPr>
              <w:sz w:val="24"/>
              <w:szCs w:val="24"/>
            </w:rPr>
            <w:fldChar w:fldCharType="end"/>
          </w:r>
          <w:r>
            <w:rPr>
              <w:rFonts w:ascii="宋体" w:hAnsi="宋体" w:cs="黑体"/>
              <w:kern w:val="0"/>
              <w:sz w:val="24"/>
              <w:szCs w:val="24"/>
            </w:rPr>
            <w:fldChar w:fldCharType="end"/>
          </w:r>
        </w:p>
        <w:p>
          <w:pPr>
            <w:pStyle w:val="53"/>
            <w:keepNext w:val="0"/>
            <w:keepLines w:val="0"/>
            <w:pageBreakBefore w:val="0"/>
            <w:widowControl w:val="0"/>
            <w:tabs>
              <w:tab w:val="right" w:leader="dot" w:pos="9412"/>
              <w:tab w:val="clear" w:pos="8778"/>
            </w:tabs>
            <w:kinsoku/>
            <w:wordWrap/>
            <w:overflowPunct/>
            <w:topLinePunct w:val="0"/>
            <w:autoSpaceDE/>
            <w:autoSpaceDN/>
            <w:bidi w:val="0"/>
            <w:adjustRightInd/>
            <w:spacing w:line="560" w:lineRule="exact"/>
            <w:textAlignment w:val="auto"/>
            <w:outlineLvl w:val="9"/>
            <w:rPr>
              <w:sz w:val="24"/>
              <w:szCs w:val="24"/>
            </w:rPr>
          </w:pPr>
          <w:r>
            <w:rPr>
              <w:rFonts w:ascii="宋体" w:hAnsi="宋体" w:cs="黑体"/>
              <w:kern w:val="0"/>
              <w:sz w:val="24"/>
              <w:szCs w:val="24"/>
            </w:rPr>
            <w:fldChar w:fldCharType="begin"/>
          </w:r>
          <w:r>
            <w:rPr>
              <w:rFonts w:ascii="宋体" w:hAnsi="宋体" w:cs="黑体"/>
              <w:kern w:val="0"/>
              <w:sz w:val="24"/>
              <w:szCs w:val="24"/>
            </w:rPr>
            <w:instrText xml:space="preserve"> HYPERLINK \l _Toc2762 </w:instrText>
          </w:r>
          <w:r>
            <w:rPr>
              <w:rFonts w:ascii="宋体" w:hAnsi="宋体" w:cs="黑体"/>
              <w:kern w:val="0"/>
              <w:sz w:val="24"/>
              <w:szCs w:val="24"/>
            </w:rPr>
            <w:fldChar w:fldCharType="separate"/>
          </w:r>
          <w:r>
            <w:rPr>
              <w:rFonts w:hint="eastAsia" w:ascii="宋体" w:hAnsi="宋体" w:cs="黑体"/>
              <w:kern w:val="0"/>
              <w:sz w:val="24"/>
              <w:szCs w:val="24"/>
            </w:rPr>
            <w:t xml:space="preserve">第三章 </w:t>
          </w:r>
          <w:r>
            <w:rPr>
              <w:rFonts w:hint="eastAsia" w:ascii="宋体" w:hAnsi="宋体" w:cs="黑体"/>
              <w:kern w:val="0"/>
              <w:sz w:val="24"/>
              <w:szCs w:val="24"/>
              <w:lang w:val="en-US" w:eastAsia="zh-CN"/>
            </w:rPr>
            <w:t xml:space="preserve"> </w:t>
          </w:r>
          <w:r>
            <w:rPr>
              <w:rFonts w:hint="eastAsia" w:ascii="宋体" w:hAnsi="宋体" w:cs="黑体"/>
              <w:kern w:val="0"/>
              <w:sz w:val="24"/>
              <w:szCs w:val="24"/>
            </w:rPr>
            <w:t>评审办法和标准</w:t>
          </w:r>
          <w:r>
            <w:rPr>
              <w:sz w:val="24"/>
              <w:szCs w:val="24"/>
            </w:rPr>
            <w:tab/>
          </w:r>
          <w:r>
            <w:rPr>
              <w:sz w:val="24"/>
              <w:szCs w:val="24"/>
            </w:rPr>
            <w:fldChar w:fldCharType="begin"/>
          </w:r>
          <w:r>
            <w:rPr>
              <w:sz w:val="24"/>
              <w:szCs w:val="24"/>
            </w:rPr>
            <w:instrText xml:space="preserve"> PAGEREF _Toc2762 </w:instrText>
          </w:r>
          <w:r>
            <w:rPr>
              <w:sz w:val="24"/>
              <w:szCs w:val="24"/>
            </w:rPr>
            <w:fldChar w:fldCharType="separate"/>
          </w:r>
          <w:r>
            <w:rPr>
              <w:sz w:val="24"/>
              <w:szCs w:val="24"/>
            </w:rPr>
            <w:t>19</w:t>
          </w:r>
          <w:r>
            <w:rPr>
              <w:sz w:val="24"/>
              <w:szCs w:val="24"/>
            </w:rPr>
            <w:fldChar w:fldCharType="end"/>
          </w:r>
          <w:r>
            <w:rPr>
              <w:rFonts w:ascii="宋体" w:hAnsi="宋体" w:cs="黑体"/>
              <w:kern w:val="0"/>
              <w:sz w:val="24"/>
              <w:szCs w:val="24"/>
            </w:rPr>
            <w:fldChar w:fldCharType="end"/>
          </w:r>
        </w:p>
        <w:p>
          <w:pPr>
            <w:pStyle w:val="53"/>
            <w:keepNext w:val="0"/>
            <w:keepLines w:val="0"/>
            <w:pageBreakBefore w:val="0"/>
            <w:widowControl w:val="0"/>
            <w:tabs>
              <w:tab w:val="right" w:leader="dot" w:pos="9412"/>
              <w:tab w:val="clear" w:pos="8778"/>
            </w:tabs>
            <w:kinsoku/>
            <w:wordWrap/>
            <w:overflowPunct/>
            <w:topLinePunct w:val="0"/>
            <w:autoSpaceDE/>
            <w:autoSpaceDN/>
            <w:bidi w:val="0"/>
            <w:adjustRightInd/>
            <w:spacing w:line="560" w:lineRule="exact"/>
            <w:textAlignment w:val="auto"/>
            <w:outlineLvl w:val="9"/>
            <w:rPr>
              <w:sz w:val="24"/>
              <w:szCs w:val="24"/>
            </w:rPr>
          </w:pPr>
          <w:r>
            <w:rPr>
              <w:rFonts w:ascii="宋体" w:hAnsi="宋体" w:cs="黑体"/>
              <w:kern w:val="0"/>
              <w:sz w:val="24"/>
              <w:szCs w:val="24"/>
            </w:rPr>
            <w:fldChar w:fldCharType="begin"/>
          </w:r>
          <w:r>
            <w:rPr>
              <w:rFonts w:ascii="宋体" w:hAnsi="宋体" w:cs="黑体"/>
              <w:kern w:val="0"/>
              <w:sz w:val="24"/>
              <w:szCs w:val="24"/>
            </w:rPr>
            <w:instrText xml:space="preserve"> HYPERLINK \l _Toc4808 </w:instrText>
          </w:r>
          <w:r>
            <w:rPr>
              <w:rFonts w:ascii="宋体" w:hAnsi="宋体" w:cs="黑体"/>
              <w:kern w:val="0"/>
              <w:sz w:val="24"/>
              <w:szCs w:val="24"/>
            </w:rPr>
            <w:fldChar w:fldCharType="separate"/>
          </w:r>
          <w:r>
            <w:rPr>
              <w:rFonts w:hint="eastAsia"/>
              <w:sz w:val="24"/>
              <w:szCs w:val="24"/>
            </w:rPr>
            <w:t xml:space="preserve">第四章 </w:t>
          </w:r>
          <w:r>
            <w:rPr>
              <w:rFonts w:hint="eastAsia"/>
              <w:sz w:val="24"/>
              <w:szCs w:val="24"/>
              <w:lang w:val="en-US" w:eastAsia="zh-CN"/>
            </w:rPr>
            <w:t xml:space="preserve"> </w:t>
          </w:r>
          <w:r>
            <w:rPr>
              <w:rFonts w:hint="eastAsia"/>
              <w:sz w:val="24"/>
              <w:szCs w:val="24"/>
            </w:rPr>
            <w:t>合同条款及格式</w:t>
          </w:r>
          <w:r>
            <w:rPr>
              <w:sz w:val="24"/>
              <w:szCs w:val="24"/>
            </w:rPr>
            <w:tab/>
          </w:r>
          <w:r>
            <w:rPr>
              <w:sz w:val="24"/>
              <w:szCs w:val="24"/>
            </w:rPr>
            <w:fldChar w:fldCharType="begin"/>
          </w:r>
          <w:r>
            <w:rPr>
              <w:sz w:val="24"/>
              <w:szCs w:val="24"/>
            </w:rPr>
            <w:instrText xml:space="preserve"> PAGEREF _Toc4808 </w:instrText>
          </w:r>
          <w:r>
            <w:rPr>
              <w:sz w:val="24"/>
              <w:szCs w:val="24"/>
            </w:rPr>
            <w:fldChar w:fldCharType="separate"/>
          </w:r>
          <w:r>
            <w:rPr>
              <w:sz w:val="24"/>
              <w:szCs w:val="24"/>
            </w:rPr>
            <w:t>24</w:t>
          </w:r>
          <w:r>
            <w:rPr>
              <w:sz w:val="24"/>
              <w:szCs w:val="24"/>
            </w:rPr>
            <w:fldChar w:fldCharType="end"/>
          </w:r>
          <w:r>
            <w:rPr>
              <w:rFonts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_Toc21532 </w:instrText>
          </w:r>
          <w:r>
            <w:rPr>
              <w:rFonts w:hint="eastAsia" w:ascii="宋体" w:hAnsi="宋体" w:cs="黑体"/>
              <w:kern w:val="0"/>
              <w:sz w:val="24"/>
              <w:szCs w:val="24"/>
            </w:rPr>
            <w:fldChar w:fldCharType="separate"/>
          </w:r>
          <w:r>
            <w:rPr>
              <w:rFonts w:hint="eastAsia" w:ascii="宋体" w:hAnsi="宋体" w:cs="黑体"/>
              <w:kern w:val="0"/>
              <w:sz w:val="24"/>
              <w:szCs w:val="24"/>
            </w:rPr>
            <w:t>第一节</w:t>
          </w:r>
          <w:r>
            <w:rPr>
              <w:rFonts w:hint="eastAsia" w:ascii="宋体" w:hAnsi="宋体" w:cs="黑体"/>
              <w:kern w:val="0"/>
              <w:sz w:val="24"/>
              <w:szCs w:val="24"/>
              <w:lang w:val="en-US" w:eastAsia="zh-CN"/>
            </w:rPr>
            <w:t xml:space="preserve"> </w:t>
          </w:r>
          <w:r>
            <w:rPr>
              <w:rFonts w:hint="eastAsia" w:ascii="宋体" w:hAnsi="宋体" w:cs="黑体"/>
              <w:kern w:val="0"/>
              <w:sz w:val="24"/>
              <w:szCs w:val="24"/>
            </w:rPr>
            <w:t xml:space="preserve"> 通用合同条款</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_Toc21532 </w:instrText>
          </w:r>
          <w:r>
            <w:rPr>
              <w:rFonts w:hint="eastAsia" w:ascii="宋体" w:hAnsi="宋体" w:cs="黑体"/>
              <w:kern w:val="0"/>
              <w:sz w:val="24"/>
              <w:szCs w:val="24"/>
            </w:rPr>
            <w:fldChar w:fldCharType="separate"/>
          </w:r>
          <w:r>
            <w:rPr>
              <w:rFonts w:hint="eastAsia" w:ascii="宋体" w:hAnsi="宋体" w:cs="黑体"/>
              <w:kern w:val="0"/>
              <w:sz w:val="24"/>
              <w:szCs w:val="24"/>
            </w:rPr>
            <w:t>24</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_Toc19221 </w:instrText>
          </w:r>
          <w:r>
            <w:rPr>
              <w:rFonts w:hint="eastAsia" w:ascii="宋体" w:hAnsi="宋体" w:cs="黑体"/>
              <w:kern w:val="0"/>
              <w:sz w:val="24"/>
              <w:szCs w:val="24"/>
            </w:rPr>
            <w:fldChar w:fldCharType="separate"/>
          </w:r>
          <w:r>
            <w:rPr>
              <w:rFonts w:hint="eastAsia" w:ascii="宋体" w:hAnsi="宋体" w:cs="黑体"/>
              <w:kern w:val="0"/>
              <w:sz w:val="24"/>
              <w:szCs w:val="24"/>
            </w:rPr>
            <w:t xml:space="preserve">第二节 </w:t>
          </w:r>
          <w:r>
            <w:rPr>
              <w:rFonts w:hint="eastAsia" w:ascii="宋体" w:hAnsi="宋体" w:cs="黑体"/>
              <w:kern w:val="0"/>
              <w:sz w:val="24"/>
              <w:szCs w:val="24"/>
              <w:lang w:val="en-US" w:eastAsia="zh-CN"/>
            </w:rPr>
            <w:t xml:space="preserve"> </w:t>
          </w:r>
          <w:r>
            <w:rPr>
              <w:rFonts w:hint="eastAsia" w:ascii="宋体" w:hAnsi="宋体" w:cs="黑体"/>
              <w:kern w:val="0"/>
              <w:sz w:val="24"/>
              <w:szCs w:val="24"/>
            </w:rPr>
            <w:t>专用合同条款</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_Toc19221 </w:instrText>
          </w:r>
          <w:r>
            <w:rPr>
              <w:rFonts w:hint="eastAsia" w:ascii="宋体" w:hAnsi="宋体" w:cs="黑体"/>
              <w:kern w:val="0"/>
              <w:sz w:val="24"/>
              <w:szCs w:val="24"/>
            </w:rPr>
            <w:fldChar w:fldCharType="separate"/>
          </w:r>
          <w:r>
            <w:rPr>
              <w:rFonts w:hint="eastAsia" w:ascii="宋体" w:hAnsi="宋体" w:cs="黑体"/>
              <w:kern w:val="0"/>
              <w:sz w:val="24"/>
              <w:szCs w:val="24"/>
            </w:rPr>
            <w:t>39</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_Toc19082 </w:instrText>
          </w:r>
          <w:r>
            <w:rPr>
              <w:rFonts w:hint="eastAsia" w:ascii="宋体" w:hAnsi="宋体" w:cs="黑体"/>
              <w:kern w:val="0"/>
              <w:sz w:val="24"/>
              <w:szCs w:val="24"/>
            </w:rPr>
            <w:fldChar w:fldCharType="separate"/>
          </w:r>
          <w:r>
            <w:rPr>
              <w:rFonts w:hint="eastAsia" w:ascii="宋体" w:hAnsi="宋体" w:cs="黑体"/>
              <w:kern w:val="0"/>
              <w:sz w:val="24"/>
              <w:szCs w:val="24"/>
            </w:rPr>
            <w:t>第三节</w:t>
          </w:r>
          <w:r>
            <w:rPr>
              <w:rFonts w:hint="eastAsia" w:ascii="宋体" w:hAnsi="宋体" w:cs="黑体"/>
              <w:kern w:val="0"/>
              <w:sz w:val="24"/>
              <w:szCs w:val="24"/>
              <w:lang w:val="en-US" w:eastAsia="zh-CN"/>
            </w:rPr>
            <w:t xml:space="preserve">  </w:t>
          </w:r>
          <w:r>
            <w:rPr>
              <w:rFonts w:hint="eastAsia" w:ascii="宋体" w:hAnsi="宋体" w:cs="黑体"/>
              <w:kern w:val="0"/>
              <w:sz w:val="24"/>
              <w:szCs w:val="24"/>
            </w:rPr>
            <w:t>合同附件格式</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_Toc19082 </w:instrText>
          </w:r>
          <w:r>
            <w:rPr>
              <w:rFonts w:hint="eastAsia" w:ascii="宋体" w:hAnsi="宋体" w:cs="黑体"/>
              <w:kern w:val="0"/>
              <w:sz w:val="24"/>
              <w:szCs w:val="24"/>
            </w:rPr>
            <w:fldChar w:fldCharType="separate"/>
          </w:r>
          <w:r>
            <w:rPr>
              <w:rFonts w:hint="eastAsia" w:ascii="宋体" w:hAnsi="宋体" w:cs="黑体"/>
              <w:kern w:val="0"/>
              <w:sz w:val="24"/>
              <w:szCs w:val="24"/>
            </w:rPr>
            <w:t>44</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53"/>
            <w:keepNext w:val="0"/>
            <w:keepLines w:val="0"/>
            <w:pageBreakBefore w:val="0"/>
            <w:widowControl w:val="0"/>
            <w:tabs>
              <w:tab w:val="right" w:leader="dot" w:pos="9412"/>
              <w:tab w:val="clear" w:pos="8778"/>
            </w:tabs>
            <w:kinsoku/>
            <w:wordWrap/>
            <w:overflowPunct/>
            <w:topLinePunct w:val="0"/>
            <w:autoSpaceDE/>
            <w:autoSpaceDN/>
            <w:bidi w:val="0"/>
            <w:adjustRightInd/>
            <w:spacing w:line="560" w:lineRule="exact"/>
            <w:textAlignment w:val="auto"/>
            <w:outlineLvl w:val="9"/>
            <w:rPr>
              <w:sz w:val="24"/>
              <w:szCs w:val="24"/>
            </w:rPr>
          </w:pPr>
          <w:r>
            <w:rPr>
              <w:rFonts w:ascii="宋体" w:hAnsi="宋体" w:cs="黑体"/>
              <w:kern w:val="0"/>
              <w:sz w:val="24"/>
              <w:szCs w:val="24"/>
            </w:rPr>
            <w:fldChar w:fldCharType="begin"/>
          </w:r>
          <w:r>
            <w:rPr>
              <w:rFonts w:ascii="宋体" w:hAnsi="宋体" w:cs="黑体"/>
              <w:kern w:val="0"/>
              <w:sz w:val="24"/>
              <w:szCs w:val="24"/>
            </w:rPr>
            <w:instrText xml:space="preserve"> HYPERLINK \l _Toc8628 </w:instrText>
          </w:r>
          <w:r>
            <w:rPr>
              <w:rFonts w:ascii="宋体" w:hAnsi="宋体" w:cs="黑体"/>
              <w:kern w:val="0"/>
              <w:sz w:val="24"/>
              <w:szCs w:val="24"/>
            </w:rPr>
            <w:fldChar w:fldCharType="separate"/>
          </w:r>
          <w:r>
            <w:rPr>
              <w:rFonts w:ascii="宋体" w:hAnsi="宋体" w:cs="宋体"/>
              <w:sz w:val="24"/>
              <w:szCs w:val="24"/>
            </w:rPr>
            <w:t>第五章</w:t>
          </w:r>
          <w:r>
            <w:rPr>
              <w:rFonts w:hint="eastAsia" w:ascii="宋体" w:hAnsi="宋体" w:cs="宋体"/>
              <w:sz w:val="24"/>
              <w:szCs w:val="24"/>
              <w:lang w:val="en-US" w:eastAsia="zh-CN"/>
            </w:rPr>
            <w:t xml:space="preserve">  </w:t>
          </w:r>
          <w:r>
            <w:rPr>
              <w:rFonts w:hint="eastAsia" w:ascii="宋体" w:hAnsi="宋体" w:cs="宋体"/>
              <w:sz w:val="24"/>
              <w:szCs w:val="24"/>
            </w:rPr>
            <w:t>工程量清单（综合单价）</w:t>
          </w:r>
          <w:r>
            <w:rPr>
              <w:sz w:val="24"/>
              <w:szCs w:val="24"/>
            </w:rPr>
            <w:tab/>
          </w:r>
          <w:r>
            <w:rPr>
              <w:sz w:val="24"/>
              <w:szCs w:val="24"/>
            </w:rPr>
            <w:fldChar w:fldCharType="begin"/>
          </w:r>
          <w:r>
            <w:rPr>
              <w:sz w:val="24"/>
              <w:szCs w:val="24"/>
            </w:rPr>
            <w:instrText xml:space="preserve"> PAGEREF _Toc8628 </w:instrText>
          </w:r>
          <w:r>
            <w:rPr>
              <w:sz w:val="24"/>
              <w:szCs w:val="24"/>
            </w:rPr>
            <w:fldChar w:fldCharType="separate"/>
          </w:r>
          <w:r>
            <w:rPr>
              <w:sz w:val="24"/>
              <w:szCs w:val="24"/>
            </w:rPr>
            <w:t>51</w:t>
          </w:r>
          <w:r>
            <w:rPr>
              <w:sz w:val="24"/>
              <w:szCs w:val="24"/>
            </w:rPr>
            <w:fldChar w:fldCharType="end"/>
          </w:r>
          <w:r>
            <w:rPr>
              <w:rFonts w:ascii="宋体" w:hAnsi="宋体" w:cs="黑体"/>
              <w:kern w:val="0"/>
              <w:sz w:val="24"/>
              <w:szCs w:val="24"/>
            </w:rPr>
            <w:fldChar w:fldCharType="end"/>
          </w:r>
        </w:p>
        <w:p>
          <w:pPr>
            <w:pStyle w:val="53"/>
            <w:keepNext w:val="0"/>
            <w:keepLines w:val="0"/>
            <w:pageBreakBefore w:val="0"/>
            <w:widowControl w:val="0"/>
            <w:tabs>
              <w:tab w:val="right" w:leader="dot" w:pos="9412"/>
              <w:tab w:val="clear" w:pos="8778"/>
            </w:tabs>
            <w:kinsoku/>
            <w:wordWrap/>
            <w:overflowPunct/>
            <w:topLinePunct w:val="0"/>
            <w:autoSpaceDE/>
            <w:autoSpaceDN/>
            <w:bidi w:val="0"/>
            <w:adjustRightInd/>
            <w:spacing w:line="560" w:lineRule="exact"/>
            <w:textAlignment w:val="auto"/>
            <w:outlineLvl w:val="9"/>
            <w:rPr>
              <w:sz w:val="24"/>
              <w:szCs w:val="24"/>
            </w:rPr>
          </w:pPr>
          <w:r>
            <w:rPr>
              <w:rFonts w:ascii="宋体" w:hAnsi="宋体" w:cs="黑体"/>
              <w:kern w:val="0"/>
              <w:sz w:val="24"/>
              <w:szCs w:val="24"/>
            </w:rPr>
            <w:fldChar w:fldCharType="begin"/>
          </w:r>
          <w:r>
            <w:rPr>
              <w:rFonts w:ascii="宋体" w:hAnsi="宋体" w:cs="黑体"/>
              <w:kern w:val="0"/>
              <w:sz w:val="24"/>
              <w:szCs w:val="24"/>
            </w:rPr>
            <w:instrText xml:space="preserve"> HYPERLINK \l _Toc28310 </w:instrText>
          </w:r>
          <w:r>
            <w:rPr>
              <w:rFonts w:ascii="宋体" w:hAnsi="宋体" w:cs="黑体"/>
              <w:kern w:val="0"/>
              <w:sz w:val="24"/>
              <w:szCs w:val="24"/>
            </w:rPr>
            <w:fldChar w:fldCharType="separate"/>
          </w:r>
          <w:r>
            <w:rPr>
              <w:rFonts w:hint="eastAsia"/>
              <w:sz w:val="24"/>
              <w:szCs w:val="24"/>
              <w:highlight w:val="none"/>
            </w:rPr>
            <w:t>第六章</w:t>
          </w:r>
          <w:r>
            <w:rPr>
              <w:sz w:val="24"/>
              <w:szCs w:val="24"/>
              <w:highlight w:val="none"/>
            </w:rPr>
            <w:t xml:space="preserve"> </w:t>
          </w:r>
          <w:r>
            <w:rPr>
              <w:rFonts w:hint="eastAsia"/>
              <w:sz w:val="24"/>
              <w:szCs w:val="24"/>
              <w:highlight w:val="none"/>
              <w:lang w:val="en-US" w:eastAsia="zh-CN"/>
            </w:rPr>
            <w:t xml:space="preserve"> </w:t>
          </w:r>
          <w:r>
            <w:rPr>
              <w:rFonts w:hint="eastAsia"/>
              <w:sz w:val="24"/>
              <w:szCs w:val="24"/>
              <w:highlight w:val="none"/>
            </w:rPr>
            <w:t>技术标准和要求</w:t>
          </w:r>
          <w:r>
            <w:rPr>
              <w:sz w:val="24"/>
              <w:szCs w:val="24"/>
            </w:rPr>
            <w:tab/>
          </w:r>
          <w:r>
            <w:rPr>
              <w:sz w:val="24"/>
              <w:szCs w:val="24"/>
            </w:rPr>
            <w:fldChar w:fldCharType="begin"/>
          </w:r>
          <w:r>
            <w:rPr>
              <w:sz w:val="24"/>
              <w:szCs w:val="24"/>
            </w:rPr>
            <w:instrText xml:space="preserve"> PAGEREF _Toc28310 </w:instrText>
          </w:r>
          <w:r>
            <w:rPr>
              <w:sz w:val="24"/>
              <w:szCs w:val="24"/>
            </w:rPr>
            <w:fldChar w:fldCharType="separate"/>
          </w:r>
          <w:r>
            <w:rPr>
              <w:sz w:val="24"/>
              <w:szCs w:val="24"/>
            </w:rPr>
            <w:t>58</w:t>
          </w:r>
          <w:r>
            <w:rPr>
              <w:sz w:val="24"/>
              <w:szCs w:val="24"/>
            </w:rPr>
            <w:fldChar w:fldCharType="end"/>
          </w:r>
          <w:r>
            <w:rPr>
              <w:rFonts w:ascii="宋体" w:hAnsi="宋体" w:cs="黑体"/>
              <w:kern w:val="0"/>
              <w:sz w:val="24"/>
              <w:szCs w:val="24"/>
            </w:rPr>
            <w:fldChar w:fldCharType="end"/>
          </w:r>
        </w:p>
        <w:p>
          <w:pPr>
            <w:pStyle w:val="53"/>
            <w:keepNext w:val="0"/>
            <w:keepLines w:val="0"/>
            <w:pageBreakBefore w:val="0"/>
            <w:widowControl w:val="0"/>
            <w:tabs>
              <w:tab w:val="right" w:leader="dot" w:pos="9412"/>
              <w:tab w:val="clear" w:pos="8778"/>
            </w:tabs>
            <w:kinsoku/>
            <w:wordWrap/>
            <w:overflowPunct/>
            <w:topLinePunct w:val="0"/>
            <w:autoSpaceDE/>
            <w:autoSpaceDN/>
            <w:bidi w:val="0"/>
            <w:adjustRightInd/>
            <w:spacing w:line="560" w:lineRule="exact"/>
            <w:textAlignment w:val="auto"/>
            <w:outlineLvl w:val="9"/>
            <w:rPr>
              <w:sz w:val="24"/>
              <w:szCs w:val="24"/>
            </w:rPr>
          </w:pPr>
          <w:r>
            <w:rPr>
              <w:rFonts w:ascii="宋体" w:hAnsi="宋体" w:cs="黑体"/>
              <w:kern w:val="0"/>
              <w:sz w:val="24"/>
              <w:szCs w:val="24"/>
            </w:rPr>
            <w:fldChar w:fldCharType="begin"/>
          </w:r>
          <w:r>
            <w:rPr>
              <w:rFonts w:ascii="宋体" w:hAnsi="宋体" w:cs="黑体"/>
              <w:kern w:val="0"/>
              <w:sz w:val="24"/>
              <w:szCs w:val="24"/>
            </w:rPr>
            <w:instrText xml:space="preserve"> HYPERLINK \l _Toc29219 </w:instrText>
          </w:r>
          <w:r>
            <w:rPr>
              <w:rFonts w:ascii="宋体" w:hAnsi="宋体" w:cs="黑体"/>
              <w:kern w:val="0"/>
              <w:sz w:val="24"/>
              <w:szCs w:val="24"/>
            </w:rPr>
            <w:fldChar w:fldCharType="separate"/>
          </w:r>
          <w:r>
            <w:rPr>
              <w:rFonts w:hint="eastAsia"/>
              <w:sz w:val="24"/>
              <w:szCs w:val="24"/>
            </w:rPr>
            <w:t>第七章</w:t>
          </w:r>
          <w:r>
            <w:rPr>
              <w:rFonts w:hint="eastAsia"/>
              <w:sz w:val="24"/>
              <w:szCs w:val="24"/>
              <w:lang w:val="en-US" w:eastAsia="zh-CN"/>
            </w:rPr>
            <w:t xml:space="preserve">  </w:t>
          </w:r>
          <w:r>
            <w:rPr>
              <w:rFonts w:hint="eastAsia"/>
              <w:sz w:val="24"/>
              <w:szCs w:val="24"/>
            </w:rPr>
            <w:t>响应文件格式</w:t>
          </w:r>
          <w:r>
            <w:rPr>
              <w:sz w:val="24"/>
              <w:szCs w:val="24"/>
            </w:rPr>
            <w:tab/>
          </w:r>
          <w:r>
            <w:rPr>
              <w:sz w:val="24"/>
              <w:szCs w:val="24"/>
            </w:rPr>
            <w:fldChar w:fldCharType="begin"/>
          </w:r>
          <w:r>
            <w:rPr>
              <w:sz w:val="24"/>
              <w:szCs w:val="24"/>
            </w:rPr>
            <w:instrText xml:space="preserve"> PAGEREF _Toc29219 </w:instrText>
          </w:r>
          <w:r>
            <w:rPr>
              <w:sz w:val="24"/>
              <w:szCs w:val="24"/>
            </w:rPr>
            <w:fldChar w:fldCharType="separate"/>
          </w:r>
          <w:r>
            <w:rPr>
              <w:sz w:val="24"/>
              <w:szCs w:val="24"/>
            </w:rPr>
            <w:t>59</w:t>
          </w:r>
          <w:r>
            <w:rPr>
              <w:sz w:val="24"/>
              <w:szCs w:val="24"/>
            </w:rPr>
            <w:fldChar w:fldCharType="end"/>
          </w:r>
          <w:r>
            <w:rPr>
              <w:rFonts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_Toc10540 </w:instrText>
          </w:r>
          <w:r>
            <w:rPr>
              <w:rFonts w:hint="eastAsia" w:ascii="宋体" w:hAnsi="宋体" w:cs="黑体"/>
              <w:kern w:val="0"/>
              <w:sz w:val="24"/>
              <w:szCs w:val="24"/>
            </w:rPr>
            <w:fldChar w:fldCharType="separate"/>
          </w:r>
          <w:r>
            <w:rPr>
              <w:rFonts w:hint="eastAsia" w:ascii="宋体" w:hAnsi="宋体" w:cs="黑体"/>
              <w:kern w:val="0"/>
              <w:sz w:val="24"/>
              <w:szCs w:val="24"/>
            </w:rPr>
            <w:t>评审索引</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_Toc10540 </w:instrText>
          </w:r>
          <w:r>
            <w:rPr>
              <w:rFonts w:hint="eastAsia" w:ascii="宋体" w:hAnsi="宋体" w:cs="黑体"/>
              <w:kern w:val="0"/>
              <w:sz w:val="24"/>
              <w:szCs w:val="24"/>
            </w:rPr>
            <w:fldChar w:fldCharType="separate"/>
          </w:r>
          <w:r>
            <w:rPr>
              <w:rFonts w:hint="eastAsia" w:ascii="宋体" w:hAnsi="宋体" w:cs="黑体"/>
              <w:kern w:val="0"/>
              <w:sz w:val="24"/>
              <w:szCs w:val="24"/>
            </w:rPr>
            <w:t>60</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_Toc16438 </w:instrText>
          </w:r>
          <w:r>
            <w:rPr>
              <w:rFonts w:hint="eastAsia" w:ascii="宋体" w:hAnsi="宋体" w:cs="黑体"/>
              <w:kern w:val="0"/>
              <w:sz w:val="24"/>
              <w:szCs w:val="24"/>
            </w:rPr>
            <w:fldChar w:fldCharType="separate"/>
          </w:r>
          <w:r>
            <w:rPr>
              <w:rFonts w:hint="eastAsia" w:ascii="宋体" w:hAnsi="宋体" w:cs="黑体"/>
              <w:kern w:val="0"/>
              <w:sz w:val="24"/>
              <w:szCs w:val="24"/>
            </w:rPr>
            <w:t>附件1 报价函及报价函附录</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_Toc16438 </w:instrText>
          </w:r>
          <w:r>
            <w:rPr>
              <w:rFonts w:hint="eastAsia" w:ascii="宋体" w:hAnsi="宋体" w:cs="黑体"/>
              <w:kern w:val="0"/>
              <w:sz w:val="24"/>
              <w:szCs w:val="24"/>
            </w:rPr>
            <w:fldChar w:fldCharType="separate"/>
          </w:r>
          <w:r>
            <w:rPr>
              <w:rFonts w:hint="eastAsia" w:ascii="宋体" w:hAnsi="宋体" w:cs="黑体"/>
              <w:kern w:val="0"/>
              <w:sz w:val="24"/>
              <w:szCs w:val="24"/>
            </w:rPr>
            <w:t>61</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_Toc794 </w:instrText>
          </w:r>
          <w:r>
            <w:rPr>
              <w:rFonts w:hint="eastAsia" w:ascii="宋体" w:hAnsi="宋体" w:cs="黑体"/>
              <w:kern w:val="0"/>
              <w:sz w:val="24"/>
              <w:szCs w:val="24"/>
            </w:rPr>
            <w:fldChar w:fldCharType="separate"/>
          </w:r>
          <w:r>
            <w:rPr>
              <w:rFonts w:hint="eastAsia" w:ascii="宋体" w:hAnsi="宋体" w:cs="黑体"/>
              <w:kern w:val="0"/>
              <w:sz w:val="24"/>
              <w:szCs w:val="24"/>
            </w:rPr>
            <w:t>附件2 法定代表人身份证明</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_Toc794 </w:instrText>
          </w:r>
          <w:r>
            <w:rPr>
              <w:rFonts w:hint="eastAsia" w:ascii="宋体" w:hAnsi="宋体" w:cs="黑体"/>
              <w:kern w:val="0"/>
              <w:sz w:val="24"/>
              <w:szCs w:val="24"/>
            </w:rPr>
            <w:fldChar w:fldCharType="separate"/>
          </w:r>
          <w:r>
            <w:rPr>
              <w:rFonts w:hint="eastAsia" w:ascii="宋体" w:hAnsi="宋体" w:cs="黑体"/>
              <w:kern w:val="0"/>
              <w:sz w:val="24"/>
              <w:szCs w:val="24"/>
            </w:rPr>
            <w:t>63</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_Toc11542 </w:instrText>
          </w:r>
          <w:r>
            <w:rPr>
              <w:rFonts w:hint="eastAsia" w:ascii="宋体" w:hAnsi="宋体" w:cs="黑体"/>
              <w:kern w:val="0"/>
              <w:sz w:val="24"/>
              <w:szCs w:val="24"/>
            </w:rPr>
            <w:fldChar w:fldCharType="separate"/>
          </w:r>
          <w:r>
            <w:rPr>
              <w:rFonts w:hint="eastAsia" w:ascii="宋体" w:hAnsi="宋体" w:cs="黑体"/>
              <w:kern w:val="0"/>
              <w:sz w:val="24"/>
              <w:szCs w:val="24"/>
            </w:rPr>
            <w:t>附件3 授权委托书</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_Toc11542 </w:instrText>
          </w:r>
          <w:r>
            <w:rPr>
              <w:rFonts w:hint="eastAsia" w:ascii="宋体" w:hAnsi="宋体" w:cs="黑体"/>
              <w:kern w:val="0"/>
              <w:sz w:val="24"/>
              <w:szCs w:val="24"/>
            </w:rPr>
            <w:fldChar w:fldCharType="separate"/>
          </w:r>
          <w:r>
            <w:rPr>
              <w:rFonts w:hint="eastAsia" w:ascii="宋体" w:hAnsi="宋体" w:cs="黑体"/>
              <w:kern w:val="0"/>
              <w:sz w:val="24"/>
              <w:szCs w:val="24"/>
            </w:rPr>
            <w:t>64</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_Toc30492 </w:instrText>
          </w:r>
          <w:r>
            <w:rPr>
              <w:rFonts w:hint="eastAsia" w:ascii="宋体" w:hAnsi="宋体" w:cs="黑体"/>
              <w:kern w:val="0"/>
              <w:sz w:val="24"/>
              <w:szCs w:val="24"/>
            </w:rPr>
            <w:fldChar w:fldCharType="separate"/>
          </w:r>
          <w:r>
            <w:rPr>
              <w:rFonts w:hint="eastAsia" w:ascii="宋体" w:hAnsi="宋体" w:cs="黑体"/>
              <w:kern w:val="0"/>
              <w:sz w:val="24"/>
              <w:szCs w:val="24"/>
            </w:rPr>
            <w:t>附件4 谈判保证金</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_Toc30492 </w:instrText>
          </w:r>
          <w:r>
            <w:rPr>
              <w:rFonts w:hint="eastAsia" w:ascii="宋体" w:hAnsi="宋体" w:cs="黑体"/>
              <w:kern w:val="0"/>
              <w:sz w:val="24"/>
              <w:szCs w:val="24"/>
            </w:rPr>
            <w:fldChar w:fldCharType="separate"/>
          </w:r>
          <w:r>
            <w:rPr>
              <w:rFonts w:hint="eastAsia" w:ascii="宋体" w:hAnsi="宋体" w:cs="黑体"/>
              <w:kern w:val="0"/>
              <w:sz w:val="24"/>
              <w:szCs w:val="24"/>
            </w:rPr>
            <w:t>65</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_Toc8524 </w:instrText>
          </w:r>
          <w:r>
            <w:rPr>
              <w:rFonts w:hint="eastAsia" w:ascii="宋体" w:hAnsi="宋体" w:cs="黑体"/>
              <w:kern w:val="0"/>
              <w:sz w:val="24"/>
              <w:szCs w:val="24"/>
            </w:rPr>
            <w:fldChar w:fldCharType="separate"/>
          </w:r>
          <w:r>
            <w:rPr>
              <w:rFonts w:hint="eastAsia" w:ascii="宋体" w:hAnsi="宋体" w:cs="黑体"/>
              <w:kern w:val="0"/>
              <w:sz w:val="24"/>
              <w:szCs w:val="24"/>
            </w:rPr>
            <w:t>附件5 已标价工程量清单（综合单价）</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_Toc8524 </w:instrText>
          </w:r>
          <w:r>
            <w:rPr>
              <w:rFonts w:hint="eastAsia" w:ascii="宋体" w:hAnsi="宋体" w:cs="黑体"/>
              <w:kern w:val="0"/>
              <w:sz w:val="24"/>
              <w:szCs w:val="24"/>
            </w:rPr>
            <w:fldChar w:fldCharType="separate"/>
          </w:r>
          <w:r>
            <w:rPr>
              <w:rFonts w:hint="eastAsia" w:ascii="宋体" w:hAnsi="宋体" w:cs="黑体"/>
              <w:kern w:val="0"/>
              <w:sz w:val="24"/>
              <w:szCs w:val="24"/>
            </w:rPr>
            <w:t>66</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_Toc10599 </w:instrText>
          </w:r>
          <w:r>
            <w:rPr>
              <w:rFonts w:hint="eastAsia" w:ascii="宋体" w:hAnsi="宋体" w:cs="黑体"/>
              <w:kern w:val="0"/>
              <w:sz w:val="24"/>
              <w:szCs w:val="24"/>
            </w:rPr>
            <w:fldChar w:fldCharType="separate"/>
          </w:r>
          <w:r>
            <w:rPr>
              <w:rFonts w:hint="eastAsia" w:ascii="宋体" w:hAnsi="宋体" w:cs="黑体"/>
              <w:kern w:val="0"/>
              <w:sz w:val="24"/>
              <w:szCs w:val="24"/>
            </w:rPr>
            <w:t>附件6 商务、合同条款偏差表</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_Toc10599 </w:instrText>
          </w:r>
          <w:r>
            <w:rPr>
              <w:rFonts w:hint="eastAsia" w:ascii="宋体" w:hAnsi="宋体" w:cs="黑体"/>
              <w:kern w:val="0"/>
              <w:sz w:val="24"/>
              <w:szCs w:val="24"/>
            </w:rPr>
            <w:fldChar w:fldCharType="separate"/>
          </w:r>
          <w:r>
            <w:rPr>
              <w:rFonts w:hint="eastAsia" w:ascii="宋体" w:hAnsi="宋体" w:cs="黑体"/>
              <w:kern w:val="0"/>
              <w:sz w:val="24"/>
              <w:szCs w:val="24"/>
            </w:rPr>
            <w:t>67</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_Toc24256 </w:instrText>
          </w:r>
          <w:r>
            <w:rPr>
              <w:rFonts w:hint="eastAsia" w:ascii="宋体" w:hAnsi="宋体" w:cs="黑体"/>
              <w:kern w:val="0"/>
              <w:sz w:val="24"/>
              <w:szCs w:val="24"/>
            </w:rPr>
            <w:fldChar w:fldCharType="separate"/>
          </w:r>
          <w:r>
            <w:rPr>
              <w:rFonts w:hint="eastAsia" w:ascii="宋体" w:hAnsi="宋体" w:cs="黑体"/>
              <w:kern w:val="0"/>
              <w:sz w:val="24"/>
              <w:szCs w:val="24"/>
            </w:rPr>
            <w:t>附件7 资格证明文件</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_Toc24256 </w:instrText>
          </w:r>
          <w:r>
            <w:rPr>
              <w:rFonts w:hint="eastAsia" w:ascii="宋体" w:hAnsi="宋体" w:cs="黑体"/>
              <w:kern w:val="0"/>
              <w:sz w:val="24"/>
              <w:szCs w:val="24"/>
            </w:rPr>
            <w:fldChar w:fldCharType="separate"/>
          </w:r>
          <w:r>
            <w:rPr>
              <w:rFonts w:hint="eastAsia" w:ascii="宋体" w:hAnsi="宋体" w:cs="黑体"/>
              <w:kern w:val="0"/>
              <w:sz w:val="24"/>
              <w:szCs w:val="24"/>
            </w:rPr>
            <w:t>68</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_Toc29259 </w:instrText>
          </w:r>
          <w:r>
            <w:rPr>
              <w:rFonts w:hint="eastAsia" w:ascii="宋体" w:hAnsi="宋体" w:cs="黑体"/>
              <w:kern w:val="0"/>
              <w:sz w:val="24"/>
              <w:szCs w:val="24"/>
            </w:rPr>
            <w:fldChar w:fldCharType="separate"/>
          </w:r>
          <w:r>
            <w:rPr>
              <w:rFonts w:hint="eastAsia" w:ascii="宋体" w:hAnsi="宋体" w:cs="黑体"/>
              <w:kern w:val="0"/>
              <w:sz w:val="24"/>
              <w:szCs w:val="24"/>
            </w:rPr>
            <w:t>附件8 小微企业、监狱企业、残疾人福利单位的声明函或证明材料</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_Toc29259 </w:instrText>
          </w:r>
          <w:r>
            <w:rPr>
              <w:rFonts w:hint="eastAsia" w:ascii="宋体" w:hAnsi="宋体" w:cs="黑体"/>
              <w:kern w:val="0"/>
              <w:sz w:val="24"/>
              <w:szCs w:val="24"/>
            </w:rPr>
            <w:fldChar w:fldCharType="separate"/>
          </w:r>
          <w:r>
            <w:rPr>
              <w:rFonts w:hint="eastAsia" w:ascii="宋体" w:hAnsi="宋体" w:cs="黑体"/>
              <w:kern w:val="0"/>
              <w:sz w:val="24"/>
              <w:szCs w:val="24"/>
            </w:rPr>
            <w:t>79</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_Toc10017 </w:instrText>
          </w:r>
          <w:r>
            <w:rPr>
              <w:rFonts w:hint="eastAsia" w:ascii="宋体" w:hAnsi="宋体" w:cs="黑体"/>
              <w:kern w:val="0"/>
              <w:sz w:val="24"/>
              <w:szCs w:val="24"/>
            </w:rPr>
            <w:fldChar w:fldCharType="separate"/>
          </w:r>
          <w:r>
            <w:rPr>
              <w:rFonts w:hint="eastAsia" w:ascii="宋体" w:hAnsi="宋体" w:cs="黑体"/>
              <w:kern w:val="0"/>
              <w:sz w:val="24"/>
              <w:szCs w:val="24"/>
            </w:rPr>
            <w:t>附件9 供应商承诺书</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_Toc10017 </w:instrText>
          </w:r>
          <w:r>
            <w:rPr>
              <w:rFonts w:hint="eastAsia" w:ascii="宋体" w:hAnsi="宋体" w:cs="黑体"/>
              <w:kern w:val="0"/>
              <w:sz w:val="24"/>
              <w:szCs w:val="24"/>
            </w:rPr>
            <w:fldChar w:fldCharType="separate"/>
          </w:r>
          <w:r>
            <w:rPr>
              <w:rFonts w:hint="eastAsia" w:ascii="宋体" w:hAnsi="宋体" w:cs="黑体"/>
              <w:kern w:val="0"/>
              <w:sz w:val="24"/>
              <w:szCs w:val="24"/>
            </w:rPr>
            <w:t>82</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_Toc31493 </w:instrText>
          </w:r>
          <w:r>
            <w:rPr>
              <w:rFonts w:hint="eastAsia" w:ascii="宋体" w:hAnsi="宋体" w:cs="黑体"/>
              <w:kern w:val="0"/>
              <w:sz w:val="24"/>
              <w:szCs w:val="24"/>
            </w:rPr>
            <w:fldChar w:fldCharType="separate"/>
          </w:r>
          <w:r>
            <w:rPr>
              <w:rFonts w:hint="eastAsia" w:ascii="宋体" w:hAnsi="宋体" w:cs="黑体"/>
              <w:kern w:val="0"/>
              <w:sz w:val="24"/>
              <w:szCs w:val="24"/>
            </w:rPr>
            <w:t>附件1</w:t>
          </w:r>
          <w:r>
            <w:rPr>
              <w:rFonts w:hint="eastAsia" w:ascii="宋体" w:hAnsi="宋体" w:cs="黑体"/>
              <w:kern w:val="0"/>
              <w:sz w:val="24"/>
              <w:szCs w:val="24"/>
              <w:lang w:val="en-US" w:eastAsia="zh-CN"/>
            </w:rPr>
            <w:t>0</w:t>
          </w:r>
          <w:r>
            <w:rPr>
              <w:rFonts w:hint="eastAsia" w:ascii="宋体" w:hAnsi="宋体" w:cs="黑体"/>
              <w:kern w:val="0"/>
              <w:sz w:val="24"/>
              <w:szCs w:val="24"/>
            </w:rPr>
            <w:t xml:space="preserve"> 施工组织设计</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_Toc31493 </w:instrText>
          </w:r>
          <w:r>
            <w:rPr>
              <w:rFonts w:hint="eastAsia" w:ascii="宋体" w:hAnsi="宋体" w:cs="黑体"/>
              <w:kern w:val="0"/>
              <w:sz w:val="24"/>
              <w:szCs w:val="24"/>
            </w:rPr>
            <w:fldChar w:fldCharType="separate"/>
          </w:r>
          <w:r>
            <w:rPr>
              <w:rFonts w:hint="eastAsia" w:ascii="宋体" w:hAnsi="宋体" w:cs="黑体"/>
              <w:kern w:val="0"/>
              <w:sz w:val="24"/>
              <w:szCs w:val="24"/>
            </w:rPr>
            <w:t>83</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_Toc6976 </w:instrText>
          </w:r>
          <w:r>
            <w:rPr>
              <w:rFonts w:hint="eastAsia" w:ascii="宋体" w:hAnsi="宋体" w:cs="黑体"/>
              <w:kern w:val="0"/>
              <w:sz w:val="24"/>
              <w:szCs w:val="24"/>
            </w:rPr>
            <w:fldChar w:fldCharType="separate"/>
          </w:r>
          <w:r>
            <w:rPr>
              <w:rFonts w:hint="eastAsia" w:ascii="宋体" w:hAnsi="宋体" w:cs="黑体"/>
              <w:kern w:val="0"/>
              <w:sz w:val="24"/>
              <w:szCs w:val="24"/>
            </w:rPr>
            <w:t>附件1</w:t>
          </w:r>
          <w:r>
            <w:rPr>
              <w:rFonts w:hint="eastAsia" w:ascii="宋体" w:hAnsi="宋体" w:cs="黑体"/>
              <w:kern w:val="0"/>
              <w:sz w:val="24"/>
              <w:szCs w:val="24"/>
              <w:lang w:val="en-US" w:eastAsia="zh-CN"/>
            </w:rPr>
            <w:t>1</w:t>
          </w:r>
          <w:r>
            <w:rPr>
              <w:rFonts w:hint="eastAsia" w:ascii="宋体" w:hAnsi="宋体" w:cs="黑体"/>
              <w:kern w:val="0"/>
              <w:sz w:val="24"/>
              <w:szCs w:val="24"/>
            </w:rPr>
            <w:t xml:space="preserve"> 主要人员简历表</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_Toc6976 </w:instrText>
          </w:r>
          <w:r>
            <w:rPr>
              <w:rFonts w:hint="eastAsia" w:ascii="宋体" w:hAnsi="宋体" w:cs="黑体"/>
              <w:kern w:val="0"/>
              <w:sz w:val="24"/>
              <w:szCs w:val="24"/>
            </w:rPr>
            <w:fldChar w:fldCharType="separate"/>
          </w:r>
          <w:r>
            <w:rPr>
              <w:rFonts w:hint="eastAsia" w:ascii="宋体" w:hAnsi="宋体" w:cs="黑体"/>
              <w:kern w:val="0"/>
              <w:sz w:val="24"/>
              <w:szCs w:val="24"/>
            </w:rPr>
            <w:t>84</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_Toc24601 </w:instrText>
          </w:r>
          <w:r>
            <w:rPr>
              <w:rFonts w:hint="eastAsia" w:ascii="宋体" w:hAnsi="宋体" w:cs="黑体"/>
              <w:kern w:val="0"/>
              <w:sz w:val="24"/>
              <w:szCs w:val="24"/>
            </w:rPr>
            <w:fldChar w:fldCharType="separate"/>
          </w:r>
          <w:r>
            <w:rPr>
              <w:rFonts w:hint="eastAsia" w:ascii="宋体" w:hAnsi="宋体" w:cs="黑体"/>
              <w:kern w:val="0"/>
              <w:sz w:val="24"/>
              <w:szCs w:val="24"/>
            </w:rPr>
            <w:t>附件1</w:t>
          </w:r>
          <w:r>
            <w:rPr>
              <w:rFonts w:hint="eastAsia" w:ascii="宋体" w:hAnsi="宋体" w:cs="黑体"/>
              <w:kern w:val="0"/>
              <w:sz w:val="24"/>
              <w:szCs w:val="24"/>
              <w:lang w:val="en-US" w:eastAsia="zh-CN"/>
            </w:rPr>
            <w:t>2</w:t>
          </w:r>
          <w:r>
            <w:rPr>
              <w:rFonts w:hint="eastAsia" w:ascii="宋体" w:hAnsi="宋体" w:cs="黑体"/>
              <w:kern w:val="0"/>
              <w:sz w:val="24"/>
              <w:szCs w:val="24"/>
            </w:rPr>
            <w:t xml:space="preserve"> 供应商其他承诺（如有）</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_Toc24601 </w:instrText>
          </w:r>
          <w:r>
            <w:rPr>
              <w:rFonts w:hint="eastAsia" w:ascii="宋体" w:hAnsi="宋体" w:cs="黑体"/>
              <w:kern w:val="0"/>
              <w:sz w:val="24"/>
              <w:szCs w:val="24"/>
            </w:rPr>
            <w:fldChar w:fldCharType="separate"/>
          </w:r>
          <w:r>
            <w:rPr>
              <w:rFonts w:hint="eastAsia" w:ascii="宋体" w:hAnsi="宋体" w:cs="黑体"/>
              <w:kern w:val="0"/>
              <w:sz w:val="24"/>
              <w:szCs w:val="24"/>
            </w:rPr>
            <w:t>85</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_Toc11300 </w:instrText>
          </w:r>
          <w:r>
            <w:rPr>
              <w:rFonts w:hint="eastAsia" w:ascii="宋体" w:hAnsi="宋体" w:cs="黑体"/>
              <w:kern w:val="0"/>
              <w:sz w:val="24"/>
              <w:szCs w:val="24"/>
            </w:rPr>
            <w:fldChar w:fldCharType="separate"/>
          </w:r>
          <w:r>
            <w:rPr>
              <w:rFonts w:hint="eastAsia" w:ascii="宋体" w:hAnsi="宋体" w:cs="黑体"/>
              <w:kern w:val="0"/>
              <w:sz w:val="24"/>
              <w:szCs w:val="24"/>
            </w:rPr>
            <w:t>附件1</w:t>
          </w:r>
          <w:r>
            <w:rPr>
              <w:rFonts w:hint="eastAsia" w:ascii="宋体" w:hAnsi="宋体" w:cs="黑体"/>
              <w:kern w:val="0"/>
              <w:sz w:val="24"/>
              <w:szCs w:val="24"/>
              <w:lang w:val="en-US" w:eastAsia="zh-CN"/>
            </w:rPr>
            <w:t>3</w:t>
          </w:r>
          <w:r>
            <w:rPr>
              <w:rFonts w:hint="eastAsia" w:ascii="宋体" w:hAnsi="宋体" w:cs="黑体"/>
              <w:kern w:val="0"/>
              <w:sz w:val="24"/>
              <w:szCs w:val="24"/>
            </w:rPr>
            <w:t xml:space="preserve"> 最后报价函格式</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_Toc11300 </w:instrText>
          </w:r>
          <w:r>
            <w:rPr>
              <w:rFonts w:hint="eastAsia" w:ascii="宋体" w:hAnsi="宋体" w:cs="黑体"/>
              <w:kern w:val="0"/>
              <w:sz w:val="24"/>
              <w:szCs w:val="24"/>
            </w:rPr>
            <w:fldChar w:fldCharType="separate"/>
          </w:r>
          <w:r>
            <w:rPr>
              <w:rFonts w:hint="eastAsia" w:ascii="宋体" w:hAnsi="宋体" w:cs="黑体"/>
              <w:kern w:val="0"/>
              <w:sz w:val="24"/>
              <w:szCs w:val="24"/>
            </w:rPr>
            <w:t>86</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autoSpaceDE w:val="0"/>
            <w:autoSpaceDN w:val="0"/>
            <w:adjustRightInd w:val="0"/>
            <w:snapToGrid w:val="0"/>
            <w:spacing w:afterLines="50" w:line="440" w:lineRule="exact"/>
            <w:outlineLvl w:val="0"/>
            <w:rPr>
              <w:rFonts w:ascii="宋体" w:hAnsi="宋体" w:cs="黑体"/>
              <w:kern w:val="0"/>
              <w:sz w:val="32"/>
              <w:szCs w:val="32"/>
            </w:rPr>
            <w:sectPr>
              <w:pgSz w:w="11906" w:h="16838"/>
              <w:pgMar w:top="1440" w:right="1247" w:bottom="1361" w:left="1247" w:header="851" w:footer="992" w:gutter="0"/>
              <w:cols w:space="720" w:num="1"/>
              <w:docGrid w:type="lines" w:linePitch="312" w:charSpace="0"/>
            </w:sectPr>
          </w:pPr>
          <w:r>
            <w:rPr>
              <w:rFonts w:ascii="宋体" w:hAnsi="宋体" w:cs="黑体"/>
              <w:kern w:val="0"/>
              <w:szCs w:val="32"/>
            </w:rPr>
            <w:fldChar w:fldCharType="end"/>
          </w:r>
        </w:p>
      </w:sdtContent>
    </w:sdt>
    <w:p>
      <w:pPr>
        <w:autoSpaceDE w:val="0"/>
        <w:autoSpaceDN w:val="0"/>
        <w:adjustRightInd w:val="0"/>
        <w:snapToGrid w:val="0"/>
        <w:spacing w:afterLines="50"/>
        <w:jc w:val="center"/>
        <w:outlineLvl w:val="0"/>
        <w:rPr>
          <w:rFonts w:ascii="宋体" w:hAnsi="宋体" w:cs="黑体"/>
          <w:b/>
          <w:bCs/>
          <w:kern w:val="0"/>
          <w:sz w:val="32"/>
          <w:szCs w:val="32"/>
        </w:rPr>
      </w:pPr>
      <w:bookmarkStart w:id="1" w:name="_Toc7980"/>
      <w:r>
        <w:rPr>
          <w:rFonts w:hint="eastAsia" w:ascii="宋体" w:hAnsi="宋体" w:cs="黑体"/>
          <w:b/>
          <w:bCs/>
          <w:kern w:val="0"/>
          <w:sz w:val="32"/>
          <w:szCs w:val="32"/>
        </w:rPr>
        <w:t>第一章  竞争性谈判公告</w:t>
      </w:r>
      <w:bookmarkEnd w:id="1"/>
    </w:p>
    <w:p>
      <w:pPr>
        <w:jc w:val="center"/>
        <w:rPr>
          <w:sz w:val="24"/>
        </w:rPr>
      </w:pPr>
    </w:p>
    <w:p>
      <w:pPr>
        <w:jc w:val="center"/>
        <w:rPr>
          <w:sz w:val="24"/>
        </w:rPr>
      </w:pPr>
    </w:p>
    <w:p>
      <w:pPr>
        <w:numPr>
          <w:ilvl w:val="0"/>
          <w:numId w:val="1"/>
        </w:numPr>
        <w:tabs>
          <w:tab w:val="left" w:pos="709"/>
        </w:tabs>
        <w:autoSpaceDE w:val="0"/>
        <w:autoSpaceDN w:val="0"/>
        <w:adjustRightInd w:val="0"/>
        <w:snapToGrid w:val="0"/>
        <w:spacing w:line="440" w:lineRule="exact"/>
        <w:ind w:left="709" w:hanging="709"/>
        <w:rPr>
          <w:rFonts w:ascii="宋体" w:hAnsi="宋体" w:cs="黑体"/>
          <w:kern w:val="0"/>
          <w:sz w:val="24"/>
        </w:rPr>
      </w:pPr>
      <w:r>
        <w:rPr>
          <w:rFonts w:hint="eastAsia" w:ascii="宋体" w:hAnsi="宋体" w:cs="黑体"/>
          <w:kern w:val="0"/>
          <w:sz w:val="24"/>
        </w:rPr>
        <w:t>受</w:t>
      </w:r>
      <w:r>
        <w:rPr>
          <w:rFonts w:hint="eastAsia" w:ascii="宋体" w:hAnsi="宋体" w:cs="黑体"/>
          <w:kern w:val="0"/>
          <w:sz w:val="24"/>
          <w:u w:val="single"/>
        </w:rPr>
        <w:t xml:space="preserve"> 文昌市生态环境保护局 </w:t>
      </w:r>
      <w:r>
        <w:rPr>
          <w:rFonts w:hint="eastAsia" w:ascii="宋体" w:hAnsi="宋体" w:cs="黑体"/>
          <w:kern w:val="0"/>
          <w:sz w:val="24"/>
        </w:rPr>
        <w:t>委托，国信招标集团股份有限公司对</w:t>
      </w:r>
      <w:r>
        <w:rPr>
          <w:rFonts w:hint="eastAsia" w:ascii="宋体" w:hAnsi="宋体" w:cs="黑体"/>
          <w:kern w:val="0"/>
          <w:sz w:val="24"/>
          <w:u w:val="single"/>
          <w:lang w:val="en-US" w:eastAsia="zh-CN"/>
        </w:rPr>
        <w:t xml:space="preserve"> </w:t>
      </w:r>
      <w:r>
        <w:rPr>
          <w:rFonts w:hint="eastAsia" w:ascii="宋体" w:hAnsi="宋体" w:cs="黑体"/>
          <w:kern w:val="0"/>
          <w:sz w:val="24"/>
          <w:u w:val="single"/>
        </w:rPr>
        <w:t xml:space="preserve">文昌市会文镇湖峰村委会瓦灶园村农村生活污水治理项目 </w:t>
      </w:r>
      <w:r>
        <w:rPr>
          <w:rFonts w:hint="eastAsia" w:ascii="宋体" w:hAnsi="宋体" w:cs="黑体"/>
          <w:kern w:val="0"/>
          <w:sz w:val="24"/>
          <w:lang w:eastAsia="zh-CN"/>
        </w:rPr>
        <w:t>施工</w:t>
      </w:r>
      <w:r>
        <w:rPr>
          <w:rFonts w:hint="eastAsia" w:ascii="宋体" w:hAnsi="宋体" w:cs="黑体"/>
          <w:kern w:val="0"/>
          <w:sz w:val="24"/>
        </w:rPr>
        <w:t>（项目编号：GXTC-CZ-188500</w:t>
      </w:r>
      <w:r>
        <w:rPr>
          <w:rFonts w:hint="eastAsia" w:ascii="宋体" w:hAnsi="宋体" w:cs="黑体"/>
          <w:kern w:val="0"/>
          <w:sz w:val="24"/>
          <w:lang w:val="en-US" w:eastAsia="zh-CN"/>
        </w:rPr>
        <w:t>5</w:t>
      </w:r>
      <w:r>
        <w:rPr>
          <w:rFonts w:hint="eastAsia" w:ascii="宋体" w:hAnsi="宋体" w:cs="黑体"/>
          <w:kern w:val="0"/>
          <w:sz w:val="24"/>
        </w:rPr>
        <w:t>）以竞争性谈判采购方式组织采购，欢迎符合条件的供应商参加谈判。</w:t>
      </w:r>
    </w:p>
    <w:p>
      <w:pPr>
        <w:numPr>
          <w:ilvl w:val="0"/>
          <w:numId w:val="1"/>
        </w:numPr>
        <w:tabs>
          <w:tab w:val="left" w:pos="709"/>
        </w:tabs>
        <w:autoSpaceDE w:val="0"/>
        <w:autoSpaceDN w:val="0"/>
        <w:adjustRightInd w:val="0"/>
        <w:snapToGrid w:val="0"/>
        <w:spacing w:line="440" w:lineRule="exact"/>
        <w:ind w:left="709" w:hanging="709"/>
        <w:rPr>
          <w:rFonts w:ascii="宋体" w:hAnsi="宋体" w:cs="黑体"/>
          <w:kern w:val="0"/>
          <w:sz w:val="24"/>
        </w:rPr>
      </w:pPr>
      <w:r>
        <w:rPr>
          <w:rFonts w:hint="eastAsia" w:ascii="宋体" w:hAnsi="宋体" w:cs="黑体"/>
          <w:kern w:val="0"/>
          <w:sz w:val="24"/>
        </w:rPr>
        <w:t>采购项目的名称、预算金额及最高限价</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采购项目名称：文昌市会文镇湖峰村委会瓦灶园村农村生活污水治理项目；</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预算编号：Z21021800113</w:t>
      </w:r>
      <w:r>
        <w:rPr>
          <w:rFonts w:hint="eastAsia" w:ascii="宋体" w:hAnsi="宋体" w:cs="黑体"/>
          <w:kern w:val="0"/>
          <w:sz w:val="24"/>
          <w:lang w:val="en-US" w:eastAsia="zh-CN"/>
        </w:rPr>
        <w:t>5</w:t>
      </w:r>
      <w:r>
        <w:rPr>
          <w:rFonts w:hint="eastAsia" w:ascii="宋体" w:hAnsi="宋体" w:cs="黑体"/>
          <w:kern w:val="0"/>
          <w:sz w:val="24"/>
        </w:rPr>
        <w:t>；</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预算金额：</w:t>
      </w:r>
      <w:r>
        <w:rPr>
          <w:rFonts w:hint="eastAsia" w:ascii="宋体" w:hAnsi="宋体" w:cs="黑体"/>
          <w:kern w:val="0"/>
          <w:sz w:val="24"/>
          <w:u w:val="none"/>
        </w:rPr>
        <w:t>953981.62</w:t>
      </w:r>
      <w:r>
        <w:rPr>
          <w:rFonts w:hint="eastAsia" w:ascii="宋体" w:hAnsi="宋体" w:cs="黑体"/>
          <w:kern w:val="0"/>
          <w:sz w:val="24"/>
        </w:rPr>
        <w:t>元；</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最高限价：</w:t>
      </w:r>
      <w:r>
        <w:rPr>
          <w:rFonts w:hint="eastAsia" w:ascii="宋体" w:hAnsi="宋体" w:cs="黑体"/>
          <w:kern w:val="0"/>
          <w:sz w:val="24"/>
          <w:u w:val="none"/>
        </w:rPr>
        <w:t>953981.62</w:t>
      </w:r>
      <w:r>
        <w:rPr>
          <w:rFonts w:hint="eastAsia" w:ascii="宋体" w:hAnsi="宋体" w:cs="黑体"/>
          <w:kern w:val="0"/>
          <w:sz w:val="24"/>
        </w:rPr>
        <w:t>元。</w:t>
      </w:r>
    </w:p>
    <w:p>
      <w:pPr>
        <w:numPr>
          <w:ilvl w:val="0"/>
          <w:numId w:val="1"/>
        </w:numPr>
        <w:tabs>
          <w:tab w:val="left" w:pos="709"/>
        </w:tabs>
        <w:autoSpaceDE w:val="0"/>
        <w:autoSpaceDN w:val="0"/>
        <w:adjustRightInd w:val="0"/>
        <w:snapToGrid w:val="0"/>
        <w:spacing w:line="440" w:lineRule="exact"/>
        <w:ind w:left="709" w:hanging="709"/>
        <w:rPr>
          <w:rFonts w:ascii="宋体" w:hAnsi="宋体" w:cs="黑体"/>
          <w:kern w:val="0"/>
          <w:sz w:val="24"/>
        </w:rPr>
      </w:pPr>
      <w:r>
        <w:rPr>
          <w:rFonts w:hint="eastAsia" w:ascii="宋体" w:hAnsi="宋体" w:cs="黑体"/>
          <w:kern w:val="0"/>
          <w:sz w:val="24"/>
        </w:rPr>
        <w:t>项目概况</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建设地点：</w:t>
      </w:r>
      <w:r>
        <w:rPr>
          <w:rFonts w:hint="eastAsia" w:ascii="宋体" w:hAnsi="宋体" w:cs="黑体"/>
          <w:kern w:val="0"/>
          <w:sz w:val="24"/>
          <w:u w:val="none"/>
          <w:lang w:eastAsia="zh-CN"/>
        </w:rPr>
        <w:t>海南省文昌市会文镇湖峰村委会</w:t>
      </w:r>
      <w:r>
        <w:rPr>
          <w:rFonts w:hint="eastAsia" w:ascii="宋体" w:hAnsi="宋体" w:cs="黑体"/>
          <w:kern w:val="0"/>
          <w:sz w:val="24"/>
          <w:u w:val="none"/>
        </w:rPr>
        <w:t>瓦灶园村</w:t>
      </w:r>
      <w:r>
        <w:rPr>
          <w:rFonts w:hint="eastAsia" w:ascii="宋体" w:hAnsi="宋体" w:cs="黑体"/>
          <w:kern w:val="0"/>
          <w:sz w:val="24"/>
        </w:rPr>
        <w:t>；</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采购范围：文昌市会文镇湖峰村委会瓦灶园村农村生活污水治理项目</w:t>
      </w:r>
      <w:r>
        <w:rPr>
          <w:rFonts w:hint="eastAsia" w:ascii="宋体" w:hAnsi="宋体" w:cs="黑体"/>
          <w:kern w:val="0"/>
          <w:sz w:val="24"/>
          <w:lang w:eastAsia="zh-CN"/>
        </w:rPr>
        <w:t>包括土石方工程、管道工程、土建工程、道路工程、安装工程，</w:t>
      </w:r>
      <w:r>
        <w:rPr>
          <w:rFonts w:hint="eastAsia" w:ascii="宋体" w:hAnsi="宋体" w:cs="黑体"/>
          <w:kern w:val="0"/>
          <w:sz w:val="24"/>
        </w:rPr>
        <w:t>具体详见工程量清单；</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工期：60日历天；</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计划开工日期：2018年12月12日；</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计划竣工日期：2019年2月</w:t>
      </w:r>
      <w:r>
        <w:rPr>
          <w:rFonts w:hint="eastAsia" w:ascii="宋体" w:hAnsi="宋体" w:cs="黑体"/>
          <w:kern w:val="0"/>
          <w:sz w:val="24"/>
          <w:lang w:val="en-US" w:eastAsia="zh-CN"/>
        </w:rPr>
        <w:t>9</w:t>
      </w:r>
      <w:r>
        <w:rPr>
          <w:rFonts w:hint="eastAsia" w:ascii="宋体" w:hAnsi="宋体" w:cs="黑体"/>
          <w:kern w:val="0"/>
          <w:sz w:val="24"/>
        </w:rPr>
        <w:t>日；</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ascii="宋体" w:hAnsi="宋体" w:cs="黑体"/>
          <w:kern w:val="0"/>
          <w:sz w:val="24"/>
        </w:rPr>
        <w:t>质量要求</w:t>
      </w:r>
      <w:r>
        <w:rPr>
          <w:rFonts w:hint="eastAsia" w:ascii="宋体" w:hAnsi="宋体" w:cs="黑体"/>
          <w:kern w:val="0"/>
          <w:sz w:val="24"/>
        </w:rPr>
        <w:t>：合格。</w:t>
      </w:r>
    </w:p>
    <w:p>
      <w:pPr>
        <w:numPr>
          <w:ilvl w:val="0"/>
          <w:numId w:val="1"/>
        </w:numPr>
        <w:tabs>
          <w:tab w:val="left" w:pos="709"/>
        </w:tabs>
        <w:autoSpaceDE w:val="0"/>
        <w:autoSpaceDN w:val="0"/>
        <w:adjustRightInd w:val="0"/>
        <w:snapToGrid w:val="0"/>
        <w:spacing w:line="440" w:lineRule="exact"/>
        <w:ind w:left="709" w:hanging="709"/>
        <w:rPr>
          <w:rFonts w:ascii="宋体" w:hAnsi="宋体" w:cs="黑体"/>
          <w:kern w:val="0"/>
          <w:sz w:val="24"/>
        </w:rPr>
      </w:pPr>
      <w:r>
        <w:rPr>
          <w:rFonts w:hint="eastAsia" w:ascii="宋体" w:hAnsi="宋体" w:cs="黑体"/>
          <w:kern w:val="0"/>
          <w:sz w:val="24"/>
        </w:rPr>
        <w:t>采购项目执行政府采购政策</w:t>
      </w:r>
    </w:p>
    <w:p>
      <w:pPr>
        <w:tabs>
          <w:tab w:val="left" w:pos="709"/>
        </w:tabs>
        <w:autoSpaceDE w:val="0"/>
        <w:autoSpaceDN w:val="0"/>
        <w:adjustRightInd w:val="0"/>
        <w:snapToGrid w:val="0"/>
        <w:spacing w:line="440" w:lineRule="exact"/>
        <w:ind w:left="708" w:leftChars="337"/>
        <w:rPr>
          <w:sz w:val="24"/>
        </w:rPr>
      </w:pPr>
      <w:r>
        <w:rPr>
          <w:rFonts w:hint="eastAsia" w:ascii="宋体" w:hAnsi="宋体" w:cs="黑体"/>
          <w:kern w:val="0"/>
          <w:sz w:val="24"/>
        </w:rPr>
        <w:t>对小微企业的产品给予价格扣除（监狱企业、残疾人福利性单位视同小微企业；残疾人福利性单位属于小型、微型企业的，不重复享受政策）。</w:t>
      </w:r>
    </w:p>
    <w:p>
      <w:pPr>
        <w:numPr>
          <w:ilvl w:val="0"/>
          <w:numId w:val="1"/>
        </w:numPr>
        <w:tabs>
          <w:tab w:val="left" w:pos="709"/>
        </w:tabs>
        <w:autoSpaceDE w:val="0"/>
        <w:autoSpaceDN w:val="0"/>
        <w:adjustRightInd w:val="0"/>
        <w:snapToGrid w:val="0"/>
        <w:spacing w:line="440" w:lineRule="exact"/>
        <w:ind w:left="709" w:hanging="709"/>
        <w:rPr>
          <w:rFonts w:ascii="宋体" w:hAnsi="宋体" w:cs="黑体"/>
          <w:kern w:val="0"/>
          <w:sz w:val="24"/>
        </w:rPr>
      </w:pPr>
      <w:r>
        <w:rPr>
          <w:rFonts w:hint="eastAsia" w:ascii="宋体" w:hAnsi="宋体" w:cs="黑体"/>
          <w:kern w:val="0"/>
          <w:sz w:val="24"/>
        </w:rPr>
        <w:t>供应商资格要求</w:t>
      </w:r>
    </w:p>
    <w:p>
      <w:pPr>
        <w:pStyle w:val="256"/>
        <w:numPr>
          <w:ilvl w:val="0"/>
          <w:numId w:val="2"/>
        </w:numPr>
        <w:tabs>
          <w:tab w:val="left" w:pos="709"/>
        </w:tabs>
        <w:autoSpaceDE w:val="0"/>
        <w:autoSpaceDN w:val="0"/>
        <w:adjustRightInd w:val="0"/>
        <w:snapToGrid w:val="0"/>
        <w:spacing w:line="440" w:lineRule="exact"/>
        <w:ind w:left="1276" w:hanging="567" w:firstLineChars="0"/>
        <w:rPr>
          <w:rFonts w:cs="黑体" w:asciiTheme="minorEastAsia" w:hAnsiTheme="minorEastAsia" w:eastAsiaTheme="minorEastAsia"/>
          <w:kern w:val="0"/>
          <w:sz w:val="24"/>
        </w:rPr>
      </w:pPr>
      <w:r>
        <w:rPr>
          <w:rFonts w:hint="eastAsia" w:asciiTheme="minorEastAsia" w:hAnsiTheme="minorEastAsia" w:eastAsiaTheme="minorEastAsia"/>
          <w:sz w:val="24"/>
        </w:rPr>
        <w:t>符合《中华人民共和国政府采购法》第二十二条（一）至（六）的规定，即：</w:t>
      </w:r>
    </w:p>
    <w:p>
      <w:pPr>
        <w:pStyle w:val="256"/>
        <w:numPr>
          <w:ilvl w:val="0"/>
          <w:numId w:val="3"/>
        </w:numPr>
        <w:tabs>
          <w:tab w:val="left" w:pos="709"/>
        </w:tabs>
        <w:autoSpaceDE w:val="0"/>
        <w:autoSpaceDN w:val="0"/>
        <w:adjustRightInd w:val="0"/>
        <w:snapToGrid w:val="0"/>
        <w:spacing w:line="440" w:lineRule="exact"/>
        <w:ind w:left="2127" w:hanging="851" w:firstLineChars="0"/>
        <w:rPr>
          <w:rFonts w:asciiTheme="minorEastAsia" w:hAnsiTheme="minorEastAsia" w:eastAsiaTheme="minorEastAsia"/>
          <w:sz w:val="24"/>
        </w:rPr>
      </w:pPr>
      <w:r>
        <w:rPr>
          <w:rFonts w:hint="eastAsia" w:asciiTheme="minorEastAsia" w:hAnsiTheme="minorEastAsia" w:eastAsiaTheme="minorEastAsia"/>
          <w:sz w:val="24"/>
        </w:rPr>
        <w:t xml:space="preserve">具有独立承担民事责任的能力； </w:t>
      </w:r>
    </w:p>
    <w:p>
      <w:pPr>
        <w:pStyle w:val="256"/>
        <w:numPr>
          <w:ilvl w:val="0"/>
          <w:numId w:val="3"/>
        </w:numPr>
        <w:tabs>
          <w:tab w:val="left" w:pos="709"/>
        </w:tabs>
        <w:autoSpaceDE w:val="0"/>
        <w:autoSpaceDN w:val="0"/>
        <w:adjustRightInd w:val="0"/>
        <w:snapToGrid w:val="0"/>
        <w:spacing w:line="440" w:lineRule="exact"/>
        <w:ind w:left="2127" w:hanging="851" w:firstLineChars="0"/>
        <w:rPr>
          <w:rFonts w:asciiTheme="minorEastAsia" w:hAnsiTheme="minorEastAsia" w:eastAsiaTheme="minorEastAsia"/>
          <w:sz w:val="24"/>
        </w:rPr>
      </w:pPr>
      <w:r>
        <w:rPr>
          <w:rFonts w:hint="eastAsia" w:asciiTheme="minorEastAsia" w:hAnsiTheme="minorEastAsia" w:eastAsiaTheme="minorEastAsia"/>
          <w:sz w:val="24"/>
        </w:rPr>
        <w:t xml:space="preserve">具有良好的商业信誉和健全的财务会计制度； </w:t>
      </w:r>
    </w:p>
    <w:p>
      <w:pPr>
        <w:pStyle w:val="256"/>
        <w:numPr>
          <w:ilvl w:val="0"/>
          <w:numId w:val="3"/>
        </w:numPr>
        <w:tabs>
          <w:tab w:val="left" w:pos="709"/>
        </w:tabs>
        <w:autoSpaceDE w:val="0"/>
        <w:autoSpaceDN w:val="0"/>
        <w:adjustRightInd w:val="0"/>
        <w:snapToGrid w:val="0"/>
        <w:spacing w:line="440" w:lineRule="exact"/>
        <w:ind w:left="2127" w:hanging="851" w:firstLineChars="0"/>
        <w:rPr>
          <w:rFonts w:asciiTheme="minorEastAsia" w:hAnsiTheme="minorEastAsia" w:eastAsiaTheme="minorEastAsia"/>
          <w:sz w:val="24"/>
        </w:rPr>
      </w:pPr>
      <w:r>
        <w:rPr>
          <w:rFonts w:hint="eastAsia" w:asciiTheme="minorEastAsia" w:hAnsiTheme="minorEastAsia" w:eastAsiaTheme="minorEastAsia"/>
          <w:sz w:val="24"/>
        </w:rPr>
        <w:t xml:space="preserve">具有履行合同所必需的设备和专业技术能力； </w:t>
      </w:r>
    </w:p>
    <w:p>
      <w:pPr>
        <w:pStyle w:val="256"/>
        <w:numPr>
          <w:ilvl w:val="0"/>
          <w:numId w:val="3"/>
        </w:numPr>
        <w:tabs>
          <w:tab w:val="left" w:pos="709"/>
        </w:tabs>
        <w:autoSpaceDE w:val="0"/>
        <w:autoSpaceDN w:val="0"/>
        <w:adjustRightInd w:val="0"/>
        <w:snapToGrid w:val="0"/>
        <w:spacing w:line="440" w:lineRule="exact"/>
        <w:ind w:left="2127" w:hanging="851" w:firstLineChars="0"/>
        <w:rPr>
          <w:rFonts w:asciiTheme="minorEastAsia" w:hAnsiTheme="minorEastAsia" w:eastAsiaTheme="minorEastAsia"/>
          <w:sz w:val="24"/>
        </w:rPr>
      </w:pPr>
      <w:r>
        <w:rPr>
          <w:rFonts w:hint="eastAsia" w:asciiTheme="minorEastAsia" w:hAnsiTheme="minorEastAsia" w:eastAsiaTheme="minorEastAsia"/>
          <w:sz w:val="24"/>
        </w:rPr>
        <w:t xml:space="preserve">有依法缴纳税收和社会保障资金的良好记录； </w:t>
      </w:r>
    </w:p>
    <w:p>
      <w:pPr>
        <w:pStyle w:val="256"/>
        <w:numPr>
          <w:ilvl w:val="0"/>
          <w:numId w:val="3"/>
        </w:numPr>
        <w:tabs>
          <w:tab w:val="left" w:pos="709"/>
        </w:tabs>
        <w:autoSpaceDE w:val="0"/>
        <w:autoSpaceDN w:val="0"/>
        <w:adjustRightInd w:val="0"/>
        <w:snapToGrid w:val="0"/>
        <w:spacing w:line="440" w:lineRule="exact"/>
        <w:ind w:left="2127" w:hanging="851" w:firstLineChars="0"/>
        <w:rPr>
          <w:rFonts w:asciiTheme="minorEastAsia" w:hAnsiTheme="minorEastAsia" w:eastAsiaTheme="minorEastAsia"/>
          <w:sz w:val="24"/>
        </w:rPr>
      </w:pPr>
      <w:r>
        <w:rPr>
          <w:rFonts w:hint="eastAsia" w:asciiTheme="minorEastAsia" w:hAnsiTheme="minorEastAsia" w:eastAsiaTheme="minorEastAsia"/>
          <w:sz w:val="24"/>
        </w:rPr>
        <w:t xml:space="preserve">参加政府采购活动前三年内，在经营活动中没有重大违法记录（重大违法记录是指供应商因违法经营受到刑事处罚或者责令停产停业、吊销许可证或者执照、较大数额罚款等行政处罚）； </w:t>
      </w:r>
    </w:p>
    <w:p>
      <w:pPr>
        <w:pStyle w:val="256"/>
        <w:numPr>
          <w:ilvl w:val="0"/>
          <w:numId w:val="3"/>
        </w:numPr>
        <w:tabs>
          <w:tab w:val="left" w:pos="709"/>
        </w:tabs>
        <w:autoSpaceDE w:val="0"/>
        <w:autoSpaceDN w:val="0"/>
        <w:adjustRightInd w:val="0"/>
        <w:snapToGrid w:val="0"/>
        <w:spacing w:line="440" w:lineRule="exact"/>
        <w:ind w:left="2127" w:hanging="851" w:firstLineChars="0"/>
        <w:rPr>
          <w:rFonts w:asciiTheme="minorEastAsia" w:hAnsiTheme="minorEastAsia" w:eastAsiaTheme="minorEastAsia"/>
          <w:sz w:val="24"/>
        </w:rPr>
      </w:pPr>
      <w:r>
        <w:rPr>
          <w:rFonts w:hint="eastAsia" w:asciiTheme="minorEastAsia" w:hAnsiTheme="minorEastAsia" w:eastAsiaTheme="minorEastAsia"/>
          <w:sz w:val="24"/>
        </w:rPr>
        <w:t>法律、行政法规规定的其他条件。</w:t>
      </w:r>
    </w:p>
    <w:p>
      <w:pPr>
        <w:pStyle w:val="256"/>
        <w:numPr>
          <w:ilvl w:val="0"/>
          <w:numId w:val="2"/>
        </w:numPr>
        <w:tabs>
          <w:tab w:val="left" w:pos="709"/>
        </w:tabs>
        <w:autoSpaceDE w:val="0"/>
        <w:autoSpaceDN w:val="0"/>
        <w:adjustRightInd w:val="0"/>
        <w:snapToGrid w:val="0"/>
        <w:spacing w:line="440" w:lineRule="exact"/>
        <w:ind w:left="1276" w:hanging="567" w:firstLineChars="0"/>
        <w:rPr>
          <w:rFonts w:asciiTheme="minorEastAsia" w:hAnsiTheme="minorEastAsia" w:eastAsiaTheme="minorEastAsia"/>
          <w:sz w:val="24"/>
        </w:rPr>
      </w:pPr>
      <w:r>
        <w:rPr>
          <w:rFonts w:hint="eastAsia" w:asciiTheme="minorEastAsia" w:hAnsiTheme="minorEastAsia" w:eastAsiaTheme="minorEastAsia"/>
          <w:sz w:val="24"/>
        </w:rPr>
        <w:t>供应商的特定资格条件：</w:t>
      </w:r>
    </w:p>
    <w:p>
      <w:pPr>
        <w:pStyle w:val="256"/>
        <w:numPr>
          <w:ilvl w:val="0"/>
          <w:numId w:val="4"/>
        </w:numPr>
        <w:tabs>
          <w:tab w:val="left" w:pos="709"/>
        </w:tabs>
        <w:autoSpaceDE w:val="0"/>
        <w:autoSpaceDN w:val="0"/>
        <w:adjustRightInd w:val="0"/>
        <w:snapToGrid w:val="0"/>
        <w:spacing w:line="440" w:lineRule="exact"/>
        <w:ind w:left="2127" w:hanging="846" w:firstLineChars="0"/>
        <w:rPr>
          <w:rFonts w:asciiTheme="minorEastAsia" w:hAnsiTheme="minorEastAsia" w:eastAsiaTheme="minorEastAsia"/>
          <w:sz w:val="24"/>
        </w:rPr>
      </w:pPr>
      <w:r>
        <w:rPr>
          <w:rFonts w:hint="eastAsia" w:asciiTheme="minorEastAsia" w:hAnsiTheme="minorEastAsia" w:eastAsiaTheme="minorEastAsia"/>
          <w:sz w:val="24"/>
        </w:rPr>
        <w:t>在中华人民共和国注册的、具有独立承担民事责任能力的法人和有效的安全生产许可证，具备市政公用工程施工总承包叁级或以上资质；</w:t>
      </w:r>
    </w:p>
    <w:p>
      <w:pPr>
        <w:pStyle w:val="256"/>
        <w:numPr>
          <w:ilvl w:val="0"/>
          <w:numId w:val="4"/>
        </w:numPr>
        <w:tabs>
          <w:tab w:val="left" w:pos="709"/>
        </w:tabs>
        <w:autoSpaceDE w:val="0"/>
        <w:autoSpaceDN w:val="0"/>
        <w:adjustRightInd w:val="0"/>
        <w:snapToGrid w:val="0"/>
        <w:spacing w:line="440" w:lineRule="exact"/>
        <w:ind w:left="2127" w:hanging="851" w:firstLineChars="0"/>
        <w:rPr>
          <w:rFonts w:asciiTheme="minorEastAsia" w:hAnsiTheme="minorEastAsia" w:eastAsiaTheme="minorEastAsia"/>
          <w:sz w:val="24"/>
        </w:rPr>
      </w:pPr>
      <w:r>
        <w:rPr>
          <w:rFonts w:hint="eastAsia" w:asciiTheme="minorEastAsia" w:hAnsiTheme="minorEastAsia" w:eastAsiaTheme="minorEastAsia"/>
          <w:sz w:val="24"/>
        </w:rPr>
        <w:t>拟派项目经理须具备市政公用工程专业二级及以上注册建造师执业资格，且未担任其他在施建设工程项目的项目经理；</w:t>
      </w:r>
    </w:p>
    <w:p>
      <w:pPr>
        <w:pStyle w:val="256"/>
        <w:numPr>
          <w:ilvl w:val="0"/>
          <w:numId w:val="4"/>
        </w:numPr>
        <w:tabs>
          <w:tab w:val="left" w:pos="709"/>
        </w:tabs>
        <w:autoSpaceDE w:val="0"/>
        <w:autoSpaceDN w:val="0"/>
        <w:adjustRightInd w:val="0"/>
        <w:snapToGrid w:val="0"/>
        <w:spacing w:line="440" w:lineRule="exact"/>
        <w:ind w:left="2127" w:hanging="851" w:firstLineChars="0"/>
        <w:rPr>
          <w:rFonts w:asciiTheme="minorEastAsia" w:hAnsiTheme="minorEastAsia" w:eastAsiaTheme="minorEastAsia"/>
          <w:sz w:val="24"/>
        </w:rPr>
      </w:pPr>
      <w:r>
        <w:rPr>
          <w:rFonts w:hint="eastAsia" w:asciiTheme="minorEastAsia" w:hAnsiTheme="minorEastAsia" w:eastAsiaTheme="minorEastAsia"/>
          <w:sz w:val="24"/>
        </w:rPr>
        <w:t>供应商须在海南省住房和城乡建设厅海南省房屋建筑工程全过程监管信息平台完成《海南省建筑企业诚信档案手册》登记，提供打印生成诚信档案手册；</w:t>
      </w:r>
    </w:p>
    <w:p>
      <w:pPr>
        <w:pStyle w:val="256"/>
        <w:numPr>
          <w:ilvl w:val="0"/>
          <w:numId w:val="2"/>
        </w:numPr>
        <w:tabs>
          <w:tab w:val="left" w:pos="709"/>
        </w:tabs>
        <w:autoSpaceDE w:val="0"/>
        <w:autoSpaceDN w:val="0"/>
        <w:adjustRightInd w:val="0"/>
        <w:snapToGrid w:val="0"/>
        <w:spacing w:line="440" w:lineRule="exact"/>
        <w:ind w:left="1276" w:hanging="567" w:firstLineChars="0"/>
        <w:rPr>
          <w:rFonts w:asciiTheme="minorEastAsia" w:hAnsiTheme="minorEastAsia" w:eastAsiaTheme="minorEastAsia"/>
          <w:sz w:val="24"/>
        </w:rPr>
      </w:pPr>
      <w:r>
        <w:rPr>
          <w:rFonts w:hint="eastAsia" w:ascii="宋体" w:hAnsi="宋体" w:cs="宋体"/>
          <w:kern w:val="0"/>
          <w:sz w:val="24"/>
          <w:szCs w:val="24"/>
        </w:rPr>
        <w:t>被“信用中国”网站（</w:t>
      </w:r>
      <w:r>
        <w:fldChar w:fldCharType="begin"/>
      </w:r>
      <w:r>
        <w:instrText xml:space="preserve"> HYPERLINK "http://www.creditchina.gov.cn）中列入失信被执行人和/" </w:instrText>
      </w:r>
      <w:r>
        <w:fldChar w:fldCharType="separate"/>
      </w:r>
      <w:r>
        <w:rPr>
          <w:rStyle w:val="82"/>
          <w:rFonts w:hint="default"/>
          <w:color w:val="auto"/>
          <w:kern w:val="0"/>
          <w:sz w:val="24"/>
          <w:szCs w:val="24"/>
        </w:rPr>
        <w:t>www.creditchina.gov.cn）中列入失信被执行人和</w:t>
      </w:r>
      <w:r>
        <w:rPr>
          <w:rStyle w:val="82"/>
          <w:rFonts w:hint="default"/>
          <w:color w:val="auto"/>
          <w:kern w:val="0"/>
          <w:sz w:val="24"/>
          <w:szCs w:val="24"/>
        </w:rPr>
        <w:fldChar w:fldCharType="end"/>
      </w:r>
      <w:r>
        <w:rPr>
          <w:rFonts w:hint="eastAsia" w:ascii="宋体" w:hAnsi="宋体" w:cs="宋体"/>
          <w:kern w:val="0"/>
          <w:sz w:val="24"/>
          <w:szCs w:val="24"/>
        </w:rPr>
        <w:t>重大税收违法案件当事人名单的供应商、被中国政府采购网（www.ccgp.gov.cn）列入政府采购严重违法失信行为记录名单中被财政部门禁止参加政府采购活动的供应商（处罚决定规定的时间和地域范围内），无资格</w:t>
      </w:r>
      <w:r>
        <w:rPr>
          <w:rFonts w:hint="eastAsia" w:asciiTheme="minorEastAsia" w:hAnsiTheme="minorEastAsia" w:eastAsiaTheme="minorEastAsia" w:cstheme="minorEastAsia"/>
          <w:sz w:val="24"/>
          <w:szCs w:val="24"/>
        </w:rPr>
        <w:t>参加本项目的采购活动。</w:t>
      </w:r>
    </w:p>
    <w:p>
      <w:pPr>
        <w:pStyle w:val="256"/>
        <w:numPr>
          <w:ilvl w:val="0"/>
          <w:numId w:val="2"/>
        </w:numPr>
        <w:tabs>
          <w:tab w:val="left" w:pos="709"/>
        </w:tabs>
        <w:autoSpaceDE w:val="0"/>
        <w:autoSpaceDN w:val="0"/>
        <w:adjustRightInd w:val="0"/>
        <w:snapToGrid w:val="0"/>
        <w:spacing w:line="440" w:lineRule="exact"/>
        <w:ind w:left="1276" w:hanging="567" w:firstLineChars="0"/>
        <w:rPr>
          <w:rFonts w:asciiTheme="minorEastAsia" w:hAnsiTheme="minorEastAsia" w:eastAsiaTheme="minorEastAsia"/>
          <w:sz w:val="24"/>
        </w:rPr>
      </w:pPr>
      <w:r>
        <w:rPr>
          <w:rFonts w:hint="eastAsia" w:asciiTheme="minorEastAsia" w:hAnsiTheme="minorEastAsia" w:eastAsiaTheme="minorEastAsia"/>
          <w:sz w:val="24"/>
        </w:rPr>
        <w:t>单位负责人为同一人或者存在控股、管理关系的不同单位，不得同时参加本项目的谈判。为本项目提供整体设计、规范编制或者项目管理、监理、检测等服务的供应商，不得再参加本项目谈判。</w:t>
      </w:r>
    </w:p>
    <w:p>
      <w:pPr>
        <w:pStyle w:val="256"/>
        <w:numPr>
          <w:ilvl w:val="0"/>
          <w:numId w:val="2"/>
        </w:numPr>
        <w:tabs>
          <w:tab w:val="left" w:pos="709"/>
        </w:tabs>
        <w:autoSpaceDE w:val="0"/>
        <w:autoSpaceDN w:val="0"/>
        <w:adjustRightInd w:val="0"/>
        <w:snapToGrid w:val="0"/>
        <w:spacing w:line="440" w:lineRule="exact"/>
        <w:ind w:left="1276" w:hanging="567" w:firstLineChars="0"/>
        <w:rPr>
          <w:rFonts w:asciiTheme="minorEastAsia" w:hAnsiTheme="minorEastAsia" w:eastAsiaTheme="minorEastAsia"/>
          <w:sz w:val="24"/>
        </w:rPr>
      </w:pPr>
      <w:r>
        <w:rPr>
          <w:rFonts w:hint="eastAsia" w:asciiTheme="minorEastAsia" w:hAnsiTheme="minorEastAsia" w:eastAsiaTheme="minorEastAsia"/>
          <w:sz w:val="24"/>
        </w:rPr>
        <w:t>本项目不接受联合体。</w:t>
      </w:r>
    </w:p>
    <w:p>
      <w:pPr>
        <w:pStyle w:val="256"/>
        <w:numPr>
          <w:ilvl w:val="0"/>
          <w:numId w:val="2"/>
        </w:numPr>
        <w:tabs>
          <w:tab w:val="left" w:pos="709"/>
        </w:tabs>
        <w:autoSpaceDE w:val="0"/>
        <w:autoSpaceDN w:val="0"/>
        <w:adjustRightInd w:val="0"/>
        <w:snapToGrid w:val="0"/>
        <w:spacing w:line="440" w:lineRule="exact"/>
        <w:ind w:left="1276" w:hanging="567" w:firstLineChars="0"/>
        <w:rPr>
          <w:rFonts w:asciiTheme="minorEastAsia" w:hAnsiTheme="minorEastAsia" w:eastAsiaTheme="minorEastAsia"/>
          <w:sz w:val="24"/>
        </w:rPr>
      </w:pPr>
      <w:r>
        <w:rPr>
          <w:rFonts w:hint="eastAsia" w:asciiTheme="minorEastAsia" w:hAnsiTheme="minorEastAsia" w:eastAsiaTheme="minorEastAsia"/>
          <w:sz w:val="24"/>
        </w:rPr>
        <w:t>向采购代理机构购买了谈判文件并登记备案。</w:t>
      </w:r>
    </w:p>
    <w:p>
      <w:pPr>
        <w:numPr>
          <w:ilvl w:val="0"/>
          <w:numId w:val="1"/>
        </w:numPr>
        <w:tabs>
          <w:tab w:val="left" w:pos="709"/>
        </w:tabs>
        <w:autoSpaceDE w:val="0"/>
        <w:autoSpaceDN w:val="0"/>
        <w:adjustRightInd w:val="0"/>
        <w:snapToGrid w:val="0"/>
        <w:spacing w:line="440" w:lineRule="exact"/>
        <w:ind w:left="709" w:hanging="709"/>
        <w:rPr>
          <w:rFonts w:ascii="宋体" w:hAnsi="宋体" w:cs="黑体"/>
          <w:kern w:val="0"/>
          <w:sz w:val="24"/>
        </w:rPr>
      </w:pPr>
      <w:r>
        <w:rPr>
          <w:rFonts w:hint="eastAsia" w:ascii="宋体" w:hAnsi="宋体" w:cs="黑体"/>
          <w:kern w:val="0"/>
          <w:sz w:val="24"/>
        </w:rPr>
        <w:t>获取谈判文件的时间期限、地点、方式及售价</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凡有意参加谈判者，请</w:t>
      </w:r>
      <w:r>
        <w:rPr>
          <w:rFonts w:hint="eastAsia" w:ascii="宋体" w:hAnsi="宋体" w:cs="黑体"/>
          <w:kern w:val="0"/>
          <w:sz w:val="24"/>
          <w:highlight w:val="none"/>
        </w:rPr>
        <w:t>于2018年11月</w:t>
      </w:r>
      <w:r>
        <w:rPr>
          <w:rFonts w:hint="eastAsia" w:ascii="宋体" w:hAnsi="宋体" w:cs="黑体"/>
          <w:kern w:val="0"/>
          <w:sz w:val="24"/>
          <w:highlight w:val="none"/>
          <w:lang w:val="en-US" w:eastAsia="zh-CN"/>
        </w:rPr>
        <w:t>28</w:t>
      </w:r>
      <w:r>
        <w:rPr>
          <w:rFonts w:hint="eastAsia" w:ascii="宋体" w:hAnsi="宋体" w:cs="黑体"/>
          <w:kern w:val="0"/>
          <w:sz w:val="24"/>
          <w:highlight w:val="none"/>
        </w:rPr>
        <w:t>日至2018年1</w:t>
      </w:r>
      <w:r>
        <w:rPr>
          <w:rFonts w:hint="eastAsia" w:ascii="宋体" w:hAnsi="宋体" w:cs="黑体"/>
          <w:kern w:val="0"/>
          <w:sz w:val="24"/>
          <w:highlight w:val="none"/>
          <w:lang w:val="en-US" w:eastAsia="zh-CN"/>
        </w:rPr>
        <w:t>2</w:t>
      </w:r>
      <w:r>
        <w:rPr>
          <w:rFonts w:hint="eastAsia" w:ascii="宋体" w:hAnsi="宋体" w:cs="黑体"/>
          <w:kern w:val="0"/>
          <w:sz w:val="24"/>
          <w:highlight w:val="none"/>
        </w:rPr>
        <w:t>月</w:t>
      </w:r>
      <w:r>
        <w:rPr>
          <w:rFonts w:hint="eastAsia" w:ascii="宋体" w:hAnsi="宋体" w:cs="黑体"/>
          <w:kern w:val="0"/>
          <w:sz w:val="24"/>
          <w:highlight w:val="none"/>
          <w:lang w:val="en-US" w:eastAsia="zh-CN"/>
        </w:rPr>
        <w:t>3</w:t>
      </w:r>
      <w:r>
        <w:rPr>
          <w:rFonts w:hint="eastAsia" w:ascii="宋体" w:hAnsi="宋体" w:cs="黑体"/>
          <w:kern w:val="0"/>
          <w:sz w:val="24"/>
          <w:highlight w:val="none"/>
        </w:rPr>
        <w:t>日</w:t>
      </w:r>
      <w:r>
        <w:rPr>
          <w:rFonts w:hint="eastAsia" w:ascii="宋体" w:hAnsi="宋体" w:cs="黑体"/>
          <w:kern w:val="0"/>
          <w:sz w:val="24"/>
        </w:rPr>
        <w:t>（每日9:00-11:30，13:30-16:00，周六、周日及法定节假日除外），持其法人代表证明及法人代表授权及被授权人的有效身份证明原件及复印件（加盖公章），至</w:t>
      </w:r>
      <w:r>
        <w:rPr>
          <w:rFonts w:hint="eastAsia" w:ascii="宋体" w:hAnsi="宋体" w:cs="黑体"/>
          <w:kern w:val="0"/>
          <w:sz w:val="24"/>
          <w:u w:val="single"/>
        </w:rPr>
        <w:t>海口市美兰区美详路鑫福大厦802室</w:t>
      </w:r>
      <w:r>
        <w:rPr>
          <w:rFonts w:hint="eastAsia" w:ascii="宋体" w:hAnsi="宋体" w:cs="黑体"/>
          <w:kern w:val="0"/>
          <w:sz w:val="24"/>
        </w:rPr>
        <w:t>办理报名并获取谈判文件。</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谈判文件售价：人民币</w:t>
      </w:r>
      <w:r>
        <w:rPr>
          <w:rFonts w:hint="eastAsia" w:ascii="宋体" w:hAnsi="宋体" w:cs="黑体"/>
          <w:kern w:val="0"/>
          <w:sz w:val="24"/>
          <w:u w:val="single"/>
        </w:rPr>
        <w:t xml:space="preserve"> 300 </w:t>
      </w:r>
      <w:r>
        <w:rPr>
          <w:rFonts w:hint="eastAsia" w:ascii="宋体" w:hAnsi="宋体" w:cs="黑体"/>
          <w:kern w:val="0"/>
          <w:sz w:val="24"/>
        </w:rPr>
        <w:t>元，</w:t>
      </w:r>
      <w:r>
        <w:rPr>
          <w:rFonts w:hint="eastAsia" w:ascii="宋体" w:hAnsi="宋体" w:cs="黑体"/>
          <w:kern w:val="0"/>
          <w:sz w:val="24"/>
          <w:lang w:eastAsia="zh-CN"/>
        </w:rPr>
        <w:t>图纸押金</w:t>
      </w:r>
      <w:r>
        <w:rPr>
          <w:rFonts w:hint="eastAsia" w:ascii="宋体" w:hAnsi="宋体" w:cs="黑体"/>
          <w:kern w:val="0"/>
          <w:sz w:val="24"/>
          <w:u w:val="single"/>
          <w:lang w:val="en-US" w:eastAsia="zh-CN"/>
        </w:rPr>
        <w:t xml:space="preserve"> 0 </w:t>
      </w:r>
      <w:r>
        <w:rPr>
          <w:rFonts w:hint="eastAsia" w:ascii="宋体" w:hAnsi="宋体" w:cs="黑体"/>
          <w:kern w:val="0"/>
          <w:sz w:val="24"/>
          <w:lang w:val="en-US" w:eastAsia="zh-CN"/>
        </w:rPr>
        <w:t>元，</w:t>
      </w:r>
      <w:r>
        <w:rPr>
          <w:rFonts w:hint="eastAsia" w:ascii="宋体" w:hAnsi="宋体" w:cs="黑体"/>
          <w:kern w:val="0"/>
          <w:sz w:val="24"/>
        </w:rPr>
        <w:t>售后不退。</w:t>
      </w:r>
    </w:p>
    <w:p>
      <w:pPr>
        <w:numPr>
          <w:ilvl w:val="0"/>
          <w:numId w:val="1"/>
        </w:numPr>
        <w:tabs>
          <w:tab w:val="left" w:pos="709"/>
        </w:tabs>
        <w:autoSpaceDE w:val="0"/>
        <w:autoSpaceDN w:val="0"/>
        <w:adjustRightInd w:val="0"/>
        <w:snapToGrid w:val="0"/>
        <w:spacing w:line="440" w:lineRule="exact"/>
        <w:ind w:left="709" w:hanging="709"/>
        <w:rPr>
          <w:rFonts w:ascii="宋体" w:hAnsi="宋体" w:cs="黑体"/>
          <w:kern w:val="0"/>
          <w:sz w:val="24"/>
        </w:rPr>
      </w:pPr>
      <w:r>
        <w:rPr>
          <w:rFonts w:hint="eastAsia" w:ascii="宋体" w:hAnsi="宋体" w:cs="黑体"/>
          <w:kern w:val="0"/>
          <w:sz w:val="24"/>
        </w:rPr>
        <w:t>公告发布媒介及公告期限</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本竞争性谈判公告在中国政府采购网（</w:t>
      </w:r>
      <w:r>
        <w:fldChar w:fldCharType="begin"/>
      </w:r>
      <w:r>
        <w:instrText xml:space="preserve"> HYPERLINK "http://www.ccgp.gov.cn）、" </w:instrText>
      </w:r>
      <w:r>
        <w:fldChar w:fldCharType="separate"/>
      </w:r>
      <w:r>
        <w:rPr>
          <w:rStyle w:val="82"/>
          <w:rFonts w:hint="default" w:cs="黑体"/>
          <w:color w:val="auto"/>
          <w:kern w:val="0"/>
          <w:sz w:val="24"/>
          <w:u w:val="none"/>
        </w:rPr>
        <w:t>www.ccgp.gov.cn）、</w:t>
      </w:r>
      <w:r>
        <w:rPr>
          <w:rStyle w:val="82"/>
          <w:rFonts w:hint="default" w:cs="黑体"/>
          <w:color w:val="auto"/>
          <w:kern w:val="0"/>
          <w:sz w:val="24"/>
          <w:u w:val="none"/>
        </w:rPr>
        <w:fldChar w:fldCharType="end"/>
      </w:r>
      <w:r>
        <w:rPr>
          <w:rFonts w:hint="eastAsia" w:ascii="宋体" w:hAnsi="宋体" w:cs="黑体"/>
          <w:kern w:val="0"/>
          <w:sz w:val="24"/>
        </w:rPr>
        <w:t>及 中国海南政府采购网（www.ccgp-hainan.gov.cn</w:t>
      </w:r>
      <w:r>
        <w:rPr>
          <w:rFonts w:ascii="宋体" w:hAnsi="宋体" w:cs="黑体"/>
          <w:kern w:val="0"/>
          <w:sz w:val="24"/>
        </w:rPr>
        <w:t>）</w:t>
      </w:r>
      <w:r>
        <w:rPr>
          <w:rFonts w:hint="eastAsia" w:ascii="宋体" w:hAnsi="宋体" w:cs="黑体"/>
          <w:kern w:val="0"/>
          <w:sz w:val="24"/>
        </w:rPr>
        <w:t>上发布。</w:t>
      </w:r>
    </w:p>
    <w:p>
      <w:pPr>
        <w:autoSpaceDE w:val="0"/>
        <w:autoSpaceDN w:val="0"/>
        <w:adjustRightInd w:val="0"/>
        <w:snapToGrid w:val="0"/>
        <w:spacing w:line="440" w:lineRule="exact"/>
        <w:ind w:firstLine="709"/>
        <w:rPr>
          <w:rFonts w:ascii="宋体" w:hAnsi="宋体" w:cs="黑体"/>
          <w:kern w:val="0"/>
          <w:sz w:val="24"/>
        </w:rPr>
      </w:pPr>
      <w:r>
        <w:rPr>
          <w:rFonts w:hint="eastAsia" w:asciiTheme="minorEastAsia" w:hAnsiTheme="minorEastAsia"/>
          <w:sz w:val="24"/>
        </w:rPr>
        <w:t>公告期限：自</w:t>
      </w:r>
      <w:r>
        <w:rPr>
          <w:rFonts w:hint="eastAsia" w:ascii="宋体" w:hAnsi="宋体" w:cs="黑体"/>
          <w:kern w:val="0"/>
          <w:sz w:val="24"/>
        </w:rPr>
        <w:t>中国政府采购网</w:t>
      </w:r>
      <w:r>
        <w:rPr>
          <w:rFonts w:hint="eastAsia" w:asciiTheme="minorEastAsia" w:hAnsiTheme="minorEastAsia"/>
          <w:sz w:val="24"/>
        </w:rPr>
        <w:t>发布公告次日起3个工作日。</w:t>
      </w:r>
    </w:p>
    <w:p>
      <w:pPr>
        <w:numPr>
          <w:ilvl w:val="0"/>
          <w:numId w:val="1"/>
        </w:numPr>
        <w:tabs>
          <w:tab w:val="left" w:pos="709"/>
        </w:tabs>
        <w:autoSpaceDE w:val="0"/>
        <w:autoSpaceDN w:val="0"/>
        <w:adjustRightInd w:val="0"/>
        <w:snapToGrid w:val="0"/>
        <w:spacing w:line="440" w:lineRule="exact"/>
        <w:ind w:left="709" w:hanging="709"/>
        <w:rPr>
          <w:rFonts w:ascii="宋体" w:hAnsi="宋体" w:cs="黑体"/>
          <w:kern w:val="0"/>
          <w:sz w:val="24"/>
          <w:highlight w:val="none"/>
        </w:rPr>
      </w:pPr>
      <w:r>
        <w:rPr>
          <w:rFonts w:hint="eastAsia" w:ascii="宋体" w:hAnsi="宋体" w:cs="黑体"/>
          <w:kern w:val="0"/>
          <w:sz w:val="24"/>
          <w:highlight w:val="none"/>
        </w:rPr>
        <w:t>响应文件首次递交截止时间、谈判时间及地点</w:t>
      </w:r>
    </w:p>
    <w:p>
      <w:pPr>
        <w:tabs>
          <w:tab w:val="left" w:pos="709"/>
        </w:tabs>
        <w:autoSpaceDE w:val="0"/>
        <w:autoSpaceDN w:val="0"/>
        <w:adjustRightInd w:val="0"/>
        <w:snapToGrid w:val="0"/>
        <w:spacing w:line="440" w:lineRule="exact"/>
        <w:ind w:left="708" w:leftChars="337"/>
        <w:rPr>
          <w:rFonts w:ascii="宋体" w:hAnsi="宋体" w:cs="黑体"/>
          <w:kern w:val="0"/>
          <w:sz w:val="24"/>
          <w:highlight w:val="none"/>
        </w:rPr>
      </w:pPr>
      <w:r>
        <w:rPr>
          <w:rFonts w:hint="eastAsia" w:ascii="宋体" w:hAnsi="宋体" w:cs="黑体"/>
          <w:kern w:val="0"/>
          <w:sz w:val="24"/>
          <w:highlight w:val="none"/>
        </w:rPr>
        <w:t>响应文件首次递交截止时间：2018年12月</w:t>
      </w:r>
      <w:r>
        <w:rPr>
          <w:rFonts w:hint="eastAsia" w:ascii="宋体" w:hAnsi="宋体" w:cs="黑体"/>
          <w:kern w:val="0"/>
          <w:sz w:val="24"/>
          <w:highlight w:val="none"/>
          <w:lang w:val="en-US" w:eastAsia="zh-CN"/>
        </w:rPr>
        <w:t>4</w:t>
      </w:r>
      <w:r>
        <w:rPr>
          <w:rFonts w:hint="eastAsia" w:ascii="宋体" w:hAnsi="宋体" w:cs="黑体"/>
          <w:kern w:val="0"/>
          <w:sz w:val="24"/>
          <w:highlight w:val="none"/>
        </w:rPr>
        <w:t>日</w:t>
      </w:r>
      <w:r>
        <w:rPr>
          <w:rFonts w:hint="eastAsia" w:ascii="宋体" w:hAnsi="宋体" w:cs="黑体"/>
          <w:kern w:val="0"/>
          <w:sz w:val="24"/>
          <w:highlight w:val="none"/>
          <w:lang w:val="en-US" w:eastAsia="zh-CN"/>
        </w:rPr>
        <w:t>9</w:t>
      </w:r>
      <w:r>
        <w:rPr>
          <w:rFonts w:hint="eastAsia" w:ascii="宋体" w:hAnsi="宋体" w:cs="黑体"/>
          <w:kern w:val="0"/>
          <w:sz w:val="24"/>
          <w:highlight w:val="none"/>
        </w:rPr>
        <w:t>时</w:t>
      </w:r>
      <w:r>
        <w:rPr>
          <w:rFonts w:hint="eastAsia" w:ascii="宋体" w:hAnsi="宋体" w:cs="黑体"/>
          <w:kern w:val="0"/>
          <w:sz w:val="24"/>
          <w:highlight w:val="none"/>
          <w:lang w:val="en-US" w:eastAsia="zh-CN"/>
        </w:rPr>
        <w:t>30</w:t>
      </w:r>
      <w:r>
        <w:rPr>
          <w:rFonts w:hint="eastAsia" w:ascii="宋体" w:hAnsi="宋体" w:cs="黑体"/>
          <w:kern w:val="0"/>
          <w:sz w:val="24"/>
          <w:highlight w:val="none"/>
        </w:rPr>
        <w:t xml:space="preserve"> 分；</w:t>
      </w:r>
    </w:p>
    <w:p>
      <w:pPr>
        <w:tabs>
          <w:tab w:val="left" w:pos="709"/>
        </w:tabs>
        <w:autoSpaceDE w:val="0"/>
        <w:autoSpaceDN w:val="0"/>
        <w:adjustRightInd w:val="0"/>
        <w:snapToGrid w:val="0"/>
        <w:spacing w:line="440" w:lineRule="exact"/>
        <w:ind w:left="708" w:leftChars="337"/>
        <w:rPr>
          <w:rFonts w:ascii="宋体" w:hAnsi="宋体" w:cs="黑体"/>
          <w:kern w:val="0"/>
          <w:sz w:val="24"/>
          <w:highlight w:val="none"/>
        </w:rPr>
      </w:pPr>
      <w:r>
        <w:rPr>
          <w:rFonts w:hint="eastAsia" w:ascii="宋体" w:hAnsi="宋体" w:cs="黑体"/>
          <w:kern w:val="0"/>
          <w:sz w:val="24"/>
          <w:highlight w:val="none"/>
        </w:rPr>
        <w:t>谈判时间：2018年12月</w:t>
      </w:r>
      <w:r>
        <w:rPr>
          <w:rFonts w:hint="eastAsia" w:ascii="宋体" w:hAnsi="宋体" w:cs="黑体"/>
          <w:kern w:val="0"/>
          <w:sz w:val="24"/>
          <w:highlight w:val="none"/>
          <w:lang w:val="en-US" w:eastAsia="zh-CN"/>
        </w:rPr>
        <w:t>4</w:t>
      </w:r>
      <w:r>
        <w:rPr>
          <w:rFonts w:hint="eastAsia" w:ascii="宋体" w:hAnsi="宋体" w:cs="黑体"/>
          <w:kern w:val="0"/>
          <w:sz w:val="24"/>
          <w:highlight w:val="none"/>
        </w:rPr>
        <w:t>日</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响应文件首次递交和谈判地点：海口市美兰区美详路鑫福大厦802室</w:t>
      </w:r>
    </w:p>
    <w:p>
      <w:pPr>
        <w:numPr>
          <w:ilvl w:val="0"/>
          <w:numId w:val="1"/>
        </w:numPr>
        <w:tabs>
          <w:tab w:val="left" w:pos="709"/>
        </w:tabs>
        <w:autoSpaceDE w:val="0"/>
        <w:autoSpaceDN w:val="0"/>
        <w:adjustRightInd w:val="0"/>
        <w:snapToGrid w:val="0"/>
        <w:spacing w:line="440" w:lineRule="exact"/>
        <w:ind w:left="709" w:hanging="709"/>
        <w:rPr>
          <w:rFonts w:ascii="宋体" w:hAnsi="宋体" w:cs="黑体"/>
          <w:kern w:val="0"/>
          <w:sz w:val="24"/>
        </w:rPr>
      </w:pPr>
      <w:r>
        <w:rPr>
          <w:rFonts w:hint="eastAsia" w:ascii="宋体" w:hAnsi="宋体" w:cs="黑体"/>
          <w:kern w:val="0"/>
          <w:sz w:val="24"/>
        </w:rPr>
        <w:t>采购人及其委托的采购代理机构的名称、地址和联系方法</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 xml:space="preserve">采 购 人：文昌市生态环境保护局 </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地    址：文昌市文清大道与清澜路交叉口</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联 系 人：徐主任</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电    话：0898-63330081</w:t>
      </w:r>
    </w:p>
    <w:p>
      <w:pPr>
        <w:tabs>
          <w:tab w:val="left" w:pos="709"/>
        </w:tabs>
        <w:autoSpaceDE w:val="0"/>
        <w:autoSpaceDN w:val="0"/>
        <w:adjustRightInd w:val="0"/>
        <w:snapToGrid w:val="0"/>
        <w:spacing w:line="440" w:lineRule="exact"/>
        <w:ind w:left="708" w:leftChars="337"/>
        <w:rPr>
          <w:rFonts w:ascii="宋体" w:hAnsi="宋体" w:cs="黑体"/>
          <w:kern w:val="0"/>
          <w:sz w:val="24"/>
        </w:rPr>
      </w:pP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 xml:space="preserve">采购代理机构：国信招标集团股份有限公司 </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项目执行机构：国信招标集团股份有限公司海南分公司</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 xml:space="preserve">地    址：海南省海口市美兰区国兴大道美祥路8号鑫福大厦8楼802  </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联 系 人：颜女士、梁先生</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电    话：0898-65379547</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邮    编：570100</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传    真：0898-65379547</w:t>
      </w:r>
    </w:p>
    <w:p>
      <w:pPr>
        <w:tabs>
          <w:tab w:val="left" w:pos="709"/>
        </w:tabs>
        <w:autoSpaceDE w:val="0"/>
        <w:autoSpaceDN w:val="0"/>
        <w:adjustRightInd w:val="0"/>
        <w:snapToGrid w:val="0"/>
        <w:spacing w:line="440" w:lineRule="exact"/>
        <w:ind w:left="708" w:leftChars="337"/>
        <w:rPr>
          <w:rFonts w:ascii="宋体" w:hAnsi="宋体" w:cs="黑体"/>
          <w:kern w:val="0"/>
          <w:sz w:val="24"/>
        </w:rPr>
      </w:pP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账户名称：国信招标集团股份有限公司海南分公司</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开户银行：交通银行海南省分行营业部</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账    号： 4616 0010 0018 0102 7719 2</w:t>
      </w:r>
    </w:p>
    <w:p>
      <w:pPr>
        <w:tabs>
          <w:tab w:val="left" w:pos="709"/>
        </w:tabs>
        <w:autoSpaceDE w:val="0"/>
        <w:autoSpaceDN w:val="0"/>
        <w:adjustRightInd w:val="0"/>
        <w:snapToGrid w:val="0"/>
        <w:spacing w:line="440" w:lineRule="exact"/>
        <w:ind w:left="708" w:leftChars="337"/>
        <w:rPr>
          <w:rFonts w:ascii="宋体" w:hAnsi="宋体" w:cs="黑体"/>
          <w:b/>
          <w:bCs/>
          <w:kern w:val="0"/>
          <w:sz w:val="24"/>
        </w:rPr>
      </w:pPr>
      <w:r>
        <w:rPr>
          <w:rFonts w:hint="eastAsia" w:ascii="宋体" w:hAnsi="宋体" w:cs="黑体"/>
          <w:b/>
          <w:bCs/>
          <w:kern w:val="0"/>
          <w:sz w:val="24"/>
        </w:rPr>
        <w:t>（此账户为标书款账户）</w:t>
      </w:r>
    </w:p>
    <w:p>
      <w:pPr>
        <w:tabs>
          <w:tab w:val="left" w:pos="709"/>
        </w:tabs>
        <w:autoSpaceDE w:val="0"/>
        <w:autoSpaceDN w:val="0"/>
        <w:adjustRightInd w:val="0"/>
        <w:snapToGrid w:val="0"/>
        <w:spacing w:line="440" w:lineRule="exact"/>
        <w:ind w:left="708" w:leftChars="337"/>
        <w:rPr>
          <w:rFonts w:ascii="宋体" w:hAnsi="宋体" w:cs="黑体"/>
          <w:b/>
          <w:bCs/>
          <w:kern w:val="0"/>
          <w:szCs w:val="21"/>
        </w:rPr>
      </w:pPr>
      <w:r>
        <w:rPr>
          <w:rFonts w:hint="eastAsia" w:ascii="宋体" w:hAnsi="宋体" w:cs="黑体"/>
          <w:b/>
          <w:bCs/>
          <w:kern w:val="0"/>
          <w:sz w:val="18"/>
          <w:szCs w:val="18"/>
        </w:rPr>
        <w:t>请供应商在汇款时务必注明所参加谈判项目的编号及款项用途，否则，因款项用途不明导致谈判无效等后果由供应商自行承担。</w:t>
      </w:r>
    </w:p>
    <w:p>
      <w:pPr>
        <w:tabs>
          <w:tab w:val="left" w:pos="709"/>
        </w:tabs>
        <w:autoSpaceDE w:val="0"/>
        <w:autoSpaceDN w:val="0"/>
        <w:adjustRightInd w:val="0"/>
        <w:snapToGrid w:val="0"/>
        <w:spacing w:line="440" w:lineRule="exact"/>
        <w:ind w:left="708" w:leftChars="337"/>
        <w:rPr>
          <w:rFonts w:ascii="宋体" w:hAnsi="宋体" w:cs="黑体"/>
          <w:kern w:val="0"/>
          <w:sz w:val="24"/>
        </w:rPr>
      </w:pPr>
    </w:p>
    <w:p>
      <w:r>
        <w:rPr>
          <w:rFonts w:hint="eastAsia"/>
        </w:rPr>
        <w:br w:type="page"/>
      </w:r>
    </w:p>
    <w:p>
      <w:pPr>
        <w:autoSpaceDE w:val="0"/>
        <w:autoSpaceDN w:val="0"/>
        <w:adjustRightInd w:val="0"/>
        <w:snapToGrid w:val="0"/>
        <w:spacing w:afterLines="50"/>
        <w:jc w:val="center"/>
        <w:outlineLvl w:val="0"/>
        <w:rPr>
          <w:rFonts w:ascii="宋体" w:hAnsi="宋体" w:cs="黑体"/>
          <w:kern w:val="0"/>
          <w:sz w:val="32"/>
          <w:szCs w:val="32"/>
        </w:rPr>
      </w:pPr>
      <w:bookmarkStart w:id="2" w:name="_Toc25924"/>
      <w:r>
        <w:rPr>
          <w:rFonts w:hint="eastAsia" w:ascii="宋体" w:hAnsi="宋体" w:cs="黑体"/>
          <w:kern w:val="0"/>
          <w:sz w:val="32"/>
          <w:szCs w:val="32"/>
        </w:rPr>
        <w:t>第二章</w:t>
      </w:r>
      <w:r>
        <w:rPr>
          <w:rFonts w:hint="eastAsia" w:ascii="宋体" w:hAnsi="宋体" w:cs="黑体"/>
          <w:kern w:val="0"/>
          <w:sz w:val="32"/>
          <w:szCs w:val="32"/>
          <w:lang w:val="en-US" w:eastAsia="zh-CN"/>
        </w:rPr>
        <w:t xml:space="preserve">  </w:t>
      </w:r>
      <w:r>
        <w:rPr>
          <w:rFonts w:hint="eastAsia" w:ascii="宋体" w:hAnsi="宋体" w:cs="黑体"/>
          <w:kern w:val="0"/>
          <w:sz w:val="32"/>
          <w:szCs w:val="32"/>
        </w:rPr>
        <w:t>供应商须知</w:t>
      </w:r>
      <w:bookmarkEnd w:id="2"/>
    </w:p>
    <w:p>
      <w:pPr>
        <w:autoSpaceDE w:val="0"/>
        <w:autoSpaceDN w:val="0"/>
        <w:adjustRightInd w:val="0"/>
        <w:snapToGrid w:val="0"/>
        <w:spacing w:afterLines="50"/>
        <w:jc w:val="center"/>
        <w:outlineLvl w:val="1"/>
        <w:rPr>
          <w:rFonts w:ascii="宋体" w:hAnsi="宋体" w:cs="黑体"/>
          <w:kern w:val="0"/>
          <w:sz w:val="28"/>
          <w:szCs w:val="28"/>
        </w:rPr>
      </w:pPr>
      <w:bookmarkStart w:id="3" w:name="_Toc31428"/>
      <w:r>
        <w:rPr>
          <w:rFonts w:hint="eastAsia" w:ascii="宋体" w:hAnsi="宋体" w:cs="黑体"/>
          <w:kern w:val="0"/>
          <w:sz w:val="28"/>
          <w:szCs w:val="28"/>
        </w:rPr>
        <w:t>（一）供应商须知前附表</w:t>
      </w:r>
      <w:bookmarkEnd w:id="3"/>
    </w:p>
    <w:tbl>
      <w:tblPr>
        <w:tblStyle w:val="87"/>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515"/>
        <w:gridCol w:w="5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188" w:type="dxa"/>
            <w:vAlign w:val="center"/>
          </w:tcPr>
          <w:p>
            <w:pPr>
              <w:autoSpaceDE w:val="0"/>
              <w:autoSpaceDN w:val="0"/>
              <w:adjustRightInd w:val="0"/>
              <w:snapToGrid w:val="0"/>
              <w:jc w:val="center"/>
              <w:rPr>
                <w:rFonts w:ascii="宋体" w:hAnsi="宋体" w:cs="黑体"/>
                <w:kern w:val="0"/>
                <w:sz w:val="24"/>
              </w:rPr>
            </w:pPr>
            <w:r>
              <w:rPr>
                <w:rFonts w:hint="eastAsia" w:ascii="宋体" w:hAnsi="宋体" w:cs="仿宋_GB2312"/>
                <w:kern w:val="0"/>
                <w:sz w:val="24"/>
              </w:rPr>
              <w:t>条款号</w:t>
            </w:r>
          </w:p>
        </w:tc>
        <w:tc>
          <w:tcPr>
            <w:tcW w:w="2515" w:type="dxa"/>
            <w:vAlign w:val="center"/>
          </w:tcPr>
          <w:p>
            <w:pPr>
              <w:autoSpaceDE w:val="0"/>
              <w:autoSpaceDN w:val="0"/>
              <w:adjustRightInd w:val="0"/>
              <w:snapToGrid w:val="0"/>
              <w:jc w:val="center"/>
              <w:rPr>
                <w:rFonts w:ascii="宋体" w:hAnsi="宋体" w:cs="黑体"/>
                <w:kern w:val="0"/>
                <w:sz w:val="24"/>
              </w:rPr>
            </w:pPr>
            <w:r>
              <w:rPr>
                <w:rFonts w:hint="eastAsia" w:ascii="宋体" w:hAnsi="宋体" w:cs="仿宋_GB2312"/>
                <w:kern w:val="0"/>
                <w:sz w:val="24"/>
              </w:rPr>
              <w:t>条款名称</w:t>
            </w:r>
          </w:p>
        </w:tc>
        <w:tc>
          <w:tcPr>
            <w:tcW w:w="5675" w:type="dxa"/>
            <w:vAlign w:val="center"/>
          </w:tcPr>
          <w:p>
            <w:pPr>
              <w:autoSpaceDE w:val="0"/>
              <w:autoSpaceDN w:val="0"/>
              <w:adjustRightInd w:val="0"/>
              <w:snapToGrid w:val="0"/>
              <w:jc w:val="center"/>
              <w:rPr>
                <w:rFonts w:ascii="宋体" w:hAnsi="宋体" w:cs="黑体"/>
                <w:kern w:val="0"/>
                <w:sz w:val="24"/>
              </w:rPr>
            </w:pPr>
            <w:r>
              <w:rPr>
                <w:rFonts w:hint="eastAsia" w:ascii="宋体" w:hAnsi="宋体" w:cs="仿宋_GB2312"/>
                <w:kern w:val="0"/>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0"/>
              </w:rPr>
            </w:pPr>
            <w:r>
              <w:fldChar w:fldCharType="begin"/>
            </w:r>
            <w:r>
              <w:instrText xml:space="preserve"> REF _Ref527101463 \r \h  \* MERGEFORMAT </w:instrText>
            </w:r>
            <w:r>
              <w:fldChar w:fldCharType="separate"/>
            </w:r>
            <w:r>
              <w:rPr>
                <w:rFonts w:ascii="宋体" w:hAnsi="宋体" w:cs="TimesNewRomanPSMT"/>
                <w:kern w:val="0"/>
                <w:sz w:val="20"/>
                <w:szCs w:val="20"/>
              </w:rPr>
              <w:t>1.7</w:t>
            </w:r>
            <w:r>
              <w:rPr>
                <w:rFonts w:ascii="宋体" w:hAnsi="宋体" w:cs="TimesNewRomanPSMT"/>
                <w:kern w:val="0"/>
                <w:sz w:val="20"/>
                <w:szCs w:val="20"/>
              </w:rPr>
              <w:fldChar w:fldCharType="end"/>
            </w:r>
          </w:p>
        </w:tc>
        <w:tc>
          <w:tcPr>
            <w:tcW w:w="2515" w:type="dxa"/>
            <w:vAlign w:val="center"/>
          </w:tcPr>
          <w:p>
            <w:pPr>
              <w:autoSpaceDE w:val="0"/>
              <w:autoSpaceDN w:val="0"/>
              <w:adjustRightInd w:val="0"/>
              <w:snapToGrid w:val="0"/>
              <w:jc w:val="left"/>
              <w:rPr>
                <w:rFonts w:ascii="宋体" w:hAnsi="宋体" w:cs="仿宋_GB2312"/>
                <w:kern w:val="0"/>
                <w:sz w:val="24"/>
              </w:rPr>
            </w:pPr>
            <w:r>
              <w:rPr>
                <w:rFonts w:hint="eastAsia" w:ascii="宋体" w:hAnsi="宋体" w:cs="仿宋_GB2312"/>
                <w:kern w:val="0"/>
                <w:sz w:val="24"/>
              </w:rPr>
              <w:t>分包</w:t>
            </w:r>
          </w:p>
        </w:tc>
        <w:tc>
          <w:tcPr>
            <w:tcW w:w="5675" w:type="dxa"/>
            <w:vAlign w:val="center"/>
          </w:tcPr>
          <w:p>
            <w:pPr>
              <w:autoSpaceDE w:val="0"/>
              <w:autoSpaceDN w:val="0"/>
              <w:adjustRightInd w:val="0"/>
              <w:snapToGrid w:val="0"/>
              <w:spacing w:line="440" w:lineRule="exact"/>
              <w:jc w:val="left"/>
              <w:rPr>
                <w:rFonts w:ascii="宋体" w:hAnsi="宋体" w:cs="TimesNewRomanPSMT"/>
                <w:kern w:val="0"/>
                <w:sz w:val="24"/>
              </w:rPr>
            </w:pPr>
            <w:r>
              <w:rPr>
                <w:rFonts w:hint="eastAsia" w:ascii="宋体" w:hAnsi="宋体" w:cs="TimesNewRomanPSMT"/>
                <w:kern w:val="0"/>
                <w:sz w:val="24"/>
                <w:bdr w:val="single" w:color="auto" w:sz="4" w:space="0"/>
              </w:rPr>
              <w:t xml:space="preserve"> √ </w:t>
            </w:r>
            <w:r>
              <w:rPr>
                <w:rFonts w:ascii="宋体" w:hAnsi="宋体" w:cs="TimesNewRomanPSMT"/>
                <w:kern w:val="0"/>
                <w:sz w:val="24"/>
              </w:rPr>
              <w:t>不允许</w:t>
            </w:r>
          </w:p>
          <w:p>
            <w:pPr>
              <w:autoSpaceDE w:val="0"/>
              <w:autoSpaceDN w:val="0"/>
              <w:adjustRightInd w:val="0"/>
              <w:snapToGrid w:val="0"/>
              <w:spacing w:line="440" w:lineRule="exact"/>
              <w:jc w:val="left"/>
              <w:rPr>
                <w:rFonts w:ascii="宋体" w:hAnsi="宋体" w:cs="TimesNewRomanPSMT"/>
                <w:kern w:val="0"/>
                <w:sz w:val="24"/>
              </w:rPr>
            </w:pPr>
            <w:r>
              <w:rPr>
                <w:rFonts w:hint="eastAsia" w:ascii="宋体" w:hAnsi="宋体" w:cs="TimesNewRomanPSMT"/>
                <w:kern w:val="0"/>
                <w:sz w:val="24"/>
              </w:rPr>
              <w:t>允  许：</w:t>
            </w:r>
          </w:p>
          <w:p>
            <w:pPr>
              <w:autoSpaceDE w:val="0"/>
              <w:autoSpaceDN w:val="0"/>
              <w:adjustRightInd w:val="0"/>
              <w:snapToGrid w:val="0"/>
              <w:spacing w:line="440" w:lineRule="exact"/>
              <w:ind w:left="311" w:leftChars="148"/>
              <w:jc w:val="left"/>
              <w:rPr>
                <w:rFonts w:ascii="宋体" w:hAnsi="宋体" w:cs="TimesNewRomanPSMT"/>
                <w:kern w:val="0"/>
                <w:sz w:val="24"/>
              </w:rPr>
            </w:pPr>
            <w:r>
              <w:rPr>
                <w:rFonts w:hint="eastAsia" w:ascii="宋体" w:hAnsi="宋体" w:cs="TimesNewRomanPSMT"/>
                <w:kern w:val="0"/>
                <w:sz w:val="24"/>
              </w:rPr>
              <w:t>分包内容要求：</w:t>
            </w:r>
          </w:p>
          <w:p>
            <w:pPr>
              <w:autoSpaceDE w:val="0"/>
              <w:autoSpaceDN w:val="0"/>
              <w:adjustRightInd w:val="0"/>
              <w:snapToGrid w:val="0"/>
              <w:spacing w:line="440" w:lineRule="exact"/>
              <w:ind w:left="311" w:leftChars="148"/>
              <w:jc w:val="left"/>
              <w:rPr>
                <w:rFonts w:ascii="宋体" w:hAnsi="宋体" w:cs="TimesNewRomanPSMT"/>
                <w:kern w:val="0"/>
                <w:sz w:val="24"/>
              </w:rPr>
            </w:pPr>
            <w:r>
              <w:rPr>
                <w:rFonts w:hint="eastAsia" w:ascii="宋体" w:hAnsi="宋体" w:cs="TimesNewRomanPSMT"/>
                <w:kern w:val="0"/>
                <w:sz w:val="24"/>
              </w:rPr>
              <w:t>分包金额要求：</w:t>
            </w:r>
          </w:p>
          <w:p>
            <w:pPr>
              <w:autoSpaceDE w:val="0"/>
              <w:autoSpaceDN w:val="0"/>
              <w:adjustRightInd w:val="0"/>
              <w:snapToGrid w:val="0"/>
              <w:spacing w:line="440" w:lineRule="exact"/>
              <w:ind w:left="311" w:leftChars="148"/>
              <w:jc w:val="left"/>
              <w:rPr>
                <w:rFonts w:ascii="宋体" w:hAnsi="宋体" w:cs="TimesNewRomanPSMT"/>
                <w:kern w:val="0"/>
                <w:sz w:val="24"/>
              </w:rPr>
            </w:pPr>
            <w:r>
              <w:rPr>
                <w:rFonts w:hint="eastAsia" w:ascii="宋体" w:hAnsi="宋体" w:cs="TimesNewRomanPSMT"/>
                <w:kern w:val="0"/>
                <w:sz w:val="24"/>
              </w:rPr>
              <w:t>分包人应具有的资质：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仿宋_GB2312"/>
                <w:kern w:val="0"/>
                <w:sz w:val="20"/>
                <w:szCs w:val="20"/>
              </w:rPr>
            </w:pPr>
            <w:r>
              <w:fldChar w:fldCharType="begin"/>
            </w:r>
            <w:r>
              <w:instrText xml:space="preserve"> REF _Ref527633716 \r \h  \* MERGEFORMAT </w:instrText>
            </w:r>
            <w:r>
              <w:fldChar w:fldCharType="separate"/>
            </w:r>
            <w:r>
              <w:rPr>
                <w:rFonts w:ascii="宋体" w:hAnsi="宋体" w:cs="仿宋_GB2312"/>
                <w:kern w:val="0"/>
                <w:sz w:val="20"/>
                <w:szCs w:val="20"/>
              </w:rPr>
              <w:t>1.12.1</w:t>
            </w:r>
            <w:r>
              <w:rPr>
                <w:rFonts w:ascii="宋体" w:hAnsi="宋体" w:cs="仿宋_GB2312"/>
                <w:kern w:val="0"/>
                <w:sz w:val="20"/>
                <w:szCs w:val="20"/>
              </w:rPr>
              <w:fldChar w:fldCharType="end"/>
            </w:r>
          </w:p>
        </w:tc>
        <w:tc>
          <w:tcPr>
            <w:tcW w:w="2515" w:type="dxa"/>
            <w:vAlign w:val="center"/>
          </w:tcPr>
          <w:p>
            <w:pPr>
              <w:autoSpaceDE w:val="0"/>
              <w:autoSpaceDN w:val="0"/>
              <w:adjustRightInd w:val="0"/>
              <w:snapToGrid w:val="0"/>
              <w:jc w:val="left"/>
              <w:rPr>
                <w:rFonts w:ascii="宋体" w:hAnsi="宋体" w:cs="仿宋_GB2312"/>
                <w:kern w:val="0"/>
                <w:sz w:val="24"/>
              </w:rPr>
            </w:pPr>
            <w:r>
              <w:rPr>
                <w:rFonts w:hint="eastAsia" w:ascii="宋体" w:hAnsi="宋体" w:cs="仿宋_GB2312"/>
                <w:kern w:val="0"/>
                <w:sz w:val="24"/>
              </w:rPr>
              <w:t>踏勘现场</w:t>
            </w:r>
          </w:p>
        </w:tc>
        <w:tc>
          <w:tcPr>
            <w:tcW w:w="5675" w:type="dxa"/>
            <w:vAlign w:val="center"/>
          </w:tcPr>
          <w:p>
            <w:pPr>
              <w:autoSpaceDE w:val="0"/>
              <w:autoSpaceDN w:val="0"/>
              <w:adjustRightInd w:val="0"/>
              <w:snapToGrid w:val="0"/>
              <w:spacing w:line="440" w:lineRule="exact"/>
              <w:jc w:val="left"/>
              <w:rPr>
                <w:rFonts w:ascii="宋体" w:hAnsi="宋体" w:cs="TimesNewRomanPSMT"/>
                <w:kern w:val="0"/>
                <w:sz w:val="24"/>
              </w:rPr>
            </w:pPr>
            <w:r>
              <w:rPr>
                <w:rFonts w:hint="eastAsia" w:ascii="宋体" w:hAnsi="宋体" w:cs="TimesNewRomanPSMT"/>
                <w:kern w:val="0"/>
                <w:sz w:val="24"/>
                <w:bdr w:val="single" w:color="auto" w:sz="4" w:space="0"/>
              </w:rPr>
              <w:t xml:space="preserve"> √ </w:t>
            </w:r>
            <w:r>
              <w:rPr>
                <w:rFonts w:ascii="宋体" w:hAnsi="宋体" w:cs="TimesNewRomanPSMT"/>
                <w:kern w:val="0"/>
                <w:sz w:val="24"/>
              </w:rPr>
              <w:t>不组织</w:t>
            </w:r>
          </w:p>
          <w:p>
            <w:pPr>
              <w:autoSpaceDE w:val="0"/>
              <w:autoSpaceDN w:val="0"/>
              <w:adjustRightInd w:val="0"/>
              <w:snapToGrid w:val="0"/>
              <w:spacing w:line="440" w:lineRule="exact"/>
              <w:jc w:val="left"/>
              <w:rPr>
                <w:rFonts w:ascii="宋体" w:hAnsi="宋体" w:cs="TimesNewRomanPSMT"/>
                <w:kern w:val="0"/>
                <w:sz w:val="24"/>
              </w:rPr>
            </w:pPr>
            <w:r>
              <w:rPr>
                <w:rFonts w:hint="eastAsia" w:ascii="宋体" w:hAnsi="宋体" w:cs="TimesNewRomanPSMT"/>
                <w:kern w:val="0"/>
                <w:sz w:val="24"/>
              </w:rPr>
              <w:t>组  织：</w:t>
            </w:r>
          </w:p>
          <w:p>
            <w:pPr>
              <w:autoSpaceDE w:val="0"/>
              <w:autoSpaceDN w:val="0"/>
              <w:adjustRightInd w:val="0"/>
              <w:snapToGrid w:val="0"/>
              <w:spacing w:line="440" w:lineRule="exact"/>
              <w:ind w:left="311" w:leftChars="148"/>
              <w:jc w:val="left"/>
              <w:rPr>
                <w:rFonts w:ascii="宋体" w:hAnsi="宋体" w:cs="TimesNewRomanPSMT"/>
                <w:kern w:val="0"/>
                <w:sz w:val="24"/>
              </w:rPr>
            </w:pPr>
            <w:r>
              <w:rPr>
                <w:rFonts w:hint="eastAsia" w:ascii="宋体" w:hAnsi="宋体" w:cs="TimesNewRomanPSMT"/>
                <w:kern w:val="0"/>
                <w:sz w:val="24"/>
              </w:rPr>
              <w:t>踏勘时间：</w:t>
            </w:r>
          </w:p>
          <w:p>
            <w:pPr>
              <w:autoSpaceDE w:val="0"/>
              <w:autoSpaceDN w:val="0"/>
              <w:adjustRightInd w:val="0"/>
              <w:snapToGrid w:val="0"/>
              <w:spacing w:line="440" w:lineRule="exact"/>
              <w:ind w:left="311" w:leftChars="148"/>
              <w:jc w:val="left"/>
              <w:rPr>
                <w:rFonts w:ascii="宋体" w:hAnsi="宋体" w:cs="TimesNewRomanPSMT"/>
                <w:kern w:val="0"/>
                <w:sz w:val="24"/>
              </w:rPr>
            </w:pPr>
            <w:r>
              <w:rPr>
                <w:rFonts w:hint="eastAsia" w:ascii="宋体" w:hAnsi="宋体" w:cs="TimesNewRomanPSMT"/>
                <w:kern w:val="0"/>
                <w:sz w:val="24"/>
              </w:rPr>
              <w:t>集合地点：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仿宋_GB2312"/>
                <w:kern w:val="0"/>
                <w:sz w:val="20"/>
                <w:szCs w:val="20"/>
              </w:rPr>
            </w:pPr>
            <w:r>
              <w:fldChar w:fldCharType="begin"/>
            </w:r>
            <w:r>
              <w:instrText xml:space="preserve"> REF _Ref527101604 \r \h  \* MERGEFORMAT </w:instrText>
            </w:r>
            <w:r>
              <w:fldChar w:fldCharType="separate"/>
            </w:r>
            <w:r>
              <w:rPr>
                <w:rFonts w:ascii="宋体" w:hAnsi="宋体" w:cs="仿宋_GB2312"/>
                <w:kern w:val="0"/>
                <w:sz w:val="20"/>
                <w:szCs w:val="20"/>
              </w:rPr>
              <w:t>2.2.2</w:t>
            </w:r>
            <w:r>
              <w:rPr>
                <w:rFonts w:ascii="宋体" w:hAnsi="宋体" w:cs="仿宋_GB2312"/>
                <w:kern w:val="0"/>
                <w:sz w:val="20"/>
                <w:szCs w:val="20"/>
              </w:rPr>
              <w:fldChar w:fldCharType="end"/>
            </w:r>
          </w:p>
        </w:tc>
        <w:tc>
          <w:tcPr>
            <w:tcW w:w="2515" w:type="dxa"/>
            <w:vAlign w:val="center"/>
          </w:tcPr>
          <w:p>
            <w:pPr>
              <w:autoSpaceDE w:val="0"/>
              <w:autoSpaceDN w:val="0"/>
              <w:adjustRightInd w:val="0"/>
              <w:snapToGrid w:val="0"/>
              <w:jc w:val="left"/>
              <w:rPr>
                <w:rFonts w:ascii="宋体" w:hAnsi="宋体" w:cs="仿宋_GB2312"/>
                <w:kern w:val="0"/>
                <w:sz w:val="24"/>
                <w:highlight w:val="none"/>
              </w:rPr>
            </w:pPr>
            <w:r>
              <w:rPr>
                <w:rFonts w:hint="eastAsia" w:ascii="宋体" w:hAnsi="宋体" w:cs="仿宋_GB2312"/>
                <w:kern w:val="0"/>
                <w:sz w:val="24"/>
                <w:highlight w:val="none"/>
              </w:rPr>
              <w:t>供应商询问或要求澄清的截止时间</w:t>
            </w:r>
          </w:p>
        </w:tc>
        <w:tc>
          <w:tcPr>
            <w:tcW w:w="5675" w:type="dxa"/>
            <w:vAlign w:val="center"/>
          </w:tcPr>
          <w:p>
            <w:pPr>
              <w:autoSpaceDE w:val="0"/>
              <w:autoSpaceDN w:val="0"/>
              <w:adjustRightInd w:val="0"/>
              <w:snapToGrid w:val="0"/>
              <w:spacing w:line="440" w:lineRule="exact"/>
              <w:jc w:val="left"/>
              <w:rPr>
                <w:rFonts w:ascii="宋体" w:hAnsi="宋体" w:cs="仿宋_GB2312"/>
                <w:kern w:val="0"/>
                <w:sz w:val="24"/>
                <w:highlight w:val="none"/>
              </w:rPr>
            </w:pPr>
            <w:r>
              <w:rPr>
                <w:rFonts w:hint="eastAsia" w:ascii="宋体" w:hAnsi="宋体" w:cs="仿宋_GB2312"/>
                <w:kern w:val="0"/>
                <w:sz w:val="24"/>
                <w:highlight w:val="none"/>
                <w:lang w:val="en-US" w:eastAsia="zh-CN"/>
              </w:rPr>
              <w:t>2018</w:t>
            </w:r>
            <w:r>
              <w:rPr>
                <w:rFonts w:hint="eastAsia" w:ascii="宋体" w:hAnsi="宋体" w:cs="仿宋_GB2312"/>
                <w:kern w:val="0"/>
                <w:sz w:val="24"/>
                <w:highlight w:val="none"/>
              </w:rPr>
              <w:t>年</w:t>
            </w:r>
            <w:r>
              <w:rPr>
                <w:rFonts w:hint="eastAsia" w:ascii="宋体" w:hAnsi="宋体" w:cs="仿宋_GB2312"/>
                <w:kern w:val="0"/>
                <w:sz w:val="24"/>
                <w:highlight w:val="none"/>
                <w:lang w:val="en-US" w:eastAsia="zh-CN"/>
              </w:rPr>
              <w:t>12</w:t>
            </w:r>
            <w:r>
              <w:rPr>
                <w:rFonts w:hint="eastAsia" w:ascii="宋体" w:hAnsi="宋体" w:cs="仿宋_GB2312"/>
                <w:kern w:val="0"/>
                <w:sz w:val="24"/>
                <w:highlight w:val="none"/>
              </w:rPr>
              <w:t>月</w:t>
            </w:r>
            <w:r>
              <w:rPr>
                <w:rFonts w:hint="eastAsia" w:ascii="宋体" w:hAnsi="宋体" w:cs="仿宋_GB2312"/>
                <w:kern w:val="0"/>
                <w:sz w:val="24"/>
                <w:highlight w:val="none"/>
                <w:lang w:val="en-US" w:eastAsia="zh-CN"/>
              </w:rPr>
              <w:t>3</w:t>
            </w:r>
            <w:r>
              <w:rPr>
                <w:rFonts w:hint="eastAsia" w:ascii="宋体" w:hAnsi="宋体" w:cs="仿宋_GB2312"/>
                <w:kern w:val="0"/>
                <w:sz w:val="24"/>
                <w:highlight w:val="none"/>
              </w:rPr>
              <w:t>日</w:t>
            </w:r>
            <w:r>
              <w:rPr>
                <w:rFonts w:hint="eastAsia" w:ascii="宋体" w:hAnsi="宋体" w:cs="仿宋_GB2312"/>
                <w:kern w:val="0"/>
                <w:sz w:val="24"/>
                <w:highlight w:val="none"/>
                <w:lang w:val="en-US" w:eastAsia="zh-CN"/>
              </w:rPr>
              <w:t>17</w:t>
            </w:r>
            <w:r>
              <w:rPr>
                <w:rFonts w:hint="eastAsia" w:ascii="宋体" w:hAnsi="宋体" w:cs="仿宋_GB2312"/>
                <w:kern w:val="0"/>
                <w:sz w:val="24"/>
                <w:highlight w:val="none"/>
              </w:rPr>
              <w:t xml:space="preserve"> 时</w:t>
            </w:r>
            <w:r>
              <w:rPr>
                <w:rFonts w:hint="eastAsia" w:ascii="宋体" w:hAnsi="宋体" w:cs="仿宋_GB2312"/>
                <w:kern w:val="0"/>
                <w:sz w:val="24"/>
                <w:highlight w:val="none"/>
                <w:lang w:val="en-US" w:eastAsia="zh-CN"/>
              </w:rPr>
              <w:t>00</w:t>
            </w:r>
            <w:r>
              <w:rPr>
                <w:rFonts w:hint="eastAsia" w:ascii="宋体" w:hAnsi="宋体" w:cs="仿宋_GB2312"/>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fldChar w:fldCharType="begin"/>
            </w:r>
            <w:r>
              <w:instrText xml:space="preserve"> REF _Ref527101721 \r \h  \* MERGEFORMAT </w:instrText>
            </w:r>
            <w:r>
              <w:fldChar w:fldCharType="separate"/>
            </w:r>
            <w:r>
              <w:rPr>
                <w:rFonts w:ascii="宋体" w:hAnsi="宋体" w:cs="TimesNewRomanPSMT"/>
                <w:kern w:val="0"/>
                <w:sz w:val="20"/>
                <w:szCs w:val="21"/>
              </w:rPr>
              <w:t>2.3</w:t>
            </w:r>
            <w:r>
              <w:rPr>
                <w:rFonts w:ascii="宋体" w:hAnsi="宋体" w:cs="TimesNewRomanPSMT"/>
                <w:kern w:val="0"/>
                <w:sz w:val="20"/>
                <w:szCs w:val="21"/>
              </w:rPr>
              <w:fldChar w:fldCharType="end"/>
            </w:r>
          </w:p>
        </w:tc>
        <w:tc>
          <w:tcPr>
            <w:tcW w:w="2515" w:type="dxa"/>
            <w:vAlign w:val="center"/>
          </w:tcPr>
          <w:p>
            <w:pPr>
              <w:autoSpaceDE w:val="0"/>
              <w:autoSpaceDN w:val="0"/>
              <w:adjustRightInd w:val="0"/>
              <w:snapToGrid w:val="0"/>
              <w:outlineLvl w:val="0"/>
              <w:rPr>
                <w:rFonts w:ascii="宋体" w:hAnsi="宋体" w:cs="仿宋_GB2312"/>
                <w:kern w:val="0"/>
                <w:sz w:val="24"/>
              </w:rPr>
            </w:pPr>
            <w:bookmarkStart w:id="4" w:name="_Toc3477"/>
            <w:bookmarkStart w:id="5" w:name="_Toc7582"/>
            <w:r>
              <w:rPr>
                <w:rFonts w:hint="eastAsia" w:ascii="宋体" w:hAnsi="宋体" w:cs="仿宋_GB2312"/>
                <w:kern w:val="0"/>
                <w:sz w:val="24"/>
              </w:rPr>
              <w:t>质疑函送达方式</w:t>
            </w:r>
            <w:bookmarkEnd w:id="4"/>
            <w:bookmarkEnd w:id="5"/>
          </w:p>
        </w:tc>
        <w:tc>
          <w:tcPr>
            <w:tcW w:w="5675" w:type="dxa"/>
            <w:vAlign w:val="center"/>
          </w:tcPr>
          <w:p>
            <w:pPr>
              <w:autoSpaceDE w:val="0"/>
              <w:autoSpaceDN w:val="0"/>
              <w:adjustRightInd w:val="0"/>
              <w:snapToGrid w:val="0"/>
              <w:spacing w:line="440" w:lineRule="exact"/>
              <w:ind w:left="27" w:leftChars="13"/>
              <w:rPr>
                <w:rFonts w:ascii="宋体" w:hAnsi="宋体" w:cs="TimesNewRomanPSMT"/>
                <w:kern w:val="0"/>
                <w:sz w:val="24"/>
              </w:rPr>
            </w:pPr>
            <w:r>
              <w:rPr>
                <w:rFonts w:hint="eastAsia" w:ascii="宋体" w:hAnsi="宋体" w:cs="TimesNewRomanPSMT"/>
                <w:kern w:val="0"/>
                <w:sz w:val="24"/>
              </w:rPr>
              <w:t>质疑提出人应将质疑函原件委派专人或通过邮寄方式</w:t>
            </w:r>
            <w:r>
              <w:rPr>
                <w:rFonts w:hint="eastAsia" w:asciiTheme="minorEastAsia" w:hAnsiTheme="minorEastAsia"/>
                <w:sz w:val="24"/>
              </w:rPr>
              <w:t>在知道或者应知其权益受到损害之日起7个工作日内</w:t>
            </w:r>
            <w:r>
              <w:rPr>
                <w:rFonts w:hint="eastAsia" w:ascii="宋体" w:hAnsi="宋体" w:cs="TimesNewRomanPSMT"/>
                <w:kern w:val="0"/>
                <w:sz w:val="24"/>
              </w:rPr>
              <w:t>送达采购代理机构。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fldChar w:fldCharType="begin"/>
            </w:r>
            <w:r>
              <w:instrText xml:space="preserve"> REF _Ref527102185 \r \h  \* MERGEFORMAT </w:instrText>
            </w:r>
            <w:r>
              <w:fldChar w:fldCharType="separate"/>
            </w:r>
            <w:r>
              <w:rPr>
                <w:rFonts w:ascii="宋体" w:hAnsi="宋体" w:cs="TimesNewRomanPSMT"/>
                <w:kern w:val="0"/>
                <w:sz w:val="20"/>
                <w:szCs w:val="21"/>
              </w:rPr>
              <w:t>3.6.1</w:t>
            </w:r>
            <w:r>
              <w:rPr>
                <w:rFonts w:ascii="宋体" w:hAnsi="宋体" w:cs="TimesNewRomanPSMT"/>
                <w:kern w:val="0"/>
                <w:sz w:val="20"/>
                <w:szCs w:val="21"/>
              </w:rPr>
              <w:fldChar w:fldCharType="end"/>
            </w:r>
          </w:p>
        </w:tc>
        <w:tc>
          <w:tcPr>
            <w:tcW w:w="2515" w:type="dxa"/>
            <w:vAlign w:val="center"/>
          </w:tcPr>
          <w:p>
            <w:pPr>
              <w:autoSpaceDE w:val="0"/>
              <w:autoSpaceDN w:val="0"/>
              <w:adjustRightInd w:val="0"/>
              <w:snapToGrid w:val="0"/>
              <w:outlineLvl w:val="0"/>
              <w:rPr>
                <w:rFonts w:ascii="宋体" w:hAnsi="宋体" w:cs="仿宋_GB2312"/>
                <w:kern w:val="0"/>
                <w:sz w:val="24"/>
              </w:rPr>
            </w:pPr>
            <w:bookmarkStart w:id="6" w:name="_Toc195921788"/>
            <w:bookmarkStart w:id="7" w:name="_Toc27779"/>
            <w:bookmarkStart w:id="8" w:name="_Toc31469"/>
            <w:r>
              <w:rPr>
                <w:rFonts w:hint="eastAsia" w:ascii="宋体" w:hAnsi="宋体" w:cs="仿宋_GB2312"/>
                <w:kern w:val="0"/>
                <w:sz w:val="24"/>
              </w:rPr>
              <w:t>响应文件有效期</w:t>
            </w:r>
            <w:bookmarkEnd w:id="6"/>
            <w:bookmarkEnd w:id="7"/>
            <w:bookmarkEnd w:id="8"/>
          </w:p>
        </w:tc>
        <w:tc>
          <w:tcPr>
            <w:tcW w:w="5675" w:type="dxa"/>
            <w:vAlign w:val="center"/>
          </w:tcPr>
          <w:p>
            <w:pPr>
              <w:autoSpaceDE w:val="0"/>
              <w:autoSpaceDN w:val="0"/>
              <w:adjustRightInd w:val="0"/>
              <w:snapToGrid w:val="0"/>
              <w:spacing w:line="440" w:lineRule="exact"/>
              <w:ind w:left="27" w:leftChars="13"/>
              <w:rPr>
                <w:rFonts w:ascii="宋体" w:hAnsi="宋体" w:cs="TimesNewRomanPSMT"/>
                <w:kern w:val="0"/>
                <w:sz w:val="24"/>
              </w:rPr>
            </w:pPr>
            <w:r>
              <w:rPr>
                <w:rFonts w:hint="eastAsia" w:ascii="宋体" w:hAnsi="宋体" w:cs="TimesNewRomanPSMT"/>
                <w:kern w:val="0"/>
                <w:sz w:val="24"/>
              </w:rPr>
              <w:t>60日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fldChar w:fldCharType="begin"/>
            </w:r>
            <w:r>
              <w:instrText xml:space="preserve"> REF _Ref419361076 \r \h  \* MERGEFORMAT </w:instrText>
            </w:r>
            <w:r>
              <w:fldChar w:fldCharType="separate"/>
            </w:r>
            <w:r>
              <w:rPr>
                <w:rFonts w:ascii="宋体" w:hAnsi="宋体" w:cs="TimesNewRomanPSMT"/>
                <w:kern w:val="0"/>
                <w:sz w:val="20"/>
                <w:szCs w:val="21"/>
              </w:rPr>
              <w:t>3.7.1</w:t>
            </w:r>
            <w:r>
              <w:rPr>
                <w:rFonts w:ascii="宋体" w:hAnsi="宋体" w:cs="TimesNewRomanPSMT"/>
                <w:kern w:val="0"/>
                <w:sz w:val="20"/>
                <w:szCs w:val="21"/>
              </w:rPr>
              <w:fldChar w:fldCharType="end"/>
            </w:r>
          </w:p>
        </w:tc>
        <w:tc>
          <w:tcPr>
            <w:tcW w:w="2515" w:type="dxa"/>
            <w:vAlign w:val="center"/>
          </w:tcPr>
          <w:p>
            <w:pPr>
              <w:autoSpaceDE w:val="0"/>
              <w:autoSpaceDN w:val="0"/>
              <w:adjustRightInd w:val="0"/>
              <w:snapToGrid w:val="0"/>
              <w:outlineLvl w:val="0"/>
              <w:rPr>
                <w:rFonts w:ascii="宋体" w:hAnsi="宋体" w:cs="仿宋_GB2312"/>
                <w:kern w:val="0"/>
                <w:sz w:val="24"/>
              </w:rPr>
            </w:pPr>
            <w:bookmarkStart w:id="9" w:name="_Toc1177"/>
            <w:bookmarkStart w:id="10" w:name="_Toc195921789"/>
            <w:bookmarkStart w:id="11" w:name="_Toc405"/>
            <w:r>
              <w:rPr>
                <w:rFonts w:hint="eastAsia" w:ascii="宋体" w:hAnsi="宋体" w:cs="仿宋_GB2312"/>
                <w:kern w:val="0"/>
                <w:sz w:val="24"/>
              </w:rPr>
              <w:t>谈判保证金</w:t>
            </w:r>
            <w:bookmarkEnd w:id="9"/>
            <w:bookmarkEnd w:id="10"/>
            <w:bookmarkEnd w:id="11"/>
          </w:p>
        </w:tc>
        <w:tc>
          <w:tcPr>
            <w:tcW w:w="5675" w:type="dxa"/>
            <w:vAlign w:val="center"/>
          </w:tcPr>
          <w:p>
            <w:pPr>
              <w:autoSpaceDE w:val="0"/>
              <w:autoSpaceDN w:val="0"/>
              <w:adjustRightInd w:val="0"/>
              <w:snapToGrid w:val="0"/>
              <w:spacing w:line="440" w:lineRule="exac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投标保证金的形式：银行转账</w:t>
            </w:r>
          </w:p>
          <w:p>
            <w:pPr>
              <w:autoSpaceDE w:val="0"/>
              <w:autoSpaceDN w:val="0"/>
              <w:adjustRightInd w:val="0"/>
              <w:snapToGrid w:val="0"/>
              <w:spacing w:line="440" w:lineRule="exac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投标保证金的金额：5000元</w:t>
            </w:r>
          </w:p>
          <w:p>
            <w:pPr>
              <w:autoSpaceDE w:val="0"/>
              <w:autoSpaceDN w:val="0"/>
              <w:adjustRightInd w:val="0"/>
              <w:snapToGrid w:val="0"/>
              <w:spacing w:line="440" w:lineRule="exac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指定账户名称、开户银行及账号如下：</w:t>
            </w:r>
          </w:p>
          <w:p>
            <w:pPr>
              <w:autoSpaceDE w:val="0"/>
              <w:autoSpaceDN w:val="0"/>
              <w:adjustRightInd w:val="0"/>
              <w:snapToGrid w:val="0"/>
              <w:spacing w:line="440" w:lineRule="exac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账户名称：国信招标集团股份有限公司海南分公司 </w:t>
            </w:r>
          </w:p>
          <w:p>
            <w:pPr>
              <w:autoSpaceDE w:val="0"/>
              <w:autoSpaceDN w:val="0"/>
              <w:adjustRightInd w:val="0"/>
              <w:snapToGrid w:val="0"/>
              <w:spacing w:line="440" w:lineRule="exac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开户银行：中国建设银行股份有限公司海口国兴大道支行</w:t>
            </w:r>
          </w:p>
          <w:p>
            <w:pPr>
              <w:autoSpaceDE w:val="0"/>
              <w:autoSpaceDN w:val="0"/>
              <w:adjustRightInd w:val="0"/>
              <w:snapToGrid w:val="0"/>
              <w:spacing w:line="440" w:lineRule="exact"/>
              <w:rPr>
                <w:rFonts w:ascii="宋体" w:hAnsi="宋体" w:eastAsia="黑体" w:cs="TimesNewRomanPSMT"/>
                <w:kern w:val="0"/>
                <w:sz w:val="24"/>
              </w:rPr>
            </w:pPr>
            <w:r>
              <w:rPr>
                <w:rFonts w:hint="eastAsia" w:asciiTheme="minorEastAsia" w:hAnsiTheme="minorEastAsia" w:eastAsiaTheme="minorEastAsia" w:cstheme="minorEastAsia"/>
                <w:kern w:val="0"/>
                <w:sz w:val="24"/>
              </w:rPr>
              <w:t>账    号：46001002537052501643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fldChar w:fldCharType="begin"/>
            </w:r>
            <w:r>
              <w:instrText xml:space="preserve"> REF _Ref527633691 \r \h  \* MERGEFORMAT </w:instrText>
            </w:r>
            <w:r>
              <w:fldChar w:fldCharType="separate"/>
            </w:r>
            <w:r>
              <w:rPr>
                <w:rFonts w:ascii="宋体" w:hAnsi="宋体" w:cs="TimesNewRomanPSMT"/>
                <w:kern w:val="0"/>
                <w:sz w:val="20"/>
                <w:szCs w:val="21"/>
              </w:rPr>
              <w:t>3.8.3</w:t>
            </w:r>
            <w:r>
              <w:rPr>
                <w:rFonts w:ascii="宋体" w:hAnsi="宋体" w:cs="TimesNewRomanPSMT"/>
                <w:kern w:val="0"/>
                <w:sz w:val="20"/>
                <w:szCs w:val="21"/>
              </w:rPr>
              <w:fldChar w:fldCharType="end"/>
            </w:r>
          </w:p>
        </w:tc>
        <w:tc>
          <w:tcPr>
            <w:tcW w:w="2515" w:type="dxa"/>
            <w:vAlign w:val="center"/>
          </w:tcPr>
          <w:p>
            <w:pPr>
              <w:autoSpaceDE w:val="0"/>
              <w:autoSpaceDN w:val="0"/>
              <w:adjustRightInd w:val="0"/>
              <w:snapToGrid w:val="0"/>
              <w:rPr>
                <w:rFonts w:ascii="宋体" w:hAnsi="宋体" w:cs="仿宋_GB2312"/>
                <w:kern w:val="0"/>
                <w:sz w:val="24"/>
              </w:rPr>
            </w:pPr>
            <w:r>
              <w:rPr>
                <w:rFonts w:hint="eastAsia" w:ascii="宋体" w:hAnsi="宋体" w:cs="仿宋_GB2312"/>
                <w:kern w:val="0"/>
                <w:sz w:val="24"/>
              </w:rPr>
              <w:t>响应文件副本份数</w:t>
            </w:r>
          </w:p>
        </w:tc>
        <w:tc>
          <w:tcPr>
            <w:tcW w:w="5675" w:type="dxa"/>
            <w:vAlign w:val="center"/>
          </w:tcPr>
          <w:p>
            <w:pPr>
              <w:autoSpaceDE w:val="0"/>
              <w:autoSpaceDN w:val="0"/>
              <w:adjustRightInd w:val="0"/>
              <w:snapToGrid w:val="0"/>
              <w:spacing w:afterLines="50" w:line="440" w:lineRule="exact"/>
              <w:rPr>
                <w:rFonts w:ascii="宋体" w:hAnsi="宋体" w:cs="仿宋_GB2312"/>
                <w:kern w:val="0"/>
                <w:sz w:val="24"/>
              </w:rPr>
            </w:pPr>
            <w:r>
              <w:rPr>
                <w:rFonts w:hint="eastAsia" w:ascii="宋体" w:hAnsi="宋体" w:cs="仿宋_GB2312"/>
                <w:kern w:val="0"/>
                <w:sz w:val="24"/>
              </w:rPr>
              <w:t>3份。电子文档1份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fldChar w:fldCharType="begin"/>
            </w:r>
            <w:r>
              <w:instrText xml:space="preserve"> REF _Ref527102466 \r \h  \* MERGEFORMAT </w:instrText>
            </w:r>
            <w:r>
              <w:fldChar w:fldCharType="separate"/>
            </w:r>
            <w:r>
              <w:rPr>
                <w:rFonts w:ascii="宋体" w:hAnsi="宋体" w:cs="TimesNewRomanPSMT"/>
                <w:kern w:val="0"/>
                <w:sz w:val="20"/>
                <w:szCs w:val="21"/>
              </w:rPr>
              <w:t>3.8.4</w:t>
            </w:r>
            <w:r>
              <w:rPr>
                <w:rFonts w:ascii="宋体" w:hAnsi="宋体" w:cs="TimesNewRomanPSMT"/>
                <w:kern w:val="0"/>
                <w:sz w:val="20"/>
                <w:szCs w:val="21"/>
              </w:rPr>
              <w:fldChar w:fldCharType="end"/>
            </w:r>
          </w:p>
        </w:tc>
        <w:tc>
          <w:tcPr>
            <w:tcW w:w="2515" w:type="dxa"/>
            <w:vAlign w:val="center"/>
          </w:tcPr>
          <w:p>
            <w:pPr>
              <w:autoSpaceDE w:val="0"/>
              <w:autoSpaceDN w:val="0"/>
              <w:adjustRightInd w:val="0"/>
              <w:snapToGrid w:val="0"/>
              <w:rPr>
                <w:rFonts w:ascii="宋体" w:hAnsi="宋体" w:cs="仿宋_GB2312"/>
                <w:kern w:val="0"/>
                <w:sz w:val="24"/>
              </w:rPr>
            </w:pPr>
            <w:r>
              <w:rPr>
                <w:rFonts w:hint="eastAsia" w:ascii="宋体" w:hAnsi="宋体" w:cs="仿宋_GB2312"/>
                <w:kern w:val="0"/>
                <w:sz w:val="24"/>
              </w:rPr>
              <w:t>装订要求</w:t>
            </w:r>
          </w:p>
        </w:tc>
        <w:tc>
          <w:tcPr>
            <w:tcW w:w="5675" w:type="dxa"/>
            <w:vAlign w:val="center"/>
          </w:tcPr>
          <w:p>
            <w:pPr>
              <w:autoSpaceDE w:val="0"/>
              <w:autoSpaceDN w:val="0"/>
              <w:adjustRightInd w:val="0"/>
              <w:snapToGrid w:val="0"/>
              <w:spacing w:line="440" w:lineRule="exact"/>
              <w:rPr>
                <w:rFonts w:ascii="宋体" w:hAnsi="宋体" w:cs="仿宋_GB2312"/>
                <w:i/>
                <w:kern w:val="0"/>
                <w:sz w:val="24"/>
              </w:rPr>
            </w:pPr>
            <w:r>
              <w:rPr>
                <w:rFonts w:hint="eastAsia" w:ascii="宋体" w:hAnsi="宋体" w:cs="仿宋_GB2312"/>
                <w:kern w:val="0"/>
                <w:sz w:val="24"/>
              </w:rPr>
              <w:t>应装订成册，不得采用活页方式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fldChar w:fldCharType="begin"/>
            </w:r>
            <w:r>
              <w:instrText xml:space="preserve"> REF _Ref527102501 \r \h  \* MERGEFORMAT </w:instrText>
            </w:r>
            <w:r>
              <w:fldChar w:fldCharType="separate"/>
            </w:r>
            <w:r>
              <w:rPr>
                <w:rFonts w:ascii="宋体" w:hAnsi="宋体" w:cs="TimesNewRomanPSMT"/>
                <w:kern w:val="0"/>
                <w:sz w:val="20"/>
                <w:szCs w:val="21"/>
              </w:rPr>
              <w:t>4.1.2</w:t>
            </w:r>
            <w:r>
              <w:rPr>
                <w:rFonts w:ascii="宋体" w:hAnsi="宋体" w:cs="TimesNewRomanPSMT"/>
                <w:kern w:val="0"/>
                <w:sz w:val="20"/>
                <w:szCs w:val="21"/>
              </w:rPr>
              <w:fldChar w:fldCharType="end"/>
            </w:r>
          </w:p>
        </w:tc>
        <w:tc>
          <w:tcPr>
            <w:tcW w:w="2515" w:type="dxa"/>
            <w:vAlign w:val="center"/>
          </w:tcPr>
          <w:p>
            <w:pPr>
              <w:autoSpaceDE w:val="0"/>
              <w:autoSpaceDN w:val="0"/>
              <w:adjustRightInd w:val="0"/>
              <w:snapToGrid w:val="0"/>
              <w:rPr>
                <w:rFonts w:ascii="宋体" w:hAnsi="宋体" w:cs="仿宋_GB2312"/>
                <w:kern w:val="0"/>
                <w:sz w:val="24"/>
              </w:rPr>
            </w:pPr>
            <w:r>
              <w:rPr>
                <w:rFonts w:hint="eastAsia" w:ascii="宋体" w:hAnsi="宋体" w:cs="仿宋_GB2312"/>
                <w:kern w:val="0"/>
                <w:sz w:val="24"/>
              </w:rPr>
              <w:t>封套上写明</w:t>
            </w:r>
          </w:p>
        </w:tc>
        <w:tc>
          <w:tcPr>
            <w:tcW w:w="5675" w:type="dxa"/>
            <w:vAlign w:val="center"/>
          </w:tcPr>
          <w:p>
            <w:pPr>
              <w:autoSpaceDE w:val="0"/>
              <w:autoSpaceDN w:val="0"/>
              <w:adjustRightInd w:val="0"/>
              <w:snapToGrid w:val="0"/>
              <w:spacing w:afterLines="50" w:line="440" w:lineRule="exact"/>
              <w:rPr>
                <w:rFonts w:ascii="宋体" w:hAnsi="宋体" w:cs="仿宋_GB2312"/>
                <w:kern w:val="0"/>
                <w:sz w:val="24"/>
              </w:rPr>
            </w:pPr>
            <w:r>
              <w:rPr>
                <w:rFonts w:hint="eastAsia" w:ascii="宋体" w:hAnsi="宋体" w:cs="仿宋_GB2312"/>
                <w:kern w:val="0"/>
                <w:sz w:val="24"/>
              </w:rPr>
              <w:t>采购人名称：文昌市生态环境保护局</w:t>
            </w:r>
          </w:p>
          <w:p>
            <w:pPr>
              <w:autoSpaceDE w:val="0"/>
              <w:autoSpaceDN w:val="0"/>
              <w:adjustRightInd w:val="0"/>
              <w:snapToGrid w:val="0"/>
              <w:spacing w:afterLines="50" w:line="440" w:lineRule="exact"/>
              <w:rPr>
                <w:rFonts w:hint="eastAsia" w:ascii="宋体" w:hAnsi="宋体" w:cs="仿宋_GB2312" w:eastAsiaTheme="minorEastAsia"/>
                <w:b/>
                <w:kern w:val="0"/>
                <w:sz w:val="24"/>
                <w:lang w:eastAsia="zh-CN"/>
              </w:rPr>
            </w:pPr>
            <w:r>
              <w:rPr>
                <w:rFonts w:hint="eastAsia" w:ascii="宋体" w:hAnsi="宋体" w:cs="仿宋_GB2312"/>
                <w:kern w:val="0"/>
                <w:sz w:val="24"/>
              </w:rPr>
              <w:t>项目编号：</w:t>
            </w:r>
            <w:r>
              <w:rPr>
                <w:rFonts w:hint="eastAsia" w:asciiTheme="minorEastAsia" w:hAnsiTheme="minorEastAsia" w:eastAsiaTheme="minorEastAsia" w:cstheme="minorEastAsia"/>
                <w:kern w:val="0"/>
                <w:sz w:val="24"/>
              </w:rPr>
              <w:t>GXTC-CZ-188500</w:t>
            </w:r>
            <w:r>
              <w:rPr>
                <w:rFonts w:hint="eastAsia" w:asciiTheme="minorEastAsia" w:hAnsiTheme="minorEastAsia" w:eastAsiaTheme="minorEastAsia" w:cstheme="minorEastAsia"/>
                <w:kern w:val="0"/>
                <w:sz w:val="24"/>
                <w:lang w:val="en-US" w:eastAsia="zh-CN"/>
              </w:rPr>
              <w:t>5</w:t>
            </w:r>
          </w:p>
          <w:p>
            <w:pPr>
              <w:autoSpaceDE w:val="0"/>
              <w:autoSpaceDN w:val="0"/>
              <w:adjustRightInd w:val="0"/>
              <w:snapToGrid w:val="0"/>
              <w:spacing w:afterLines="50" w:line="440" w:lineRule="exact"/>
              <w:rPr>
                <w:rFonts w:ascii="宋体" w:hAnsi="宋体" w:cs="仿宋_GB2312"/>
                <w:b/>
                <w:kern w:val="0"/>
                <w:sz w:val="24"/>
              </w:rPr>
            </w:pPr>
            <w:r>
              <w:rPr>
                <w:rFonts w:hint="eastAsia" w:ascii="宋体" w:hAnsi="宋体" w:cs="黑体"/>
                <w:kern w:val="0"/>
                <w:sz w:val="24"/>
                <w:highlight w:val="none"/>
                <w:u w:val="single"/>
              </w:rPr>
              <w:t>文昌市会文镇湖峰村委会瓦灶园村农村生活污水治理项</w:t>
            </w:r>
            <w:r>
              <w:rPr>
                <w:rFonts w:hint="eastAsia" w:ascii="宋体" w:hAnsi="宋体" w:cs="黑体"/>
                <w:kern w:val="0"/>
                <w:sz w:val="24"/>
                <w:highlight w:val="none"/>
              </w:rPr>
              <w:t>目</w:t>
            </w:r>
            <w:r>
              <w:rPr>
                <w:rFonts w:hint="eastAsia" w:ascii="宋体" w:hAnsi="宋体" w:cs="仿宋_GB2312"/>
                <w:kern w:val="0"/>
                <w:sz w:val="24"/>
                <w:highlight w:val="none"/>
              </w:rPr>
              <w:t>响应文件在2018年</w:t>
            </w:r>
            <w:r>
              <w:rPr>
                <w:rFonts w:hint="eastAsia" w:ascii="宋体" w:hAnsi="宋体" w:cs="仿宋_GB2312"/>
                <w:kern w:val="0"/>
                <w:sz w:val="24"/>
                <w:highlight w:val="none"/>
                <w:lang w:val="en-US" w:eastAsia="zh-CN"/>
              </w:rPr>
              <w:t>12</w:t>
            </w:r>
            <w:r>
              <w:rPr>
                <w:rFonts w:hint="eastAsia" w:ascii="宋体" w:hAnsi="宋体" w:cs="仿宋_GB2312"/>
                <w:kern w:val="0"/>
                <w:sz w:val="24"/>
                <w:highlight w:val="none"/>
              </w:rPr>
              <w:t>月</w:t>
            </w:r>
            <w:r>
              <w:rPr>
                <w:rFonts w:hint="eastAsia" w:ascii="宋体" w:hAnsi="宋体" w:cs="仿宋_GB2312"/>
                <w:kern w:val="0"/>
                <w:sz w:val="24"/>
                <w:highlight w:val="none"/>
                <w:lang w:val="en-US" w:eastAsia="zh-CN"/>
              </w:rPr>
              <w:t>4</w:t>
            </w:r>
            <w:r>
              <w:rPr>
                <w:rFonts w:hint="eastAsia" w:ascii="宋体" w:hAnsi="宋体" w:cs="仿宋_GB2312"/>
                <w:kern w:val="0"/>
                <w:sz w:val="24"/>
                <w:highlight w:val="none"/>
              </w:rPr>
              <w:t>日</w:t>
            </w:r>
            <w:r>
              <w:rPr>
                <w:rFonts w:hint="eastAsia" w:ascii="宋体" w:hAnsi="宋体" w:cs="仿宋_GB2312"/>
                <w:kern w:val="0"/>
                <w:sz w:val="24"/>
                <w:highlight w:val="none"/>
                <w:lang w:val="en-US" w:eastAsia="zh-CN"/>
              </w:rPr>
              <w:t>9</w:t>
            </w:r>
            <w:r>
              <w:rPr>
                <w:rFonts w:hint="eastAsia" w:ascii="宋体" w:hAnsi="宋体" w:cs="仿宋_GB2312"/>
                <w:kern w:val="0"/>
                <w:sz w:val="24"/>
                <w:highlight w:val="none"/>
              </w:rPr>
              <w:t>时</w:t>
            </w:r>
            <w:r>
              <w:rPr>
                <w:rFonts w:hint="eastAsia" w:ascii="宋体" w:hAnsi="宋体" w:cs="仿宋_GB2312"/>
                <w:kern w:val="0"/>
                <w:sz w:val="24"/>
                <w:highlight w:val="none"/>
                <w:lang w:val="en-US" w:eastAsia="zh-CN"/>
              </w:rPr>
              <w:t>30</w:t>
            </w:r>
            <w:r>
              <w:rPr>
                <w:rFonts w:hint="eastAsia" w:ascii="宋体" w:hAnsi="宋体" w:cs="仿宋_GB2312"/>
                <w:kern w:val="0"/>
                <w:sz w:val="24"/>
                <w:highlight w:val="none"/>
              </w:rPr>
              <w:t>分</w:t>
            </w:r>
            <w:r>
              <w:rPr>
                <w:rFonts w:hint="eastAsia" w:ascii="宋体" w:hAnsi="宋体" w:cs="仿宋_GB2312"/>
                <w:kern w:val="0"/>
                <w:sz w:val="24"/>
              </w:rPr>
              <w:t>前不得开启</w:t>
            </w:r>
          </w:p>
          <w:p>
            <w:pPr>
              <w:autoSpaceDE w:val="0"/>
              <w:autoSpaceDN w:val="0"/>
              <w:adjustRightInd w:val="0"/>
              <w:snapToGrid w:val="0"/>
              <w:spacing w:afterLines="50" w:line="440" w:lineRule="exact"/>
              <w:rPr>
                <w:rFonts w:ascii="宋体" w:hAnsi="宋体" w:cs="仿宋_GB2312"/>
                <w:b/>
                <w:kern w:val="0"/>
                <w:sz w:val="24"/>
              </w:rPr>
            </w:pPr>
            <w:r>
              <w:rPr>
                <w:rFonts w:hint="eastAsia" w:ascii="宋体" w:hAnsi="宋体" w:cs="仿宋_GB2312"/>
                <w:kern w:val="0"/>
                <w:sz w:val="24"/>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fldChar w:fldCharType="begin"/>
            </w:r>
            <w:r>
              <w:instrText xml:space="preserve"> REF _Ref527102573 \r \h  \* MERGEFORMAT </w:instrText>
            </w:r>
            <w:r>
              <w:fldChar w:fldCharType="separate"/>
            </w:r>
            <w:r>
              <w:rPr>
                <w:rFonts w:ascii="宋体" w:hAnsi="宋体" w:cs="TimesNewRomanPSMT"/>
                <w:kern w:val="0"/>
                <w:sz w:val="20"/>
                <w:szCs w:val="21"/>
              </w:rPr>
              <w:t>5.1.1</w:t>
            </w:r>
            <w:r>
              <w:rPr>
                <w:rFonts w:ascii="宋体" w:hAnsi="宋体" w:cs="TimesNewRomanPSMT"/>
                <w:kern w:val="0"/>
                <w:sz w:val="20"/>
                <w:szCs w:val="21"/>
              </w:rPr>
              <w:fldChar w:fldCharType="end"/>
            </w:r>
          </w:p>
        </w:tc>
        <w:tc>
          <w:tcPr>
            <w:tcW w:w="2515" w:type="dxa"/>
            <w:vAlign w:val="center"/>
          </w:tcPr>
          <w:p>
            <w:pPr>
              <w:autoSpaceDE w:val="0"/>
              <w:autoSpaceDN w:val="0"/>
              <w:adjustRightInd w:val="0"/>
              <w:snapToGrid w:val="0"/>
              <w:rPr>
                <w:rFonts w:ascii="宋体" w:hAnsi="宋体" w:cs="仿宋_GB2312"/>
                <w:kern w:val="0"/>
                <w:sz w:val="24"/>
              </w:rPr>
            </w:pPr>
            <w:r>
              <w:rPr>
                <w:rFonts w:hint="eastAsia" w:ascii="宋体" w:hAnsi="宋体" w:cs="仿宋_GB2312"/>
                <w:kern w:val="0"/>
                <w:sz w:val="24"/>
              </w:rPr>
              <w:t>谈判小组成员</w:t>
            </w:r>
          </w:p>
        </w:tc>
        <w:tc>
          <w:tcPr>
            <w:tcW w:w="5675" w:type="dxa"/>
            <w:vAlign w:val="center"/>
          </w:tcPr>
          <w:p>
            <w:pPr>
              <w:autoSpaceDE w:val="0"/>
              <w:autoSpaceDN w:val="0"/>
              <w:adjustRightInd w:val="0"/>
              <w:snapToGrid w:val="0"/>
              <w:spacing w:afterLines="50" w:line="440" w:lineRule="exact"/>
              <w:rPr>
                <w:rFonts w:ascii="宋体" w:hAnsi="宋体" w:cs="仿宋_GB2312"/>
                <w:kern w:val="0"/>
                <w:sz w:val="24"/>
              </w:rPr>
            </w:pPr>
            <w:r>
              <w:rPr>
                <w:rFonts w:ascii="宋体" w:hAnsi="宋体" w:cs="仿宋_GB2312"/>
                <w:kern w:val="0"/>
                <w:sz w:val="24"/>
              </w:rPr>
              <w:t>采购人代表</w:t>
            </w:r>
            <w:r>
              <w:rPr>
                <w:rFonts w:hint="eastAsia" w:ascii="宋体" w:hAnsi="宋体" w:cs="仿宋_GB2312"/>
                <w:kern w:val="0"/>
                <w:sz w:val="24"/>
              </w:rPr>
              <w:t>0人</w:t>
            </w:r>
          </w:p>
          <w:p>
            <w:pPr>
              <w:autoSpaceDE w:val="0"/>
              <w:autoSpaceDN w:val="0"/>
              <w:adjustRightInd w:val="0"/>
              <w:snapToGrid w:val="0"/>
              <w:spacing w:afterLines="50" w:line="440" w:lineRule="exact"/>
              <w:rPr>
                <w:rFonts w:ascii="宋体" w:hAnsi="宋体" w:cs="仿宋_GB2312"/>
                <w:b/>
                <w:kern w:val="0"/>
                <w:sz w:val="24"/>
              </w:rPr>
            </w:pPr>
            <w:r>
              <w:rPr>
                <w:rFonts w:hint="eastAsia" w:ascii="宋体" w:hAnsi="宋体" w:cs="仿宋_GB2312"/>
                <w:kern w:val="0"/>
                <w:sz w:val="24"/>
              </w:rPr>
              <w:t>从政府采购评审专家库抽取的评审专家3人。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fldChar w:fldCharType="begin"/>
            </w:r>
            <w:r>
              <w:instrText xml:space="preserve"> REF _Ref527102841 \r \h  \* MERGEFORMAT </w:instrText>
            </w:r>
            <w:r>
              <w:fldChar w:fldCharType="separate"/>
            </w:r>
            <w:r>
              <w:rPr>
                <w:rFonts w:ascii="宋体" w:hAnsi="宋体" w:cs="TimesNewRomanPSMT"/>
                <w:kern w:val="0"/>
                <w:sz w:val="20"/>
                <w:szCs w:val="21"/>
              </w:rPr>
              <w:t>6.1</w:t>
            </w:r>
            <w:r>
              <w:rPr>
                <w:rFonts w:ascii="宋体" w:hAnsi="宋体" w:cs="TimesNewRomanPSMT"/>
                <w:kern w:val="0"/>
                <w:sz w:val="20"/>
                <w:szCs w:val="21"/>
              </w:rPr>
              <w:fldChar w:fldCharType="end"/>
            </w:r>
          </w:p>
        </w:tc>
        <w:tc>
          <w:tcPr>
            <w:tcW w:w="2515" w:type="dxa"/>
            <w:vAlign w:val="center"/>
          </w:tcPr>
          <w:p>
            <w:pPr>
              <w:autoSpaceDE w:val="0"/>
              <w:autoSpaceDN w:val="0"/>
              <w:adjustRightInd w:val="0"/>
              <w:snapToGrid w:val="0"/>
              <w:rPr>
                <w:rFonts w:ascii="宋体" w:hAnsi="宋体" w:cs="仿宋_GB2312"/>
                <w:kern w:val="0"/>
                <w:sz w:val="24"/>
              </w:rPr>
            </w:pPr>
            <w:r>
              <w:rPr>
                <w:rFonts w:hint="eastAsia" w:ascii="宋体" w:hAnsi="宋体" w:cs="仿宋_GB2312"/>
                <w:kern w:val="0"/>
                <w:sz w:val="24"/>
              </w:rPr>
              <w:t>确定成交供应商方式</w:t>
            </w:r>
          </w:p>
        </w:tc>
        <w:tc>
          <w:tcPr>
            <w:tcW w:w="5675" w:type="dxa"/>
            <w:vAlign w:val="center"/>
          </w:tcPr>
          <w:p>
            <w:pPr>
              <w:autoSpaceDE w:val="0"/>
              <w:autoSpaceDN w:val="0"/>
              <w:adjustRightInd w:val="0"/>
              <w:snapToGrid w:val="0"/>
              <w:spacing w:afterLines="50" w:line="440" w:lineRule="exact"/>
              <w:rPr>
                <w:rFonts w:ascii="宋体" w:hAnsi="宋体" w:cs="仿宋_GB2312"/>
                <w:kern w:val="0"/>
                <w:sz w:val="24"/>
              </w:rPr>
            </w:pPr>
            <w:r>
              <w:rPr>
                <w:rFonts w:hint="eastAsia" w:ascii="宋体" w:hAnsi="宋体" w:cs="仿宋_GB2312"/>
                <w:kern w:val="0"/>
                <w:sz w:val="24"/>
              </w:rPr>
              <w:t>□采购人</w:t>
            </w:r>
          </w:p>
          <w:p>
            <w:pPr>
              <w:autoSpaceDE w:val="0"/>
              <w:autoSpaceDN w:val="0"/>
              <w:adjustRightInd w:val="0"/>
              <w:snapToGrid w:val="0"/>
              <w:spacing w:afterLines="50" w:line="440" w:lineRule="exact"/>
              <w:rPr>
                <w:rFonts w:ascii="宋体" w:hAnsi="宋体" w:cs="仿宋_GB2312"/>
                <w:b/>
                <w:kern w:val="0"/>
                <w:sz w:val="24"/>
              </w:rPr>
            </w:pPr>
            <w:r>
              <w:rPr>
                <w:rFonts w:hint="eastAsia" w:ascii="宋体" w:hAnsi="宋体" w:cs="仿宋_GB2312"/>
                <w:kern w:val="0"/>
                <w:sz w:val="24"/>
              </w:rPr>
              <w:sym w:font="Wingdings 2" w:char="0052"/>
            </w:r>
            <w:r>
              <w:rPr>
                <w:rFonts w:hint="eastAsia" w:ascii="宋体" w:hAnsi="宋体" w:cs="仿宋_GB2312"/>
                <w:kern w:val="0"/>
                <w:sz w:val="24"/>
              </w:rPr>
              <w:t>采购人授权谈判小组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fldChar w:fldCharType="begin"/>
            </w:r>
            <w:r>
              <w:instrText xml:space="preserve"> REF _Ref421009348 \r \h  \* MERGEFORMAT </w:instrText>
            </w:r>
            <w:r>
              <w:fldChar w:fldCharType="separate"/>
            </w:r>
            <w:r>
              <w:rPr>
                <w:rFonts w:ascii="宋体" w:hAnsi="宋体" w:cs="TimesNewRomanPSMT"/>
                <w:kern w:val="0"/>
                <w:sz w:val="20"/>
                <w:szCs w:val="21"/>
              </w:rPr>
              <w:t>6.4.1</w:t>
            </w:r>
            <w:r>
              <w:rPr>
                <w:rFonts w:ascii="宋体" w:hAnsi="宋体" w:cs="TimesNewRomanPSMT"/>
                <w:kern w:val="0"/>
                <w:sz w:val="20"/>
                <w:szCs w:val="21"/>
              </w:rPr>
              <w:fldChar w:fldCharType="end"/>
            </w:r>
          </w:p>
        </w:tc>
        <w:tc>
          <w:tcPr>
            <w:tcW w:w="2515" w:type="dxa"/>
            <w:vAlign w:val="center"/>
          </w:tcPr>
          <w:p>
            <w:pPr>
              <w:autoSpaceDE w:val="0"/>
              <w:autoSpaceDN w:val="0"/>
              <w:adjustRightInd w:val="0"/>
              <w:snapToGrid w:val="0"/>
              <w:outlineLvl w:val="0"/>
              <w:rPr>
                <w:rFonts w:ascii="宋体" w:hAnsi="宋体" w:cs="仿宋_GB2312"/>
                <w:kern w:val="0"/>
                <w:sz w:val="24"/>
              </w:rPr>
            </w:pPr>
            <w:bookmarkStart w:id="12" w:name="_Toc23655"/>
            <w:bookmarkStart w:id="13" w:name="_Toc334"/>
            <w:r>
              <w:rPr>
                <w:rFonts w:hint="eastAsia" w:ascii="宋体" w:hAnsi="宋体" w:cs="仿宋_GB2312"/>
                <w:kern w:val="0"/>
                <w:sz w:val="24"/>
              </w:rPr>
              <w:t>履约保证金</w:t>
            </w:r>
            <w:bookmarkEnd w:id="12"/>
            <w:bookmarkEnd w:id="13"/>
          </w:p>
        </w:tc>
        <w:tc>
          <w:tcPr>
            <w:tcW w:w="5675" w:type="dxa"/>
            <w:vAlign w:val="center"/>
          </w:tcPr>
          <w:p>
            <w:pPr>
              <w:autoSpaceDE w:val="0"/>
              <w:autoSpaceDN w:val="0"/>
              <w:adjustRightInd w:val="0"/>
              <w:snapToGrid w:val="0"/>
              <w:spacing w:afterLines="50" w:line="440" w:lineRule="exact"/>
              <w:rPr>
                <w:rFonts w:ascii="宋体" w:hAnsi="宋体" w:cs="仿宋_GB2312"/>
                <w:kern w:val="0"/>
                <w:sz w:val="24"/>
              </w:rPr>
            </w:pPr>
            <w:r>
              <w:rPr>
                <w:rFonts w:hint="eastAsia" w:ascii="宋体" w:hAnsi="宋体" w:cs="仿宋_GB2312"/>
                <w:kern w:val="0"/>
                <w:sz w:val="24"/>
              </w:rPr>
              <w:t>履约保证金的形式：支票、汇票、本票或者金融机构、担保机构出具的保函等非现金形式</w:t>
            </w:r>
          </w:p>
          <w:p>
            <w:pPr>
              <w:autoSpaceDE w:val="0"/>
              <w:autoSpaceDN w:val="0"/>
              <w:adjustRightInd w:val="0"/>
              <w:snapToGrid w:val="0"/>
              <w:spacing w:afterLines="50" w:line="440" w:lineRule="exact"/>
              <w:rPr>
                <w:rFonts w:ascii="宋体" w:hAnsi="宋体" w:cs="仿宋_GB2312"/>
                <w:b/>
                <w:kern w:val="0"/>
                <w:sz w:val="24"/>
              </w:rPr>
            </w:pPr>
            <w:r>
              <w:rPr>
                <w:rFonts w:hint="eastAsia" w:ascii="宋体" w:hAnsi="宋体" w:cs="仿宋_GB2312"/>
                <w:kern w:val="0"/>
                <w:sz w:val="24"/>
              </w:rPr>
              <w:t>履约保证金的金额：签约合同价的5%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b/>
                <w:bCs/>
                <w:kern w:val="0"/>
                <w:sz w:val="20"/>
                <w:szCs w:val="21"/>
              </w:rPr>
            </w:pPr>
            <w:r>
              <w:fldChar w:fldCharType="begin"/>
            </w:r>
            <w:r>
              <w:instrText xml:space="preserve"> REF _Ref527103019 \r \h  \* MERGEFORMAT </w:instrText>
            </w:r>
            <w:r>
              <w:fldChar w:fldCharType="separate"/>
            </w:r>
            <w:r>
              <w:rPr>
                <w:rFonts w:ascii="宋体" w:hAnsi="宋体"/>
                <w:b/>
                <w:bCs/>
                <w:kern w:val="0"/>
                <w:sz w:val="20"/>
                <w:szCs w:val="21"/>
              </w:rPr>
              <w:t>9</w:t>
            </w:r>
            <w:r>
              <w:rPr>
                <w:rFonts w:ascii="宋体" w:hAnsi="宋体"/>
                <w:b/>
                <w:bCs/>
                <w:kern w:val="0"/>
                <w:sz w:val="20"/>
                <w:szCs w:val="21"/>
              </w:rPr>
              <w:fldChar w:fldCharType="end"/>
            </w:r>
          </w:p>
        </w:tc>
        <w:tc>
          <w:tcPr>
            <w:tcW w:w="8190" w:type="dxa"/>
            <w:gridSpan w:val="2"/>
            <w:vAlign w:val="center"/>
          </w:tcPr>
          <w:p>
            <w:pPr>
              <w:autoSpaceDE w:val="0"/>
              <w:autoSpaceDN w:val="0"/>
              <w:adjustRightInd w:val="0"/>
              <w:snapToGrid w:val="0"/>
              <w:rPr>
                <w:rFonts w:ascii="宋体" w:hAnsi="宋体" w:cs="仿宋_GB2312"/>
                <w:kern w:val="0"/>
                <w:sz w:val="24"/>
              </w:rPr>
            </w:pPr>
            <w:r>
              <w:rPr>
                <w:rFonts w:hint="eastAsia" w:ascii="宋体" w:hAnsi="宋体" w:cs="仿宋_GB2312"/>
                <w:kern w:val="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spacing w:line="440" w:lineRule="exact"/>
              <w:jc w:val="center"/>
              <w:rPr>
                <w:rFonts w:ascii="宋体" w:hAnsi="宋体" w:cs="TimesNewRomanPSMT"/>
                <w:kern w:val="0"/>
                <w:sz w:val="20"/>
                <w:szCs w:val="21"/>
              </w:rPr>
            </w:pPr>
            <w:r>
              <w:rPr>
                <w:rFonts w:hint="eastAsia" w:ascii="宋体" w:hAnsi="宋体" w:cs="TimesNewRomanPSMT"/>
                <w:kern w:val="0"/>
                <w:sz w:val="20"/>
                <w:szCs w:val="21"/>
              </w:rPr>
              <w:t>（</w:t>
            </w:r>
            <w:r>
              <w:rPr>
                <w:rFonts w:hint="eastAsia" w:ascii="宋体" w:hAnsi="宋体" w:cs="TimesNewRomanPSMT"/>
                <w:kern w:val="0"/>
                <w:sz w:val="20"/>
                <w:szCs w:val="21"/>
                <w:lang w:val="en-US" w:eastAsia="zh-CN"/>
              </w:rPr>
              <w:t>1</w:t>
            </w:r>
            <w:r>
              <w:rPr>
                <w:rFonts w:hint="eastAsia" w:ascii="宋体" w:hAnsi="宋体" w:cs="TimesNewRomanPSMT"/>
                <w:kern w:val="0"/>
                <w:sz w:val="20"/>
                <w:szCs w:val="21"/>
              </w:rPr>
              <w:t>）</w:t>
            </w:r>
          </w:p>
        </w:tc>
        <w:tc>
          <w:tcPr>
            <w:tcW w:w="8190" w:type="dxa"/>
            <w:gridSpan w:val="2"/>
            <w:vAlign w:val="center"/>
          </w:tcPr>
          <w:p>
            <w:pPr>
              <w:autoSpaceDE w:val="0"/>
              <w:autoSpaceDN w:val="0"/>
              <w:adjustRightInd w:val="0"/>
              <w:snapToGrid w:val="0"/>
              <w:spacing w:line="440" w:lineRule="exact"/>
              <w:rPr>
                <w:rFonts w:hint="eastAsia" w:ascii="宋体" w:hAnsi="宋体"/>
                <w:sz w:val="24"/>
                <w:lang w:eastAsia="zh-CN"/>
              </w:rPr>
            </w:pPr>
            <w:r>
              <w:rPr>
                <w:rFonts w:hint="eastAsia" w:ascii="宋体" w:hAnsi="宋体"/>
                <w:b/>
                <w:sz w:val="24"/>
              </w:rPr>
              <w:t>工程承包价确定原则:</w:t>
            </w:r>
            <w:r>
              <w:rPr>
                <w:rFonts w:hint="eastAsia" w:ascii="宋体" w:hAnsi="宋体"/>
                <w:sz w:val="24"/>
              </w:rPr>
              <w:t>取成交单位的最终谈判报价为该工程的承包价</w:t>
            </w:r>
            <w:r>
              <w:rPr>
                <w:rFonts w:hint="eastAsia" w:ascii="宋体" w:hAnsi="宋体"/>
                <w:sz w:val="24"/>
                <w:lang w:eastAsia="zh-CN"/>
              </w:rPr>
              <w:t>；</w:t>
            </w:r>
          </w:p>
          <w:p>
            <w:pPr>
              <w:autoSpaceDE w:val="0"/>
              <w:autoSpaceDN w:val="0"/>
              <w:adjustRightInd w:val="0"/>
              <w:snapToGrid w:val="0"/>
              <w:spacing w:line="440" w:lineRule="exact"/>
              <w:rPr>
                <w:rFonts w:hint="eastAsia" w:ascii="宋体" w:hAnsi="宋体"/>
                <w:sz w:val="24"/>
                <w:lang w:eastAsia="zh-CN"/>
              </w:rPr>
            </w:pPr>
            <w:r>
              <w:rPr>
                <w:rFonts w:hint="eastAsia" w:ascii="宋体" w:hAnsi="宋体"/>
                <w:b/>
                <w:bCs/>
                <w:sz w:val="24"/>
                <w:lang w:eastAsia="zh-CN"/>
              </w:rPr>
              <w:t>供应商应按第五章“工程量清单”的要求填写相应表格；</w:t>
            </w:r>
          </w:p>
        </w:tc>
      </w:tr>
    </w:tbl>
    <w:p>
      <w:pPr>
        <w:autoSpaceDE w:val="0"/>
        <w:autoSpaceDN w:val="0"/>
        <w:adjustRightInd w:val="0"/>
        <w:snapToGrid w:val="0"/>
        <w:spacing w:afterLines="50"/>
        <w:jc w:val="left"/>
        <w:rPr>
          <w:rFonts w:ascii="宋体" w:hAnsi="宋体" w:cs="黑体"/>
          <w:kern w:val="0"/>
          <w:sz w:val="28"/>
          <w:szCs w:val="28"/>
        </w:rPr>
      </w:pPr>
    </w:p>
    <w:p>
      <w:pPr>
        <w:autoSpaceDE w:val="0"/>
        <w:autoSpaceDN w:val="0"/>
        <w:adjustRightInd w:val="0"/>
        <w:snapToGrid w:val="0"/>
        <w:spacing w:afterLines="50"/>
        <w:jc w:val="center"/>
        <w:outlineLvl w:val="1"/>
        <w:rPr>
          <w:rFonts w:ascii="宋体" w:hAnsi="宋体" w:cs="黑体"/>
          <w:kern w:val="0"/>
          <w:sz w:val="28"/>
          <w:szCs w:val="28"/>
        </w:rPr>
      </w:pPr>
      <w:r>
        <w:rPr>
          <w:rFonts w:ascii="宋体" w:hAnsi="宋体" w:cs="仿宋_GB2312"/>
          <w:kern w:val="0"/>
          <w:szCs w:val="21"/>
        </w:rPr>
        <w:br w:type="page"/>
      </w:r>
      <w:bookmarkStart w:id="14" w:name="_Toc14530"/>
      <w:r>
        <w:rPr>
          <w:rFonts w:hint="eastAsia" w:ascii="宋体" w:hAnsi="宋体" w:cs="黑体"/>
          <w:kern w:val="0"/>
          <w:sz w:val="28"/>
          <w:szCs w:val="28"/>
        </w:rPr>
        <w:t>（二）供应商须知</w:t>
      </w:r>
      <w:bookmarkEnd w:id="14"/>
    </w:p>
    <w:p>
      <w:pPr>
        <w:numPr>
          <w:ilvl w:val="0"/>
          <w:numId w:val="5"/>
        </w:numPr>
        <w:autoSpaceDE w:val="0"/>
        <w:autoSpaceDN w:val="0"/>
        <w:adjustRightInd w:val="0"/>
        <w:spacing w:afterLines="50"/>
        <w:ind w:left="1134" w:hanging="1134"/>
        <w:outlineLvl w:val="2"/>
        <w:rPr>
          <w:rFonts w:ascii="黑体" w:hAnsi="宋体" w:eastAsia="黑体" w:cs="黑体"/>
          <w:kern w:val="0"/>
          <w:sz w:val="24"/>
        </w:rPr>
      </w:pPr>
      <w:bookmarkStart w:id="15" w:name="_Toc22908"/>
      <w:bookmarkStart w:id="16" w:name="_Toc27825"/>
      <w:bookmarkStart w:id="17" w:name="_Toc195921793"/>
      <w:r>
        <w:rPr>
          <w:rFonts w:hint="eastAsia" w:ascii="黑体" w:hAnsi="宋体" w:eastAsia="黑体" w:cs="黑体"/>
          <w:kern w:val="0"/>
          <w:sz w:val="24"/>
        </w:rPr>
        <w:t>总则</w:t>
      </w:r>
      <w:bookmarkEnd w:id="15"/>
      <w:bookmarkEnd w:id="16"/>
      <w:bookmarkEnd w:id="17"/>
    </w:p>
    <w:p>
      <w:pPr>
        <w:numPr>
          <w:ilvl w:val="1"/>
          <w:numId w:val="5"/>
        </w:numPr>
        <w:autoSpaceDE w:val="0"/>
        <w:autoSpaceDN w:val="0"/>
        <w:adjustRightInd w:val="0"/>
        <w:snapToGrid w:val="0"/>
        <w:spacing w:afterLines="50"/>
        <w:ind w:left="1134" w:hanging="1134"/>
        <w:rPr>
          <w:rFonts w:ascii="宋体" w:hAnsi="宋体" w:cs="黑体"/>
          <w:kern w:val="0"/>
          <w:sz w:val="24"/>
        </w:rPr>
      </w:pPr>
      <w:bookmarkStart w:id="18" w:name="_Toc195921794"/>
      <w:r>
        <w:rPr>
          <w:rFonts w:hint="eastAsia" w:ascii="宋体" w:hAnsi="宋体" w:cs="黑体"/>
          <w:kern w:val="0"/>
          <w:sz w:val="24"/>
        </w:rPr>
        <w:t>项目概况</w:t>
      </w:r>
      <w:bookmarkEnd w:id="18"/>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根据《中华人民共和国政府采购法》和《中华人民共和国政府采购法实施条例》等有关法律、法规和规章的规定，对本项目通过竞争性谈判进行采购。</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采购人：</w:t>
      </w:r>
      <w:r>
        <w:rPr>
          <w:rFonts w:hint="eastAsia"/>
          <w:sz w:val="24"/>
        </w:rPr>
        <w:t>指依法进行政府采购的国家机关、事业单位、团体组织。本项目采购人见第一章 竞争性谈判公告</w:t>
      </w:r>
      <w:r>
        <w:rPr>
          <w:rFonts w:hint="eastAsia" w:ascii="宋体" w:hAnsi="宋体" w:cs="黑体"/>
          <w:kern w:val="0"/>
          <w:sz w:val="24"/>
        </w:rPr>
        <w:t>。</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采购代理机构：</w:t>
      </w:r>
      <w:r>
        <w:rPr>
          <w:rFonts w:hint="eastAsia"/>
          <w:sz w:val="24"/>
        </w:rPr>
        <w:t>指采购人委托的采购代理机构。本项目采购代理机构见第一章 竞争性谈判公告</w:t>
      </w:r>
      <w:r>
        <w:rPr>
          <w:rFonts w:hint="eastAsia" w:ascii="宋体" w:hAnsi="宋体" w:cs="黑体"/>
          <w:kern w:val="0"/>
          <w:sz w:val="24"/>
        </w:rPr>
        <w:t>。</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采购工程名称：</w:t>
      </w:r>
    </w:p>
    <w:p>
      <w:pPr>
        <w:autoSpaceDE w:val="0"/>
        <w:autoSpaceDN w:val="0"/>
        <w:adjustRightInd w:val="0"/>
        <w:snapToGrid w:val="0"/>
        <w:spacing w:afterLines="50"/>
        <w:ind w:left="1079"/>
        <w:rPr>
          <w:rFonts w:ascii="宋体" w:hAnsi="宋体"/>
          <w:sz w:val="24"/>
        </w:rPr>
      </w:pPr>
      <w:r>
        <w:rPr>
          <w:rFonts w:hint="eastAsia" w:ascii="宋体" w:hAnsi="宋体"/>
          <w:sz w:val="24"/>
        </w:rPr>
        <w:t>见</w:t>
      </w:r>
      <w:r>
        <w:rPr>
          <w:rFonts w:hint="eastAsia"/>
          <w:sz w:val="24"/>
        </w:rPr>
        <w:t>第一章 竞争性谈判公告</w:t>
      </w:r>
      <w:r>
        <w:rPr>
          <w:rFonts w:hint="eastAsia" w:ascii="宋体" w:hAnsi="宋体"/>
          <w:sz w:val="24"/>
        </w:rPr>
        <w:t>。</w:t>
      </w:r>
    </w:p>
    <w:p>
      <w:pPr>
        <w:numPr>
          <w:ilvl w:val="1"/>
          <w:numId w:val="5"/>
        </w:numPr>
        <w:autoSpaceDE w:val="0"/>
        <w:autoSpaceDN w:val="0"/>
        <w:adjustRightInd w:val="0"/>
        <w:snapToGrid w:val="0"/>
        <w:spacing w:afterLines="50"/>
        <w:ind w:left="1134" w:hanging="1134"/>
        <w:rPr>
          <w:rFonts w:ascii="宋体" w:hAnsi="宋体" w:cs="黑体"/>
          <w:kern w:val="0"/>
          <w:sz w:val="24"/>
        </w:rPr>
      </w:pPr>
      <w:bookmarkStart w:id="19" w:name="_Toc195921795"/>
      <w:r>
        <w:rPr>
          <w:rFonts w:hint="eastAsia" w:ascii="宋体" w:hAnsi="宋体" w:cs="黑体"/>
          <w:kern w:val="0"/>
          <w:sz w:val="24"/>
        </w:rPr>
        <w:t>采购预算</w:t>
      </w:r>
      <w:bookmarkEnd w:id="19"/>
      <w:r>
        <w:rPr>
          <w:rFonts w:hint="eastAsia" w:ascii="宋体" w:hAnsi="宋体" w:cs="黑体"/>
          <w:kern w:val="0"/>
          <w:sz w:val="24"/>
        </w:rPr>
        <w:t>及最高限价</w:t>
      </w:r>
    </w:p>
    <w:p>
      <w:pPr>
        <w:autoSpaceDE w:val="0"/>
        <w:autoSpaceDN w:val="0"/>
        <w:adjustRightInd w:val="0"/>
        <w:snapToGrid w:val="0"/>
        <w:spacing w:afterLines="50"/>
        <w:ind w:left="1079"/>
        <w:rPr>
          <w:rFonts w:ascii="宋体" w:hAnsi="宋体"/>
          <w:sz w:val="24"/>
        </w:rPr>
      </w:pPr>
      <w:r>
        <w:rPr>
          <w:rFonts w:hint="eastAsia" w:ascii="宋体" w:hAnsi="宋体"/>
          <w:sz w:val="24"/>
        </w:rPr>
        <w:t>见</w:t>
      </w:r>
      <w:r>
        <w:rPr>
          <w:rFonts w:hint="eastAsia"/>
          <w:sz w:val="24"/>
        </w:rPr>
        <w:t>第一章 竞争性谈判公告</w:t>
      </w:r>
      <w:r>
        <w:rPr>
          <w:rFonts w:hint="eastAsia" w:ascii="宋体" w:hAnsi="宋体"/>
          <w:sz w:val="24"/>
        </w:rPr>
        <w:t>。</w:t>
      </w:r>
    </w:p>
    <w:p>
      <w:pPr>
        <w:numPr>
          <w:ilvl w:val="1"/>
          <w:numId w:val="5"/>
        </w:numPr>
        <w:autoSpaceDE w:val="0"/>
        <w:autoSpaceDN w:val="0"/>
        <w:adjustRightInd w:val="0"/>
        <w:snapToGrid w:val="0"/>
        <w:spacing w:afterLines="50"/>
        <w:ind w:left="1134" w:hanging="1134"/>
        <w:rPr>
          <w:rFonts w:ascii="宋体" w:hAnsi="宋体" w:cs="黑体"/>
          <w:kern w:val="0"/>
          <w:sz w:val="24"/>
        </w:rPr>
      </w:pPr>
      <w:bookmarkStart w:id="20" w:name="_Toc195921796"/>
      <w:r>
        <w:rPr>
          <w:rFonts w:hint="eastAsia" w:ascii="宋体" w:hAnsi="宋体" w:cs="黑体"/>
          <w:kern w:val="0"/>
          <w:sz w:val="24"/>
        </w:rPr>
        <w:t>采购范围、工期和质量要求</w:t>
      </w:r>
      <w:bookmarkEnd w:id="20"/>
    </w:p>
    <w:p>
      <w:pPr>
        <w:autoSpaceDE w:val="0"/>
        <w:autoSpaceDN w:val="0"/>
        <w:adjustRightInd w:val="0"/>
        <w:snapToGrid w:val="0"/>
        <w:spacing w:afterLines="50"/>
        <w:ind w:left="1079"/>
        <w:rPr>
          <w:rFonts w:ascii="宋体" w:hAnsi="宋体"/>
          <w:sz w:val="24"/>
        </w:rPr>
      </w:pPr>
      <w:r>
        <w:rPr>
          <w:rFonts w:hint="eastAsia" w:ascii="宋体" w:hAnsi="宋体"/>
          <w:sz w:val="24"/>
        </w:rPr>
        <w:t>见</w:t>
      </w:r>
      <w:r>
        <w:rPr>
          <w:rFonts w:hint="eastAsia"/>
          <w:sz w:val="24"/>
        </w:rPr>
        <w:t>第一章 竞争性谈判公告</w:t>
      </w:r>
      <w:r>
        <w:rPr>
          <w:rFonts w:hint="eastAsia" w:ascii="宋体" w:hAnsi="宋体"/>
          <w:sz w:val="24"/>
        </w:rPr>
        <w:t>。</w:t>
      </w:r>
    </w:p>
    <w:p>
      <w:pPr>
        <w:numPr>
          <w:ilvl w:val="1"/>
          <w:numId w:val="5"/>
        </w:numPr>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供应商：</w:t>
      </w:r>
      <w:r>
        <w:rPr>
          <w:rFonts w:hint="eastAsia" w:asciiTheme="minorEastAsia" w:hAnsiTheme="minorEastAsia"/>
          <w:sz w:val="24"/>
        </w:rPr>
        <w:t>指递交响应文件的法人</w:t>
      </w:r>
      <w:r>
        <w:rPr>
          <w:rFonts w:hint="eastAsia" w:ascii="宋体" w:hAnsi="宋体" w:cs="黑体"/>
          <w:kern w:val="0"/>
          <w:sz w:val="24"/>
        </w:rPr>
        <w:t>。</w:t>
      </w:r>
    </w:p>
    <w:p>
      <w:pPr>
        <w:numPr>
          <w:ilvl w:val="1"/>
          <w:numId w:val="5"/>
        </w:numPr>
        <w:autoSpaceDE w:val="0"/>
        <w:autoSpaceDN w:val="0"/>
        <w:adjustRightInd w:val="0"/>
        <w:snapToGrid w:val="0"/>
        <w:spacing w:afterLines="50"/>
        <w:ind w:left="1134" w:hanging="1134"/>
        <w:rPr>
          <w:rFonts w:ascii="宋体" w:hAnsi="宋体" w:cs="黑体"/>
          <w:kern w:val="0"/>
          <w:sz w:val="24"/>
        </w:rPr>
      </w:pPr>
      <w:r>
        <w:rPr>
          <w:rFonts w:ascii="宋体" w:hAnsi="宋体" w:cs="黑体"/>
          <w:kern w:val="0"/>
          <w:sz w:val="24"/>
        </w:rPr>
        <w:t>对供应商相关要求</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符合竞争性谈判公告“供应商资格要求”。</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Theme="minorEastAsia" w:hAnsiTheme="minorEastAsia"/>
          <w:sz w:val="24"/>
        </w:rPr>
        <w:t>供应商应当遵循公平竞争的原则，不得恶意串通，不得妨碍其他供应商的竞争行为，不得损害采购人或者其他供应商的合法权益。</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供应商不得以向采购人、采购代理机构、谈判小组成员行贿或者采取其他不正当手段谋取成交。</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竞争性谈判公告规定接受联合体的，还应遵守以下规定：</w:t>
      </w:r>
    </w:p>
    <w:p>
      <w:pPr>
        <w:numPr>
          <w:ilvl w:val="0"/>
          <w:numId w:val="6"/>
        </w:numPr>
        <w:tabs>
          <w:tab w:val="left" w:pos="1701"/>
        </w:tabs>
        <w:autoSpaceDE w:val="0"/>
        <w:autoSpaceDN w:val="0"/>
        <w:adjustRightInd w:val="0"/>
        <w:snapToGrid w:val="0"/>
        <w:spacing w:afterLines="50"/>
        <w:ind w:left="1701" w:hanging="622"/>
        <w:rPr>
          <w:rFonts w:ascii="宋体" w:hAnsi="宋体"/>
          <w:sz w:val="24"/>
        </w:rPr>
      </w:pPr>
      <w:r>
        <w:rPr>
          <w:rFonts w:hint="eastAsia" w:ascii="宋体" w:hAnsi="宋体"/>
          <w:sz w:val="24"/>
        </w:rPr>
        <w:t>联合体各方应按谈判文件提供的格式签订联合体协议书，明确联合体牵头人和各方工作内容和义务；</w:t>
      </w:r>
    </w:p>
    <w:p>
      <w:pPr>
        <w:numPr>
          <w:ilvl w:val="0"/>
          <w:numId w:val="6"/>
        </w:numPr>
        <w:tabs>
          <w:tab w:val="left" w:pos="1701"/>
        </w:tabs>
        <w:autoSpaceDE w:val="0"/>
        <w:autoSpaceDN w:val="0"/>
        <w:adjustRightInd w:val="0"/>
        <w:snapToGrid w:val="0"/>
        <w:spacing w:afterLines="50"/>
        <w:ind w:left="1701" w:hanging="622"/>
        <w:rPr>
          <w:rFonts w:ascii="宋体" w:hAnsi="宋体"/>
          <w:sz w:val="24"/>
        </w:rPr>
      </w:pPr>
      <w:r>
        <w:rPr>
          <w:rFonts w:ascii="宋体" w:hAnsi="宋体"/>
          <w:sz w:val="24"/>
        </w:rPr>
        <w:t>联合体中有同类资质的供应商按照联合体分工承担相同工作的，应当按照资质等级较低的供应商确定联合体的资质等级。</w:t>
      </w:r>
    </w:p>
    <w:p>
      <w:pPr>
        <w:numPr>
          <w:ilvl w:val="0"/>
          <w:numId w:val="6"/>
        </w:numPr>
        <w:tabs>
          <w:tab w:val="left" w:pos="1701"/>
        </w:tabs>
        <w:autoSpaceDE w:val="0"/>
        <w:autoSpaceDN w:val="0"/>
        <w:adjustRightInd w:val="0"/>
        <w:snapToGrid w:val="0"/>
        <w:spacing w:afterLines="50"/>
        <w:ind w:left="1701" w:hanging="622"/>
        <w:rPr>
          <w:rFonts w:ascii="宋体" w:hAnsi="宋体"/>
          <w:sz w:val="24"/>
        </w:rPr>
      </w:pPr>
      <w:r>
        <w:rPr>
          <w:rFonts w:ascii="宋体" w:hAnsi="宋体"/>
          <w:sz w:val="24"/>
        </w:rPr>
        <w:t>联合体各方不得再单独参加或者与其他供应商另外组成联合体参加同一合同项下的</w:t>
      </w:r>
      <w:r>
        <w:rPr>
          <w:rFonts w:hint="eastAsia" w:ascii="宋体" w:hAnsi="宋体"/>
          <w:sz w:val="24"/>
        </w:rPr>
        <w:t>谈判。</w:t>
      </w:r>
    </w:p>
    <w:p>
      <w:pPr>
        <w:numPr>
          <w:ilvl w:val="0"/>
          <w:numId w:val="6"/>
        </w:numPr>
        <w:tabs>
          <w:tab w:val="left" w:pos="1701"/>
        </w:tabs>
        <w:autoSpaceDE w:val="0"/>
        <w:autoSpaceDN w:val="0"/>
        <w:adjustRightInd w:val="0"/>
        <w:snapToGrid w:val="0"/>
        <w:spacing w:afterLines="50"/>
        <w:ind w:left="1701" w:hanging="622"/>
        <w:rPr>
          <w:rFonts w:ascii="宋体" w:hAnsi="宋体"/>
          <w:sz w:val="24"/>
        </w:rPr>
      </w:pPr>
      <w:r>
        <w:rPr>
          <w:rFonts w:hint="eastAsia" w:ascii="宋体" w:hAnsi="宋体"/>
          <w:sz w:val="24"/>
        </w:rPr>
        <w:t>联合体各方应当共同与采购人签订采购合同，就合同约定的事项对采购人承担连带责任。</w:t>
      </w:r>
    </w:p>
    <w:p>
      <w:pPr>
        <w:numPr>
          <w:ilvl w:val="1"/>
          <w:numId w:val="5"/>
        </w:numPr>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本项目将执行在政府采购活动中查询及使用信用记录的规定，具体要求为：</w:t>
      </w:r>
    </w:p>
    <w:p>
      <w:pPr>
        <w:numPr>
          <w:ilvl w:val="0"/>
          <w:numId w:val="7"/>
        </w:numPr>
        <w:tabs>
          <w:tab w:val="left" w:pos="1701"/>
        </w:tabs>
        <w:autoSpaceDE w:val="0"/>
        <w:autoSpaceDN w:val="0"/>
        <w:adjustRightInd w:val="0"/>
        <w:snapToGrid w:val="0"/>
        <w:spacing w:afterLines="50"/>
        <w:ind w:left="1701" w:hanging="622"/>
        <w:rPr>
          <w:rFonts w:ascii="宋体" w:hAnsi="宋体"/>
          <w:sz w:val="24"/>
        </w:rPr>
      </w:pPr>
      <w:r>
        <w:rPr>
          <w:rFonts w:hint="eastAsia" w:ascii="宋体" w:hAnsi="宋体"/>
          <w:sz w:val="24"/>
        </w:rPr>
        <w:t>信用信息查询的截止时点：递交首次响应文件截止时间后。</w:t>
      </w:r>
    </w:p>
    <w:p>
      <w:pPr>
        <w:numPr>
          <w:ilvl w:val="0"/>
          <w:numId w:val="7"/>
        </w:numPr>
        <w:tabs>
          <w:tab w:val="left" w:pos="1701"/>
        </w:tabs>
        <w:autoSpaceDE w:val="0"/>
        <w:autoSpaceDN w:val="0"/>
        <w:adjustRightInd w:val="0"/>
        <w:snapToGrid w:val="0"/>
        <w:spacing w:afterLines="50"/>
        <w:ind w:left="1701" w:hanging="622"/>
        <w:rPr>
          <w:rFonts w:ascii="宋体" w:hAnsi="宋体"/>
          <w:sz w:val="24"/>
        </w:rPr>
      </w:pPr>
      <w:r>
        <w:rPr>
          <w:rFonts w:hint="eastAsia" w:ascii="宋体" w:hAnsi="宋体"/>
          <w:sz w:val="24"/>
        </w:rPr>
        <w:t>查询渠道：“信用中国”网站（</w:t>
      </w:r>
      <w:r>
        <w:rPr>
          <w:rFonts w:ascii="宋体" w:hAnsi="宋体"/>
          <w:sz w:val="24"/>
        </w:rPr>
        <w:t xml:space="preserve">www.creditchina.gov.cn）和中国政府采购网（www.ccgp.gov.cn）； </w:t>
      </w:r>
    </w:p>
    <w:p>
      <w:pPr>
        <w:numPr>
          <w:ilvl w:val="0"/>
          <w:numId w:val="7"/>
        </w:numPr>
        <w:tabs>
          <w:tab w:val="left" w:pos="1701"/>
        </w:tabs>
        <w:autoSpaceDE w:val="0"/>
        <w:autoSpaceDN w:val="0"/>
        <w:adjustRightInd w:val="0"/>
        <w:snapToGrid w:val="0"/>
        <w:spacing w:afterLines="50"/>
        <w:ind w:left="1701" w:hanging="622"/>
        <w:rPr>
          <w:rFonts w:ascii="宋体" w:hAnsi="宋体"/>
          <w:sz w:val="24"/>
        </w:rPr>
      </w:pPr>
      <w:r>
        <w:rPr>
          <w:rFonts w:hint="eastAsia" w:ascii="宋体" w:hAnsi="宋体"/>
          <w:sz w:val="24"/>
        </w:rPr>
        <w:t>信用信息查询记录和证据留存具体方式：将经查询存在不良信用记录的潜在供应商的查询结果网页截图作为查询记录和证据，与其他谈判过程文件一并保存；</w:t>
      </w:r>
    </w:p>
    <w:p>
      <w:pPr>
        <w:numPr>
          <w:ilvl w:val="0"/>
          <w:numId w:val="7"/>
        </w:numPr>
        <w:tabs>
          <w:tab w:val="left" w:pos="1701"/>
        </w:tabs>
        <w:autoSpaceDE w:val="0"/>
        <w:autoSpaceDN w:val="0"/>
        <w:adjustRightInd w:val="0"/>
        <w:snapToGrid w:val="0"/>
        <w:spacing w:afterLines="50"/>
        <w:ind w:left="1701" w:hanging="622"/>
        <w:rPr>
          <w:rFonts w:ascii="宋体" w:hAnsi="宋体"/>
          <w:sz w:val="24"/>
        </w:rPr>
      </w:pPr>
      <w:r>
        <w:rPr>
          <w:rFonts w:hint="eastAsia" w:ascii="宋体" w:hAnsi="宋体"/>
          <w:sz w:val="24"/>
        </w:rPr>
        <w:t>信用信息的使用规则：</w:t>
      </w:r>
      <w:r>
        <w:rPr>
          <w:rFonts w:ascii="宋体" w:hAnsi="宋体"/>
          <w:sz w:val="24"/>
        </w:rPr>
        <w:t>本政府采购项目的供应商在</w:t>
      </w:r>
      <w:r>
        <w:rPr>
          <w:rFonts w:hint="eastAsia" w:ascii="宋体" w:hAnsi="宋体"/>
          <w:sz w:val="24"/>
        </w:rPr>
        <w:t>信用信息查询</w:t>
      </w:r>
      <w:r>
        <w:rPr>
          <w:rFonts w:ascii="宋体" w:hAnsi="宋体"/>
          <w:sz w:val="24"/>
        </w:rPr>
        <w:t>截止时点（含）之前存在</w:t>
      </w:r>
      <w:r>
        <w:rPr>
          <w:rFonts w:hint="eastAsia" w:ascii="宋体" w:hAnsi="宋体"/>
          <w:sz w:val="24"/>
        </w:rPr>
        <w:t>第一章竞争性谈判公告“供应商资格要求”中所述</w:t>
      </w:r>
      <w:r>
        <w:rPr>
          <w:rFonts w:ascii="宋体" w:hAnsi="宋体"/>
          <w:sz w:val="24"/>
        </w:rPr>
        <w:t>不良信用记录的，不得参与谈判。</w:t>
      </w:r>
    </w:p>
    <w:p>
      <w:pPr>
        <w:numPr>
          <w:ilvl w:val="1"/>
          <w:numId w:val="5"/>
        </w:numPr>
        <w:autoSpaceDE w:val="0"/>
        <w:autoSpaceDN w:val="0"/>
        <w:adjustRightInd w:val="0"/>
        <w:snapToGrid w:val="0"/>
        <w:spacing w:afterLines="50"/>
        <w:ind w:left="1134" w:hanging="1134"/>
        <w:rPr>
          <w:rFonts w:ascii="宋体" w:hAnsi="宋体" w:cs="黑体"/>
          <w:kern w:val="0"/>
          <w:sz w:val="24"/>
        </w:rPr>
      </w:pPr>
      <w:bookmarkStart w:id="21" w:name="_Ref527101463"/>
      <w:r>
        <w:rPr>
          <w:rFonts w:hint="eastAsia" w:ascii="宋体" w:hAnsi="宋体" w:cs="黑体"/>
          <w:kern w:val="0"/>
          <w:sz w:val="24"/>
        </w:rPr>
        <w:t>分包</w:t>
      </w:r>
      <w:bookmarkEnd w:id="21"/>
    </w:p>
    <w:p>
      <w:pPr>
        <w:autoSpaceDE w:val="0"/>
        <w:autoSpaceDN w:val="0"/>
        <w:adjustRightInd w:val="0"/>
        <w:snapToGrid w:val="0"/>
        <w:spacing w:afterLines="50"/>
        <w:ind w:left="1134" w:leftChars="540"/>
        <w:rPr>
          <w:rFonts w:ascii="宋体" w:hAnsi="宋体" w:cs="黑体"/>
          <w:kern w:val="0"/>
          <w:sz w:val="24"/>
        </w:rPr>
      </w:pPr>
      <w:r>
        <w:rPr>
          <w:rFonts w:hint="eastAsia" w:ascii="宋体" w:hAnsi="宋体" w:cs="黑体"/>
          <w:kern w:val="0"/>
          <w:sz w:val="24"/>
        </w:rPr>
        <w:t>供应商须知前附表规定允许分包的，供应商应根据谈判文件的规定和采购项目的实际情况，将拟在成交后将采购项目的非主体、非关键性工作分包的，在响应文件中载明分包承担主体，分包承担主体应当具备相应资质条件且不得再次分包。政府采购合同分包履行的，</w:t>
      </w:r>
      <w:r>
        <w:rPr>
          <w:rFonts w:hint="eastAsia" w:hAnsi="宋体" w:cs="宋体"/>
          <w:sz w:val="24"/>
        </w:rPr>
        <w:t>成交供应商应当对其承包的建设工程或者采购的设备的质量负责；分包人应当按照分包合同的约定对其分包工程的质量向成交供应商负责，成交供应商与分包人对分包工程的质量承担连带责任。</w:t>
      </w:r>
    </w:p>
    <w:p>
      <w:pPr>
        <w:numPr>
          <w:ilvl w:val="1"/>
          <w:numId w:val="5"/>
        </w:numPr>
        <w:autoSpaceDE w:val="0"/>
        <w:autoSpaceDN w:val="0"/>
        <w:adjustRightInd w:val="0"/>
        <w:snapToGrid w:val="0"/>
        <w:spacing w:afterLines="50"/>
        <w:ind w:left="1134" w:hanging="1134"/>
        <w:rPr>
          <w:rFonts w:ascii="宋体" w:hAnsi="宋体" w:cs="黑体"/>
          <w:kern w:val="0"/>
          <w:sz w:val="24"/>
        </w:rPr>
      </w:pPr>
      <w:bookmarkStart w:id="22" w:name="_Toc195921799"/>
      <w:r>
        <w:rPr>
          <w:rFonts w:hint="eastAsia" w:ascii="宋体" w:hAnsi="宋体" w:cs="黑体"/>
          <w:kern w:val="0"/>
          <w:sz w:val="24"/>
        </w:rPr>
        <w:t>费用承担</w:t>
      </w:r>
      <w:bookmarkEnd w:id="22"/>
    </w:p>
    <w:p>
      <w:pPr>
        <w:autoSpaceDE w:val="0"/>
        <w:autoSpaceDN w:val="0"/>
        <w:adjustRightInd w:val="0"/>
        <w:snapToGrid w:val="0"/>
        <w:spacing w:afterLines="50"/>
        <w:ind w:left="1134" w:leftChars="540"/>
        <w:rPr>
          <w:rFonts w:ascii="宋体" w:hAnsi="宋体" w:cs="黑体"/>
          <w:kern w:val="0"/>
          <w:sz w:val="24"/>
        </w:rPr>
      </w:pPr>
      <w:r>
        <w:rPr>
          <w:rFonts w:hint="eastAsia" w:ascii="宋体" w:hAnsi="宋体" w:cs="黑体"/>
          <w:kern w:val="0"/>
          <w:sz w:val="24"/>
        </w:rPr>
        <w:t>供应商准备和参加谈判活动发生的费用自理。</w:t>
      </w:r>
    </w:p>
    <w:p>
      <w:pPr>
        <w:numPr>
          <w:ilvl w:val="1"/>
          <w:numId w:val="5"/>
        </w:numPr>
        <w:autoSpaceDE w:val="0"/>
        <w:autoSpaceDN w:val="0"/>
        <w:adjustRightInd w:val="0"/>
        <w:snapToGrid w:val="0"/>
        <w:spacing w:afterLines="50"/>
        <w:ind w:left="1134" w:hanging="1134"/>
        <w:rPr>
          <w:rFonts w:ascii="宋体" w:hAnsi="宋体" w:cs="黑体"/>
          <w:kern w:val="0"/>
          <w:sz w:val="24"/>
        </w:rPr>
      </w:pPr>
      <w:bookmarkStart w:id="23" w:name="_Toc195921800"/>
      <w:r>
        <w:rPr>
          <w:rFonts w:hint="eastAsia" w:ascii="宋体" w:hAnsi="宋体" w:cs="黑体"/>
          <w:kern w:val="0"/>
          <w:sz w:val="24"/>
        </w:rPr>
        <w:t>保密</w:t>
      </w:r>
      <w:bookmarkEnd w:id="23"/>
    </w:p>
    <w:p>
      <w:pPr>
        <w:autoSpaceDE w:val="0"/>
        <w:autoSpaceDN w:val="0"/>
        <w:adjustRightInd w:val="0"/>
        <w:snapToGrid w:val="0"/>
        <w:spacing w:afterLines="50"/>
        <w:ind w:left="1134" w:leftChars="540"/>
        <w:rPr>
          <w:rFonts w:ascii="宋体" w:hAnsi="宋体" w:cs="黑体"/>
          <w:kern w:val="0"/>
          <w:sz w:val="24"/>
        </w:rPr>
      </w:pPr>
      <w:r>
        <w:rPr>
          <w:rFonts w:hint="eastAsia" w:ascii="宋体" w:hAnsi="宋体" w:cs="黑体"/>
          <w:kern w:val="0"/>
          <w:sz w:val="24"/>
        </w:rPr>
        <w:t>参与谈判活动的各方应对谈判文件和响应文件中的商业和技术等秘密保密，违者应对由此造成的后果承担法律责任。</w:t>
      </w:r>
    </w:p>
    <w:p>
      <w:pPr>
        <w:numPr>
          <w:ilvl w:val="1"/>
          <w:numId w:val="5"/>
        </w:numPr>
        <w:autoSpaceDE w:val="0"/>
        <w:autoSpaceDN w:val="0"/>
        <w:adjustRightInd w:val="0"/>
        <w:snapToGrid w:val="0"/>
        <w:spacing w:afterLines="50"/>
        <w:ind w:left="1134" w:hanging="1134"/>
        <w:rPr>
          <w:rFonts w:ascii="宋体" w:hAnsi="宋体" w:cs="黑体"/>
          <w:kern w:val="0"/>
          <w:sz w:val="24"/>
        </w:rPr>
      </w:pPr>
      <w:bookmarkStart w:id="24" w:name="_Toc195921801"/>
      <w:r>
        <w:rPr>
          <w:rFonts w:hint="eastAsia" w:ascii="宋体" w:hAnsi="宋体" w:cs="黑体"/>
          <w:kern w:val="0"/>
          <w:sz w:val="24"/>
        </w:rPr>
        <w:t>语言文字</w:t>
      </w:r>
      <w:bookmarkEnd w:id="24"/>
    </w:p>
    <w:p>
      <w:pPr>
        <w:autoSpaceDE w:val="0"/>
        <w:autoSpaceDN w:val="0"/>
        <w:adjustRightInd w:val="0"/>
        <w:snapToGrid w:val="0"/>
        <w:spacing w:afterLines="50"/>
        <w:ind w:left="1134" w:leftChars="540"/>
        <w:rPr>
          <w:rFonts w:ascii="宋体" w:hAnsi="宋体" w:cs="黑体"/>
          <w:kern w:val="0"/>
          <w:sz w:val="24"/>
        </w:rPr>
      </w:pPr>
      <w:r>
        <w:rPr>
          <w:rFonts w:hint="eastAsia" w:ascii="宋体" w:hAnsi="宋体" w:cs="黑体"/>
          <w:kern w:val="0"/>
          <w:sz w:val="24"/>
        </w:rPr>
        <w:t>除专用术语外，与谈判有关的语言均使用中文。必要时专用术语应附有中文注释。</w:t>
      </w:r>
    </w:p>
    <w:p>
      <w:pPr>
        <w:numPr>
          <w:ilvl w:val="1"/>
          <w:numId w:val="5"/>
        </w:numPr>
        <w:autoSpaceDE w:val="0"/>
        <w:autoSpaceDN w:val="0"/>
        <w:adjustRightInd w:val="0"/>
        <w:snapToGrid w:val="0"/>
        <w:spacing w:afterLines="50"/>
        <w:ind w:left="1134" w:hanging="1134"/>
        <w:rPr>
          <w:rFonts w:ascii="宋体" w:hAnsi="宋体" w:cs="黑体"/>
          <w:kern w:val="0"/>
          <w:sz w:val="24"/>
        </w:rPr>
      </w:pPr>
      <w:bookmarkStart w:id="25" w:name="_Toc195921802"/>
      <w:r>
        <w:rPr>
          <w:rFonts w:hint="eastAsia" w:ascii="宋体" w:hAnsi="宋体" w:cs="黑体"/>
          <w:kern w:val="0"/>
          <w:sz w:val="24"/>
        </w:rPr>
        <w:t>计量单位</w:t>
      </w:r>
      <w:bookmarkEnd w:id="25"/>
    </w:p>
    <w:p>
      <w:pPr>
        <w:autoSpaceDE w:val="0"/>
        <w:autoSpaceDN w:val="0"/>
        <w:adjustRightInd w:val="0"/>
        <w:snapToGrid w:val="0"/>
        <w:spacing w:afterLines="50"/>
        <w:ind w:left="1134" w:leftChars="540"/>
        <w:rPr>
          <w:rFonts w:ascii="宋体" w:hAnsi="宋体" w:cs="黑体"/>
          <w:kern w:val="0"/>
          <w:sz w:val="24"/>
        </w:rPr>
      </w:pPr>
      <w:r>
        <w:rPr>
          <w:rFonts w:hint="eastAsia" w:ascii="宋体" w:hAnsi="宋体" w:cs="黑体"/>
          <w:kern w:val="0"/>
          <w:sz w:val="24"/>
        </w:rPr>
        <w:t>所有计量均采用中华人民共和国法定计量单位。</w:t>
      </w:r>
    </w:p>
    <w:p>
      <w:pPr>
        <w:numPr>
          <w:ilvl w:val="1"/>
          <w:numId w:val="5"/>
        </w:numPr>
        <w:autoSpaceDE w:val="0"/>
        <w:autoSpaceDN w:val="0"/>
        <w:adjustRightInd w:val="0"/>
        <w:snapToGrid w:val="0"/>
        <w:spacing w:afterLines="50"/>
        <w:ind w:left="1134" w:hanging="1134"/>
        <w:rPr>
          <w:rFonts w:ascii="宋体" w:hAnsi="宋体" w:cs="黑体"/>
          <w:kern w:val="0"/>
          <w:sz w:val="24"/>
        </w:rPr>
      </w:pPr>
      <w:bookmarkStart w:id="26" w:name="_Ref527101478"/>
      <w:r>
        <w:rPr>
          <w:rFonts w:ascii="宋体" w:hAnsi="宋体" w:cs="黑体"/>
          <w:kern w:val="0"/>
          <w:sz w:val="24"/>
        </w:rPr>
        <w:t>踏勘现场</w:t>
      </w:r>
      <w:bookmarkEnd w:id="26"/>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bookmarkStart w:id="27" w:name="_Ref527633716"/>
      <w:r>
        <w:rPr>
          <w:rFonts w:ascii="宋体" w:hAnsi="宋体" w:cs="黑体"/>
          <w:kern w:val="0"/>
          <w:sz w:val="24"/>
        </w:rPr>
        <w:t>供应商须知前附表规定组织踏勘现场的，采购人须按照规定时间、地点组织供应商踏勘项目现场。</w:t>
      </w:r>
      <w:bookmarkEnd w:id="27"/>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ascii="宋体" w:hAnsi="宋体" w:cs="黑体"/>
          <w:kern w:val="0"/>
          <w:sz w:val="24"/>
        </w:rPr>
        <w:t>供应商承担踏勘现场所发生的自身费用、责任和风险。</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ascii="宋体" w:hAnsi="宋体" w:cs="黑体"/>
          <w:kern w:val="0"/>
          <w:sz w:val="24"/>
        </w:rPr>
        <w:t>采购人向供应商提供的有关现场的资料和数据，是采购人现有的能被供应商利用的资料，采购人不对供应商由此而做出的推论、理解和结论负责。</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ascii="宋体" w:hAnsi="宋体" w:cs="黑体"/>
          <w:kern w:val="0"/>
          <w:sz w:val="24"/>
        </w:rPr>
        <w:t>除采购人原因外，供应商应对踏勘现场而造成的人员伤亡、财产损失以及由此引起的连带责任和费用负责。</w:t>
      </w:r>
    </w:p>
    <w:p>
      <w:pPr>
        <w:numPr>
          <w:ilvl w:val="0"/>
          <w:numId w:val="5"/>
        </w:numPr>
        <w:autoSpaceDE w:val="0"/>
        <w:autoSpaceDN w:val="0"/>
        <w:adjustRightInd w:val="0"/>
        <w:spacing w:afterLines="50"/>
        <w:ind w:left="1134" w:hanging="1134"/>
        <w:outlineLvl w:val="2"/>
        <w:rPr>
          <w:rFonts w:ascii="黑体" w:hAnsi="宋体" w:eastAsia="黑体" w:cs="黑体"/>
          <w:kern w:val="0"/>
          <w:sz w:val="24"/>
        </w:rPr>
      </w:pPr>
      <w:bookmarkStart w:id="28" w:name="_Toc8507"/>
      <w:bookmarkStart w:id="29" w:name="_Toc22889"/>
      <w:r>
        <w:rPr>
          <w:rFonts w:hint="eastAsia" w:ascii="黑体" w:hAnsi="宋体" w:eastAsia="黑体" w:cs="黑体"/>
          <w:kern w:val="0"/>
          <w:sz w:val="24"/>
        </w:rPr>
        <w:t>谈判文件</w:t>
      </w:r>
      <w:bookmarkEnd w:id="28"/>
      <w:bookmarkEnd w:id="29"/>
    </w:p>
    <w:p>
      <w:pPr>
        <w:numPr>
          <w:ilvl w:val="1"/>
          <w:numId w:val="5"/>
        </w:numPr>
        <w:autoSpaceDE w:val="0"/>
        <w:autoSpaceDN w:val="0"/>
        <w:adjustRightInd w:val="0"/>
        <w:snapToGrid w:val="0"/>
        <w:spacing w:afterLines="50"/>
        <w:ind w:left="1134" w:hanging="1134"/>
        <w:rPr>
          <w:rFonts w:ascii="宋体" w:hAnsi="宋体" w:cs="黑体"/>
          <w:kern w:val="0"/>
          <w:sz w:val="24"/>
        </w:rPr>
      </w:pPr>
      <w:bookmarkStart w:id="30" w:name="_Toc195921808"/>
      <w:r>
        <w:rPr>
          <w:rFonts w:hint="eastAsia" w:ascii="宋体" w:hAnsi="宋体" w:cs="黑体"/>
          <w:kern w:val="0"/>
          <w:sz w:val="24"/>
        </w:rPr>
        <w:t>谈判文件的组成</w:t>
      </w:r>
      <w:bookmarkEnd w:id="30"/>
    </w:p>
    <w:p>
      <w:pPr>
        <w:autoSpaceDE w:val="0"/>
        <w:autoSpaceDN w:val="0"/>
        <w:adjustRightInd w:val="0"/>
        <w:snapToGrid w:val="0"/>
        <w:spacing w:afterLines="50"/>
        <w:ind w:left="1134" w:leftChars="540"/>
        <w:rPr>
          <w:rFonts w:ascii="宋体" w:hAnsi="宋体" w:cs="黑体"/>
          <w:kern w:val="0"/>
          <w:sz w:val="24"/>
        </w:rPr>
      </w:pPr>
      <w:r>
        <w:rPr>
          <w:rFonts w:hint="eastAsia" w:ascii="宋体" w:hAnsi="宋体" w:cs="黑体"/>
          <w:kern w:val="0"/>
          <w:sz w:val="24"/>
        </w:rPr>
        <w:t>本谈判文件包括：</w:t>
      </w:r>
    </w:p>
    <w:p>
      <w:pPr>
        <w:pStyle w:val="425"/>
        <w:numPr>
          <w:ilvl w:val="0"/>
          <w:numId w:val="8"/>
        </w:numPr>
        <w:autoSpaceDE w:val="0"/>
        <w:autoSpaceDN w:val="0"/>
        <w:adjustRightInd w:val="0"/>
        <w:snapToGrid w:val="0"/>
        <w:spacing w:afterLines="50"/>
        <w:ind w:left="1499" w:hanging="420" w:firstLineChars="0"/>
        <w:rPr>
          <w:rFonts w:ascii="宋体" w:hAnsi="宋体" w:cs="黑体"/>
          <w:kern w:val="0"/>
          <w:sz w:val="24"/>
        </w:rPr>
      </w:pPr>
      <w:r>
        <w:rPr>
          <w:rFonts w:hint="eastAsia" w:ascii="宋体" w:hAnsi="宋体" w:cs="黑体"/>
          <w:kern w:val="0"/>
          <w:sz w:val="24"/>
        </w:rPr>
        <w:t>竞争性谈判公告；</w:t>
      </w:r>
    </w:p>
    <w:p>
      <w:pPr>
        <w:pStyle w:val="425"/>
        <w:numPr>
          <w:ilvl w:val="0"/>
          <w:numId w:val="8"/>
        </w:numPr>
        <w:autoSpaceDE w:val="0"/>
        <w:autoSpaceDN w:val="0"/>
        <w:adjustRightInd w:val="0"/>
        <w:snapToGrid w:val="0"/>
        <w:spacing w:afterLines="50"/>
        <w:ind w:left="1499" w:hanging="420" w:firstLineChars="0"/>
        <w:rPr>
          <w:rFonts w:ascii="宋体" w:hAnsi="宋体" w:cs="黑体"/>
          <w:kern w:val="0"/>
          <w:sz w:val="24"/>
        </w:rPr>
      </w:pPr>
      <w:r>
        <w:rPr>
          <w:rFonts w:hint="eastAsia" w:ascii="宋体" w:hAnsi="宋体" w:cs="黑体"/>
          <w:kern w:val="0"/>
          <w:sz w:val="24"/>
        </w:rPr>
        <w:t>供应商须知；</w:t>
      </w:r>
    </w:p>
    <w:p>
      <w:pPr>
        <w:pStyle w:val="425"/>
        <w:numPr>
          <w:ilvl w:val="0"/>
          <w:numId w:val="8"/>
        </w:numPr>
        <w:autoSpaceDE w:val="0"/>
        <w:autoSpaceDN w:val="0"/>
        <w:adjustRightInd w:val="0"/>
        <w:snapToGrid w:val="0"/>
        <w:spacing w:afterLines="50"/>
        <w:ind w:left="1499" w:hanging="420" w:firstLineChars="0"/>
        <w:rPr>
          <w:rFonts w:ascii="宋体" w:hAnsi="宋体" w:cs="黑体"/>
          <w:kern w:val="0"/>
          <w:sz w:val="24"/>
        </w:rPr>
      </w:pPr>
      <w:r>
        <w:rPr>
          <w:rFonts w:hint="eastAsia" w:ascii="宋体" w:hAnsi="宋体" w:cs="黑体"/>
          <w:kern w:val="0"/>
          <w:sz w:val="24"/>
        </w:rPr>
        <w:t>评审办法和标准；</w:t>
      </w:r>
    </w:p>
    <w:p>
      <w:pPr>
        <w:pStyle w:val="425"/>
        <w:numPr>
          <w:ilvl w:val="0"/>
          <w:numId w:val="8"/>
        </w:numPr>
        <w:autoSpaceDE w:val="0"/>
        <w:autoSpaceDN w:val="0"/>
        <w:adjustRightInd w:val="0"/>
        <w:snapToGrid w:val="0"/>
        <w:spacing w:afterLines="50"/>
        <w:ind w:left="1499" w:hanging="420" w:firstLineChars="0"/>
        <w:rPr>
          <w:rFonts w:ascii="宋体" w:hAnsi="宋体" w:cs="黑体"/>
          <w:kern w:val="0"/>
          <w:sz w:val="24"/>
        </w:rPr>
      </w:pPr>
      <w:r>
        <w:rPr>
          <w:rFonts w:hint="eastAsia" w:ascii="宋体" w:hAnsi="宋体" w:cs="黑体"/>
          <w:kern w:val="0"/>
          <w:sz w:val="24"/>
        </w:rPr>
        <w:t>合同条款；</w:t>
      </w:r>
    </w:p>
    <w:p>
      <w:pPr>
        <w:pStyle w:val="425"/>
        <w:numPr>
          <w:ilvl w:val="0"/>
          <w:numId w:val="8"/>
        </w:numPr>
        <w:autoSpaceDE w:val="0"/>
        <w:autoSpaceDN w:val="0"/>
        <w:adjustRightInd w:val="0"/>
        <w:snapToGrid w:val="0"/>
        <w:spacing w:afterLines="50"/>
        <w:ind w:left="1499" w:hanging="420" w:firstLineChars="0"/>
        <w:rPr>
          <w:rFonts w:ascii="宋体" w:hAnsi="宋体" w:cs="黑体"/>
          <w:kern w:val="0"/>
          <w:sz w:val="24"/>
        </w:rPr>
      </w:pPr>
      <w:r>
        <w:rPr>
          <w:rFonts w:hint="eastAsia" w:ascii="宋体" w:hAnsi="宋体" w:cs="黑体"/>
          <w:kern w:val="0"/>
          <w:sz w:val="24"/>
        </w:rPr>
        <w:t>工程量清单</w:t>
      </w:r>
      <w:r>
        <w:rPr>
          <w:rFonts w:hint="eastAsia" w:ascii="宋体" w:hAnsi="宋体" w:cs="黑体"/>
          <w:kern w:val="0"/>
          <w:sz w:val="24"/>
          <w:lang w:eastAsia="zh-CN"/>
        </w:rPr>
        <w:t>；</w:t>
      </w:r>
    </w:p>
    <w:p>
      <w:pPr>
        <w:pStyle w:val="425"/>
        <w:numPr>
          <w:ilvl w:val="0"/>
          <w:numId w:val="8"/>
        </w:numPr>
        <w:autoSpaceDE w:val="0"/>
        <w:autoSpaceDN w:val="0"/>
        <w:adjustRightInd w:val="0"/>
        <w:snapToGrid w:val="0"/>
        <w:spacing w:afterLines="50"/>
        <w:ind w:left="1499" w:hanging="420" w:firstLineChars="0"/>
        <w:rPr>
          <w:rFonts w:ascii="宋体" w:hAnsi="宋体" w:cs="黑体"/>
          <w:kern w:val="0"/>
          <w:sz w:val="24"/>
        </w:rPr>
      </w:pPr>
      <w:r>
        <w:rPr>
          <w:rFonts w:hint="eastAsia" w:ascii="宋体" w:hAnsi="宋体" w:cs="黑体"/>
          <w:kern w:val="0"/>
          <w:sz w:val="24"/>
        </w:rPr>
        <w:t>技术标准和要求</w:t>
      </w:r>
      <w:r>
        <w:rPr>
          <w:rFonts w:hint="eastAsia" w:ascii="宋体" w:hAnsi="宋体" w:cs="黑体"/>
          <w:kern w:val="0"/>
          <w:sz w:val="24"/>
          <w:lang w:eastAsia="zh-CN"/>
        </w:rPr>
        <w:t>；</w:t>
      </w:r>
    </w:p>
    <w:p>
      <w:pPr>
        <w:pStyle w:val="425"/>
        <w:numPr>
          <w:ilvl w:val="0"/>
          <w:numId w:val="8"/>
        </w:numPr>
        <w:autoSpaceDE w:val="0"/>
        <w:autoSpaceDN w:val="0"/>
        <w:adjustRightInd w:val="0"/>
        <w:snapToGrid w:val="0"/>
        <w:spacing w:afterLines="50"/>
        <w:ind w:left="1499" w:hanging="420" w:firstLineChars="0"/>
        <w:rPr>
          <w:rFonts w:ascii="宋体" w:hAnsi="宋体" w:cs="黑体"/>
          <w:kern w:val="0"/>
          <w:sz w:val="24"/>
        </w:rPr>
      </w:pPr>
      <w:r>
        <w:rPr>
          <w:rFonts w:hint="eastAsia" w:ascii="宋体" w:hAnsi="宋体" w:cs="黑体"/>
          <w:kern w:val="0"/>
          <w:sz w:val="24"/>
        </w:rPr>
        <w:t>响应文件格式。</w:t>
      </w:r>
    </w:p>
    <w:p>
      <w:pPr>
        <w:autoSpaceDE w:val="0"/>
        <w:autoSpaceDN w:val="0"/>
        <w:adjustRightInd w:val="0"/>
        <w:snapToGrid w:val="0"/>
        <w:spacing w:afterLines="50"/>
        <w:ind w:left="1134" w:leftChars="540"/>
        <w:rPr>
          <w:rFonts w:ascii="宋体" w:hAnsi="宋体" w:cs="黑体"/>
          <w:kern w:val="0"/>
          <w:sz w:val="24"/>
        </w:rPr>
      </w:pPr>
      <w:r>
        <w:rPr>
          <w:rFonts w:hint="eastAsia" w:ascii="宋体" w:hAnsi="宋体" w:cs="黑体"/>
          <w:kern w:val="0"/>
          <w:sz w:val="24"/>
        </w:rPr>
        <w:t>根据本章第</w:t>
      </w:r>
      <w:r>
        <w:fldChar w:fldCharType="begin"/>
      </w:r>
      <w:r>
        <w:instrText xml:space="preserve"> REF _Ref527652798 \r \h  \* MERGEFORMAT </w:instrText>
      </w:r>
      <w:r>
        <w:fldChar w:fldCharType="separate"/>
      </w:r>
      <w:r>
        <w:rPr>
          <w:rFonts w:ascii="宋体" w:hAnsi="宋体" w:cs="黑体"/>
          <w:kern w:val="0"/>
          <w:sz w:val="24"/>
        </w:rPr>
        <w:t>2.2</w:t>
      </w:r>
      <w:r>
        <w:rPr>
          <w:rFonts w:ascii="宋体" w:hAnsi="宋体" w:cs="黑体"/>
          <w:kern w:val="0"/>
          <w:sz w:val="24"/>
        </w:rPr>
        <w:fldChar w:fldCharType="end"/>
      </w:r>
      <w:r>
        <w:rPr>
          <w:rFonts w:hint="eastAsia" w:ascii="宋体" w:hAnsi="宋体" w:cs="黑体"/>
          <w:kern w:val="0"/>
          <w:sz w:val="24"/>
        </w:rPr>
        <w:t>款对谈判文件所作的澄清、修改，构成谈判文件的组成部分。</w:t>
      </w:r>
    </w:p>
    <w:p>
      <w:pPr>
        <w:numPr>
          <w:ilvl w:val="1"/>
          <w:numId w:val="5"/>
        </w:numPr>
        <w:autoSpaceDE w:val="0"/>
        <w:autoSpaceDN w:val="0"/>
        <w:adjustRightInd w:val="0"/>
        <w:snapToGrid w:val="0"/>
        <w:spacing w:afterLines="50"/>
        <w:ind w:left="1134" w:hanging="1134"/>
        <w:rPr>
          <w:rFonts w:ascii="宋体" w:hAnsi="宋体" w:cs="黑体"/>
          <w:kern w:val="0"/>
          <w:sz w:val="24"/>
        </w:rPr>
      </w:pPr>
      <w:bookmarkStart w:id="31" w:name="_Ref426441946"/>
      <w:bookmarkStart w:id="32" w:name="_Toc195921809"/>
      <w:r>
        <w:rPr>
          <w:rFonts w:hint="eastAsia" w:ascii="宋体" w:hAnsi="宋体" w:cs="黑体"/>
          <w:kern w:val="0"/>
          <w:sz w:val="24"/>
        </w:rPr>
        <w:t>谈判文件的澄清</w:t>
      </w:r>
      <w:bookmarkEnd w:id="31"/>
      <w:bookmarkEnd w:id="32"/>
      <w:r>
        <w:rPr>
          <w:rFonts w:hint="eastAsia" w:ascii="宋体" w:hAnsi="宋体" w:cs="黑体"/>
          <w:kern w:val="0"/>
          <w:sz w:val="24"/>
        </w:rPr>
        <w:t>或修改</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供应商应仔细阅读和检查谈判文件的全部内容。如发现缺页或附件不全，应及时向采购人提出，以便补齐。</w:t>
      </w:r>
    </w:p>
    <w:p>
      <w:pPr>
        <w:numPr>
          <w:ilvl w:val="2"/>
          <w:numId w:val="5"/>
        </w:numPr>
        <w:tabs>
          <w:tab w:val="left" w:pos="1260"/>
        </w:tabs>
        <w:autoSpaceDE w:val="0"/>
        <w:autoSpaceDN w:val="0"/>
        <w:adjustRightInd w:val="0"/>
        <w:snapToGrid w:val="0"/>
        <w:spacing w:afterLines="50"/>
        <w:ind w:left="1134" w:hanging="1134"/>
        <w:rPr>
          <w:rFonts w:ascii="宋体" w:hAnsi="宋体"/>
          <w:sz w:val="24"/>
        </w:rPr>
      </w:pPr>
      <w:bookmarkStart w:id="33" w:name="_Ref527101604"/>
      <w:r>
        <w:rPr>
          <w:rFonts w:hint="eastAsia" w:ascii="宋体" w:hAnsi="宋体"/>
          <w:sz w:val="24"/>
        </w:rPr>
        <w:t>供应商</w:t>
      </w:r>
      <w:r>
        <w:rPr>
          <w:rFonts w:hint="eastAsia" w:ascii="宋体" w:hAnsi="宋体" w:cs="黑体"/>
          <w:kern w:val="0"/>
          <w:sz w:val="24"/>
        </w:rPr>
        <w:t>如有疑问</w:t>
      </w:r>
      <w:r>
        <w:rPr>
          <w:rFonts w:cs="宋体" w:asciiTheme="minorEastAsia" w:hAnsiTheme="minorEastAsia" w:eastAsiaTheme="minorEastAsia"/>
          <w:sz w:val="24"/>
        </w:rPr>
        <w:t>可以在供应商须知前附表规定的时间内向采购人提出询问</w:t>
      </w:r>
      <w:r>
        <w:rPr>
          <w:rFonts w:hint="eastAsia" w:ascii="宋体" w:hAnsi="宋体" w:cs="黑体"/>
          <w:kern w:val="0"/>
          <w:sz w:val="24"/>
        </w:rPr>
        <w:t>，要求采购人对谈判文件予以澄清。</w:t>
      </w:r>
      <w:bookmarkEnd w:id="33"/>
    </w:p>
    <w:p>
      <w:pPr>
        <w:numPr>
          <w:ilvl w:val="2"/>
          <w:numId w:val="5"/>
        </w:numPr>
        <w:tabs>
          <w:tab w:val="left" w:pos="1260"/>
        </w:tabs>
        <w:autoSpaceDE w:val="0"/>
        <w:autoSpaceDN w:val="0"/>
        <w:adjustRightInd w:val="0"/>
        <w:snapToGrid w:val="0"/>
        <w:spacing w:afterLines="50"/>
        <w:ind w:left="1134" w:hanging="1134"/>
        <w:rPr>
          <w:rFonts w:hAnsi="宋体" w:cs="宋体"/>
          <w:sz w:val="24"/>
        </w:rPr>
      </w:pPr>
      <w:r>
        <w:rPr>
          <w:rFonts w:hint="eastAsia" w:hAnsi="宋体" w:cs="宋体"/>
          <w:sz w:val="24"/>
        </w:rPr>
        <w:t>提交首次响应文件截止之日前，采购人、采购代理机构或者谈判小组可以对已发出的谈判文件进行必要的澄清或者修改，澄清或者修改的内容作为谈判文件</w:t>
      </w:r>
      <w:r>
        <w:rPr>
          <w:rFonts w:hint="eastAsia" w:cs="宋体" w:asciiTheme="minorEastAsia" w:hAnsiTheme="minorEastAsia" w:eastAsiaTheme="minorEastAsia"/>
          <w:sz w:val="24"/>
        </w:rPr>
        <w:t>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pPr>
        <w:autoSpaceDE w:val="0"/>
        <w:autoSpaceDN w:val="0"/>
        <w:adjustRightInd w:val="0"/>
        <w:snapToGrid w:val="0"/>
        <w:spacing w:afterLines="50"/>
        <w:ind w:left="1134" w:leftChars="540"/>
        <w:rPr>
          <w:rFonts w:hAnsi="宋体" w:cs="宋体"/>
          <w:sz w:val="24"/>
        </w:rPr>
      </w:pPr>
      <w:r>
        <w:rPr>
          <w:rFonts w:hint="eastAsia" w:ascii="宋体" w:hAnsi="宋体" w:cs="黑体"/>
          <w:kern w:val="0"/>
          <w:sz w:val="24"/>
        </w:rPr>
        <w:t>通过发布公告邀请供应商参加谈判的，澄清修改和更正内容将在谈判公告发布媒体上予以公告。</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供应商应在收到澄清或修改文件后</w:t>
      </w:r>
      <w:r>
        <w:rPr>
          <w:rFonts w:hint="eastAsia" w:ascii="宋体" w:hAnsi="宋体" w:cs="宋体"/>
          <w:sz w:val="24"/>
        </w:rPr>
        <w:t>24小时内或根据澄清通知中要求的时间内</w:t>
      </w:r>
      <w:r>
        <w:rPr>
          <w:rFonts w:hint="eastAsia" w:ascii="宋体" w:hAnsi="宋体" w:cs="黑体"/>
          <w:kern w:val="0"/>
          <w:sz w:val="24"/>
        </w:rPr>
        <w:t>，将加盖公章的回执书面形式通知采购人</w:t>
      </w:r>
      <w:r>
        <w:rPr>
          <w:rFonts w:hAnsi="宋体" w:cs="宋体"/>
          <w:sz w:val="24"/>
        </w:rPr>
        <w:t>、采购代理机构或谈判小组</w:t>
      </w:r>
      <w:r>
        <w:rPr>
          <w:rFonts w:hint="eastAsia" w:ascii="宋体" w:hAnsi="宋体" w:cs="黑体"/>
          <w:kern w:val="0"/>
          <w:sz w:val="24"/>
        </w:rPr>
        <w:t>，确认已收到该澄清。否则，视为同意和接受该澄清或者修改内容。</w:t>
      </w:r>
    </w:p>
    <w:p>
      <w:pPr>
        <w:numPr>
          <w:ilvl w:val="1"/>
          <w:numId w:val="5"/>
        </w:numPr>
        <w:autoSpaceDE w:val="0"/>
        <w:autoSpaceDN w:val="0"/>
        <w:adjustRightInd w:val="0"/>
        <w:snapToGrid w:val="0"/>
        <w:spacing w:afterLines="50"/>
        <w:ind w:left="1134" w:hanging="1134"/>
        <w:rPr>
          <w:rFonts w:ascii="宋体" w:hAnsi="宋体" w:cs="黑体"/>
          <w:kern w:val="0"/>
          <w:sz w:val="24"/>
        </w:rPr>
      </w:pPr>
      <w:bookmarkStart w:id="34" w:name="_Ref527101721"/>
      <w:r>
        <w:rPr>
          <w:rFonts w:cs="宋体" w:asciiTheme="minorEastAsia" w:hAnsiTheme="minorEastAsia" w:eastAsiaTheme="minorEastAsia"/>
          <w:sz w:val="24"/>
        </w:rPr>
        <w:t>供应商对谈判文件提出质疑的，</w:t>
      </w:r>
      <w:r>
        <w:rPr>
          <w:rFonts w:hint="eastAsia" w:asciiTheme="minorEastAsia" w:hAnsiTheme="minorEastAsia"/>
          <w:sz w:val="24"/>
        </w:rPr>
        <w:t>应当在获取谈判文件或者谈判文件公告期限届满之日起7个工作日内</w:t>
      </w:r>
      <w:r>
        <w:rPr>
          <w:rFonts w:hint="eastAsia" w:ascii="宋体" w:hAnsi="宋体"/>
          <w:sz w:val="24"/>
        </w:rPr>
        <w:t>，按供应商须知前附表中质疑函送达的方式以书面形式一次性提出质疑</w:t>
      </w:r>
      <w:r>
        <w:rPr>
          <w:rFonts w:cs="宋体" w:asciiTheme="minorEastAsia" w:hAnsiTheme="minorEastAsia" w:eastAsiaTheme="minorEastAsia"/>
          <w:sz w:val="24"/>
        </w:rPr>
        <w:t>。供应商</w:t>
      </w:r>
      <w:r>
        <w:rPr>
          <w:rFonts w:hint="eastAsia" w:asciiTheme="minorEastAsia" w:hAnsiTheme="minorEastAsia"/>
          <w:sz w:val="24"/>
        </w:rPr>
        <w:t>提出质疑应当提交质疑函和必要的证明材料，质疑函的内容应符合政府采购质疑和投诉办法的规定。</w:t>
      </w:r>
      <w:bookmarkEnd w:id="34"/>
    </w:p>
    <w:p>
      <w:pPr>
        <w:numPr>
          <w:ilvl w:val="0"/>
          <w:numId w:val="5"/>
        </w:numPr>
        <w:autoSpaceDE w:val="0"/>
        <w:autoSpaceDN w:val="0"/>
        <w:adjustRightInd w:val="0"/>
        <w:spacing w:afterLines="50"/>
        <w:ind w:left="1134" w:hanging="1134"/>
        <w:outlineLvl w:val="2"/>
        <w:rPr>
          <w:rFonts w:ascii="黑体" w:hAnsi="宋体" w:eastAsia="黑体" w:cs="黑体"/>
          <w:kern w:val="0"/>
          <w:sz w:val="24"/>
        </w:rPr>
      </w:pPr>
      <w:bookmarkStart w:id="35" w:name="_Toc3750"/>
      <w:bookmarkStart w:id="36" w:name="_Toc3878"/>
      <w:r>
        <w:rPr>
          <w:rFonts w:hint="eastAsia" w:ascii="黑体" w:hAnsi="宋体" w:eastAsia="黑体" w:cs="黑体"/>
          <w:kern w:val="0"/>
          <w:sz w:val="24"/>
        </w:rPr>
        <w:t>响应文件编制</w:t>
      </w:r>
      <w:bookmarkEnd w:id="35"/>
      <w:bookmarkEnd w:id="36"/>
    </w:p>
    <w:p>
      <w:pPr>
        <w:numPr>
          <w:ilvl w:val="1"/>
          <w:numId w:val="5"/>
        </w:numPr>
        <w:autoSpaceDE w:val="0"/>
        <w:autoSpaceDN w:val="0"/>
        <w:adjustRightInd w:val="0"/>
        <w:snapToGrid w:val="0"/>
        <w:spacing w:afterLines="50"/>
        <w:ind w:left="1134" w:hanging="1134"/>
        <w:rPr>
          <w:rFonts w:ascii="宋体" w:hAnsi="宋体" w:cs="黑体"/>
          <w:kern w:val="0"/>
          <w:sz w:val="24"/>
        </w:rPr>
      </w:pPr>
      <w:bookmarkStart w:id="37" w:name="_Toc195921812"/>
      <w:r>
        <w:rPr>
          <w:rFonts w:hint="eastAsia" w:ascii="宋体" w:hAnsi="宋体" w:cs="黑体"/>
          <w:kern w:val="0"/>
          <w:sz w:val="24"/>
        </w:rPr>
        <w:t>响应文件的组成</w:t>
      </w:r>
      <w:bookmarkEnd w:id="37"/>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响应文件应包括下列内容：</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hint="eastAsia" w:ascii="宋体" w:hAnsi="宋体" w:cs="黑体"/>
          <w:kern w:val="0"/>
          <w:sz w:val="24"/>
        </w:rPr>
        <w:t>首次报价函及其附录；</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hint="eastAsia" w:ascii="宋体" w:hAnsi="宋体" w:cs="黑体"/>
          <w:kern w:val="0"/>
          <w:sz w:val="24"/>
        </w:rPr>
        <w:t>法定代表人身份证明；</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hint="eastAsia" w:ascii="宋体" w:hAnsi="宋体" w:cs="黑体"/>
          <w:kern w:val="0"/>
          <w:sz w:val="24"/>
        </w:rPr>
        <w:t>授权委托书；</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hint="eastAsia" w:ascii="宋体" w:hAnsi="宋体" w:cs="黑体"/>
          <w:kern w:val="0"/>
          <w:sz w:val="24"/>
        </w:rPr>
        <w:t>谈判保证金；</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hint="eastAsia" w:ascii="宋体" w:hAnsi="宋体" w:cs="黑体"/>
          <w:kern w:val="0"/>
          <w:sz w:val="24"/>
        </w:rPr>
        <w:t>已标价工程量清单；</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hint="eastAsia" w:ascii="宋体" w:hAnsi="宋体" w:cs="黑体"/>
          <w:kern w:val="0"/>
          <w:sz w:val="24"/>
        </w:rPr>
        <w:t>商务、合同条款偏差表；</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hint="eastAsia" w:ascii="宋体" w:hAnsi="宋体" w:cs="黑体"/>
          <w:kern w:val="0"/>
          <w:sz w:val="24"/>
        </w:rPr>
        <w:t>资格证明文件（详见响应文件格式要求）；</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hint="eastAsia" w:ascii="宋体" w:hAnsi="宋体" w:cs="黑体"/>
          <w:kern w:val="0"/>
          <w:sz w:val="24"/>
        </w:rPr>
        <w:t>小微企业、监狱企业、残疾人福利单位的声明函或证明材料（如有）</w:t>
      </w:r>
      <w:r>
        <w:rPr>
          <w:rFonts w:ascii="宋体" w:hAnsi="宋体" w:cs="黑体"/>
          <w:kern w:val="0"/>
          <w:sz w:val="24"/>
        </w:rPr>
        <w:t>；</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hint="eastAsia" w:ascii="宋体" w:hAnsi="宋体" w:cs="黑体"/>
          <w:kern w:val="0"/>
          <w:sz w:val="24"/>
        </w:rPr>
        <w:t>供应商承诺书；</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hint="eastAsia" w:ascii="宋体" w:hAnsi="宋体" w:cs="黑体"/>
          <w:kern w:val="0"/>
          <w:sz w:val="24"/>
        </w:rPr>
        <w:t>施工组织设计；</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hint="eastAsia" w:ascii="宋体" w:hAnsi="宋体" w:cs="黑体"/>
          <w:kern w:val="0"/>
          <w:sz w:val="24"/>
        </w:rPr>
        <w:t>项目管理机构人员；</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hint="eastAsia" w:ascii="宋体" w:hAnsi="宋体" w:cs="黑体"/>
          <w:kern w:val="0"/>
          <w:sz w:val="24"/>
        </w:rPr>
        <w:t>供应商其他承诺（如有）；</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ascii="宋体" w:hAnsi="宋体" w:cs="黑体"/>
          <w:kern w:val="0"/>
          <w:sz w:val="24"/>
        </w:rPr>
        <w:t>最后报价函（谈判结束后，根据谈判小组要求提交）；</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hint="eastAsia" w:ascii="宋体" w:hAnsi="宋体" w:cs="黑体"/>
          <w:kern w:val="0"/>
          <w:sz w:val="24"/>
        </w:rPr>
        <w:t>谈判文件要求的其他内容以及供应商认为必要的其他内容。</w:t>
      </w:r>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bookmarkStart w:id="38" w:name="_Toc195921813"/>
      <w:r>
        <w:rPr>
          <w:rFonts w:hint="eastAsia" w:ascii="宋体" w:hAnsi="宋体" w:cs="黑体"/>
          <w:kern w:val="0"/>
          <w:sz w:val="24"/>
        </w:rPr>
        <w:t>首次报价</w:t>
      </w:r>
      <w:bookmarkEnd w:id="38"/>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bookmarkStart w:id="39" w:name="_Toc195921814"/>
      <w:r>
        <w:rPr>
          <w:rFonts w:hint="eastAsia" w:ascii="宋体" w:hAnsi="宋体" w:cs="黑体"/>
          <w:kern w:val="0"/>
          <w:sz w:val="24"/>
        </w:rPr>
        <w:t>供应商应按谈判文件第七章提供的格式进行首次报价。</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所有根据合同或其它原因应由供应商支付的税款和其它应交纳的费用都应包括在供应商提交的报价中。</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ascii="宋体" w:hAnsi="宋体" w:cs="黑体"/>
          <w:kern w:val="0"/>
          <w:sz w:val="24"/>
        </w:rPr>
        <w:t>供应商应仔细阅读所有谈判文件，填报自己认为正确的报价。</w:t>
      </w:r>
    </w:p>
    <w:p>
      <w:pPr>
        <w:numPr>
          <w:ilvl w:val="1"/>
          <w:numId w:val="5"/>
        </w:numPr>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供应商对采购内容只允许有一个报价，采购人不接受任何有选择的报价。</w:t>
      </w:r>
    </w:p>
    <w:p>
      <w:pPr>
        <w:numPr>
          <w:ilvl w:val="1"/>
          <w:numId w:val="5"/>
        </w:numPr>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报价不得有选择性报价和附有条件的报价，且不得高于预算价或最高限价，否则其报价无效。</w:t>
      </w:r>
    </w:p>
    <w:p>
      <w:pPr>
        <w:numPr>
          <w:ilvl w:val="1"/>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本项目为总价合同，除非合同另有约定，供应商所报的最后价格在合同执行过程中是固定不变的，不得以任何理由予以变更。任何包含价格调整要求的响应文件，将被认为是非实质响应性而予以拒绝。</w:t>
      </w:r>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bookmarkStart w:id="40" w:name="_Ref421009326"/>
      <w:r>
        <w:rPr>
          <w:rFonts w:hint="eastAsia" w:ascii="宋体" w:hAnsi="宋体" w:cs="黑体"/>
          <w:kern w:val="0"/>
          <w:sz w:val="24"/>
        </w:rPr>
        <w:t>响应文件有效期</w:t>
      </w:r>
      <w:bookmarkEnd w:id="39"/>
      <w:bookmarkEnd w:id="40"/>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bookmarkStart w:id="41" w:name="_Ref527102185"/>
      <w:r>
        <w:rPr>
          <w:rFonts w:hint="eastAsia" w:asciiTheme="minorEastAsia" w:hAnsiTheme="minorEastAsia"/>
          <w:sz w:val="24"/>
        </w:rPr>
        <w:t>本项目</w:t>
      </w:r>
      <w:r>
        <w:rPr>
          <w:rFonts w:hint="eastAsia" w:ascii="宋体" w:hAnsi="宋体" w:cs="黑体"/>
          <w:kern w:val="0"/>
          <w:sz w:val="24"/>
        </w:rPr>
        <w:t>响应文件</w:t>
      </w:r>
      <w:r>
        <w:rPr>
          <w:rFonts w:hint="eastAsia" w:asciiTheme="minorEastAsia" w:hAnsiTheme="minorEastAsia"/>
          <w:sz w:val="24"/>
        </w:rPr>
        <w:t>有效期见供应商须知前附表。</w:t>
      </w:r>
      <w:r>
        <w:rPr>
          <w:rFonts w:hint="eastAsia" w:ascii="宋体" w:hAnsi="宋体" w:cs="黑体"/>
          <w:kern w:val="0"/>
          <w:sz w:val="24"/>
        </w:rPr>
        <w:t>响应文件</w:t>
      </w:r>
      <w:r>
        <w:rPr>
          <w:rFonts w:hint="eastAsia" w:asciiTheme="minorEastAsia" w:hAnsiTheme="minorEastAsia"/>
          <w:sz w:val="24"/>
        </w:rPr>
        <w:t>有效期从提交响应文件的截止之日起算。响应文件中承诺的有效期应当不少于谈判文件中载明的有效期。</w:t>
      </w:r>
      <w:bookmarkEnd w:id="41"/>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在供应商须知前附表规定的响应文件有效期内，供应商不得要求撤销或修改其响应文件。</w:t>
      </w:r>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bookmarkStart w:id="42" w:name="_Toc195921815"/>
      <w:r>
        <w:rPr>
          <w:rFonts w:hint="eastAsia" w:ascii="宋体" w:hAnsi="宋体" w:cs="黑体"/>
          <w:kern w:val="0"/>
          <w:sz w:val="24"/>
        </w:rPr>
        <w:t>谈判保证金</w:t>
      </w:r>
      <w:bookmarkEnd w:id="42"/>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bookmarkStart w:id="43" w:name="_Ref419361076"/>
      <w:r>
        <w:rPr>
          <w:rFonts w:hint="eastAsia" w:ascii="宋体" w:hAnsi="宋体" w:cs="黑体"/>
          <w:kern w:val="0"/>
          <w:sz w:val="24"/>
        </w:rPr>
        <w:t>供应商应按供应商须知前附表规定的金额、形式递交谈判保证金，并作为其响应文件的组成部分。以联合体形式递交响应文件的，可以由联合体中的一方或者共同提交谈判保证金，以一方名义提交谈判保证金的，对联合体各方均具有约束力。</w:t>
      </w:r>
      <w:bookmarkEnd w:id="43"/>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供应商不按本章第</w:t>
      </w:r>
      <w:r>
        <w:fldChar w:fldCharType="begin"/>
      </w:r>
      <w:r>
        <w:instrText xml:space="preserve"> REF _Ref419361076 \r \h  \* MERGEFORMAT </w:instrText>
      </w:r>
      <w:r>
        <w:fldChar w:fldCharType="separate"/>
      </w:r>
      <w:r>
        <w:rPr>
          <w:rFonts w:ascii="宋体" w:hAnsi="宋体" w:cs="黑体"/>
          <w:kern w:val="0"/>
          <w:sz w:val="24"/>
        </w:rPr>
        <w:t>3.</w:t>
      </w:r>
      <w:r>
        <w:rPr>
          <w:rFonts w:hint="eastAsia" w:ascii="宋体" w:hAnsi="宋体" w:cs="黑体"/>
          <w:kern w:val="0"/>
          <w:sz w:val="24"/>
        </w:rPr>
        <w:t>7</w:t>
      </w:r>
      <w:r>
        <w:rPr>
          <w:rFonts w:ascii="宋体" w:hAnsi="宋体" w:cs="黑体"/>
          <w:kern w:val="0"/>
          <w:sz w:val="24"/>
        </w:rPr>
        <w:t>.1</w:t>
      </w:r>
      <w:r>
        <w:rPr>
          <w:rFonts w:ascii="宋体" w:hAnsi="宋体" w:cs="黑体"/>
          <w:kern w:val="0"/>
          <w:sz w:val="24"/>
        </w:rPr>
        <w:fldChar w:fldCharType="end"/>
      </w:r>
      <w:r>
        <w:rPr>
          <w:rFonts w:hint="eastAsia" w:ascii="宋体" w:hAnsi="宋体" w:cs="黑体"/>
          <w:kern w:val="0"/>
          <w:sz w:val="24"/>
        </w:rPr>
        <w:t>项要求提交谈判保证金的，其响应文件无效。</w:t>
      </w:r>
    </w:p>
    <w:p>
      <w:pPr>
        <w:numPr>
          <w:ilvl w:val="2"/>
          <w:numId w:val="5"/>
        </w:numPr>
        <w:tabs>
          <w:tab w:val="left" w:pos="1260"/>
        </w:tabs>
        <w:autoSpaceDE w:val="0"/>
        <w:autoSpaceDN w:val="0"/>
        <w:adjustRightInd w:val="0"/>
        <w:snapToGrid w:val="0"/>
        <w:spacing w:afterLines="50"/>
        <w:ind w:left="1134" w:hanging="1134"/>
        <w:rPr>
          <w:rFonts w:ascii="宋体" w:hAnsi="宋体"/>
          <w:sz w:val="24"/>
        </w:rPr>
      </w:pPr>
      <w:bookmarkStart w:id="44" w:name="_Ref419361088"/>
      <w:r>
        <w:rPr>
          <w:rFonts w:hint="eastAsia" w:ascii="宋体" w:hAnsi="宋体"/>
          <w:sz w:val="24"/>
        </w:rPr>
        <w:t>供应商在首次响应文件递交截止时间3日前，按谈判文件的要求向采购代理机构递交谈判保证金，递交首次响应文件截止时间之后递交的谈判保证金将被拒绝。</w:t>
      </w:r>
      <w:bookmarkEnd w:id="44"/>
    </w:p>
    <w:p>
      <w:pPr>
        <w:numPr>
          <w:ilvl w:val="2"/>
          <w:numId w:val="5"/>
        </w:numPr>
        <w:tabs>
          <w:tab w:val="left" w:pos="1260"/>
        </w:tabs>
        <w:autoSpaceDE w:val="0"/>
        <w:autoSpaceDN w:val="0"/>
        <w:adjustRightInd w:val="0"/>
        <w:snapToGrid w:val="0"/>
        <w:spacing w:afterLines="50"/>
        <w:ind w:left="1134" w:hanging="1134"/>
        <w:rPr>
          <w:rFonts w:ascii="宋体" w:hAnsi="宋体"/>
          <w:sz w:val="24"/>
        </w:rPr>
      </w:pPr>
      <w:r>
        <w:rPr>
          <w:rFonts w:hint="eastAsia" w:ascii="宋体" w:hAnsi="宋体"/>
          <w:sz w:val="24"/>
        </w:rPr>
        <w:t>供应商在汇款时务必注明所参与谈判项目的编号及用途，否则，因款项用途不明导致响应文件无效等后果由供应商自行承担。</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采购人或者采购代理机构应当自成交通知书发出之日起5个工作日内退还非成交供应商的谈判保证金，自政府采购合同签订之日起5个工作日内退还成交供应商的谈判保证金</w:t>
      </w:r>
      <w:r>
        <w:rPr>
          <w:rFonts w:hint="eastAsia" w:asciiTheme="minorEastAsia" w:hAnsiTheme="minorEastAsia"/>
          <w:sz w:val="24"/>
        </w:rPr>
        <w:t>或者转为成交供应商的履约保证金</w:t>
      </w:r>
      <w:r>
        <w:rPr>
          <w:rFonts w:hint="eastAsia" w:ascii="宋体" w:hAnsi="宋体" w:cs="黑体"/>
          <w:kern w:val="0"/>
          <w:sz w:val="24"/>
        </w:rPr>
        <w:t>。</w:t>
      </w:r>
    </w:p>
    <w:p>
      <w:pPr>
        <w:numPr>
          <w:ilvl w:val="255"/>
          <w:numId w:val="0"/>
        </w:numPr>
        <w:autoSpaceDE w:val="0"/>
        <w:autoSpaceDN w:val="0"/>
        <w:adjustRightInd w:val="0"/>
        <w:snapToGrid w:val="0"/>
        <w:spacing w:afterLines="50"/>
        <w:ind w:left="1134" w:leftChars="540"/>
        <w:rPr>
          <w:rFonts w:ascii="宋体" w:hAnsi="宋体" w:cs="黑体"/>
          <w:kern w:val="0"/>
          <w:sz w:val="24"/>
        </w:rPr>
      </w:pPr>
      <w:r>
        <w:rPr>
          <w:rFonts w:hint="eastAsia" w:ascii="宋体" w:hAnsi="宋体" w:cs="黑体"/>
          <w:kern w:val="0"/>
          <w:sz w:val="24"/>
        </w:rPr>
        <w:t>采购人或者采购代理机构逾期退还谈判保证金的，除退还谈判保证金本金外，还应当按中国人民银行同期贷款基准利率上浮20％后的利率支付超期资金占用费，但因供应商自身原因导致无法及时退还的除外。</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hAnsi="宋体" w:cs="宋体"/>
          <w:sz w:val="24"/>
        </w:rPr>
        <w:t>供应商有下列行为之一者，其谈判保证金可不予退还：</w:t>
      </w:r>
    </w:p>
    <w:p>
      <w:pPr>
        <w:tabs>
          <w:tab w:val="left" w:pos="1843"/>
        </w:tabs>
        <w:autoSpaceDE w:val="0"/>
        <w:autoSpaceDN w:val="0"/>
        <w:adjustRightInd w:val="0"/>
        <w:snapToGrid w:val="0"/>
        <w:spacing w:afterLines="50"/>
        <w:ind w:left="1734" w:leftChars="540" w:hanging="600" w:hangingChars="250"/>
        <w:rPr>
          <w:rFonts w:ascii="宋体" w:hAnsi="宋体" w:cs="黑体"/>
          <w:kern w:val="0"/>
          <w:sz w:val="24"/>
        </w:rPr>
      </w:pPr>
      <w:r>
        <w:rPr>
          <w:rFonts w:hint="eastAsia" w:ascii="宋体" w:hAnsi="宋体" w:cs="黑体"/>
          <w:kern w:val="0"/>
          <w:sz w:val="24"/>
        </w:rPr>
        <w:t>（1）供应商在响应文件有效期内撤回响应文件的；</w:t>
      </w:r>
    </w:p>
    <w:p>
      <w:pPr>
        <w:tabs>
          <w:tab w:val="left" w:pos="1843"/>
        </w:tabs>
        <w:autoSpaceDE w:val="0"/>
        <w:autoSpaceDN w:val="0"/>
        <w:adjustRightInd w:val="0"/>
        <w:snapToGrid w:val="0"/>
        <w:spacing w:afterLines="50"/>
        <w:ind w:left="1734" w:leftChars="540" w:hanging="600" w:hangingChars="250"/>
        <w:rPr>
          <w:rFonts w:ascii="宋体" w:hAnsi="宋体" w:cs="黑体"/>
          <w:kern w:val="0"/>
          <w:sz w:val="24"/>
        </w:rPr>
      </w:pPr>
      <w:r>
        <w:rPr>
          <w:rFonts w:hint="eastAsia" w:ascii="宋体" w:hAnsi="宋体" w:cs="黑体"/>
          <w:kern w:val="0"/>
          <w:sz w:val="24"/>
        </w:rPr>
        <w:t>（2）供应商在响应文件中提供虚假材料的；</w:t>
      </w:r>
    </w:p>
    <w:p>
      <w:pPr>
        <w:tabs>
          <w:tab w:val="left" w:pos="1843"/>
        </w:tabs>
        <w:autoSpaceDE w:val="0"/>
        <w:autoSpaceDN w:val="0"/>
        <w:adjustRightInd w:val="0"/>
        <w:snapToGrid w:val="0"/>
        <w:spacing w:afterLines="50"/>
        <w:ind w:left="1734" w:leftChars="540" w:hanging="600" w:hangingChars="250"/>
        <w:rPr>
          <w:rFonts w:ascii="宋体" w:hAnsi="宋体" w:cs="黑体"/>
          <w:kern w:val="0"/>
          <w:sz w:val="24"/>
        </w:rPr>
      </w:pPr>
      <w:r>
        <w:rPr>
          <w:rFonts w:hint="eastAsia" w:ascii="宋体" w:hAnsi="宋体" w:cs="黑体"/>
          <w:kern w:val="0"/>
          <w:sz w:val="24"/>
        </w:rPr>
        <w:t>（3）除因不可抗力或谈判文件认可的情形以外，成交供应商不与采购人签订合同的；</w:t>
      </w:r>
    </w:p>
    <w:p>
      <w:pPr>
        <w:tabs>
          <w:tab w:val="left" w:pos="1843"/>
        </w:tabs>
        <w:autoSpaceDE w:val="0"/>
        <w:autoSpaceDN w:val="0"/>
        <w:adjustRightInd w:val="0"/>
        <w:snapToGrid w:val="0"/>
        <w:spacing w:afterLines="50"/>
        <w:ind w:left="1734" w:leftChars="540" w:hanging="600" w:hangingChars="250"/>
        <w:rPr>
          <w:rFonts w:ascii="宋体" w:hAnsi="宋体" w:cs="黑体"/>
          <w:kern w:val="0"/>
          <w:sz w:val="24"/>
        </w:rPr>
      </w:pPr>
      <w:r>
        <w:rPr>
          <w:rFonts w:hint="eastAsia" w:ascii="宋体" w:hAnsi="宋体" w:cs="黑体"/>
          <w:kern w:val="0"/>
          <w:sz w:val="24"/>
        </w:rPr>
        <w:t>（4）供应商与采购人、其他供应商或者采购代理机构恶意串通的；</w:t>
      </w:r>
    </w:p>
    <w:p>
      <w:pPr>
        <w:tabs>
          <w:tab w:val="left" w:pos="1843"/>
        </w:tabs>
        <w:autoSpaceDE w:val="0"/>
        <w:autoSpaceDN w:val="0"/>
        <w:adjustRightInd w:val="0"/>
        <w:snapToGrid w:val="0"/>
        <w:spacing w:afterLines="50"/>
        <w:ind w:left="1734" w:leftChars="540" w:hanging="600" w:hangingChars="250"/>
        <w:rPr>
          <w:rFonts w:ascii="宋体" w:hAnsi="宋体" w:cs="黑体"/>
          <w:kern w:val="0"/>
          <w:sz w:val="24"/>
        </w:rPr>
      </w:pPr>
      <w:r>
        <w:rPr>
          <w:rFonts w:hint="eastAsia" w:ascii="宋体" w:hAnsi="宋体" w:cs="黑体"/>
          <w:kern w:val="0"/>
          <w:sz w:val="24"/>
        </w:rPr>
        <w:t>（5）谈判文件规定应由成交供应商缴纳代理服务费而成交供应商未缴纳的；</w:t>
      </w:r>
    </w:p>
    <w:p>
      <w:pPr>
        <w:tabs>
          <w:tab w:val="left" w:pos="1843"/>
        </w:tabs>
        <w:autoSpaceDE w:val="0"/>
        <w:autoSpaceDN w:val="0"/>
        <w:adjustRightInd w:val="0"/>
        <w:snapToGrid w:val="0"/>
        <w:spacing w:afterLines="50"/>
        <w:ind w:left="1734" w:leftChars="540" w:hanging="600" w:hangingChars="250"/>
        <w:rPr>
          <w:rFonts w:ascii="宋体" w:hAnsi="宋体" w:cs="黑体"/>
          <w:kern w:val="0"/>
          <w:sz w:val="24"/>
        </w:rPr>
      </w:pPr>
      <w:r>
        <w:rPr>
          <w:rFonts w:hint="eastAsia" w:ascii="宋体" w:hAnsi="宋体" w:cs="黑体"/>
          <w:kern w:val="0"/>
          <w:sz w:val="24"/>
        </w:rPr>
        <w:t>（6）谈判文件规定的其他情形。</w:t>
      </w:r>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bookmarkStart w:id="45" w:name="_Toc195921818"/>
      <w:r>
        <w:rPr>
          <w:rFonts w:hint="eastAsia" w:ascii="宋体" w:hAnsi="宋体" w:cs="黑体"/>
          <w:kern w:val="0"/>
          <w:sz w:val="24"/>
        </w:rPr>
        <w:t>响应文件的编制</w:t>
      </w:r>
      <w:bookmarkEnd w:id="45"/>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响应文件应按第七章“响应文件格式”进行编写，如有必要，可以增加附页，作为响应文件的组成部分。供应商可以提出比谈判文件要求更有利于采购人的承诺。</w:t>
      </w:r>
    </w:p>
    <w:p>
      <w:pPr>
        <w:tabs>
          <w:tab w:val="left" w:pos="1260"/>
        </w:tabs>
        <w:autoSpaceDE w:val="0"/>
        <w:autoSpaceDN w:val="0"/>
        <w:adjustRightInd w:val="0"/>
        <w:snapToGrid w:val="0"/>
        <w:spacing w:afterLines="50"/>
        <w:ind w:left="1134"/>
        <w:rPr>
          <w:rFonts w:ascii="宋体" w:hAnsi="宋体" w:cs="黑体"/>
          <w:kern w:val="0"/>
          <w:sz w:val="24"/>
        </w:rPr>
      </w:pPr>
      <w:r>
        <w:rPr>
          <w:rFonts w:hint="eastAsia" w:ascii="宋体" w:hAnsi="宋体" w:cs="黑体"/>
          <w:kern w:val="0"/>
          <w:sz w:val="24"/>
        </w:rPr>
        <w:t>响应文件应当对谈判文件有关采购范围、工期、响应文件有效期及谈判文件要求实质性内容作出响应。</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bookmarkStart w:id="46" w:name="_Ref527102437"/>
      <w:r>
        <w:rPr>
          <w:rFonts w:hint="eastAsia" w:ascii="宋体" w:hAnsi="宋体" w:cs="黑体"/>
          <w:kern w:val="0"/>
          <w:sz w:val="24"/>
        </w:rPr>
        <w:t>响应文件正本需打印或用不褪色墨水书写，供应商的法定代表人或经授权的代表须根据谈判文件第七章的规定在响应文件中需要签字和（或）盖章的位置签字（或盖人名章）和（或）加盖单位公章。授权代表须持有书面的“法定代表人授权书”（格式附后），并将其附在响应文件中。</w:t>
      </w:r>
      <w:bookmarkEnd w:id="46"/>
    </w:p>
    <w:p>
      <w:pPr>
        <w:tabs>
          <w:tab w:val="left" w:pos="1260"/>
        </w:tabs>
        <w:autoSpaceDE w:val="0"/>
        <w:autoSpaceDN w:val="0"/>
        <w:adjustRightInd w:val="0"/>
        <w:snapToGrid w:val="0"/>
        <w:spacing w:afterLines="50"/>
        <w:ind w:left="1134" w:leftChars="540"/>
        <w:rPr>
          <w:rFonts w:ascii="宋体" w:hAnsi="宋体" w:cs="黑体"/>
          <w:kern w:val="0"/>
          <w:sz w:val="24"/>
        </w:rPr>
      </w:pPr>
      <w:r>
        <w:rPr>
          <w:rFonts w:hint="eastAsia" w:ascii="宋体" w:hAnsi="宋体" w:cs="黑体"/>
          <w:kern w:val="0"/>
          <w:sz w:val="24"/>
        </w:rPr>
        <w:t>首次响应文件递交截止时间前，如对首次响应文件进行了修改，包括在响应文件行间插字、涂改和增删，均应由供应商的法定代表人或经授权的代表在修改的每一页上签字。</w:t>
      </w:r>
    </w:p>
    <w:p>
      <w:pPr>
        <w:tabs>
          <w:tab w:val="left" w:pos="1260"/>
        </w:tabs>
        <w:autoSpaceDE w:val="0"/>
        <w:autoSpaceDN w:val="0"/>
        <w:adjustRightInd w:val="0"/>
        <w:snapToGrid w:val="0"/>
        <w:spacing w:afterLines="50"/>
        <w:ind w:left="1134" w:leftChars="540"/>
        <w:rPr>
          <w:rFonts w:ascii="宋体" w:hAnsi="宋体" w:cs="黑体"/>
          <w:kern w:val="0"/>
          <w:sz w:val="24"/>
        </w:rPr>
      </w:pPr>
      <w:r>
        <w:rPr>
          <w:rFonts w:hint="eastAsia" w:ascii="宋体" w:hAnsi="宋体" w:cs="黑体"/>
          <w:kern w:val="0"/>
          <w:sz w:val="24"/>
        </w:rPr>
        <w:t>响应文件的副本可采用正本的复印件。</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bookmarkStart w:id="47" w:name="_Ref527633691"/>
      <w:r>
        <w:rPr>
          <w:rFonts w:hint="eastAsia" w:ascii="宋体" w:hAnsi="宋体" w:cs="黑体"/>
          <w:kern w:val="0"/>
          <w:sz w:val="24"/>
        </w:rPr>
        <w:t>响应文件正本一份，副本及电子文档份数见供应商须知前附表。正本和副本的封面上应清楚地标记“正本”或“副本”的字样。当副本和正本不一致时，以正本为准。</w:t>
      </w:r>
      <w:bookmarkEnd w:id="47"/>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bookmarkStart w:id="48" w:name="_Ref527102466"/>
      <w:r>
        <w:rPr>
          <w:rFonts w:hint="eastAsia" w:ascii="宋体" w:hAnsi="宋体" w:cs="黑体"/>
          <w:kern w:val="0"/>
          <w:sz w:val="24"/>
        </w:rPr>
        <w:t>响应文件的正本与副本应分别装订成册，并编制目录，具体分册及装订要求见供应商须知前附表规定。</w:t>
      </w:r>
      <w:bookmarkEnd w:id="48"/>
    </w:p>
    <w:p>
      <w:pPr>
        <w:numPr>
          <w:ilvl w:val="0"/>
          <w:numId w:val="5"/>
        </w:numPr>
        <w:autoSpaceDE w:val="0"/>
        <w:autoSpaceDN w:val="0"/>
        <w:adjustRightInd w:val="0"/>
        <w:spacing w:afterLines="50"/>
        <w:ind w:left="1134" w:hanging="1134"/>
        <w:outlineLvl w:val="2"/>
        <w:rPr>
          <w:rFonts w:ascii="黑体" w:hAnsi="宋体" w:eastAsia="黑体" w:cs="黑体"/>
          <w:kern w:val="0"/>
          <w:sz w:val="24"/>
        </w:rPr>
      </w:pPr>
      <w:bookmarkStart w:id="49" w:name="_Toc195921819"/>
      <w:bookmarkStart w:id="50" w:name="_Toc28960"/>
      <w:bookmarkStart w:id="51" w:name="_Toc14645"/>
      <w:r>
        <w:rPr>
          <w:rFonts w:hint="eastAsia" w:ascii="黑体" w:hAnsi="宋体" w:eastAsia="黑体" w:cs="黑体"/>
          <w:kern w:val="0"/>
          <w:sz w:val="24"/>
        </w:rPr>
        <w:t>响应文件</w:t>
      </w:r>
      <w:bookmarkEnd w:id="49"/>
      <w:r>
        <w:rPr>
          <w:rFonts w:hint="eastAsia" w:ascii="黑体" w:hAnsi="宋体" w:eastAsia="黑体" w:cs="黑体"/>
          <w:kern w:val="0"/>
          <w:sz w:val="24"/>
        </w:rPr>
        <w:t>提交</w:t>
      </w:r>
      <w:bookmarkEnd w:id="50"/>
      <w:bookmarkEnd w:id="51"/>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bookmarkStart w:id="52" w:name="_Toc195921820"/>
      <w:r>
        <w:rPr>
          <w:rFonts w:hint="eastAsia" w:ascii="宋体" w:hAnsi="宋体" w:cs="黑体"/>
          <w:kern w:val="0"/>
          <w:sz w:val="24"/>
        </w:rPr>
        <w:t>响应文件的</w:t>
      </w:r>
      <w:bookmarkEnd w:id="52"/>
      <w:r>
        <w:rPr>
          <w:rFonts w:hint="eastAsia" w:ascii="宋体" w:hAnsi="宋体" w:cs="黑体"/>
          <w:kern w:val="0"/>
          <w:sz w:val="24"/>
        </w:rPr>
        <w:t>密封和标记</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bookmarkStart w:id="53" w:name="_Ref421008478"/>
      <w:r>
        <w:rPr>
          <w:rFonts w:hint="eastAsia" w:ascii="宋体" w:hAnsi="宋体" w:cs="黑体"/>
          <w:kern w:val="0"/>
          <w:sz w:val="24"/>
        </w:rPr>
        <w:t>供应商递交的响应文件，应按照标段分别加以密封。密封方式为在响应文件外包装封口处加盖公章或“密封章”。</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bookmarkStart w:id="54" w:name="_Ref527102501"/>
      <w:r>
        <w:rPr>
          <w:rFonts w:hint="eastAsia" w:ascii="宋体" w:hAnsi="宋体" w:cs="黑体"/>
          <w:kern w:val="0"/>
          <w:sz w:val="24"/>
        </w:rPr>
        <w:t>响应文件的封套上应标识的其他内容见供应商须知前附表。</w:t>
      </w:r>
      <w:bookmarkEnd w:id="53"/>
      <w:bookmarkEnd w:id="54"/>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未按本章第</w:t>
      </w:r>
      <w:r>
        <w:fldChar w:fldCharType="begin"/>
      </w:r>
      <w:r>
        <w:instrText xml:space="preserve"> REF _Ref421008478 \r \h  \* MERGEFORMAT </w:instrText>
      </w:r>
      <w:r>
        <w:fldChar w:fldCharType="separate"/>
      </w:r>
      <w:r>
        <w:rPr>
          <w:rFonts w:ascii="宋体" w:hAnsi="宋体" w:cs="黑体"/>
          <w:kern w:val="0"/>
          <w:sz w:val="24"/>
        </w:rPr>
        <w:t>4.1.1</w:t>
      </w:r>
      <w:r>
        <w:rPr>
          <w:rFonts w:ascii="宋体" w:hAnsi="宋体" w:cs="黑体"/>
          <w:kern w:val="0"/>
          <w:sz w:val="24"/>
        </w:rPr>
        <w:fldChar w:fldCharType="end"/>
      </w:r>
      <w:r>
        <w:rPr>
          <w:rFonts w:hint="eastAsia" w:ascii="宋体" w:hAnsi="宋体" w:cs="黑体"/>
          <w:kern w:val="0"/>
          <w:sz w:val="24"/>
        </w:rPr>
        <w:t>项、第</w:t>
      </w:r>
      <w:r>
        <w:fldChar w:fldCharType="begin"/>
      </w:r>
      <w:r>
        <w:instrText xml:space="preserve"> REF _Ref421008478 \r \h  \* MERGEFORMAT </w:instrText>
      </w:r>
      <w:r>
        <w:fldChar w:fldCharType="separate"/>
      </w:r>
      <w:r>
        <w:rPr>
          <w:rFonts w:ascii="宋体" w:hAnsi="宋体" w:cs="黑体"/>
          <w:kern w:val="0"/>
          <w:sz w:val="24"/>
        </w:rPr>
        <w:t>4.1.</w:t>
      </w:r>
      <w:r>
        <w:rPr>
          <w:rFonts w:hint="eastAsia" w:ascii="宋体" w:hAnsi="宋体" w:cs="黑体"/>
          <w:kern w:val="0"/>
          <w:sz w:val="24"/>
        </w:rPr>
        <w:t>2</w:t>
      </w:r>
      <w:r>
        <w:rPr>
          <w:rFonts w:hint="eastAsia" w:ascii="宋体" w:hAnsi="宋体" w:cs="黑体"/>
          <w:kern w:val="0"/>
          <w:sz w:val="24"/>
        </w:rPr>
        <w:fldChar w:fldCharType="end"/>
      </w:r>
      <w:r>
        <w:rPr>
          <w:rFonts w:hint="eastAsia" w:ascii="宋体" w:hAnsi="宋体" w:cs="黑体"/>
          <w:kern w:val="0"/>
          <w:sz w:val="24"/>
        </w:rPr>
        <w:t>项要求密封并加写标识的响应文件，采购人不予受理。</w:t>
      </w:r>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bookmarkStart w:id="55" w:name="_Toc195921821"/>
      <w:r>
        <w:rPr>
          <w:rFonts w:hint="eastAsia" w:ascii="宋体" w:hAnsi="宋体" w:cs="黑体"/>
          <w:kern w:val="0"/>
          <w:sz w:val="24"/>
        </w:rPr>
        <w:t>首次响应文件的递交</w:t>
      </w:r>
      <w:bookmarkEnd w:id="55"/>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供应商应在竞争性谈判公告规定的递交响应文件截止时间前递交首次响应文件。如有变化，见澄清修改文件。</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供应商递交首次响应文件的地点：见竞争性谈判公告。如有变化，见澄清修改文件。</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除因供应商家数不满足要求未进行谈判的情形外，供应商所递交的响应文件不予退还。</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Theme="minorEastAsia" w:hAnsiTheme="minorEastAsia"/>
          <w:sz w:val="24"/>
        </w:rPr>
        <w:t>逾期送达、</w:t>
      </w:r>
      <w:r>
        <w:rPr>
          <w:rFonts w:hint="eastAsia" w:ascii="宋体" w:hAnsi="宋体" w:cs="黑体"/>
          <w:kern w:val="0"/>
          <w:sz w:val="24"/>
        </w:rPr>
        <w:t>未送达指定地点</w:t>
      </w:r>
      <w:r>
        <w:rPr>
          <w:rFonts w:hint="eastAsia" w:asciiTheme="minorEastAsia" w:hAnsiTheme="minorEastAsia"/>
          <w:sz w:val="24"/>
        </w:rPr>
        <w:t>的响应文件</w:t>
      </w:r>
      <w:r>
        <w:rPr>
          <w:rFonts w:hint="eastAsia" w:ascii="宋体" w:hAnsi="宋体" w:cs="黑体"/>
          <w:kern w:val="0"/>
          <w:sz w:val="24"/>
        </w:rPr>
        <w:t>，采购人不予受理。</w:t>
      </w:r>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bookmarkStart w:id="56" w:name="_Toc195921822"/>
      <w:r>
        <w:rPr>
          <w:rFonts w:hint="eastAsia" w:ascii="宋体" w:hAnsi="宋体" w:cs="黑体"/>
          <w:kern w:val="0"/>
          <w:sz w:val="24"/>
        </w:rPr>
        <w:t>响应文件的修改与撤回</w:t>
      </w:r>
      <w:bookmarkEnd w:id="56"/>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在竞争性谈判公告规定的首次响应文件递交截止时间前，供应商可以修改或撤回已递交的首次响应文件，但应以书面形式通知采购人。</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修改的内容为首次响应文件的组成部分。修改的首次响应文件应按照本章第</w:t>
      </w:r>
      <w:r>
        <w:rPr>
          <w:rFonts w:ascii="宋体" w:hAnsi="宋体" w:cs="黑体"/>
          <w:kern w:val="0"/>
          <w:sz w:val="24"/>
        </w:rPr>
        <w:t>3</w:t>
      </w:r>
      <w:r>
        <w:rPr>
          <w:rFonts w:hint="eastAsia" w:ascii="宋体" w:hAnsi="宋体" w:cs="黑体"/>
          <w:kern w:val="0"/>
          <w:sz w:val="24"/>
        </w:rPr>
        <w:t>条、第</w:t>
      </w:r>
      <w:r>
        <w:rPr>
          <w:rFonts w:ascii="宋体" w:hAnsi="宋体" w:cs="黑体"/>
          <w:kern w:val="0"/>
          <w:sz w:val="24"/>
        </w:rPr>
        <w:t>4</w:t>
      </w:r>
      <w:r>
        <w:rPr>
          <w:rFonts w:hint="eastAsia" w:ascii="宋体" w:hAnsi="宋体" w:cs="黑体"/>
          <w:kern w:val="0"/>
          <w:sz w:val="24"/>
        </w:rPr>
        <w:t>条规定进行编制、标记和递交，并标明“修改”字样。</w:t>
      </w:r>
    </w:p>
    <w:p>
      <w:pPr>
        <w:numPr>
          <w:ilvl w:val="0"/>
          <w:numId w:val="5"/>
        </w:numPr>
        <w:autoSpaceDE w:val="0"/>
        <w:autoSpaceDN w:val="0"/>
        <w:adjustRightInd w:val="0"/>
        <w:spacing w:afterLines="50"/>
        <w:ind w:left="1134" w:hanging="1134"/>
        <w:outlineLvl w:val="2"/>
        <w:rPr>
          <w:rFonts w:ascii="黑体" w:hAnsi="宋体" w:eastAsia="黑体" w:cs="黑体"/>
          <w:kern w:val="0"/>
          <w:sz w:val="24"/>
        </w:rPr>
      </w:pPr>
      <w:bookmarkStart w:id="57" w:name="_Toc23650"/>
      <w:bookmarkStart w:id="58" w:name="_Toc8045"/>
      <w:r>
        <w:rPr>
          <w:rFonts w:hint="eastAsia" w:ascii="黑体" w:hAnsi="宋体" w:eastAsia="黑体" w:cs="黑体"/>
          <w:kern w:val="0"/>
          <w:sz w:val="24"/>
        </w:rPr>
        <w:t>评审与谈判</w:t>
      </w:r>
      <w:bookmarkEnd w:id="57"/>
      <w:bookmarkEnd w:id="58"/>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r>
        <w:rPr>
          <w:rFonts w:hint="eastAsia" w:ascii="宋体" w:hAnsi="宋体" w:cs="黑体"/>
          <w:kern w:val="0"/>
          <w:sz w:val="24"/>
        </w:rPr>
        <w:t>谈判小组</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bookmarkStart w:id="59" w:name="_Ref527102573"/>
      <w:r>
        <w:rPr>
          <w:rFonts w:hint="eastAsia" w:ascii="宋体" w:hAnsi="宋体" w:cs="黑体"/>
          <w:kern w:val="0"/>
          <w:sz w:val="24"/>
        </w:rPr>
        <w:t>竞争性谈判小组由采购人代表和评审专家组成，采购人代表和评审专家人数见供应商须知前附表。</w:t>
      </w:r>
      <w:bookmarkEnd w:id="59"/>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谈判小组成员有下列情形之一的，应当回避：</w:t>
      </w:r>
    </w:p>
    <w:p>
      <w:pPr>
        <w:pStyle w:val="41"/>
        <w:numPr>
          <w:ilvl w:val="0"/>
          <w:numId w:val="10"/>
        </w:numPr>
        <w:snapToGrid w:val="0"/>
        <w:spacing w:afterLines="50"/>
        <w:ind w:left="1985" w:hanging="851"/>
        <w:rPr>
          <w:rFonts w:hAnsi="宋体" w:cs="宋体"/>
          <w:sz w:val="24"/>
          <w:szCs w:val="24"/>
        </w:rPr>
      </w:pPr>
      <w:r>
        <w:rPr>
          <w:rFonts w:hAnsi="宋体" w:cs="宋体"/>
          <w:sz w:val="24"/>
          <w:szCs w:val="24"/>
        </w:rPr>
        <w:t>参加采购活动前3年内与供应商存在劳动关系；</w:t>
      </w:r>
    </w:p>
    <w:p>
      <w:pPr>
        <w:pStyle w:val="41"/>
        <w:numPr>
          <w:ilvl w:val="0"/>
          <w:numId w:val="10"/>
        </w:numPr>
        <w:snapToGrid w:val="0"/>
        <w:spacing w:afterLines="50"/>
        <w:ind w:left="1985" w:hanging="851"/>
        <w:rPr>
          <w:rFonts w:hAnsi="宋体" w:cs="宋体"/>
          <w:sz w:val="24"/>
          <w:szCs w:val="24"/>
        </w:rPr>
      </w:pPr>
      <w:r>
        <w:rPr>
          <w:rFonts w:hAnsi="宋体" w:cs="宋体"/>
          <w:sz w:val="24"/>
          <w:szCs w:val="24"/>
        </w:rPr>
        <w:t>参加采购活动前3年内担任供应商的董事、监事；</w:t>
      </w:r>
    </w:p>
    <w:p>
      <w:pPr>
        <w:pStyle w:val="41"/>
        <w:numPr>
          <w:ilvl w:val="0"/>
          <w:numId w:val="10"/>
        </w:numPr>
        <w:snapToGrid w:val="0"/>
        <w:spacing w:afterLines="50"/>
        <w:ind w:left="1985" w:hanging="851"/>
        <w:rPr>
          <w:rFonts w:hAnsi="宋体" w:cs="宋体"/>
          <w:sz w:val="24"/>
          <w:szCs w:val="24"/>
        </w:rPr>
      </w:pPr>
      <w:r>
        <w:rPr>
          <w:rFonts w:hAnsi="宋体" w:cs="宋体"/>
          <w:sz w:val="24"/>
          <w:szCs w:val="24"/>
        </w:rPr>
        <w:t>参加采购活动前3年内是供应商的控股股东或者实际控制人；</w:t>
      </w:r>
    </w:p>
    <w:p>
      <w:pPr>
        <w:pStyle w:val="41"/>
        <w:numPr>
          <w:ilvl w:val="0"/>
          <w:numId w:val="10"/>
        </w:numPr>
        <w:snapToGrid w:val="0"/>
        <w:spacing w:afterLines="50"/>
        <w:ind w:left="1985" w:hanging="851"/>
        <w:rPr>
          <w:rFonts w:hAnsi="宋体" w:cs="宋体"/>
          <w:sz w:val="24"/>
          <w:szCs w:val="24"/>
        </w:rPr>
      </w:pPr>
      <w:r>
        <w:rPr>
          <w:rFonts w:hAnsi="宋体" w:cs="宋体"/>
          <w:sz w:val="24"/>
          <w:szCs w:val="24"/>
        </w:rPr>
        <w:t>与供应商的法定代表人或者负责人有夫妻、直系血亲、三代以内旁系血亲或者近姻亲关系；</w:t>
      </w:r>
    </w:p>
    <w:p>
      <w:pPr>
        <w:pStyle w:val="41"/>
        <w:numPr>
          <w:ilvl w:val="0"/>
          <w:numId w:val="10"/>
        </w:numPr>
        <w:snapToGrid w:val="0"/>
        <w:spacing w:afterLines="50"/>
        <w:ind w:left="1985" w:hanging="851"/>
        <w:rPr>
          <w:rFonts w:hAnsi="宋体" w:cs="宋体"/>
          <w:sz w:val="24"/>
          <w:szCs w:val="24"/>
        </w:rPr>
      </w:pPr>
      <w:r>
        <w:rPr>
          <w:rFonts w:hAnsi="宋体" w:cs="宋体"/>
          <w:sz w:val="24"/>
          <w:szCs w:val="24"/>
        </w:rPr>
        <w:t>与供应商有其他可能影响政府采购活动公平、公正进行的关系。</w:t>
      </w:r>
    </w:p>
    <w:p>
      <w:pPr>
        <w:numPr>
          <w:ilvl w:val="2"/>
          <w:numId w:val="5"/>
        </w:numPr>
        <w:tabs>
          <w:tab w:val="left" w:pos="1260"/>
          <w:tab w:val="left" w:pos="1418"/>
          <w:tab w:val="left" w:pos="1800"/>
        </w:tabs>
        <w:autoSpaceDE w:val="0"/>
        <w:autoSpaceDN w:val="0"/>
        <w:adjustRightInd w:val="0"/>
        <w:snapToGrid w:val="0"/>
        <w:spacing w:before="120" w:afterLines="50"/>
        <w:ind w:left="1134" w:hanging="1134"/>
        <w:rPr>
          <w:rFonts w:ascii="宋体" w:hAnsi="宋体" w:cs="黑体"/>
          <w:kern w:val="0"/>
          <w:sz w:val="24"/>
        </w:rPr>
      </w:pPr>
      <w:r>
        <w:rPr>
          <w:rFonts w:hint="eastAsia" w:ascii="宋体" w:hAnsi="宋体" w:cs="黑体"/>
          <w:kern w:val="0"/>
          <w:sz w:val="24"/>
        </w:rPr>
        <w:t>谈判小组</w:t>
      </w:r>
      <w:r>
        <w:rPr>
          <w:rFonts w:hint="eastAsia" w:asciiTheme="minorEastAsia" w:hAnsiTheme="minorEastAsia"/>
          <w:sz w:val="24"/>
        </w:rPr>
        <w:t>负责具体评审事务，并独立履行下列职责</w:t>
      </w:r>
      <w:r>
        <w:rPr>
          <w:rFonts w:hint="eastAsia" w:ascii="宋体" w:hAnsi="宋体" w:cs="黑体"/>
          <w:kern w:val="0"/>
          <w:sz w:val="24"/>
        </w:rPr>
        <w:t>：</w:t>
      </w:r>
    </w:p>
    <w:p>
      <w:pPr>
        <w:pStyle w:val="41"/>
        <w:numPr>
          <w:ilvl w:val="0"/>
          <w:numId w:val="11"/>
        </w:numPr>
        <w:snapToGrid w:val="0"/>
        <w:spacing w:afterLines="50"/>
        <w:ind w:left="1554" w:hanging="420"/>
        <w:rPr>
          <w:rFonts w:hAnsi="宋体" w:cs="宋体"/>
          <w:sz w:val="24"/>
          <w:szCs w:val="24"/>
        </w:rPr>
      </w:pPr>
      <w:bookmarkStart w:id="60" w:name="_Toc195921828"/>
      <w:r>
        <w:rPr>
          <w:rFonts w:hint="eastAsia" w:hAnsi="宋体" w:cs="宋体"/>
          <w:sz w:val="24"/>
          <w:szCs w:val="24"/>
        </w:rPr>
        <w:t>确认谈判文件；</w:t>
      </w:r>
    </w:p>
    <w:p>
      <w:pPr>
        <w:pStyle w:val="41"/>
        <w:numPr>
          <w:ilvl w:val="0"/>
          <w:numId w:val="11"/>
        </w:numPr>
        <w:snapToGrid w:val="0"/>
        <w:spacing w:afterLines="50"/>
        <w:ind w:left="1985" w:hanging="851"/>
        <w:rPr>
          <w:rFonts w:hAnsi="宋体" w:cs="宋体"/>
          <w:sz w:val="24"/>
          <w:szCs w:val="24"/>
        </w:rPr>
      </w:pPr>
      <w:r>
        <w:rPr>
          <w:rFonts w:hint="eastAsia" w:hAnsi="宋体" w:cs="宋体"/>
          <w:sz w:val="24"/>
          <w:szCs w:val="24"/>
        </w:rPr>
        <w:t>审查供应商的响应文件并作出评价；</w:t>
      </w:r>
    </w:p>
    <w:p>
      <w:pPr>
        <w:pStyle w:val="41"/>
        <w:numPr>
          <w:ilvl w:val="0"/>
          <w:numId w:val="11"/>
        </w:numPr>
        <w:snapToGrid w:val="0"/>
        <w:spacing w:afterLines="50"/>
        <w:ind w:left="1985" w:hanging="851"/>
        <w:rPr>
          <w:rFonts w:hAnsi="宋体" w:cs="宋体"/>
          <w:sz w:val="24"/>
          <w:szCs w:val="24"/>
        </w:rPr>
      </w:pPr>
      <w:r>
        <w:rPr>
          <w:rFonts w:hint="eastAsia" w:hAnsi="宋体" w:cs="宋体"/>
          <w:sz w:val="24"/>
          <w:szCs w:val="24"/>
        </w:rPr>
        <w:t>要求供应商解释或者澄清其响应文件；</w:t>
      </w:r>
    </w:p>
    <w:p>
      <w:pPr>
        <w:pStyle w:val="41"/>
        <w:numPr>
          <w:ilvl w:val="0"/>
          <w:numId w:val="11"/>
        </w:numPr>
        <w:snapToGrid w:val="0"/>
        <w:spacing w:afterLines="50"/>
        <w:ind w:left="1985" w:hanging="851"/>
        <w:rPr>
          <w:rFonts w:hAnsi="宋体" w:cs="宋体"/>
          <w:sz w:val="24"/>
          <w:szCs w:val="24"/>
        </w:rPr>
      </w:pPr>
      <w:r>
        <w:rPr>
          <w:rFonts w:hint="eastAsia" w:hAnsi="宋体" w:cs="宋体"/>
          <w:sz w:val="24"/>
          <w:szCs w:val="24"/>
        </w:rPr>
        <w:t>编写评审报告；</w:t>
      </w:r>
    </w:p>
    <w:p>
      <w:pPr>
        <w:pStyle w:val="41"/>
        <w:numPr>
          <w:ilvl w:val="0"/>
          <w:numId w:val="11"/>
        </w:numPr>
        <w:snapToGrid w:val="0"/>
        <w:spacing w:afterLines="50"/>
        <w:ind w:left="1985" w:hanging="851"/>
        <w:rPr>
          <w:rFonts w:hAnsi="宋体" w:cs="宋体"/>
          <w:sz w:val="24"/>
          <w:szCs w:val="24"/>
        </w:rPr>
      </w:pPr>
      <w:r>
        <w:rPr>
          <w:rFonts w:hint="eastAsia" w:hAnsi="宋体" w:cs="宋体"/>
          <w:sz w:val="24"/>
          <w:szCs w:val="24"/>
        </w:rPr>
        <w:t>告知采购人、采购代理机构在评审过程中发现的供应商的违法违规行为。</w:t>
      </w:r>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r>
        <w:rPr>
          <w:rFonts w:hint="eastAsia" w:ascii="宋体" w:hAnsi="宋体" w:cs="黑体"/>
          <w:kern w:val="0"/>
          <w:sz w:val="24"/>
        </w:rPr>
        <w:t>谈判小组所有成员集中与单一供应商分别进行谈判，并给予所有参加谈判的供应商平等的谈判机会。</w:t>
      </w:r>
    </w:p>
    <w:p>
      <w:pPr>
        <w:numPr>
          <w:ilvl w:val="1"/>
          <w:numId w:val="5"/>
        </w:numPr>
        <w:autoSpaceDE w:val="0"/>
        <w:autoSpaceDN w:val="0"/>
        <w:adjustRightInd w:val="0"/>
        <w:snapToGrid w:val="0"/>
        <w:spacing w:afterLines="50"/>
        <w:ind w:left="1133" w:hanging="1132" w:hangingChars="472"/>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谈判结束后，谈判小组可以要求所有继续参加谈判的供应商在规定时间内提交最后报价函，提交最后报价函的供应商不得少于3家，但公开招标的货物、服务采购项目，招标过程中提交投标文件或者经评审实质性响应招标文件要求的供应商只有两家时，经财政部门批准后采用竞争性谈判采购方式的除外。</w:t>
      </w:r>
    </w:p>
    <w:p>
      <w:pPr>
        <w:numPr>
          <w:ilvl w:val="1"/>
          <w:numId w:val="5"/>
        </w:numPr>
        <w:autoSpaceDE w:val="0"/>
        <w:autoSpaceDN w:val="0"/>
        <w:adjustRightInd w:val="0"/>
        <w:snapToGrid w:val="0"/>
        <w:spacing w:afterLines="50"/>
        <w:ind w:left="1133" w:hanging="1132" w:hangingChars="472"/>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供应商应当按照谈判文件的变动情况和谈判小组的要求重新提交最后报价函，并由其法定代表人或授权代表签字或者加盖公章。由授权代表签字的，应当附法定代表人授权书。</w:t>
      </w:r>
    </w:p>
    <w:p>
      <w:pPr>
        <w:autoSpaceDE w:val="0"/>
        <w:autoSpaceDN w:val="0"/>
        <w:adjustRightInd w:val="0"/>
        <w:snapToGrid w:val="0"/>
        <w:spacing w:afterLines="50"/>
        <w:ind w:left="1134" w:leftChars="540"/>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最后报价函是供应商响应文件的有效组成部分。</w:t>
      </w:r>
    </w:p>
    <w:p>
      <w:pPr>
        <w:numPr>
          <w:ilvl w:val="1"/>
          <w:numId w:val="5"/>
        </w:numPr>
        <w:autoSpaceDE w:val="0"/>
        <w:autoSpaceDN w:val="0"/>
        <w:adjustRightInd w:val="0"/>
        <w:snapToGrid w:val="0"/>
        <w:spacing w:afterLines="50"/>
        <w:ind w:left="1133" w:hanging="1132" w:hangingChars="472"/>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若竞争性谈判最后报价函与供应商首次递交的报价函及报价函附录的内容有差异，以竞争性谈判最后报价函内容为准。</w:t>
      </w:r>
    </w:p>
    <w:p>
      <w:pPr>
        <w:numPr>
          <w:ilvl w:val="1"/>
          <w:numId w:val="5"/>
        </w:numPr>
        <w:autoSpaceDE w:val="0"/>
        <w:autoSpaceDN w:val="0"/>
        <w:adjustRightInd w:val="0"/>
        <w:snapToGrid w:val="0"/>
        <w:spacing w:afterLines="50"/>
        <w:ind w:left="1133" w:hanging="1132" w:hangingChars="472"/>
        <w:rPr>
          <w:rFonts w:cs="TimesNewRomanPSMT" w:asciiTheme="minorEastAsia" w:hAnsiTheme="minorEastAsia" w:eastAsiaTheme="minorEastAsia"/>
          <w:kern w:val="0"/>
          <w:sz w:val="24"/>
          <w:highlight w:val="none"/>
        </w:rPr>
      </w:pPr>
      <w:r>
        <w:rPr>
          <w:rFonts w:hint="eastAsia" w:cs="TimesNewRomanPSMT" w:asciiTheme="minorEastAsia" w:hAnsiTheme="minorEastAsia" w:eastAsiaTheme="minorEastAsia"/>
          <w:kern w:val="0"/>
          <w:sz w:val="24"/>
          <w:highlight w:val="none"/>
        </w:rPr>
        <w:t>成交供应商应根据谈判文件中的工程量清单及其最后报价函中所列报价，根据《建设工程工程量清单计价规范》（GB 50500）和《房屋建筑与装饰工程工程量计算规范》（GB 50854）的相关规定，编制本项目已标价的工程量清单，收到成交通知书后的7日内提交给采购人；对采购人提出的审查意见在合同签订前修改完成。</w:t>
      </w:r>
    </w:p>
    <w:p>
      <w:pPr>
        <w:numPr>
          <w:ilvl w:val="1"/>
          <w:numId w:val="5"/>
        </w:numPr>
        <w:autoSpaceDE w:val="0"/>
        <w:autoSpaceDN w:val="0"/>
        <w:adjustRightInd w:val="0"/>
        <w:snapToGrid w:val="0"/>
        <w:spacing w:afterLines="50"/>
        <w:ind w:left="991" w:hanging="1132" w:hangingChars="472"/>
        <w:rPr>
          <w:rFonts w:asciiTheme="minorEastAsia" w:hAnsiTheme="minorEastAsia"/>
          <w:sz w:val="24"/>
        </w:rPr>
      </w:pPr>
      <w:r>
        <w:rPr>
          <w:rFonts w:hint="eastAsia" w:cs="TimesNewRomanPSMT" w:asciiTheme="minorEastAsia" w:hAnsiTheme="minorEastAsia" w:eastAsiaTheme="minorEastAsia"/>
          <w:kern w:val="0"/>
          <w:sz w:val="24"/>
        </w:rPr>
        <w:t>谈判小组</w:t>
      </w:r>
      <w:r>
        <w:rPr>
          <w:rFonts w:hint="eastAsia" w:asciiTheme="minorEastAsia" w:hAnsiTheme="minorEastAsia"/>
          <w:sz w:val="24"/>
        </w:rPr>
        <w:t>按照第三章“评审办法和标准”规定的评标方法和标准，对提交最后报价函的响应文件进行评审。“评审办法”没有规定的方法、评审因素和标准，不作为评审依据。</w:t>
      </w:r>
    </w:p>
    <w:bookmarkEnd w:id="60"/>
    <w:p>
      <w:pPr>
        <w:numPr>
          <w:ilvl w:val="0"/>
          <w:numId w:val="5"/>
        </w:numPr>
        <w:autoSpaceDE w:val="0"/>
        <w:autoSpaceDN w:val="0"/>
        <w:adjustRightInd w:val="0"/>
        <w:spacing w:afterLines="50"/>
        <w:ind w:left="1134" w:hanging="1134"/>
        <w:outlineLvl w:val="2"/>
        <w:rPr>
          <w:rFonts w:ascii="黑体" w:hAnsi="宋体" w:eastAsia="黑体" w:cs="黑体"/>
          <w:kern w:val="0"/>
          <w:sz w:val="24"/>
        </w:rPr>
      </w:pPr>
      <w:bookmarkStart w:id="61" w:name="_Toc195921830"/>
      <w:bookmarkStart w:id="62" w:name="_Toc17724"/>
      <w:bookmarkStart w:id="63" w:name="_Toc20873"/>
      <w:r>
        <w:rPr>
          <w:rFonts w:hint="eastAsia" w:ascii="黑体" w:hAnsi="宋体" w:eastAsia="黑体" w:cs="黑体"/>
          <w:kern w:val="0"/>
          <w:sz w:val="24"/>
        </w:rPr>
        <w:t>合同授予</w:t>
      </w:r>
      <w:bookmarkEnd w:id="61"/>
      <w:bookmarkEnd w:id="62"/>
      <w:bookmarkEnd w:id="63"/>
    </w:p>
    <w:p>
      <w:pPr>
        <w:numPr>
          <w:ilvl w:val="1"/>
          <w:numId w:val="5"/>
        </w:numPr>
        <w:autoSpaceDE w:val="0"/>
        <w:autoSpaceDN w:val="0"/>
        <w:adjustRightInd w:val="0"/>
        <w:snapToGrid w:val="0"/>
        <w:spacing w:afterLines="50"/>
        <w:ind w:left="1680" w:hanging="1680" w:hangingChars="700"/>
        <w:rPr>
          <w:rFonts w:ascii="宋体" w:hAnsi="宋体" w:cs="黑体"/>
          <w:kern w:val="0"/>
          <w:sz w:val="24"/>
        </w:rPr>
      </w:pPr>
      <w:bookmarkStart w:id="64" w:name="_Toc195921831"/>
      <w:bookmarkStart w:id="65" w:name="_Ref526866822"/>
      <w:bookmarkStart w:id="66" w:name="_Ref527102841"/>
      <w:r>
        <w:rPr>
          <w:rFonts w:hint="eastAsia" w:ascii="宋体" w:hAnsi="宋体" w:cs="黑体"/>
          <w:kern w:val="0"/>
          <w:sz w:val="24"/>
        </w:rPr>
        <w:t>确定成交供应商方式</w:t>
      </w:r>
      <w:bookmarkEnd w:id="64"/>
      <w:bookmarkEnd w:id="65"/>
      <w:bookmarkEnd w:id="66"/>
    </w:p>
    <w:p>
      <w:pPr>
        <w:tabs>
          <w:tab w:val="left" w:pos="1260"/>
        </w:tabs>
        <w:autoSpaceDE w:val="0"/>
        <w:autoSpaceDN w:val="0"/>
        <w:adjustRightInd w:val="0"/>
        <w:snapToGrid w:val="0"/>
        <w:spacing w:afterLines="50"/>
        <w:ind w:left="1134"/>
        <w:rPr>
          <w:rFonts w:ascii="宋体" w:hAnsi="宋体" w:cs="黑体"/>
          <w:kern w:val="0"/>
          <w:sz w:val="24"/>
        </w:rPr>
      </w:pPr>
      <w:r>
        <w:rPr>
          <w:rFonts w:hint="eastAsia" w:asciiTheme="minorEastAsia" w:hAnsiTheme="minorEastAsia"/>
          <w:sz w:val="24"/>
        </w:rPr>
        <w:t>采购人应当从评审报告提出的成交候选人中，根据质量和服务均能满足采购文件实质性响应要求且最后报价最低的原则确定成交供应商，也可以书面授权谈判小组直接确定成交供应商。具体方式见供应商须知前附表。</w:t>
      </w:r>
    </w:p>
    <w:p>
      <w:pPr>
        <w:numPr>
          <w:ilvl w:val="1"/>
          <w:numId w:val="5"/>
        </w:numPr>
        <w:autoSpaceDE w:val="0"/>
        <w:autoSpaceDN w:val="0"/>
        <w:adjustRightInd w:val="0"/>
        <w:snapToGrid w:val="0"/>
        <w:spacing w:afterLines="50"/>
        <w:ind w:left="1680" w:hanging="1680" w:hangingChars="700"/>
        <w:rPr>
          <w:rFonts w:ascii="宋体" w:hAnsi="宋体" w:cs="黑体"/>
          <w:kern w:val="0"/>
          <w:sz w:val="24"/>
        </w:rPr>
      </w:pPr>
      <w:r>
        <w:rPr>
          <w:rFonts w:hint="eastAsia" w:ascii="宋体" w:hAnsi="宋体" w:cs="黑体"/>
          <w:kern w:val="0"/>
          <w:sz w:val="24"/>
        </w:rPr>
        <w:t>成交公告</w:t>
      </w:r>
    </w:p>
    <w:p>
      <w:pPr>
        <w:numPr>
          <w:ilvl w:val="2"/>
          <w:numId w:val="5"/>
        </w:numPr>
        <w:tabs>
          <w:tab w:val="left" w:pos="1260"/>
        </w:tabs>
        <w:autoSpaceDE w:val="0"/>
        <w:autoSpaceDN w:val="0"/>
        <w:adjustRightInd w:val="0"/>
        <w:snapToGrid w:val="0"/>
        <w:spacing w:afterLines="50"/>
        <w:ind w:left="1134" w:hanging="1134"/>
        <w:rPr>
          <w:rFonts w:ascii="宋体" w:hAnsi="宋体"/>
          <w:sz w:val="24"/>
        </w:rPr>
      </w:pPr>
      <w:r>
        <w:rPr>
          <w:rFonts w:hint="eastAsia" w:asciiTheme="minorEastAsia" w:hAnsiTheme="minorEastAsia"/>
          <w:sz w:val="24"/>
        </w:rPr>
        <w:t>采购人或者采购代理机构应当自成交供应商确定之日起2个工作日内，在省级以上财政部门指定的媒体上公告成交结果。</w:t>
      </w:r>
    </w:p>
    <w:p>
      <w:pPr>
        <w:tabs>
          <w:tab w:val="left" w:pos="1260"/>
        </w:tabs>
        <w:autoSpaceDE w:val="0"/>
        <w:autoSpaceDN w:val="0"/>
        <w:adjustRightInd w:val="0"/>
        <w:snapToGrid w:val="0"/>
        <w:spacing w:afterLines="50"/>
        <w:ind w:left="1134"/>
        <w:rPr>
          <w:rFonts w:asciiTheme="minorEastAsia" w:hAnsiTheme="minorEastAsia"/>
          <w:sz w:val="24"/>
        </w:rPr>
      </w:pPr>
      <w:r>
        <w:rPr>
          <w:rFonts w:hint="eastAsia" w:asciiTheme="minorEastAsia" w:hAnsiTheme="minorEastAsia"/>
          <w:sz w:val="24"/>
        </w:rPr>
        <w:t>成交公告期限为1个工作日。</w:t>
      </w:r>
    </w:p>
    <w:p>
      <w:pPr>
        <w:numPr>
          <w:ilvl w:val="2"/>
          <w:numId w:val="5"/>
        </w:numPr>
        <w:tabs>
          <w:tab w:val="left" w:pos="1260"/>
        </w:tabs>
        <w:autoSpaceDE w:val="0"/>
        <w:autoSpaceDN w:val="0"/>
        <w:adjustRightInd w:val="0"/>
        <w:snapToGrid w:val="0"/>
        <w:spacing w:afterLines="50"/>
        <w:ind w:left="1134" w:hanging="1134"/>
        <w:rPr>
          <w:rFonts w:ascii="宋体" w:hAnsi="宋体"/>
          <w:sz w:val="24"/>
        </w:rPr>
      </w:pPr>
      <w:r>
        <w:rPr>
          <w:rFonts w:ascii="宋体" w:hAnsi="宋体" w:cs="黑体"/>
          <w:kern w:val="0"/>
          <w:sz w:val="24"/>
        </w:rPr>
        <w:t>供应商</w:t>
      </w:r>
      <w:r>
        <w:rPr>
          <w:rFonts w:hint="eastAsia" w:ascii="宋体" w:hAnsi="宋体" w:cs="黑体"/>
          <w:kern w:val="0"/>
          <w:sz w:val="24"/>
        </w:rPr>
        <w:t>可以在成交公告期限届满之日</w:t>
      </w:r>
      <w:r>
        <w:rPr>
          <w:rFonts w:hint="eastAsia" w:ascii="宋体" w:hAnsi="宋体"/>
          <w:sz w:val="24"/>
        </w:rPr>
        <w:t>起七个工作日内，按本须知第</w:t>
      </w:r>
      <w:r>
        <w:fldChar w:fldCharType="begin"/>
      </w:r>
      <w:r>
        <w:instrText xml:space="preserve"> REF _Ref527101721 \r \h  \* MERGEFORMAT </w:instrText>
      </w:r>
      <w:r>
        <w:fldChar w:fldCharType="separate"/>
      </w:r>
      <w:r>
        <w:rPr>
          <w:rFonts w:ascii="宋体" w:hAnsi="宋体"/>
          <w:sz w:val="24"/>
        </w:rPr>
        <w:t>2.3</w:t>
      </w:r>
      <w:r>
        <w:rPr>
          <w:rFonts w:ascii="宋体" w:hAnsi="宋体"/>
          <w:sz w:val="24"/>
        </w:rPr>
        <w:fldChar w:fldCharType="end"/>
      </w:r>
      <w:r>
        <w:rPr>
          <w:rFonts w:hint="eastAsia" w:ascii="宋体" w:hAnsi="宋体"/>
          <w:sz w:val="24"/>
        </w:rPr>
        <w:t>款接收质疑函的方式以书面形式一次性提出对成交结果的质疑。</w:t>
      </w:r>
    </w:p>
    <w:p>
      <w:pPr>
        <w:numPr>
          <w:ilvl w:val="1"/>
          <w:numId w:val="5"/>
        </w:numPr>
        <w:autoSpaceDE w:val="0"/>
        <w:autoSpaceDN w:val="0"/>
        <w:adjustRightInd w:val="0"/>
        <w:snapToGrid w:val="0"/>
        <w:spacing w:afterLines="50"/>
        <w:ind w:left="1680" w:hanging="1680" w:hangingChars="700"/>
        <w:rPr>
          <w:rFonts w:ascii="宋体" w:hAnsi="宋体" w:cs="黑体"/>
          <w:kern w:val="0"/>
          <w:sz w:val="24"/>
        </w:rPr>
      </w:pPr>
      <w:bookmarkStart w:id="67" w:name="_Toc195921832"/>
      <w:r>
        <w:rPr>
          <w:rFonts w:hint="eastAsia" w:ascii="宋体" w:hAnsi="宋体" w:cs="黑体"/>
          <w:kern w:val="0"/>
          <w:sz w:val="24"/>
        </w:rPr>
        <w:t>成交通知</w:t>
      </w:r>
      <w:bookmarkEnd w:id="67"/>
    </w:p>
    <w:p>
      <w:pPr>
        <w:tabs>
          <w:tab w:val="left" w:pos="1260"/>
        </w:tabs>
        <w:autoSpaceDE w:val="0"/>
        <w:autoSpaceDN w:val="0"/>
        <w:adjustRightInd w:val="0"/>
        <w:snapToGrid w:val="0"/>
        <w:spacing w:afterLines="50"/>
        <w:ind w:left="1134"/>
        <w:rPr>
          <w:rFonts w:ascii="宋体" w:hAnsi="宋体" w:cs="黑体"/>
          <w:kern w:val="0"/>
          <w:sz w:val="24"/>
        </w:rPr>
      </w:pPr>
      <w:r>
        <w:rPr>
          <w:rFonts w:hint="eastAsia" w:ascii="宋体" w:hAnsi="宋体" w:cs="宋体"/>
          <w:kern w:val="0"/>
          <w:sz w:val="24"/>
        </w:rPr>
        <w:t>在公告成交结果的同时</w:t>
      </w:r>
      <w:r>
        <w:rPr>
          <w:rFonts w:hint="eastAsia" w:ascii="宋体" w:hAnsi="宋体" w:cs="黑体"/>
          <w:kern w:val="0"/>
          <w:sz w:val="24"/>
        </w:rPr>
        <w:t>，采购人以书面形式向成交供应商发出成交通知书，同时将成交结果通知其他参加谈判的供应商。</w:t>
      </w:r>
    </w:p>
    <w:p>
      <w:pPr>
        <w:tabs>
          <w:tab w:val="left" w:pos="1260"/>
        </w:tabs>
        <w:autoSpaceDE w:val="0"/>
        <w:autoSpaceDN w:val="0"/>
        <w:adjustRightInd w:val="0"/>
        <w:snapToGrid w:val="0"/>
        <w:spacing w:afterLines="50"/>
        <w:ind w:left="1134"/>
        <w:rPr>
          <w:rFonts w:ascii="宋体" w:hAnsi="宋体" w:cs="黑体"/>
          <w:kern w:val="0"/>
          <w:sz w:val="24"/>
        </w:rPr>
      </w:pPr>
      <w:r>
        <w:rPr>
          <w:rFonts w:hint="eastAsia" w:asciiTheme="minorEastAsia" w:hAnsiTheme="minorEastAsia"/>
          <w:sz w:val="24"/>
        </w:rPr>
        <w:t>成交通知书发出后，采购人不得违法改变成交结果，成交供应商无正当理由不得放弃。</w:t>
      </w:r>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r>
        <w:rPr>
          <w:rFonts w:hint="eastAsia" w:ascii="宋体" w:hAnsi="宋体" w:cs="黑体"/>
          <w:kern w:val="0"/>
          <w:sz w:val="24"/>
        </w:rPr>
        <w:t>履约保证金</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bookmarkStart w:id="68" w:name="_Ref421009348"/>
      <w:r>
        <w:rPr>
          <w:rFonts w:hint="eastAsia" w:ascii="宋体" w:hAnsi="宋体" w:cs="黑体"/>
          <w:kern w:val="0"/>
          <w:sz w:val="24"/>
        </w:rPr>
        <w:t>在签订合同前，成交供应商应按供应商须知前附表规定的金额、担保形式和谈判文件第四章“合同条款及格式”规定的履约保证金格式向采购人提交履约保证金。</w:t>
      </w:r>
      <w:bookmarkEnd w:id="68"/>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成交供应商不能按本章第</w:t>
      </w:r>
      <w:r>
        <w:fldChar w:fldCharType="begin"/>
      </w:r>
      <w:r>
        <w:instrText xml:space="preserve"> REF _Ref421009348 \r \h  \* MERGEFORMAT </w:instrText>
      </w:r>
      <w:r>
        <w:fldChar w:fldCharType="separate"/>
      </w:r>
      <w:r>
        <w:rPr>
          <w:rFonts w:ascii="宋体" w:hAnsi="宋体" w:cs="黑体"/>
          <w:kern w:val="0"/>
          <w:sz w:val="24"/>
        </w:rPr>
        <w:t>6.4.1</w:t>
      </w:r>
      <w:r>
        <w:rPr>
          <w:rFonts w:ascii="宋体" w:hAnsi="宋体" w:cs="黑体"/>
          <w:kern w:val="0"/>
          <w:sz w:val="24"/>
        </w:rPr>
        <w:fldChar w:fldCharType="end"/>
      </w:r>
      <w:r>
        <w:rPr>
          <w:rFonts w:hint="eastAsia" w:ascii="宋体" w:hAnsi="宋体" w:cs="黑体"/>
          <w:kern w:val="0"/>
          <w:sz w:val="24"/>
        </w:rPr>
        <w:t>项要求提交履约保证金的，视为放弃成交，其谈判保证金不予退还，给采购人造成的损失超过谈判保证金数额的，成交供应商还应当对超过部分予以赔偿。</w:t>
      </w:r>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bookmarkStart w:id="69" w:name="_Toc195921834"/>
      <w:r>
        <w:rPr>
          <w:rFonts w:hint="eastAsia" w:ascii="宋体" w:hAnsi="宋体" w:cs="黑体"/>
          <w:kern w:val="0"/>
          <w:sz w:val="24"/>
        </w:rPr>
        <w:t>签订合同</w:t>
      </w:r>
      <w:bookmarkEnd w:id="69"/>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Theme="minorEastAsia" w:hAnsiTheme="minorEastAsia"/>
          <w:sz w:val="24"/>
        </w:rPr>
        <w:t>采购人应当自成交通知书发出之日起30日内，按照谈判文件和成交供应商响应文件的规定，与成交供应商签订书面合同。所签订的合同不得对谈判文件确定的事项和成交供应商响应文件作实质性修改。</w:t>
      </w:r>
    </w:p>
    <w:p>
      <w:pPr>
        <w:tabs>
          <w:tab w:val="left" w:pos="1260"/>
        </w:tabs>
        <w:autoSpaceDE w:val="0"/>
        <w:autoSpaceDN w:val="0"/>
        <w:adjustRightInd w:val="0"/>
        <w:snapToGrid w:val="0"/>
        <w:spacing w:afterLines="50"/>
        <w:ind w:left="1134"/>
        <w:rPr>
          <w:rFonts w:asciiTheme="minorEastAsia" w:hAnsiTheme="minorEastAsia"/>
          <w:sz w:val="24"/>
        </w:rPr>
      </w:pPr>
      <w:r>
        <w:rPr>
          <w:rFonts w:hint="eastAsia" w:asciiTheme="minorEastAsia" w:hAnsiTheme="minorEastAsia"/>
          <w:sz w:val="24"/>
        </w:rPr>
        <w:t>采购人不得向成交供应商提出任何不合理的要求作为签订合同的条件。</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成交供应商无正当理由拒签合同的，采购人取消其成交资格，其谈判保证金不予退还；给采购人造成的损失超过谈判保证金数额的，成交供应商还应当对超过部分予以赔偿。</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发出成交通知书后，采购人无正当理由拒签合同的，采购人向成交供应商退还谈判保证金；给成交供应商造成损失的，还应当赔偿损失。</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成交供应商拒绝签订政府采购合同的，采购人可以按照第</w:t>
      </w:r>
      <w:r>
        <w:fldChar w:fldCharType="begin"/>
      </w:r>
      <w:r>
        <w:instrText xml:space="preserve"> REF _Ref526866822 \r \h  \* MERGEFORMAT </w:instrText>
      </w:r>
      <w:r>
        <w:fldChar w:fldCharType="separate"/>
      </w:r>
      <w:r>
        <w:rPr>
          <w:rFonts w:ascii="宋体" w:hAnsi="宋体" w:cs="黑体"/>
          <w:kern w:val="0"/>
          <w:sz w:val="24"/>
        </w:rPr>
        <w:t>6.1</w:t>
      </w:r>
      <w:r>
        <w:rPr>
          <w:rFonts w:ascii="宋体" w:hAnsi="宋体" w:cs="黑体"/>
          <w:kern w:val="0"/>
          <w:sz w:val="24"/>
        </w:rPr>
        <w:fldChar w:fldCharType="end"/>
      </w:r>
      <w:r>
        <w:rPr>
          <w:rFonts w:ascii="宋体" w:hAnsi="宋体" w:cs="黑体"/>
          <w:kern w:val="0"/>
          <w:sz w:val="24"/>
        </w:rPr>
        <w:t>款</w:t>
      </w:r>
      <w:r>
        <w:rPr>
          <w:rFonts w:hint="eastAsia" w:ascii="宋体" w:hAnsi="宋体" w:cs="黑体"/>
          <w:kern w:val="0"/>
          <w:sz w:val="24"/>
        </w:rPr>
        <w:t>原则确定其他供应商作为成交供应商并签订政府采购合同，也可以重新开展采购活动。拒绝签订政府采购合同的成交供应商不得参加对该项目重新开展的采购活动。</w:t>
      </w:r>
    </w:p>
    <w:p>
      <w:pPr>
        <w:numPr>
          <w:ilvl w:val="0"/>
          <w:numId w:val="5"/>
        </w:numPr>
        <w:autoSpaceDE w:val="0"/>
        <w:autoSpaceDN w:val="0"/>
        <w:adjustRightInd w:val="0"/>
        <w:spacing w:afterLines="50"/>
        <w:ind w:left="1134" w:hanging="1134"/>
        <w:outlineLvl w:val="2"/>
        <w:rPr>
          <w:rFonts w:ascii="黑体" w:hAnsi="宋体" w:eastAsia="黑体" w:cs="黑体"/>
          <w:kern w:val="0"/>
          <w:sz w:val="24"/>
        </w:rPr>
      </w:pPr>
      <w:bookmarkStart w:id="70" w:name="_Toc12351"/>
      <w:bookmarkStart w:id="71" w:name="_Toc2461"/>
      <w:bookmarkStart w:id="72" w:name="_Toc195921838"/>
      <w:r>
        <w:rPr>
          <w:rFonts w:hint="eastAsia" w:ascii="黑体" w:hAnsi="宋体" w:eastAsia="黑体" w:cs="黑体"/>
          <w:kern w:val="0"/>
          <w:sz w:val="24"/>
        </w:rPr>
        <w:t>重新开展采购活动</w:t>
      </w:r>
      <w:bookmarkEnd w:id="70"/>
      <w:bookmarkEnd w:id="71"/>
    </w:p>
    <w:p>
      <w:pPr>
        <w:tabs>
          <w:tab w:val="left" w:pos="1260"/>
        </w:tabs>
        <w:autoSpaceDE w:val="0"/>
        <w:autoSpaceDN w:val="0"/>
        <w:adjustRightInd w:val="0"/>
        <w:snapToGrid w:val="0"/>
        <w:spacing w:afterLines="50"/>
        <w:ind w:left="1134" w:leftChars="540"/>
        <w:rPr>
          <w:rFonts w:ascii="宋体" w:hAnsi="宋体" w:cs="黑体"/>
          <w:kern w:val="0"/>
          <w:sz w:val="24"/>
        </w:rPr>
      </w:pPr>
      <w:r>
        <w:rPr>
          <w:rFonts w:hint="eastAsia" w:ascii="宋体" w:hAnsi="宋体" w:cs="黑体"/>
          <w:kern w:val="0"/>
          <w:sz w:val="24"/>
        </w:rPr>
        <w:t>出现下列情形之一的，采购人或者采购代理机构应当终止竞争性谈判采购活动，通过发布公告邀请供应商参加谈判的，将在谈判公告发布媒体上发布（通过邀请方式的，将通知每位接受邀请的供应商）项目终止公告并说明原因，重新开展采购活动：</w:t>
      </w:r>
    </w:p>
    <w:p>
      <w:pPr>
        <w:tabs>
          <w:tab w:val="left" w:pos="1260"/>
        </w:tabs>
        <w:autoSpaceDE w:val="0"/>
        <w:autoSpaceDN w:val="0"/>
        <w:adjustRightInd w:val="0"/>
        <w:snapToGrid w:val="0"/>
        <w:spacing w:afterLines="50"/>
        <w:ind w:left="1983" w:leftChars="540" w:hanging="849" w:hangingChars="354"/>
        <w:rPr>
          <w:rFonts w:ascii="宋体" w:hAnsi="宋体" w:cs="黑体"/>
          <w:kern w:val="0"/>
          <w:sz w:val="24"/>
        </w:rPr>
      </w:pPr>
      <w:r>
        <w:rPr>
          <w:rFonts w:hint="eastAsia" w:ascii="宋体" w:hAnsi="宋体" w:cs="黑体"/>
          <w:kern w:val="0"/>
          <w:sz w:val="24"/>
        </w:rPr>
        <w:t>（1）</w:t>
      </w:r>
      <w:r>
        <w:rPr>
          <w:rFonts w:hint="eastAsia" w:ascii="宋体" w:hAnsi="宋体" w:cs="黑体"/>
          <w:kern w:val="0"/>
          <w:sz w:val="24"/>
        </w:rPr>
        <w:tab/>
      </w:r>
      <w:r>
        <w:rPr>
          <w:rFonts w:hint="eastAsia" w:ascii="宋体" w:hAnsi="宋体" w:cs="黑体"/>
          <w:kern w:val="0"/>
          <w:sz w:val="24"/>
        </w:rPr>
        <w:t>因情况变化，不再符合规定的竞争性谈判采购方式适用情形的；</w:t>
      </w:r>
    </w:p>
    <w:p>
      <w:pPr>
        <w:tabs>
          <w:tab w:val="left" w:pos="1260"/>
        </w:tabs>
        <w:autoSpaceDE w:val="0"/>
        <w:autoSpaceDN w:val="0"/>
        <w:adjustRightInd w:val="0"/>
        <w:snapToGrid w:val="0"/>
        <w:spacing w:afterLines="50"/>
        <w:ind w:left="1983" w:leftChars="540" w:hanging="849" w:hangingChars="354"/>
        <w:rPr>
          <w:rFonts w:ascii="宋体" w:hAnsi="宋体" w:cs="黑体"/>
          <w:kern w:val="0"/>
          <w:sz w:val="24"/>
        </w:rPr>
      </w:pPr>
      <w:r>
        <w:rPr>
          <w:rFonts w:hint="eastAsia" w:ascii="宋体" w:hAnsi="宋体" w:cs="黑体"/>
          <w:kern w:val="0"/>
          <w:sz w:val="24"/>
        </w:rPr>
        <w:t>（2）</w:t>
      </w:r>
      <w:r>
        <w:rPr>
          <w:rFonts w:hint="eastAsia" w:ascii="宋体" w:hAnsi="宋体" w:cs="黑体"/>
          <w:kern w:val="0"/>
          <w:sz w:val="24"/>
        </w:rPr>
        <w:tab/>
      </w:r>
      <w:r>
        <w:rPr>
          <w:rFonts w:hint="eastAsia" w:ascii="宋体" w:hAnsi="宋体" w:cs="黑体"/>
          <w:kern w:val="0"/>
          <w:sz w:val="24"/>
        </w:rPr>
        <w:t>出现影响采购公正的违法、违规行为的；</w:t>
      </w:r>
    </w:p>
    <w:p>
      <w:pPr>
        <w:tabs>
          <w:tab w:val="left" w:pos="2127"/>
        </w:tabs>
        <w:autoSpaceDE w:val="0"/>
        <w:autoSpaceDN w:val="0"/>
        <w:adjustRightInd w:val="0"/>
        <w:snapToGrid w:val="0"/>
        <w:spacing w:afterLines="50"/>
        <w:ind w:left="1983" w:leftChars="540" w:hanging="849" w:hangingChars="354"/>
        <w:rPr>
          <w:rFonts w:ascii="宋体" w:hAnsi="宋体" w:cs="黑体"/>
          <w:kern w:val="0"/>
          <w:sz w:val="24"/>
        </w:rPr>
      </w:pPr>
      <w:r>
        <w:rPr>
          <w:rFonts w:hint="eastAsia" w:ascii="宋体" w:hAnsi="宋体" w:cs="黑体"/>
          <w:kern w:val="0"/>
          <w:sz w:val="24"/>
        </w:rPr>
        <w:t>（3）</w:t>
      </w:r>
      <w:r>
        <w:rPr>
          <w:rFonts w:hint="eastAsia" w:ascii="宋体" w:hAnsi="宋体" w:cs="黑体"/>
          <w:kern w:val="0"/>
          <w:sz w:val="24"/>
        </w:rPr>
        <w:tab/>
      </w:r>
      <w:r>
        <w:rPr>
          <w:rFonts w:hint="eastAsia" w:ascii="宋体" w:hAnsi="宋体" w:cs="黑体"/>
          <w:kern w:val="0"/>
          <w:sz w:val="24"/>
        </w:rPr>
        <w:t>在采购过程中符合竞争要求的供应商或者报价未超过采购预算或最高限价的供应商不足</w:t>
      </w:r>
      <w:r>
        <w:rPr>
          <w:rFonts w:ascii="宋体" w:hAnsi="宋体" w:cs="黑体"/>
          <w:kern w:val="0"/>
          <w:sz w:val="24"/>
        </w:rPr>
        <w:t>3家的</w:t>
      </w:r>
      <w:r>
        <w:rPr>
          <w:rFonts w:hint="eastAsia" w:ascii="宋体" w:hAnsi="宋体" w:cs="黑体"/>
          <w:kern w:val="0"/>
          <w:sz w:val="24"/>
        </w:rPr>
        <w:t>。</w:t>
      </w:r>
    </w:p>
    <w:p>
      <w:pPr>
        <w:numPr>
          <w:ilvl w:val="0"/>
          <w:numId w:val="5"/>
        </w:numPr>
        <w:autoSpaceDE w:val="0"/>
        <w:autoSpaceDN w:val="0"/>
        <w:adjustRightInd w:val="0"/>
        <w:spacing w:afterLines="50"/>
        <w:ind w:left="1134" w:hanging="1134"/>
        <w:outlineLvl w:val="2"/>
        <w:rPr>
          <w:rFonts w:ascii="黑体" w:hAnsi="宋体" w:eastAsia="黑体" w:cs="黑体"/>
          <w:kern w:val="0"/>
          <w:sz w:val="24"/>
        </w:rPr>
      </w:pPr>
      <w:bookmarkStart w:id="73" w:name="_Toc9690"/>
      <w:bookmarkStart w:id="74" w:name="_Toc26738"/>
      <w:r>
        <w:rPr>
          <w:rFonts w:hint="eastAsia" w:ascii="黑体" w:hAnsi="宋体" w:eastAsia="黑体" w:cs="黑体"/>
          <w:kern w:val="0"/>
          <w:sz w:val="24"/>
        </w:rPr>
        <w:t>纪律和监督</w:t>
      </w:r>
      <w:bookmarkEnd w:id="72"/>
      <w:bookmarkEnd w:id="73"/>
      <w:bookmarkEnd w:id="74"/>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bookmarkStart w:id="75" w:name="_Toc195921839"/>
      <w:r>
        <w:rPr>
          <w:rFonts w:hint="eastAsia" w:ascii="宋体" w:hAnsi="宋体" w:cs="黑体"/>
          <w:kern w:val="0"/>
          <w:sz w:val="24"/>
        </w:rPr>
        <w:t>对采购人的要求</w:t>
      </w:r>
      <w:bookmarkEnd w:id="75"/>
    </w:p>
    <w:p>
      <w:pPr>
        <w:tabs>
          <w:tab w:val="left" w:pos="1260"/>
        </w:tabs>
        <w:autoSpaceDE w:val="0"/>
        <w:autoSpaceDN w:val="0"/>
        <w:adjustRightInd w:val="0"/>
        <w:snapToGrid w:val="0"/>
        <w:spacing w:afterLines="50"/>
        <w:ind w:left="1134"/>
        <w:rPr>
          <w:rFonts w:ascii="宋体" w:hAnsi="宋体" w:cs="黑体"/>
          <w:kern w:val="0"/>
          <w:sz w:val="24"/>
        </w:rPr>
      </w:pPr>
      <w:r>
        <w:rPr>
          <w:rFonts w:hAnsi="宋体" w:cs="宋体"/>
          <w:sz w:val="24"/>
        </w:rPr>
        <w:t>采购人在政府采购活动中应当维护国家利益和社会公共利益，公正廉洁，诚实守信，执行政府采购政策</w:t>
      </w:r>
      <w:r>
        <w:rPr>
          <w:rFonts w:hint="eastAsia" w:hAnsi="宋体" w:cs="宋体"/>
          <w:sz w:val="24"/>
        </w:rPr>
        <w:t>。</w:t>
      </w:r>
      <w:r>
        <w:rPr>
          <w:rFonts w:hAnsi="宋体" w:cs="宋体"/>
          <w:sz w:val="24"/>
        </w:rPr>
        <w:t>采购人不得向供应商索要或者接受其给予的赠品、回扣或者与采购无关的其他商品、服务</w:t>
      </w:r>
      <w:r>
        <w:rPr>
          <w:rFonts w:hint="eastAsia" w:ascii="宋体" w:hAnsi="宋体" w:cs="黑体"/>
          <w:kern w:val="0"/>
          <w:sz w:val="24"/>
        </w:rPr>
        <w:t>。</w:t>
      </w:r>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bookmarkStart w:id="76" w:name="_Toc195921840"/>
      <w:r>
        <w:rPr>
          <w:rFonts w:hint="eastAsia" w:ascii="宋体" w:hAnsi="宋体" w:cs="黑体"/>
          <w:kern w:val="0"/>
          <w:sz w:val="24"/>
        </w:rPr>
        <w:t>对采购代理机构的要求</w:t>
      </w:r>
    </w:p>
    <w:p>
      <w:pPr>
        <w:tabs>
          <w:tab w:val="left" w:pos="1260"/>
        </w:tabs>
        <w:autoSpaceDE w:val="0"/>
        <w:autoSpaceDN w:val="0"/>
        <w:adjustRightInd w:val="0"/>
        <w:snapToGrid w:val="0"/>
        <w:spacing w:afterLines="50"/>
        <w:ind w:left="1134"/>
        <w:rPr>
          <w:rFonts w:hAnsi="宋体" w:cs="宋体"/>
          <w:sz w:val="24"/>
        </w:rPr>
      </w:pPr>
      <w:r>
        <w:rPr>
          <w:rFonts w:hAnsi="宋体" w:cs="宋体"/>
          <w:sz w:val="24"/>
        </w:rPr>
        <w:t>采购代理机构不得与采购人、供应商恶意串通操纵政府采购活动。</w:t>
      </w:r>
    </w:p>
    <w:p>
      <w:pPr>
        <w:tabs>
          <w:tab w:val="left" w:pos="1260"/>
        </w:tabs>
        <w:autoSpaceDE w:val="0"/>
        <w:autoSpaceDN w:val="0"/>
        <w:adjustRightInd w:val="0"/>
        <w:snapToGrid w:val="0"/>
        <w:spacing w:afterLines="50"/>
        <w:ind w:left="1134"/>
        <w:rPr>
          <w:rFonts w:hAnsi="宋体" w:cs="宋体"/>
          <w:sz w:val="24"/>
        </w:rPr>
      </w:pPr>
      <w:r>
        <w:rPr>
          <w:rFonts w:hAnsi="宋体" w:cs="宋体"/>
          <w:sz w:val="24"/>
        </w:rPr>
        <w:t>采购代理机构工作人员不得接受采购人或者供应商组织的宴请、旅游、娱乐，不得收受礼品、现金、有价证券等，不得向采购人或者供应商报销应当由个人承担的费用。</w:t>
      </w:r>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r>
        <w:rPr>
          <w:rFonts w:hint="eastAsia" w:ascii="宋体" w:hAnsi="宋体" w:cs="黑体"/>
          <w:kern w:val="0"/>
          <w:sz w:val="24"/>
        </w:rPr>
        <w:t>对供应商的纪律要求</w:t>
      </w:r>
      <w:bookmarkEnd w:id="76"/>
    </w:p>
    <w:p>
      <w:pPr>
        <w:tabs>
          <w:tab w:val="left" w:pos="1260"/>
        </w:tabs>
        <w:autoSpaceDE w:val="0"/>
        <w:autoSpaceDN w:val="0"/>
        <w:adjustRightInd w:val="0"/>
        <w:snapToGrid w:val="0"/>
        <w:spacing w:afterLines="50"/>
        <w:ind w:left="1134"/>
        <w:rPr>
          <w:rFonts w:ascii="宋体" w:hAnsi="宋体" w:cs="黑体"/>
          <w:kern w:val="0"/>
          <w:sz w:val="24"/>
        </w:rPr>
      </w:pPr>
      <w:r>
        <w:rPr>
          <w:rFonts w:hint="eastAsia" w:ascii="宋体" w:hAnsi="宋体" w:cs="黑体"/>
          <w:kern w:val="0"/>
          <w:sz w:val="24"/>
        </w:rPr>
        <w:t>供应商不得相互串通或者与采购人串通，不得向采购人或者谈判小组成员行贿谋取成交，不得以他人名义或者以其他方式弄虚作假骗取成交；供应商不得以任何方式干扰、影响谈判工作。</w:t>
      </w:r>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bookmarkStart w:id="77" w:name="_Toc195921841"/>
      <w:r>
        <w:rPr>
          <w:rFonts w:hint="eastAsia" w:ascii="宋体" w:hAnsi="宋体" w:cs="黑体"/>
          <w:kern w:val="0"/>
          <w:sz w:val="24"/>
        </w:rPr>
        <w:t>谈判小组及其成员不得有下列行为</w:t>
      </w:r>
      <w:bookmarkEnd w:id="77"/>
    </w:p>
    <w:p>
      <w:pPr>
        <w:pStyle w:val="425"/>
        <w:numPr>
          <w:ilvl w:val="0"/>
          <w:numId w:val="12"/>
        </w:numPr>
        <w:snapToGrid w:val="0"/>
        <w:spacing w:afterLines="50"/>
        <w:ind w:left="1985" w:hanging="853" w:firstLineChars="0"/>
        <w:rPr>
          <w:rFonts w:asciiTheme="minorEastAsia" w:hAnsiTheme="minorEastAsia"/>
          <w:sz w:val="24"/>
        </w:rPr>
      </w:pPr>
      <w:r>
        <w:rPr>
          <w:rFonts w:hint="eastAsia" w:asciiTheme="minorEastAsia" w:hAnsiTheme="minorEastAsia"/>
          <w:sz w:val="24"/>
        </w:rPr>
        <w:t>确定参与谈判至谈判结束前私自接触供应商；</w:t>
      </w:r>
    </w:p>
    <w:p>
      <w:pPr>
        <w:pStyle w:val="425"/>
        <w:numPr>
          <w:ilvl w:val="0"/>
          <w:numId w:val="12"/>
        </w:numPr>
        <w:snapToGrid w:val="0"/>
        <w:spacing w:afterLines="50"/>
        <w:ind w:left="1985" w:hanging="853" w:firstLineChars="0"/>
        <w:rPr>
          <w:rFonts w:asciiTheme="minorEastAsia" w:hAnsiTheme="minorEastAsia"/>
          <w:sz w:val="24"/>
        </w:rPr>
      </w:pPr>
      <w:r>
        <w:rPr>
          <w:rFonts w:hint="eastAsia" w:asciiTheme="minorEastAsia" w:hAnsiTheme="minorEastAsia"/>
          <w:sz w:val="24"/>
        </w:rPr>
        <w:t>接受供应商提出的与响应文件不一致的澄清或者说明，谈判小组要求供应商作出必要的澄清、说明或者补正的情形除外；</w:t>
      </w:r>
    </w:p>
    <w:p>
      <w:pPr>
        <w:pStyle w:val="425"/>
        <w:numPr>
          <w:ilvl w:val="0"/>
          <w:numId w:val="12"/>
        </w:numPr>
        <w:snapToGrid w:val="0"/>
        <w:spacing w:afterLines="50"/>
        <w:ind w:left="1985" w:hanging="853" w:firstLineChars="0"/>
        <w:rPr>
          <w:rFonts w:asciiTheme="minorEastAsia" w:hAnsiTheme="minorEastAsia"/>
          <w:sz w:val="24"/>
        </w:rPr>
      </w:pPr>
      <w:r>
        <w:rPr>
          <w:rFonts w:hint="eastAsia" w:asciiTheme="minorEastAsia" w:hAnsiTheme="minorEastAsia"/>
          <w:sz w:val="24"/>
        </w:rPr>
        <w:t>违反评审纪律发表倾向性意见或者征询采购人的倾向性意见；</w:t>
      </w:r>
    </w:p>
    <w:p>
      <w:pPr>
        <w:pStyle w:val="425"/>
        <w:numPr>
          <w:ilvl w:val="0"/>
          <w:numId w:val="12"/>
        </w:numPr>
        <w:snapToGrid w:val="0"/>
        <w:spacing w:afterLines="50"/>
        <w:ind w:left="1985" w:hanging="853" w:firstLineChars="0"/>
        <w:rPr>
          <w:rFonts w:asciiTheme="minorEastAsia" w:hAnsiTheme="minorEastAsia"/>
          <w:sz w:val="24"/>
        </w:rPr>
      </w:pPr>
      <w:r>
        <w:rPr>
          <w:rFonts w:hint="eastAsia" w:asciiTheme="minorEastAsia" w:hAnsiTheme="minorEastAsia"/>
          <w:sz w:val="24"/>
        </w:rPr>
        <w:t>在评审与谈判过程中擅离职守，影响评审程序正常进行的；</w:t>
      </w:r>
    </w:p>
    <w:p>
      <w:pPr>
        <w:pStyle w:val="425"/>
        <w:numPr>
          <w:ilvl w:val="0"/>
          <w:numId w:val="12"/>
        </w:numPr>
        <w:snapToGrid w:val="0"/>
        <w:spacing w:afterLines="50"/>
        <w:ind w:left="1985" w:hanging="853" w:firstLineChars="0"/>
        <w:rPr>
          <w:rFonts w:asciiTheme="minorEastAsia" w:hAnsiTheme="minorEastAsia"/>
          <w:sz w:val="24"/>
        </w:rPr>
      </w:pPr>
      <w:r>
        <w:rPr>
          <w:rFonts w:hint="eastAsia" w:asciiTheme="minorEastAsia" w:hAnsiTheme="minorEastAsia"/>
          <w:sz w:val="24"/>
        </w:rPr>
        <w:t>记录、复制或者带走任何评审资料；</w:t>
      </w:r>
    </w:p>
    <w:p>
      <w:pPr>
        <w:pStyle w:val="425"/>
        <w:numPr>
          <w:ilvl w:val="0"/>
          <w:numId w:val="12"/>
        </w:numPr>
        <w:snapToGrid w:val="0"/>
        <w:spacing w:afterLines="50"/>
        <w:ind w:left="1985" w:hanging="853" w:firstLineChars="0"/>
        <w:rPr>
          <w:rFonts w:asciiTheme="minorEastAsia" w:hAnsiTheme="minorEastAsia"/>
          <w:sz w:val="24"/>
        </w:rPr>
      </w:pPr>
      <w:r>
        <w:rPr>
          <w:rFonts w:hint="eastAsia" w:asciiTheme="minorEastAsia" w:hAnsiTheme="minorEastAsia"/>
          <w:sz w:val="24"/>
        </w:rPr>
        <w:t>其他不遵守评审纪律的行为。</w:t>
      </w:r>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bookmarkStart w:id="78" w:name="_Toc195921842"/>
      <w:r>
        <w:rPr>
          <w:rFonts w:hint="eastAsia" w:ascii="宋体" w:hAnsi="宋体" w:cs="黑体"/>
          <w:kern w:val="0"/>
          <w:sz w:val="24"/>
        </w:rPr>
        <w:t>对与评审活动有关的工作人员的纪律要求</w:t>
      </w:r>
      <w:bookmarkEnd w:id="78"/>
    </w:p>
    <w:p>
      <w:pPr>
        <w:tabs>
          <w:tab w:val="left" w:pos="1260"/>
        </w:tabs>
        <w:autoSpaceDE w:val="0"/>
        <w:autoSpaceDN w:val="0"/>
        <w:adjustRightInd w:val="0"/>
        <w:snapToGrid w:val="0"/>
        <w:spacing w:afterLines="50"/>
        <w:ind w:left="1134"/>
        <w:rPr>
          <w:rFonts w:ascii="宋体" w:hAnsi="宋体" w:cs="黑体"/>
          <w:kern w:val="0"/>
          <w:sz w:val="24"/>
        </w:rPr>
      </w:pPr>
      <w:r>
        <w:rPr>
          <w:rFonts w:hint="eastAsia" w:ascii="宋体" w:hAnsi="宋体" w:cs="黑体"/>
          <w:kern w:val="0"/>
          <w:sz w:val="24"/>
        </w:rPr>
        <w:t>与</w:t>
      </w:r>
      <w:r>
        <w:rPr>
          <w:rFonts w:hint="eastAsia" w:asciiTheme="minorEastAsia" w:hAnsiTheme="minorEastAsia"/>
          <w:sz w:val="24"/>
        </w:rPr>
        <w:t>评审与谈判</w:t>
      </w:r>
      <w:r>
        <w:rPr>
          <w:rFonts w:hint="eastAsia" w:ascii="宋体" w:hAnsi="宋体" w:cs="黑体"/>
          <w:kern w:val="0"/>
          <w:sz w:val="24"/>
        </w:rPr>
        <w:t>活动有关的工作人员不得收受他人的财物或者其他好处，不得向他人透漏对响应文件的</w:t>
      </w:r>
      <w:r>
        <w:rPr>
          <w:rFonts w:hint="eastAsia" w:asciiTheme="minorEastAsia" w:hAnsiTheme="minorEastAsia"/>
          <w:sz w:val="24"/>
        </w:rPr>
        <w:t>评审与谈判</w:t>
      </w:r>
      <w:r>
        <w:rPr>
          <w:rFonts w:hint="eastAsia" w:ascii="宋体" w:hAnsi="宋体" w:cs="黑体"/>
          <w:kern w:val="0"/>
          <w:sz w:val="24"/>
        </w:rPr>
        <w:t>、成交候选人的推荐情况以及</w:t>
      </w:r>
      <w:r>
        <w:rPr>
          <w:rFonts w:hint="eastAsia" w:asciiTheme="minorEastAsia" w:hAnsiTheme="minorEastAsia"/>
          <w:sz w:val="24"/>
        </w:rPr>
        <w:t>评审与谈判</w:t>
      </w:r>
      <w:r>
        <w:rPr>
          <w:rFonts w:hint="eastAsia" w:ascii="宋体" w:hAnsi="宋体" w:cs="黑体"/>
          <w:kern w:val="0"/>
          <w:sz w:val="24"/>
        </w:rPr>
        <w:t>有关的其他情况。在评审活动中，参与</w:t>
      </w:r>
      <w:r>
        <w:rPr>
          <w:rFonts w:hint="eastAsia" w:asciiTheme="minorEastAsia" w:hAnsiTheme="minorEastAsia"/>
          <w:sz w:val="24"/>
        </w:rPr>
        <w:t>评审与谈判</w:t>
      </w:r>
      <w:r>
        <w:rPr>
          <w:rFonts w:hint="eastAsia" w:ascii="宋体" w:hAnsi="宋体" w:cs="黑体"/>
          <w:kern w:val="0"/>
          <w:sz w:val="24"/>
        </w:rPr>
        <w:t>活动有关的工作人员不得擅离职守，影响</w:t>
      </w:r>
      <w:r>
        <w:rPr>
          <w:rFonts w:hint="eastAsia" w:asciiTheme="minorEastAsia" w:hAnsiTheme="minorEastAsia"/>
          <w:sz w:val="24"/>
        </w:rPr>
        <w:t>评审与谈判</w:t>
      </w:r>
      <w:r>
        <w:rPr>
          <w:rFonts w:hint="eastAsia" w:ascii="宋体" w:hAnsi="宋体" w:cs="黑体"/>
          <w:kern w:val="0"/>
          <w:sz w:val="24"/>
        </w:rPr>
        <w:t>程序正常进行。</w:t>
      </w:r>
    </w:p>
    <w:p>
      <w:pPr>
        <w:numPr>
          <w:ilvl w:val="1"/>
          <w:numId w:val="5"/>
        </w:numPr>
        <w:autoSpaceDE w:val="0"/>
        <w:autoSpaceDN w:val="0"/>
        <w:adjustRightInd w:val="0"/>
        <w:snapToGrid w:val="0"/>
        <w:spacing w:afterLines="50"/>
        <w:ind w:left="1920" w:hanging="1920" w:hangingChars="800"/>
        <w:rPr>
          <w:rFonts w:ascii="宋体" w:hAnsi="宋体" w:cs="黑体"/>
          <w:kern w:val="0"/>
          <w:sz w:val="24"/>
        </w:rPr>
      </w:pPr>
      <w:bookmarkStart w:id="79" w:name="_Toc195921843"/>
      <w:r>
        <w:rPr>
          <w:rFonts w:hint="eastAsia" w:ascii="宋体" w:hAnsi="宋体" w:cs="黑体"/>
          <w:kern w:val="0"/>
          <w:sz w:val="24"/>
        </w:rPr>
        <w:t>投诉</w:t>
      </w:r>
      <w:bookmarkEnd w:id="79"/>
    </w:p>
    <w:p>
      <w:pPr>
        <w:tabs>
          <w:tab w:val="left" w:pos="1260"/>
        </w:tabs>
        <w:autoSpaceDE w:val="0"/>
        <w:autoSpaceDN w:val="0"/>
        <w:adjustRightInd w:val="0"/>
        <w:snapToGrid w:val="0"/>
        <w:spacing w:afterLines="50"/>
        <w:ind w:left="1134"/>
        <w:rPr>
          <w:rFonts w:ascii="宋体" w:hAnsi="宋体" w:cs="黑体"/>
          <w:kern w:val="0"/>
          <w:sz w:val="24"/>
        </w:rPr>
      </w:pPr>
      <w:r>
        <w:rPr>
          <w:rFonts w:hint="eastAsia" w:ascii="宋体" w:hAnsi="宋体" w:cs="黑体"/>
          <w:kern w:val="0"/>
          <w:sz w:val="24"/>
        </w:rPr>
        <w:t>质疑供应商对采购人、采购代理机构的答复不满意或者采购人、采购代理机构未在规定的时间内作出答复的，可以在答复期满后十五个工作日内向同级政府采购监督管理部门投诉。</w:t>
      </w:r>
    </w:p>
    <w:p>
      <w:pPr>
        <w:numPr>
          <w:ilvl w:val="0"/>
          <w:numId w:val="5"/>
        </w:numPr>
        <w:autoSpaceDE w:val="0"/>
        <w:autoSpaceDN w:val="0"/>
        <w:adjustRightInd w:val="0"/>
        <w:spacing w:afterLines="50"/>
        <w:ind w:left="1134" w:hanging="1134"/>
        <w:outlineLvl w:val="2"/>
        <w:rPr>
          <w:rFonts w:ascii="黑体" w:hAnsi="宋体" w:eastAsia="黑体" w:cs="黑体"/>
          <w:kern w:val="0"/>
          <w:sz w:val="24"/>
        </w:rPr>
      </w:pPr>
      <w:bookmarkStart w:id="80" w:name="_Ref527103019"/>
      <w:bookmarkStart w:id="81" w:name="_Toc195921844"/>
      <w:bookmarkStart w:id="82" w:name="_Toc22104"/>
      <w:bookmarkStart w:id="83" w:name="_Toc13483"/>
      <w:r>
        <w:rPr>
          <w:rFonts w:hint="eastAsia" w:ascii="黑体" w:hAnsi="宋体" w:eastAsia="黑体" w:cs="黑体"/>
          <w:kern w:val="0"/>
          <w:sz w:val="24"/>
        </w:rPr>
        <w:t>其他</w:t>
      </w:r>
      <w:bookmarkEnd w:id="80"/>
      <w:bookmarkEnd w:id="81"/>
      <w:bookmarkEnd w:id="82"/>
      <w:bookmarkEnd w:id="83"/>
    </w:p>
    <w:p>
      <w:pPr>
        <w:tabs>
          <w:tab w:val="left" w:pos="1260"/>
        </w:tabs>
        <w:autoSpaceDE w:val="0"/>
        <w:autoSpaceDN w:val="0"/>
        <w:adjustRightInd w:val="0"/>
        <w:snapToGrid w:val="0"/>
        <w:spacing w:afterLines="50"/>
        <w:ind w:left="1134"/>
        <w:rPr>
          <w:rFonts w:ascii="宋体" w:hAnsi="宋体" w:cs="黑体"/>
          <w:kern w:val="0"/>
          <w:sz w:val="24"/>
        </w:rPr>
      </w:pPr>
      <w:r>
        <w:rPr>
          <w:rFonts w:hint="eastAsia" w:ascii="宋体" w:hAnsi="宋体" w:cs="黑体"/>
          <w:kern w:val="0"/>
          <w:sz w:val="24"/>
        </w:rPr>
        <w:t>需要补充的其他内容见供应商须知前附表。</w:t>
      </w:r>
    </w:p>
    <w:p>
      <w:pPr>
        <w:autoSpaceDE w:val="0"/>
        <w:autoSpaceDN w:val="0"/>
        <w:adjustRightInd w:val="0"/>
        <w:snapToGrid w:val="0"/>
        <w:spacing w:afterLines="50"/>
        <w:jc w:val="center"/>
        <w:outlineLvl w:val="0"/>
        <w:rPr>
          <w:rFonts w:ascii="宋体" w:hAnsi="宋体" w:cs="黑体"/>
          <w:kern w:val="0"/>
          <w:sz w:val="32"/>
          <w:szCs w:val="32"/>
        </w:rPr>
      </w:pPr>
      <w:r>
        <w:br w:type="page"/>
      </w:r>
      <w:bookmarkStart w:id="84" w:name="_Toc195921851"/>
      <w:bookmarkStart w:id="85" w:name="_Toc2762"/>
      <w:r>
        <w:rPr>
          <w:rFonts w:hint="eastAsia" w:ascii="宋体" w:hAnsi="宋体" w:cs="黑体"/>
          <w:kern w:val="0"/>
          <w:sz w:val="32"/>
          <w:szCs w:val="32"/>
        </w:rPr>
        <w:t xml:space="preserve">第三章 </w:t>
      </w:r>
      <w:r>
        <w:rPr>
          <w:rFonts w:hint="eastAsia" w:ascii="宋体" w:hAnsi="宋体" w:cs="黑体"/>
          <w:kern w:val="0"/>
          <w:sz w:val="32"/>
          <w:szCs w:val="32"/>
          <w:lang w:val="en-US" w:eastAsia="zh-CN"/>
        </w:rPr>
        <w:t xml:space="preserve"> </w:t>
      </w:r>
      <w:r>
        <w:rPr>
          <w:rFonts w:hint="eastAsia" w:ascii="宋体" w:hAnsi="宋体" w:cs="黑体"/>
          <w:kern w:val="0"/>
          <w:sz w:val="32"/>
          <w:szCs w:val="32"/>
        </w:rPr>
        <w:t>评审办法</w:t>
      </w:r>
      <w:bookmarkEnd w:id="84"/>
      <w:r>
        <w:rPr>
          <w:rFonts w:hint="eastAsia" w:ascii="宋体" w:hAnsi="宋体" w:cs="黑体"/>
          <w:kern w:val="0"/>
          <w:sz w:val="32"/>
          <w:szCs w:val="32"/>
        </w:rPr>
        <w:t>和标准</w:t>
      </w:r>
      <w:bookmarkEnd w:id="85"/>
    </w:p>
    <w:p>
      <w:pPr>
        <w:numPr>
          <w:ilvl w:val="0"/>
          <w:numId w:val="13"/>
        </w:numPr>
        <w:tabs>
          <w:tab w:val="left" w:pos="1134"/>
          <w:tab w:val="clear" w:pos="1077"/>
        </w:tabs>
        <w:autoSpaceDE w:val="0"/>
        <w:autoSpaceDN w:val="0"/>
        <w:adjustRightInd w:val="0"/>
        <w:snapToGrid w:val="0"/>
        <w:spacing w:afterLines="50"/>
        <w:ind w:left="1134" w:hanging="1134"/>
        <w:jc w:val="left"/>
        <w:outlineLvl w:val="1"/>
        <w:rPr>
          <w:rFonts w:ascii="黑体" w:hAnsi="TimesNewRomanPSMT" w:eastAsia="黑体" w:cs="TimesNewRomanPSMT"/>
          <w:kern w:val="0"/>
          <w:sz w:val="24"/>
        </w:rPr>
      </w:pPr>
      <w:bookmarkStart w:id="86" w:name="_Toc14627"/>
      <w:r>
        <w:rPr>
          <w:rFonts w:hint="eastAsia" w:ascii="黑体" w:hAnsi="TimesNewRomanPSMT" w:eastAsia="黑体" w:cs="TimesNewRomanPSMT"/>
          <w:kern w:val="0"/>
          <w:sz w:val="24"/>
        </w:rPr>
        <w:t>资格审查及符合性审查</w:t>
      </w:r>
      <w:bookmarkEnd w:id="86"/>
    </w:p>
    <w:p>
      <w:pPr>
        <w:numPr>
          <w:ilvl w:val="1"/>
          <w:numId w:val="13"/>
        </w:numPr>
        <w:tabs>
          <w:tab w:val="left" w:pos="1134"/>
        </w:tabs>
        <w:autoSpaceDE w:val="0"/>
        <w:autoSpaceDN w:val="0"/>
        <w:adjustRightInd w:val="0"/>
        <w:snapToGrid w:val="0"/>
        <w:spacing w:afterLines="50"/>
        <w:ind w:left="1077" w:hanging="1077"/>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谈判小组按本章附表一所列审查标准，对供应商资格进行审查，以确定供应商是否具备谈判资格。</w:t>
      </w:r>
    </w:p>
    <w:p>
      <w:pPr>
        <w:numPr>
          <w:ilvl w:val="1"/>
          <w:numId w:val="13"/>
        </w:numPr>
        <w:tabs>
          <w:tab w:val="left" w:pos="1134"/>
        </w:tabs>
        <w:autoSpaceDE w:val="0"/>
        <w:autoSpaceDN w:val="0"/>
        <w:adjustRightInd w:val="0"/>
        <w:snapToGrid w:val="0"/>
        <w:spacing w:afterLines="50"/>
        <w:ind w:left="1077" w:hanging="1077"/>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谈判小组对符合资格要求的供应商按本章附表二进行符合性审查，以确定其是否满足谈判文件的实质性要求。</w:t>
      </w:r>
    </w:p>
    <w:p>
      <w:pPr>
        <w:numPr>
          <w:ilvl w:val="1"/>
          <w:numId w:val="13"/>
        </w:numPr>
        <w:tabs>
          <w:tab w:val="left" w:pos="1134"/>
        </w:tabs>
        <w:autoSpaceDE w:val="0"/>
        <w:autoSpaceDN w:val="0"/>
        <w:adjustRightInd w:val="0"/>
        <w:snapToGrid w:val="0"/>
        <w:spacing w:afterLines="50"/>
        <w:ind w:left="1077" w:hanging="1077"/>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谈判小组在资格审查和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tabs>
          <w:tab w:val="left" w:pos="993"/>
          <w:tab w:val="left" w:pos="1418"/>
        </w:tabs>
        <w:autoSpaceDE w:val="0"/>
        <w:autoSpaceDN w:val="0"/>
        <w:adjustRightInd w:val="0"/>
        <w:snapToGrid w:val="0"/>
        <w:spacing w:before="120" w:afterLines="50"/>
        <w:ind w:left="1050" w:leftChars="500"/>
        <w:jc w:val="left"/>
        <w:rPr>
          <w:rFonts w:ascii="宋体" w:hAnsi="宋体" w:cs="TimesNewRomanPSMT"/>
          <w:kern w:val="0"/>
          <w:sz w:val="24"/>
        </w:rPr>
      </w:pPr>
      <w:r>
        <w:rPr>
          <w:rFonts w:hint="eastAsia" w:ascii="宋体" w:hAnsi="宋体" w:cs="TimesNewRomanPSMT"/>
          <w:kern w:val="0"/>
          <w:sz w:val="24"/>
        </w:rPr>
        <w:t>谈判小组不接受供应商主动提出的澄清、说明或补正。</w:t>
      </w:r>
    </w:p>
    <w:p>
      <w:pPr>
        <w:tabs>
          <w:tab w:val="left" w:pos="993"/>
          <w:tab w:val="left" w:pos="1418"/>
        </w:tabs>
        <w:autoSpaceDE w:val="0"/>
        <w:autoSpaceDN w:val="0"/>
        <w:adjustRightInd w:val="0"/>
        <w:snapToGrid w:val="0"/>
        <w:spacing w:before="120" w:afterLines="50"/>
        <w:ind w:left="1050" w:leftChars="500"/>
        <w:jc w:val="left"/>
        <w:rPr>
          <w:rFonts w:ascii="宋体" w:hAnsi="宋体" w:cs="TimesNewRomanPSMT"/>
          <w:kern w:val="0"/>
          <w:sz w:val="24"/>
        </w:rPr>
      </w:pPr>
      <w:r>
        <w:rPr>
          <w:rFonts w:hint="eastAsia" w:ascii="宋体" w:hAnsi="宋体" w:cs="TimesNewRomanPSMT"/>
          <w:kern w:val="0"/>
          <w:sz w:val="24"/>
        </w:rPr>
        <w:t>供应商的书面澄清、说明和补正属于响应文件的组成部分。</w:t>
      </w:r>
    </w:p>
    <w:p>
      <w:pPr>
        <w:tabs>
          <w:tab w:val="left" w:pos="993"/>
          <w:tab w:val="left" w:pos="1418"/>
        </w:tabs>
        <w:autoSpaceDE w:val="0"/>
        <w:autoSpaceDN w:val="0"/>
        <w:adjustRightInd w:val="0"/>
        <w:snapToGrid w:val="0"/>
        <w:spacing w:before="120" w:afterLines="50"/>
        <w:ind w:left="1050" w:leftChars="500"/>
        <w:jc w:val="left"/>
        <w:rPr>
          <w:rFonts w:ascii="宋体" w:hAnsi="宋体" w:cs="TimesNewRomanPSMT"/>
          <w:kern w:val="0"/>
          <w:sz w:val="24"/>
        </w:rPr>
      </w:pPr>
      <w:r>
        <w:rPr>
          <w:rFonts w:hint="eastAsia" w:ascii="宋体" w:hAnsi="宋体" w:cs="TimesNewRomanPSMT"/>
          <w:kern w:val="0"/>
          <w:sz w:val="24"/>
        </w:rPr>
        <w:t>谈判小组对供应商提交的澄清、说明或补正有疑问的，可以要求供应商进一步澄清、说明或补正，直至满足谈判小组的要求。</w:t>
      </w:r>
    </w:p>
    <w:p>
      <w:pPr>
        <w:numPr>
          <w:ilvl w:val="1"/>
          <w:numId w:val="13"/>
        </w:numPr>
        <w:tabs>
          <w:tab w:val="left" w:pos="1134"/>
        </w:tabs>
        <w:autoSpaceDE w:val="0"/>
        <w:autoSpaceDN w:val="0"/>
        <w:adjustRightInd w:val="0"/>
        <w:snapToGrid w:val="0"/>
        <w:spacing w:afterLines="50"/>
        <w:ind w:left="1077" w:hanging="1077"/>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不具备谈判文件要求的资格或未通过符合性审查的供应商，不参与谈判，由谈判小组告知该供应商。</w:t>
      </w:r>
    </w:p>
    <w:p>
      <w:pPr>
        <w:numPr>
          <w:ilvl w:val="1"/>
          <w:numId w:val="13"/>
        </w:numPr>
        <w:tabs>
          <w:tab w:val="left" w:pos="1134"/>
        </w:tabs>
        <w:autoSpaceDE w:val="0"/>
        <w:autoSpaceDN w:val="0"/>
        <w:adjustRightInd w:val="0"/>
        <w:snapToGrid w:val="0"/>
        <w:spacing w:afterLines="50"/>
        <w:ind w:left="1077" w:hanging="1077"/>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通过资格审查和符合性审查的合格供应商不足3家的，不再进行评审和谈判。</w:t>
      </w:r>
    </w:p>
    <w:p>
      <w:pPr>
        <w:numPr>
          <w:ilvl w:val="0"/>
          <w:numId w:val="13"/>
        </w:numPr>
        <w:tabs>
          <w:tab w:val="left" w:pos="1134"/>
          <w:tab w:val="clear" w:pos="1077"/>
        </w:tabs>
        <w:autoSpaceDE w:val="0"/>
        <w:autoSpaceDN w:val="0"/>
        <w:adjustRightInd w:val="0"/>
        <w:snapToGrid w:val="0"/>
        <w:spacing w:afterLines="50"/>
        <w:ind w:left="1134" w:hanging="1134"/>
        <w:jc w:val="left"/>
        <w:outlineLvl w:val="1"/>
        <w:rPr>
          <w:rFonts w:ascii="黑体" w:hAnsi="TimesNewRomanPSMT" w:eastAsia="黑体" w:cs="TimesNewRomanPSMT"/>
          <w:kern w:val="0"/>
          <w:sz w:val="24"/>
        </w:rPr>
      </w:pPr>
      <w:bookmarkStart w:id="87" w:name="_Toc12967"/>
      <w:r>
        <w:rPr>
          <w:rFonts w:hint="eastAsia" w:ascii="黑体" w:hAnsi="TimesNewRomanPSMT" w:eastAsia="黑体" w:cs="TimesNewRomanPSMT"/>
          <w:kern w:val="0"/>
          <w:sz w:val="24"/>
        </w:rPr>
        <w:t>谈判</w:t>
      </w:r>
      <w:bookmarkEnd w:id="87"/>
    </w:p>
    <w:p>
      <w:pPr>
        <w:numPr>
          <w:ilvl w:val="1"/>
          <w:numId w:val="13"/>
        </w:numPr>
        <w:tabs>
          <w:tab w:val="left" w:pos="1134"/>
        </w:tabs>
        <w:autoSpaceDE w:val="0"/>
        <w:autoSpaceDN w:val="0"/>
        <w:adjustRightInd w:val="0"/>
        <w:snapToGrid w:val="0"/>
        <w:spacing w:afterLines="50"/>
        <w:ind w:left="1077" w:hanging="1077"/>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谈判小组所有成员集中与单一供应商分别进行谈判，并给予所有参加谈判的供应商平等的谈判机会。</w:t>
      </w:r>
    </w:p>
    <w:p>
      <w:pPr>
        <w:numPr>
          <w:ilvl w:val="1"/>
          <w:numId w:val="13"/>
        </w:numPr>
        <w:tabs>
          <w:tab w:val="left" w:pos="1134"/>
        </w:tabs>
        <w:autoSpaceDE w:val="0"/>
        <w:autoSpaceDN w:val="0"/>
        <w:adjustRightInd w:val="0"/>
        <w:snapToGrid w:val="0"/>
        <w:spacing w:afterLines="50"/>
        <w:ind w:left="1077" w:hanging="1077"/>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谈判过程中，谈判小组可以根据与供应商的谈判情况，在不违反相关法律法规、强制性标准、规范情况下，并经采购人代表同意后，对谈判文件的技术标准、拟签订合同的部分条款进行变动。变动内容是谈判文件的有效组成部分，谈判小组以书面形式通知所有参加谈判的供应商。</w:t>
      </w:r>
    </w:p>
    <w:p>
      <w:pPr>
        <w:numPr>
          <w:ilvl w:val="1"/>
          <w:numId w:val="13"/>
        </w:numPr>
        <w:tabs>
          <w:tab w:val="left" w:pos="1134"/>
        </w:tabs>
        <w:autoSpaceDE w:val="0"/>
        <w:autoSpaceDN w:val="0"/>
        <w:adjustRightInd w:val="0"/>
        <w:snapToGrid w:val="0"/>
        <w:spacing w:afterLines="50"/>
        <w:ind w:left="1077" w:hanging="1077"/>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谈判结束后，谈判小组可以要求所有继续参加谈判的供应商在规定时间内提交最后报价函，提交最后报价函的供应商不得少于3家。</w:t>
      </w:r>
    </w:p>
    <w:p>
      <w:pPr>
        <w:numPr>
          <w:ilvl w:val="0"/>
          <w:numId w:val="13"/>
        </w:numPr>
        <w:tabs>
          <w:tab w:val="left" w:pos="1134"/>
          <w:tab w:val="clear" w:pos="1077"/>
        </w:tabs>
        <w:autoSpaceDE w:val="0"/>
        <w:autoSpaceDN w:val="0"/>
        <w:adjustRightInd w:val="0"/>
        <w:snapToGrid w:val="0"/>
        <w:spacing w:afterLines="50"/>
        <w:ind w:left="1134" w:hanging="1134"/>
        <w:jc w:val="left"/>
        <w:outlineLvl w:val="1"/>
        <w:rPr>
          <w:rFonts w:ascii="黑体" w:hAnsi="TimesNewRomanPSMT" w:eastAsia="黑体" w:cs="TimesNewRomanPSMT"/>
          <w:kern w:val="0"/>
          <w:sz w:val="24"/>
        </w:rPr>
      </w:pPr>
      <w:bookmarkStart w:id="88" w:name="_Toc13410"/>
      <w:r>
        <w:rPr>
          <w:rFonts w:hint="eastAsia" w:ascii="黑体" w:hAnsi="TimesNewRomanPSMT" w:eastAsia="黑体" w:cs="TimesNewRomanPSMT"/>
          <w:kern w:val="0"/>
          <w:sz w:val="24"/>
        </w:rPr>
        <w:t>评审</w:t>
      </w:r>
      <w:bookmarkEnd w:id="88"/>
    </w:p>
    <w:p>
      <w:pPr>
        <w:numPr>
          <w:ilvl w:val="1"/>
          <w:numId w:val="13"/>
        </w:numPr>
        <w:tabs>
          <w:tab w:val="left" w:pos="1134"/>
        </w:tabs>
        <w:autoSpaceDE w:val="0"/>
        <w:autoSpaceDN w:val="0"/>
        <w:adjustRightInd w:val="0"/>
        <w:snapToGrid w:val="0"/>
        <w:spacing w:afterLines="50"/>
        <w:ind w:left="1077" w:hanging="1077"/>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报价评审</w:t>
      </w:r>
    </w:p>
    <w:p>
      <w:pPr>
        <w:numPr>
          <w:ilvl w:val="2"/>
          <w:numId w:val="13"/>
        </w:numPr>
        <w:tabs>
          <w:tab w:val="left" w:pos="1134"/>
          <w:tab w:val="left" w:pos="1843"/>
        </w:tabs>
        <w:autoSpaceDE w:val="0"/>
        <w:autoSpaceDN w:val="0"/>
        <w:adjustRightInd w:val="0"/>
        <w:snapToGrid w:val="0"/>
        <w:spacing w:afterLines="50"/>
        <w:ind w:left="1134" w:hanging="1134"/>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谈判小组发现供应商的最后报价明显低于其他供应商的最后报价或者明显低于预算价或最高限价，有可能影响工程质量和不能诚信履约的，应当要求其在规定的期限内提供书面文件予以解释说明，并提交相关证明材料。该供应商</w:t>
      </w:r>
      <w:r>
        <w:rPr>
          <w:rFonts w:hint="eastAsia" w:ascii="宋体" w:hAnsi="宋体" w:cs="黑体"/>
          <w:kern w:val="0"/>
          <w:sz w:val="24"/>
        </w:rPr>
        <w:t>不能合理说明或者不能提供相应证明材料的，</w:t>
      </w:r>
      <w:r>
        <w:rPr>
          <w:rFonts w:hint="eastAsia" w:cs="TimesNewRomanPSMT" w:asciiTheme="minorEastAsia" w:hAnsiTheme="minorEastAsia" w:eastAsiaTheme="minorEastAsia"/>
          <w:kern w:val="0"/>
          <w:sz w:val="24"/>
        </w:rPr>
        <w:t>谈判小组可以取消其谈判资格。</w:t>
      </w:r>
    </w:p>
    <w:p>
      <w:pPr>
        <w:numPr>
          <w:ilvl w:val="2"/>
          <w:numId w:val="13"/>
        </w:numPr>
        <w:tabs>
          <w:tab w:val="left" w:pos="1134"/>
          <w:tab w:val="left" w:pos="1843"/>
        </w:tabs>
        <w:autoSpaceDE w:val="0"/>
        <w:autoSpaceDN w:val="0"/>
        <w:adjustRightInd w:val="0"/>
        <w:snapToGrid w:val="0"/>
        <w:spacing w:afterLines="50"/>
        <w:ind w:left="1134" w:hanging="1134"/>
        <w:jc w:val="left"/>
        <w:rPr>
          <w:rFonts w:cs="TimesNewRomanPSMT" w:asciiTheme="minorEastAsia" w:hAnsiTheme="minorEastAsia" w:eastAsiaTheme="minorEastAsia"/>
          <w:kern w:val="0"/>
          <w:sz w:val="24"/>
        </w:rPr>
      </w:pPr>
      <w:bookmarkStart w:id="89" w:name="_Ref526928181"/>
      <w:r>
        <w:rPr>
          <w:rFonts w:hint="eastAsia" w:cs="TimesNewRomanPSMT" w:asciiTheme="minorEastAsia" w:hAnsiTheme="minorEastAsia" w:eastAsiaTheme="minorEastAsia"/>
          <w:kern w:val="0"/>
          <w:sz w:val="24"/>
        </w:rPr>
        <w:t>根据《政府采购促进中小企业发展暂行办法》（财库[2011]181号）调整供应商参与评审的价格。（非专门面向中小企业的项目）</w:t>
      </w:r>
      <w:bookmarkEnd w:id="89"/>
    </w:p>
    <w:p>
      <w:pPr>
        <w:tabs>
          <w:tab w:val="left" w:pos="1134"/>
          <w:tab w:val="left" w:pos="1260"/>
          <w:tab w:val="left" w:pos="1418"/>
          <w:tab w:val="left" w:pos="1800"/>
        </w:tabs>
        <w:autoSpaceDE w:val="0"/>
        <w:autoSpaceDN w:val="0"/>
        <w:adjustRightInd w:val="0"/>
        <w:snapToGrid w:val="0"/>
        <w:spacing w:before="120" w:afterLines="50"/>
        <w:ind w:left="1134" w:leftChars="540"/>
        <w:rPr>
          <w:rFonts w:cs="宋体" w:asciiTheme="minorEastAsia" w:hAnsiTheme="minorEastAsia" w:eastAsiaTheme="minorEastAsia"/>
          <w:sz w:val="24"/>
        </w:rPr>
      </w:pPr>
      <w:r>
        <w:rPr>
          <w:rFonts w:hint="eastAsia" w:cs="宋体" w:asciiTheme="minorEastAsia" w:hAnsiTheme="minorEastAsia" w:eastAsiaTheme="minorEastAsia"/>
          <w:sz w:val="24"/>
        </w:rPr>
        <w:t>对小型和微型企业产品的价格给予 6%（6%至10%）的扣除。或小型、微型企业的协议合同金额占到联合体协议合同总金额30%以上的，可给予联合体 2 %（2%至3%）的价格扣除。</w:t>
      </w:r>
    </w:p>
    <w:p>
      <w:pPr>
        <w:tabs>
          <w:tab w:val="left" w:pos="1134"/>
          <w:tab w:val="left" w:pos="1260"/>
          <w:tab w:val="left" w:pos="1418"/>
          <w:tab w:val="left" w:pos="1800"/>
        </w:tabs>
        <w:autoSpaceDE w:val="0"/>
        <w:autoSpaceDN w:val="0"/>
        <w:adjustRightInd w:val="0"/>
        <w:snapToGrid w:val="0"/>
        <w:spacing w:before="120" w:afterLines="50"/>
        <w:ind w:left="1134" w:leftChars="540"/>
        <w:rPr>
          <w:rFonts w:cs="宋体" w:asciiTheme="minorEastAsia" w:hAnsiTheme="minorEastAsia" w:eastAsiaTheme="minorEastAsia"/>
          <w:sz w:val="24"/>
        </w:rPr>
      </w:pPr>
      <w:r>
        <w:rPr>
          <w:rFonts w:hint="eastAsia" w:cs="宋体" w:asciiTheme="minorEastAsia" w:hAnsiTheme="minorEastAsia" w:eastAsiaTheme="minorEastAsia"/>
          <w:sz w:val="24"/>
        </w:rPr>
        <w:t>注：监狱企业、残疾人福利性单位视同小微企业；残疾人福利性单位属于小型、微型企业的，不重复享受政策。</w:t>
      </w:r>
    </w:p>
    <w:p>
      <w:pPr>
        <w:numPr>
          <w:ilvl w:val="1"/>
          <w:numId w:val="13"/>
        </w:numPr>
        <w:tabs>
          <w:tab w:val="left" w:pos="1134"/>
        </w:tabs>
        <w:autoSpaceDE w:val="0"/>
        <w:autoSpaceDN w:val="0"/>
        <w:adjustRightInd w:val="0"/>
        <w:snapToGrid w:val="0"/>
        <w:spacing w:afterLines="50"/>
        <w:ind w:left="1077" w:hanging="1077"/>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评审结果</w:t>
      </w:r>
    </w:p>
    <w:p>
      <w:pPr>
        <w:tabs>
          <w:tab w:val="left" w:pos="1134"/>
          <w:tab w:val="left" w:pos="1260"/>
          <w:tab w:val="left" w:pos="1418"/>
          <w:tab w:val="left" w:pos="1800"/>
        </w:tabs>
        <w:autoSpaceDE w:val="0"/>
        <w:autoSpaceDN w:val="0"/>
        <w:adjustRightInd w:val="0"/>
        <w:snapToGrid w:val="0"/>
        <w:spacing w:before="120" w:afterLines="50"/>
        <w:ind w:left="1134" w:leftChars="540"/>
        <w:rPr>
          <w:rFonts w:cs="宋体" w:asciiTheme="minorEastAsia" w:hAnsiTheme="minorEastAsia" w:eastAsiaTheme="minorEastAsia"/>
          <w:sz w:val="24"/>
        </w:rPr>
      </w:pPr>
      <w:r>
        <w:rPr>
          <w:rFonts w:hint="eastAsia" w:ascii="宋体" w:hAnsi="宋体" w:cs="TimesNewRomanPSMT"/>
          <w:kern w:val="0"/>
          <w:sz w:val="24"/>
        </w:rPr>
        <w:t>除第二章供应商须知前附表授权直接确定成交供应商外,</w:t>
      </w:r>
      <w:r>
        <w:rPr>
          <w:rFonts w:hint="eastAsia" w:cs="宋体" w:asciiTheme="minorEastAsia" w:hAnsiTheme="minorEastAsia" w:eastAsiaTheme="minorEastAsia"/>
          <w:sz w:val="24"/>
        </w:rPr>
        <w:t>谈判小组应当从质量和服务均能满足采购文件实质性响应要求的供应商中，按照第</w:t>
      </w:r>
      <w:r>
        <w:fldChar w:fldCharType="begin"/>
      </w:r>
      <w:r>
        <w:instrText xml:space="preserve"> REF _Ref526928181 \r \h  \* MERGEFORMAT </w:instrText>
      </w:r>
      <w:r>
        <w:fldChar w:fldCharType="separate"/>
      </w:r>
      <w:r>
        <w:rPr>
          <w:rFonts w:cs="宋体" w:asciiTheme="minorEastAsia" w:hAnsiTheme="minorEastAsia" w:eastAsiaTheme="minorEastAsia"/>
          <w:sz w:val="24"/>
        </w:rPr>
        <w:t>3.1.2</w:t>
      </w:r>
      <w:r>
        <w:rPr>
          <w:rFonts w:cs="宋体" w:asciiTheme="minorEastAsia" w:hAnsiTheme="minorEastAsia" w:eastAsiaTheme="minorEastAsia"/>
          <w:sz w:val="24"/>
        </w:rPr>
        <w:fldChar w:fldCharType="end"/>
      </w:r>
      <w:r>
        <w:rPr>
          <w:rFonts w:hint="eastAsia" w:cs="宋体" w:asciiTheme="minorEastAsia" w:hAnsiTheme="minorEastAsia" w:eastAsiaTheme="minorEastAsia"/>
          <w:sz w:val="24"/>
        </w:rPr>
        <w:t>项调整后的最后报价由低到高的顺序提出3名以上成交候选人，并编写评审报告。</w:t>
      </w:r>
    </w:p>
    <w:p>
      <w:pPr>
        <w:tabs>
          <w:tab w:val="left" w:pos="1134"/>
          <w:tab w:val="left" w:pos="1260"/>
          <w:tab w:val="left" w:pos="1418"/>
          <w:tab w:val="left" w:pos="1800"/>
        </w:tabs>
        <w:autoSpaceDE w:val="0"/>
        <w:autoSpaceDN w:val="0"/>
        <w:adjustRightInd w:val="0"/>
        <w:snapToGrid w:val="0"/>
        <w:spacing w:before="120" w:afterLines="50"/>
        <w:ind w:left="1134" w:leftChars="540"/>
        <w:rPr>
          <w:rFonts w:cs="宋体" w:asciiTheme="minorEastAsia" w:hAnsiTheme="minorEastAsia" w:eastAsiaTheme="minorEastAsia"/>
          <w:sz w:val="24"/>
          <w:lang w:val="en-GB"/>
        </w:rPr>
      </w:pPr>
      <w:r>
        <w:rPr>
          <w:rFonts w:hint="eastAsia" w:cs="宋体" w:asciiTheme="minorEastAsia" w:hAnsiTheme="minorEastAsia" w:eastAsiaTheme="minorEastAsia"/>
          <w:sz w:val="24"/>
          <w:lang w:val="en-GB"/>
        </w:rPr>
        <w:t>若两家及以上供应商在最后轮次报价中相同的，以工期较短者排序在前，工期也相同的、由谈判小组抽签确定。</w:t>
      </w:r>
    </w:p>
    <w:p>
      <w:pPr>
        <w:tabs>
          <w:tab w:val="left" w:pos="1134"/>
          <w:tab w:val="left" w:pos="1260"/>
          <w:tab w:val="left" w:pos="1418"/>
          <w:tab w:val="left" w:pos="1800"/>
        </w:tabs>
        <w:autoSpaceDE w:val="0"/>
        <w:autoSpaceDN w:val="0"/>
        <w:adjustRightInd w:val="0"/>
        <w:snapToGrid w:val="0"/>
        <w:spacing w:before="120" w:afterLines="50"/>
        <w:ind w:left="1134" w:leftChars="540"/>
        <w:rPr>
          <w:rFonts w:ascii="宋体" w:hAnsi="宋体" w:cs="TimesNewRomanPSMT"/>
          <w:kern w:val="0"/>
          <w:sz w:val="24"/>
        </w:rPr>
      </w:pPr>
    </w:p>
    <w:p>
      <w:pPr>
        <w:tabs>
          <w:tab w:val="left" w:pos="-94"/>
          <w:tab w:val="left" w:pos="428"/>
        </w:tabs>
        <w:adjustRightInd w:val="0"/>
        <w:spacing w:line="360" w:lineRule="auto"/>
        <w:ind w:left="23" w:leftChars="11"/>
        <w:jc w:val="center"/>
        <w:textAlignment w:val="baseline"/>
        <w:outlineLvl w:val="1"/>
        <w:rPr>
          <w:b/>
          <w:sz w:val="28"/>
          <w:szCs w:val="28"/>
          <w:highlight w:val="none"/>
        </w:rPr>
      </w:pPr>
      <w:r>
        <w:br w:type="page"/>
      </w:r>
      <w:bookmarkStart w:id="90" w:name="_Toc410631196"/>
      <w:bookmarkStart w:id="91" w:name="_Toc12432"/>
      <w:bookmarkStart w:id="92" w:name="_Toc414446032"/>
      <w:r>
        <w:rPr>
          <w:rFonts w:hint="eastAsia"/>
          <w:b/>
          <w:sz w:val="28"/>
          <w:szCs w:val="28"/>
          <w:highlight w:val="none"/>
        </w:rPr>
        <w:t>附表一</w:t>
      </w:r>
      <w:r>
        <w:rPr>
          <w:rFonts w:hint="eastAsia"/>
          <w:b/>
          <w:sz w:val="28"/>
          <w:szCs w:val="28"/>
          <w:highlight w:val="none"/>
          <w:lang w:val="en-US" w:eastAsia="zh-CN"/>
        </w:rPr>
        <w:t xml:space="preserve">  </w:t>
      </w:r>
      <w:r>
        <w:rPr>
          <w:rFonts w:hint="eastAsia"/>
          <w:b/>
          <w:sz w:val="28"/>
          <w:szCs w:val="28"/>
          <w:highlight w:val="none"/>
        </w:rPr>
        <w:t>资格审查表</w:t>
      </w:r>
      <w:bookmarkEnd w:id="90"/>
      <w:bookmarkEnd w:id="91"/>
      <w:bookmarkEnd w:id="92"/>
    </w:p>
    <w:tbl>
      <w:tblPr>
        <w:tblStyle w:val="87"/>
        <w:tblW w:w="9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991"/>
        <w:gridCol w:w="4020"/>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b/>
                <w:szCs w:val="21"/>
                <w:highlight w:val="none"/>
              </w:rPr>
            </w:pPr>
            <w:r>
              <w:rPr>
                <w:rFonts w:asciiTheme="minorEastAsia" w:hAnsiTheme="minorEastAsia" w:eastAsiaTheme="minorEastAsia"/>
                <w:b/>
                <w:szCs w:val="21"/>
                <w:highlight w:val="none"/>
              </w:rPr>
              <w:t>序号</w:t>
            </w:r>
          </w:p>
        </w:tc>
        <w:tc>
          <w:tcPr>
            <w:tcW w:w="2991" w:type="dxa"/>
            <w:vAlign w:val="center"/>
          </w:tcPr>
          <w:p>
            <w:pPr>
              <w:snapToGrid w:val="0"/>
              <w:jc w:val="center"/>
              <w:rPr>
                <w:rFonts w:asciiTheme="minorEastAsia" w:hAnsiTheme="minorEastAsia" w:eastAsiaTheme="minorEastAsia"/>
                <w:b/>
                <w:szCs w:val="21"/>
                <w:highlight w:val="none"/>
              </w:rPr>
            </w:pPr>
            <w:r>
              <w:rPr>
                <w:rFonts w:asciiTheme="minorEastAsia" w:hAnsiTheme="minorEastAsia" w:eastAsiaTheme="minorEastAsia"/>
                <w:b/>
                <w:szCs w:val="21"/>
                <w:highlight w:val="none"/>
              </w:rPr>
              <w:t>评审内容</w:t>
            </w:r>
          </w:p>
        </w:tc>
        <w:tc>
          <w:tcPr>
            <w:tcW w:w="4020" w:type="dxa"/>
            <w:vAlign w:val="center"/>
          </w:tcPr>
          <w:p>
            <w:pPr>
              <w:snapToGrid w:val="0"/>
              <w:jc w:val="center"/>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评审合格标准</w:t>
            </w:r>
          </w:p>
        </w:tc>
        <w:tc>
          <w:tcPr>
            <w:tcW w:w="1499" w:type="dxa"/>
            <w:vAlign w:val="center"/>
          </w:tcPr>
          <w:p>
            <w:pPr>
              <w:snapToGrid w:val="0"/>
              <w:jc w:val="center"/>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b/>
                <w:szCs w:val="21"/>
                <w:highlight w:val="none"/>
              </w:rPr>
            </w:pPr>
            <w:r>
              <w:rPr>
                <w:rFonts w:hint="eastAsia" w:asciiTheme="minorEastAsia" w:hAnsiTheme="minorEastAsia" w:eastAsiaTheme="minorEastAsia"/>
                <w:szCs w:val="21"/>
                <w:highlight w:val="none"/>
              </w:rPr>
              <w:t>1</w:t>
            </w:r>
          </w:p>
        </w:tc>
        <w:tc>
          <w:tcPr>
            <w:tcW w:w="2991" w:type="dxa"/>
            <w:vAlign w:val="center"/>
          </w:tcPr>
          <w:p>
            <w:pPr>
              <w:snapToGrid w:val="0"/>
              <w:jc w:val="left"/>
              <w:rPr>
                <w:rFonts w:asciiTheme="minorEastAsia" w:hAnsiTheme="minorEastAsia" w:eastAsiaTheme="minorEastAsia"/>
                <w:b/>
                <w:szCs w:val="21"/>
                <w:highlight w:val="none"/>
              </w:rPr>
            </w:pPr>
            <w:r>
              <w:rPr>
                <w:rFonts w:hint="eastAsia" w:asciiTheme="minorEastAsia" w:hAnsiTheme="minorEastAsia" w:eastAsiaTheme="minorEastAsia"/>
                <w:szCs w:val="21"/>
                <w:highlight w:val="none"/>
              </w:rPr>
              <w:t>供应商名称</w:t>
            </w:r>
          </w:p>
        </w:tc>
        <w:tc>
          <w:tcPr>
            <w:tcW w:w="4020" w:type="dxa"/>
            <w:vAlign w:val="center"/>
          </w:tcPr>
          <w:p>
            <w:pPr>
              <w:snapToGrid w:val="0"/>
              <w:jc w:val="left"/>
              <w:rPr>
                <w:rFonts w:asciiTheme="minorEastAsia" w:hAnsiTheme="minorEastAsia" w:eastAsiaTheme="minorEastAsia"/>
                <w:b/>
                <w:szCs w:val="21"/>
                <w:highlight w:val="none"/>
              </w:rPr>
            </w:pPr>
            <w:r>
              <w:rPr>
                <w:rFonts w:hint="eastAsia" w:asciiTheme="minorEastAsia" w:hAnsiTheme="minorEastAsia" w:eastAsiaTheme="minorEastAsia"/>
                <w:szCs w:val="21"/>
                <w:highlight w:val="none"/>
              </w:rPr>
              <w:t>与报名的营业执照一致（符合法定工商变更程序除外）；</w:t>
            </w:r>
          </w:p>
        </w:tc>
        <w:tc>
          <w:tcPr>
            <w:tcW w:w="1499" w:type="dxa"/>
            <w:vAlign w:val="center"/>
          </w:tcPr>
          <w:p>
            <w:pPr>
              <w:snapToGrid w:val="0"/>
              <w:jc w:val="center"/>
              <w:rPr>
                <w:rFonts w:asciiTheme="minorEastAsia" w:hAnsiTheme="minorEastAsia" w:eastAsiaTheme="minorEastAsia"/>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w:t>
            </w:r>
          </w:p>
        </w:tc>
        <w:tc>
          <w:tcPr>
            <w:tcW w:w="2991" w:type="dxa"/>
            <w:vAlign w:val="center"/>
          </w:tcPr>
          <w:p>
            <w:pPr>
              <w:snapToGrid w:val="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具有独立承担民事责任的能力</w:t>
            </w:r>
          </w:p>
        </w:tc>
        <w:tc>
          <w:tcPr>
            <w:tcW w:w="4020" w:type="dxa"/>
          </w:tcPr>
          <w:p>
            <w:pPr>
              <w:snapToGrid w:val="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提供了</w:t>
            </w:r>
            <w:r>
              <w:rPr>
                <w:rFonts w:hint="eastAsia" w:asciiTheme="minorEastAsia" w:hAnsiTheme="minorEastAsia" w:eastAsiaTheme="minorEastAsia"/>
                <w:szCs w:val="21"/>
                <w:highlight w:val="none"/>
              </w:rPr>
              <w:t>有效的</w:t>
            </w:r>
            <w:r>
              <w:rPr>
                <w:rFonts w:cs="宋体" w:asciiTheme="minorEastAsia" w:hAnsiTheme="minorEastAsia" w:eastAsiaTheme="minorEastAsia"/>
                <w:szCs w:val="21"/>
                <w:highlight w:val="none"/>
              </w:rPr>
              <w:t>法人或者其他组织的营业执照等证明文件，自然人的身份证明</w:t>
            </w:r>
          </w:p>
        </w:tc>
        <w:tc>
          <w:tcPr>
            <w:tcW w:w="1499" w:type="dxa"/>
            <w:vAlign w:val="center"/>
          </w:tcPr>
          <w:p>
            <w:pPr>
              <w:snapToGrid w:val="0"/>
              <w:jc w:val="center"/>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p>
        </w:tc>
        <w:tc>
          <w:tcPr>
            <w:tcW w:w="2991" w:type="dxa"/>
            <w:vAlign w:val="center"/>
          </w:tcPr>
          <w:p>
            <w:pPr>
              <w:snapToGrid w:val="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具有健全的财务会计制度</w:t>
            </w:r>
          </w:p>
        </w:tc>
        <w:tc>
          <w:tcPr>
            <w:tcW w:w="4020" w:type="dxa"/>
          </w:tcPr>
          <w:p>
            <w:pPr>
              <w:snapToGrid w:val="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提供了满足谈判文件要求的经审计的财务报表</w:t>
            </w:r>
          </w:p>
        </w:tc>
        <w:tc>
          <w:tcPr>
            <w:tcW w:w="1499" w:type="dxa"/>
            <w:vAlign w:val="center"/>
          </w:tcPr>
          <w:p>
            <w:pPr>
              <w:snapToGrid w:val="0"/>
              <w:jc w:val="center"/>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2991" w:type="dxa"/>
            <w:vAlign w:val="center"/>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具有履行合同所必需的设备和专业技术能力</w:t>
            </w:r>
          </w:p>
        </w:tc>
        <w:tc>
          <w:tcPr>
            <w:tcW w:w="4020" w:type="dxa"/>
          </w:tcPr>
          <w:p>
            <w:pPr>
              <w:snapToGrid w:val="0"/>
              <w:jc w:val="left"/>
              <w:rPr>
                <w:rFonts w:asciiTheme="minorEastAsia" w:hAnsiTheme="minorEastAsia" w:eastAsiaTheme="minorEastAsia"/>
                <w:szCs w:val="21"/>
              </w:rPr>
            </w:pPr>
            <w:r>
              <w:rPr>
                <w:rFonts w:asciiTheme="minorEastAsia" w:hAnsiTheme="minorEastAsia" w:eastAsiaTheme="minorEastAsia"/>
                <w:szCs w:val="21"/>
              </w:rPr>
              <w:t>提供了可充分满足履行合同所需设备和专业技术能力的证明材料</w:t>
            </w:r>
            <w:r>
              <w:rPr>
                <w:rFonts w:hint="eastAsia" w:asciiTheme="minorEastAsia" w:hAnsiTheme="minorEastAsia" w:eastAsiaTheme="minorEastAsia"/>
                <w:szCs w:val="21"/>
              </w:rPr>
              <w:t>或承诺</w:t>
            </w:r>
          </w:p>
        </w:tc>
        <w:tc>
          <w:tcPr>
            <w:tcW w:w="1499" w:type="dxa"/>
            <w:vAlign w:val="center"/>
          </w:tcPr>
          <w:p>
            <w:pPr>
              <w:snapToGrid w:val="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2991" w:type="dxa"/>
            <w:vAlign w:val="center"/>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有依法缴纳税收和社会保障资金的良好记录</w:t>
            </w:r>
          </w:p>
        </w:tc>
        <w:tc>
          <w:tcPr>
            <w:tcW w:w="4020" w:type="dxa"/>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1.提供了谈判文件要求时间内的缴纳增值税和企业所得税的凭证（银行出具的缴税凭证或税务机关出具的证明的复印件，并加盖本单位公章）或免税证明（复印件加盖公章）。</w:t>
            </w:r>
          </w:p>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2. 提供了谈判文件要求时间内的社会保障资金缴纳记录（专用收据或社会保险缴纳清单）或免缴纳证明（复印件加盖公章）</w:t>
            </w:r>
          </w:p>
        </w:tc>
        <w:tc>
          <w:tcPr>
            <w:tcW w:w="1499" w:type="dxa"/>
            <w:vAlign w:val="center"/>
          </w:tcPr>
          <w:p>
            <w:pPr>
              <w:snapToGrid w:val="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2991" w:type="dxa"/>
            <w:vAlign w:val="center"/>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参加政府采购活动前三年内，在经营活动中没有重大违法记录</w:t>
            </w:r>
          </w:p>
        </w:tc>
        <w:tc>
          <w:tcPr>
            <w:tcW w:w="4020" w:type="dxa"/>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提供了有效的参加政府采购活动前3年内在经营活动中没有重大违法记录的书面声明</w:t>
            </w:r>
          </w:p>
        </w:tc>
        <w:tc>
          <w:tcPr>
            <w:tcW w:w="1499" w:type="dxa"/>
            <w:vAlign w:val="center"/>
          </w:tcPr>
          <w:p>
            <w:pPr>
              <w:snapToGrid w:val="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2991" w:type="dxa"/>
            <w:vAlign w:val="center"/>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“信用中国”网站和中国政府采购网（www.ccgp.gov.cn）查询记录</w:t>
            </w:r>
          </w:p>
        </w:tc>
        <w:tc>
          <w:tcPr>
            <w:tcW w:w="4020" w:type="dxa"/>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未被“信用中国”网站（</w:t>
            </w:r>
            <w:r>
              <w:fldChar w:fldCharType="begin"/>
            </w:r>
            <w:r>
              <w:instrText xml:space="preserve"> HYPERLINK "http://www.creditchina.gov.cn）中列入失信被执行人和/" </w:instrText>
            </w:r>
            <w:r>
              <w:fldChar w:fldCharType="separate"/>
            </w:r>
            <w:r>
              <w:rPr>
                <w:rFonts w:hint="eastAsia" w:asciiTheme="minorEastAsia" w:hAnsiTheme="minorEastAsia" w:eastAsiaTheme="minorEastAsia"/>
                <w:szCs w:val="21"/>
              </w:rPr>
              <w:t>www.creditchina.gov.cn）中列入失信被执行人和/</w:t>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或重大税收违法案件当事人名单的供应商、未被中国政府采购网（www.ccgp.gov.cn）列入政府采购严重违法失信行为记录名单中被财政部门禁止参加政府采购活动的供应商（处罚决定规定的时间和地域范围内）</w:t>
            </w:r>
          </w:p>
        </w:tc>
        <w:tc>
          <w:tcPr>
            <w:tcW w:w="1499" w:type="dxa"/>
            <w:vAlign w:val="center"/>
          </w:tcPr>
          <w:p>
            <w:pPr>
              <w:snapToGrid w:val="0"/>
              <w:ind w:left="425"/>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2991" w:type="dxa"/>
            <w:vAlign w:val="center"/>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单位负责人为同一人或者存在控股、管理关系的不同单位，不得同时参加本项目的谈判</w:t>
            </w:r>
          </w:p>
        </w:tc>
        <w:tc>
          <w:tcPr>
            <w:tcW w:w="4020" w:type="dxa"/>
          </w:tcPr>
          <w:p>
            <w:pPr>
              <w:snapToGrid w:val="0"/>
              <w:jc w:val="left"/>
              <w:rPr>
                <w:rFonts w:asciiTheme="minorEastAsia" w:hAnsiTheme="minorEastAsia" w:eastAsiaTheme="minorEastAsia"/>
                <w:szCs w:val="21"/>
              </w:rPr>
            </w:pPr>
            <w:r>
              <w:rPr>
                <w:rFonts w:asciiTheme="minorEastAsia" w:hAnsiTheme="minorEastAsia" w:eastAsiaTheme="minorEastAsia"/>
                <w:szCs w:val="21"/>
              </w:rPr>
              <w:t>提供了法人代表、控股股东、控股企业及管理、被管理单位情况声明且各供应商之间不存在</w:t>
            </w:r>
            <w:r>
              <w:rPr>
                <w:rFonts w:hint="eastAsia" w:asciiTheme="minorEastAsia" w:hAnsiTheme="minorEastAsia" w:eastAsiaTheme="minorEastAsia"/>
                <w:szCs w:val="21"/>
              </w:rPr>
              <w:t>单位负责人为同一人或者存在控股、管理关系情形。</w:t>
            </w:r>
          </w:p>
        </w:tc>
        <w:tc>
          <w:tcPr>
            <w:tcW w:w="1499" w:type="dxa"/>
            <w:vAlign w:val="center"/>
          </w:tcPr>
          <w:p>
            <w:pPr>
              <w:snapToGrid w:val="0"/>
              <w:ind w:left="425"/>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2991" w:type="dxa"/>
            <w:vAlign w:val="center"/>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为本项目提供整体设计、规范编制或者项目管理、监理、检测等服务的供应商，不得再参加本项目谈判</w:t>
            </w:r>
          </w:p>
        </w:tc>
        <w:tc>
          <w:tcPr>
            <w:tcW w:w="4020" w:type="dxa"/>
          </w:tcPr>
          <w:p>
            <w:pPr>
              <w:snapToGrid w:val="0"/>
              <w:jc w:val="left"/>
              <w:rPr>
                <w:rFonts w:asciiTheme="minorEastAsia" w:hAnsiTheme="minorEastAsia" w:eastAsiaTheme="minorEastAsia"/>
                <w:szCs w:val="21"/>
              </w:rPr>
            </w:pPr>
            <w:r>
              <w:rPr>
                <w:rFonts w:asciiTheme="minorEastAsia" w:hAnsiTheme="minorEastAsia" w:eastAsiaTheme="minorEastAsia"/>
                <w:szCs w:val="21"/>
              </w:rPr>
              <w:t>提供了</w:t>
            </w:r>
            <w:r>
              <w:rPr>
                <w:rFonts w:hint="eastAsia" w:asciiTheme="minorEastAsia" w:hAnsiTheme="minorEastAsia" w:eastAsiaTheme="minorEastAsia"/>
                <w:szCs w:val="21"/>
              </w:rPr>
              <w:t>供应商未为本项目提供整体设计、规范编制或者项目管理、监理、检测等服务的声明</w:t>
            </w:r>
            <w:r>
              <w:rPr>
                <w:rFonts w:asciiTheme="minorEastAsia" w:hAnsiTheme="minorEastAsia" w:eastAsiaTheme="minorEastAsia"/>
                <w:szCs w:val="21"/>
              </w:rPr>
              <w:t>。</w:t>
            </w:r>
          </w:p>
        </w:tc>
        <w:tc>
          <w:tcPr>
            <w:tcW w:w="1499" w:type="dxa"/>
            <w:vAlign w:val="center"/>
          </w:tcPr>
          <w:p>
            <w:pPr>
              <w:snapToGrid w:val="0"/>
              <w:ind w:left="425"/>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highlight w:val="none"/>
              </w:rPr>
            </w:pPr>
            <w:bookmarkStart w:id="641" w:name="_GoBack" w:colFirst="0" w:colLast="2"/>
            <w:r>
              <w:rPr>
                <w:rFonts w:hint="eastAsia" w:asciiTheme="minorEastAsia" w:hAnsiTheme="minorEastAsia" w:eastAsiaTheme="minorEastAsia"/>
                <w:szCs w:val="21"/>
                <w:highlight w:val="none"/>
              </w:rPr>
              <w:t>10</w:t>
            </w:r>
          </w:p>
        </w:tc>
        <w:tc>
          <w:tcPr>
            <w:tcW w:w="2991" w:type="dxa"/>
            <w:vAlign w:val="center"/>
          </w:tcPr>
          <w:p>
            <w:pPr>
              <w:snapToGrid w:val="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联合体</w:t>
            </w:r>
          </w:p>
        </w:tc>
        <w:tc>
          <w:tcPr>
            <w:tcW w:w="4020" w:type="dxa"/>
          </w:tcPr>
          <w:p>
            <w:pPr>
              <w:snapToGrid w:val="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谈判文件允许联合体时，提供了满足谈判文件要求的联合体协议书。</w:t>
            </w:r>
          </w:p>
        </w:tc>
        <w:tc>
          <w:tcPr>
            <w:tcW w:w="1499" w:type="dxa"/>
            <w:vAlign w:val="center"/>
          </w:tcPr>
          <w:p>
            <w:pPr>
              <w:snapToGrid w:val="0"/>
              <w:ind w:left="425"/>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11</w:t>
            </w:r>
          </w:p>
        </w:tc>
        <w:tc>
          <w:tcPr>
            <w:tcW w:w="2991" w:type="dxa"/>
            <w:vAlign w:val="center"/>
          </w:tcPr>
          <w:p>
            <w:pPr>
              <w:snapToGrid w:val="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供应商特定资格条件</w:t>
            </w:r>
          </w:p>
        </w:tc>
        <w:tc>
          <w:tcPr>
            <w:tcW w:w="4020" w:type="dxa"/>
          </w:tcPr>
          <w:p>
            <w:pPr>
              <w:snapToGrid w:val="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提供了证明供应商符合特定资格条件的证明材料</w:t>
            </w:r>
          </w:p>
        </w:tc>
        <w:tc>
          <w:tcPr>
            <w:tcW w:w="1499" w:type="dxa"/>
            <w:vAlign w:val="center"/>
          </w:tcPr>
          <w:p>
            <w:pPr>
              <w:snapToGrid w:val="0"/>
              <w:ind w:left="425"/>
              <w:jc w:val="center"/>
              <w:rPr>
                <w:rFonts w:asciiTheme="minorEastAsia" w:hAnsiTheme="minorEastAsia" w:eastAsiaTheme="minorEastAsia"/>
                <w:szCs w:val="21"/>
              </w:rPr>
            </w:pPr>
          </w:p>
        </w:tc>
      </w:tr>
      <w:bookmarkEnd w:id="6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rPr>
            </w:pPr>
          </w:p>
        </w:tc>
        <w:tc>
          <w:tcPr>
            <w:tcW w:w="2991" w:type="dxa"/>
            <w:vAlign w:val="center"/>
          </w:tcPr>
          <w:p>
            <w:pPr>
              <w:snapToGrid w:val="0"/>
              <w:ind w:left="425"/>
              <w:jc w:val="center"/>
              <w:rPr>
                <w:rFonts w:asciiTheme="minorEastAsia" w:hAnsiTheme="minorEastAsia" w:eastAsiaTheme="minorEastAsia"/>
                <w:szCs w:val="21"/>
              </w:rPr>
            </w:pPr>
            <w:r>
              <w:rPr>
                <w:rFonts w:hint="eastAsia" w:asciiTheme="minorEastAsia" w:hAnsiTheme="minorEastAsia" w:eastAsiaTheme="minorEastAsia"/>
                <w:szCs w:val="21"/>
              </w:rPr>
              <w:t>结论</w:t>
            </w:r>
          </w:p>
        </w:tc>
        <w:tc>
          <w:tcPr>
            <w:tcW w:w="4020" w:type="dxa"/>
          </w:tcPr>
          <w:p>
            <w:pPr>
              <w:snapToGrid w:val="0"/>
              <w:jc w:val="center"/>
              <w:rPr>
                <w:rFonts w:asciiTheme="minorEastAsia" w:hAnsiTheme="minorEastAsia" w:eastAsiaTheme="minorEastAsia"/>
                <w:szCs w:val="21"/>
              </w:rPr>
            </w:pPr>
          </w:p>
        </w:tc>
        <w:tc>
          <w:tcPr>
            <w:tcW w:w="1499" w:type="dxa"/>
            <w:vAlign w:val="center"/>
          </w:tcPr>
          <w:p>
            <w:pPr>
              <w:snapToGrid w:val="0"/>
              <w:ind w:left="425"/>
              <w:jc w:val="center"/>
              <w:rPr>
                <w:rFonts w:asciiTheme="minorEastAsia" w:hAnsiTheme="minorEastAsia" w:eastAsiaTheme="minorEastAsia"/>
                <w:szCs w:val="21"/>
              </w:rPr>
            </w:pPr>
          </w:p>
        </w:tc>
      </w:tr>
    </w:tbl>
    <w:p>
      <w:pPr>
        <w:spacing w:line="0" w:lineRule="atLeast"/>
        <w:ind w:left="425"/>
        <w:rPr>
          <w:szCs w:val="21"/>
        </w:rPr>
      </w:pPr>
      <w:r>
        <w:rPr>
          <w:rFonts w:hint="eastAsia" w:ascii="宋体" w:hAnsi="宋体"/>
          <w:szCs w:val="21"/>
        </w:rPr>
        <w:t>注</w:t>
      </w:r>
      <w:r>
        <w:rPr>
          <w:rFonts w:hint="eastAsia"/>
          <w:szCs w:val="21"/>
        </w:rPr>
        <w:t>：符合要求用“</w:t>
      </w:r>
      <w:r>
        <w:rPr>
          <w:rFonts w:hint="eastAsia"/>
          <w:b/>
          <w:bCs/>
          <w:szCs w:val="21"/>
        </w:rPr>
        <w:t>√</w:t>
      </w:r>
      <w:r>
        <w:rPr>
          <w:rFonts w:hint="eastAsia"/>
          <w:szCs w:val="21"/>
        </w:rPr>
        <w:t>”表示，不符合用“</w:t>
      </w:r>
      <w:r>
        <w:rPr>
          <w:rFonts w:hint="eastAsia"/>
          <w:b/>
          <w:bCs/>
          <w:szCs w:val="21"/>
        </w:rPr>
        <w:t>×</w:t>
      </w:r>
      <w:r>
        <w:rPr>
          <w:rFonts w:hint="eastAsia"/>
          <w:szCs w:val="21"/>
        </w:rPr>
        <w:t>”表示。有一项不符合要求，结论为不合格。</w:t>
      </w:r>
    </w:p>
    <w:p>
      <w:pPr>
        <w:tabs>
          <w:tab w:val="left" w:pos="-94"/>
          <w:tab w:val="left" w:pos="428"/>
        </w:tabs>
        <w:adjustRightInd w:val="0"/>
        <w:spacing w:line="360" w:lineRule="auto"/>
        <w:ind w:left="23" w:leftChars="11"/>
        <w:jc w:val="center"/>
        <w:textAlignment w:val="baseline"/>
        <w:outlineLvl w:val="1"/>
        <w:rPr>
          <w:b/>
          <w:sz w:val="28"/>
          <w:szCs w:val="28"/>
        </w:rPr>
      </w:pPr>
      <w:r>
        <w:rPr>
          <w:szCs w:val="21"/>
        </w:rPr>
        <w:br w:type="page"/>
      </w:r>
      <w:bookmarkStart w:id="93" w:name="_Toc410631197"/>
      <w:bookmarkStart w:id="94" w:name="_Toc414446033"/>
      <w:bookmarkStart w:id="95" w:name="_Toc4949"/>
      <w:r>
        <w:rPr>
          <w:rFonts w:hint="eastAsia"/>
          <w:b/>
          <w:sz w:val="28"/>
          <w:szCs w:val="28"/>
        </w:rPr>
        <w:t xml:space="preserve">附表二 </w:t>
      </w:r>
      <w:r>
        <w:rPr>
          <w:rFonts w:hint="eastAsia"/>
          <w:b/>
          <w:sz w:val="28"/>
          <w:szCs w:val="28"/>
          <w:lang w:val="en-US" w:eastAsia="zh-CN"/>
        </w:rPr>
        <w:t xml:space="preserve"> </w:t>
      </w:r>
      <w:r>
        <w:rPr>
          <w:b/>
          <w:sz w:val="28"/>
          <w:szCs w:val="28"/>
        </w:rPr>
        <w:t>符合性审查表</w:t>
      </w:r>
      <w:bookmarkEnd w:id="93"/>
      <w:bookmarkEnd w:id="94"/>
      <w:bookmarkEnd w:id="95"/>
    </w:p>
    <w:tbl>
      <w:tblPr>
        <w:tblStyle w:val="87"/>
        <w:tblW w:w="901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7"/>
        <w:gridCol w:w="1674"/>
        <w:gridCol w:w="5245"/>
        <w:gridCol w:w="1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tabs>
                <w:tab w:val="left" w:pos="1260"/>
                <w:tab w:val="left" w:pos="1620"/>
              </w:tabs>
              <w:adjustRightInd w:val="0"/>
              <w:snapToGrid w:val="0"/>
              <w:jc w:val="center"/>
              <w:textAlignment w:val="baseline"/>
              <w:rPr>
                <w:rFonts w:ascii="宋体" w:hAnsi="宋体"/>
                <w:b/>
                <w:caps/>
                <w:sz w:val="24"/>
              </w:rPr>
            </w:pPr>
            <w:r>
              <w:rPr>
                <w:rFonts w:ascii="宋体" w:hAnsi="宋体"/>
                <w:b/>
                <w:caps/>
                <w:sz w:val="24"/>
              </w:rPr>
              <w:t>序号</w:t>
            </w:r>
          </w:p>
        </w:tc>
        <w:tc>
          <w:tcPr>
            <w:tcW w:w="1674" w:type="dxa"/>
            <w:vAlign w:val="center"/>
          </w:tcPr>
          <w:p>
            <w:pPr>
              <w:tabs>
                <w:tab w:val="left" w:pos="1260"/>
                <w:tab w:val="left" w:pos="1620"/>
              </w:tabs>
              <w:adjustRightInd w:val="0"/>
              <w:snapToGrid w:val="0"/>
              <w:jc w:val="center"/>
              <w:textAlignment w:val="baseline"/>
              <w:rPr>
                <w:rFonts w:ascii="宋体" w:hAnsi="宋体"/>
                <w:b/>
                <w:caps/>
                <w:sz w:val="24"/>
              </w:rPr>
            </w:pPr>
            <w:r>
              <w:rPr>
                <w:rFonts w:hint="eastAsia" w:ascii="宋体" w:hAnsi="宋体"/>
                <w:b/>
                <w:caps/>
                <w:sz w:val="24"/>
              </w:rPr>
              <w:t>评审项目</w:t>
            </w:r>
          </w:p>
        </w:tc>
        <w:tc>
          <w:tcPr>
            <w:tcW w:w="5245" w:type="dxa"/>
            <w:vAlign w:val="center"/>
          </w:tcPr>
          <w:p>
            <w:pPr>
              <w:tabs>
                <w:tab w:val="left" w:pos="1260"/>
                <w:tab w:val="left" w:pos="1620"/>
              </w:tabs>
              <w:adjustRightInd w:val="0"/>
              <w:snapToGrid w:val="0"/>
              <w:jc w:val="center"/>
              <w:textAlignment w:val="baseline"/>
              <w:rPr>
                <w:rFonts w:ascii="宋体" w:hAnsi="宋体"/>
                <w:b/>
                <w:caps/>
                <w:sz w:val="24"/>
              </w:rPr>
            </w:pPr>
            <w:r>
              <w:rPr>
                <w:rFonts w:hint="eastAsia" w:ascii="宋体" w:hAnsi="宋体"/>
                <w:b/>
                <w:caps/>
                <w:sz w:val="24"/>
              </w:rPr>
              <w:t>评审标准</w:t>
            </w:r>
          </w:p>
        </w:tc>
        <w:tc>
          <w:tcPr>
            <w:tcW w:w="1275" w:type="dxa"/>
            <w:vAlign w:val="center"/>
          </w:tcPr>
          <w:p>
            <w:pPr>
              <w:tabs>
                <w:tab w:val="left" w:pos="1260"/>
                <w:tab w:val="left" w:pos="1620"/>
              </w:tabs>
              <w:adjustRightInd w:val="0"/>
              <w:snapToGrid w:val="0"/>
              <w:jc w:val="center"/>
              <w:textAlignment w:val="baseline"/>
              <w:rPr>
                <w:rFonts w:ascii="宋体" w:hAnsi="宋体"/>
                <w:b/>
                <w:caps/>
                <w:sz w:val="24"/>
              </w:rPr>
            </w:pPr>
            <w:r>
              <w:rPr>
                <w:rFonts w:ascii="宋体" w:hAnsi="宋体"/>
                <w:b/>
                <w:caps/>
                <w:sz w:val="24"/>
              </w:rPr>
              <w:t>评审结论</w:t>
            </w:r>
          </w:p>
          <w:p>
            <w:pPr>
              <w:tabs>
                <w:tab w:val="left" w:pos="1260"/>
                <w:tab w:val="left" w:pos="1620"/>
              </w:tabs>
              <w:adjustRightInd w:val="0"/>
              <w:snapToGrid w:val="0"/>
              <w:jc w:val="center"/>
              <w:textAlignment w:val="baseline"/>
              <w:rPr>
                <w:rFonts w:ascii="宋体" w:hAnsi="宋体"/>
                <w:b/>
                <w:caps/>
                <w:sz w:val="24"/>
              </w:rPr>
            </w:pPr>
            <w:r>
              <w:rPr>
                <w:rFonts w:ascii="宋体" w:hAnsi="宋体"/>
                <w:b/>
                <w:caps/>
                <w:sz w:val="24"/>
              </w:rPr>
              <w:t>（</w:t>
            </w:r>
            <w:r>
              <w:rPr>
                <w:rFonts w:hint="eastAsia"/>
                <w:b/>
                <w:bCs/>
                <w:szCs w:val="21"/>
              </w:rPr>
              <w:t>√</w:t>
            </w:r>
            <w:r>
              <w:rPr>
                <w:rFonts w:ascii="宋体" w:hAnsi="宋体"/>
                <w:b/>
                <w:caps/>
                <w:sz w:val="24"/>
              </w:rPr>
              <w:t>/</w:t>
            </w:r>
            <w:r>
              <w:rPr>
                <w:rFonts w:hint="eastAsia" w:ascii="宋体" w:hAnsi="宋体"/>
                <w:b/>
                <w:bCs/>
                <w:sz w:val="24"/>
              </w:rPr>
              <w:t>×</w:t>
            </w:r>
            <w:r>
              <w:rPr>
                <w:rFonts w:ascii="宋体" w:hAnsi="宋体"/>
                <w:b/>
                <w:caps/>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谈判保证金</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按照谈判文件的规定提交谈判保证金（包括形式及金额）</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响应文件签署盖章</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按谈判文件格式要求加</w:t>
            </w:r>
            <w:r>
              <w:rPr>
                <w:rFonts w:ascii="宋体" w:hAnsi="宋体"/>
                <w:sz w:val="24"/>
              </w:rPr>
              <w:t>盖了</w:t>
            </w:r>
            <w:r>
              <w:rPr>
                <w:rFonts w:hint="eastAsia" w:ascii="宋体" w:hAnsi="宋体"/>
                <w:sz w:val="24"/>
              </w:rPr>
              <w:t>供应商公</w:t>
            </w:r>
            <w:r>
              <w:rPr>
                <w:rFonts w:ascii="宋体" w:hAnsi="宋体"/>
                <w:sz w:val="24"/>
              </w:rPr>
              <w:t>章</w:t>
            </w:r>
            <w:r>
              <w:rPr>
                <w:rFonts w:hint="eastAsia" w:ascii="宋体" w:hAnsi="宋体"/>
                <w:sz w:val="24"/>
              </w:rPr>
              <w:t>和（/或）有</w:t>
            </w:r>
            <w:r>
              <w:rPr>
                <w:rFonts w:ascii="宋体" w:hAnsi="宋体"/>
                <w:sz w:val="24"/>
              </w:rPr>
              <w:t>法定代表人或</w:t>
            </w:r>
            <w:r>
              <w:rPr>
                <w:rFonts w:hint="eastAsia" w:ascii="宋体" w:hAnsi="宋体"/>
                <w:sz w:val="24"/>
              </w:rPr>
              <w:t>其授权代表</w:t>
            </w:r>
            <w:r>
              <w:rPr>
                <w:rFonts w:ascii="宋体" w:hAnsi="宋体"/>
                <w:sz w:val="24"/>
              </w:rPr>
              <w:t>签字或</w:t>
            </w:r>
            <w:r>
              <w:rPr>
                <w:rFonts w:hint="eastAsia" w:ascii="宋体" w:hAnsi="宋体"/>
                <w:sz w:val="24"/>
              </w:rPr>
              <w:t>加盖人名章</w:t>
            </w:r>
            <w:r>
              <w:rPr>
                <w:rFonts w:ascii="宋体" w:hAnsi="宋体"/>
                <w:sz w:val="24"/>
              </w:rPr>
              <w:t>。</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公平竞争</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遵循公平竞争的原则，没有弄虚作假、相互串通或妨碍其他供应商的竞争行为。</w:t>
            </w:r>
          </w:p>
          <w:p>
            <w:pPr>
              <w:tabs>
                <w:tab w:val="left" w:pos="1260"/>
                <w:tab w:val="left" w:pos="1620"/>
              </w:tabs>
              <w:adjustRightInd w:val="0"/>
              <w:snapToGrid w:val="0"/>
              <w:textAlignment w:val="baseline"/>
              <w:rPr>
                <w:rFonts w:ascii="宋体" w:hAnsi="宋体"/>
                <w:sz w:val="24"/>
              </w:rPr>
            </w:pPr>
            <w:r>
              <w:rPr>
                <w:rFonts w:hint="eastAsia" w:ascii="宋体" w:hAnsi="宋体"/>
                <w:sz w:val="24"/>
              </w:rPr>
              <w:t>弄虚作假、相互串通的情形见附注。</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响应文件有效期</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ascii="宋体" w:hAnsi="宋体"/>
                <w:sz w:val="24"/>
              </w:rPr>
              <w:t>有效期满足谈判文件要求的</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响应文件装订方式</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符合谈判文件要求</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响应文件格式</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响应文件</w:t>
            </w:r>
            <w:r>
              <w:rPr>
                <w:rFonts w:ascii="宋体" w:hAnsi="宋体"/>
                <w:sz w:val="24"/>
              </w:rPr>
              <w:t>按规定的格式填写，内容</w:t>
            </w:r>
            <w:r>
              <w:rPr>
                <w:rFonts w:hint="eastAsia" w:ascii="宋体" w:hAnsi="宋体"/>
                <w:sz w:val="24"/>
              </w:rPr>
              <w:t>完整且</w:t>
            </w:r>
            <w:r>
              <w:rPr>
                <w:rFonts w:ascii="宋体" w:hAnsi="宋体"/>
                <w:sz w:val="24"/>
              </w:rPr>
              <w:t>关键字迹</w:t>
            </w:r>
            <w:r>
              <w:rPr>
                <w:rFonts w:hint="eastAsia" w:ascii="宋体" w:hAnsi="宋体"/>
                <w:sz w:val="24"/>
              </w:rPr>
              <w:t>清晰</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响应范围</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与谈判文件要求的工程范围一致</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报价</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报价是固定价且未超过预算金额或最高限价</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hint="eastAsia" w:ascii="宋体" w:hAnsi="宋体"/>
                <w:sz w:val="24"/>
              </w:rPr>
            </w:pPr>
            <w:r>
              <w:rPr>
                <w:rFonts w:hint="eastAsia" w:ascii="宋体" w:hAnsi="宋体"/>
                <w:sz w:val="24"/>
                <w:lang w:eastAsia="zh-CN"/>
              </w:rPr>
              <w:t>工程量</w:t>
            </w:r>
            <w:r>
              <w:rPr>
                <w:rFonts w:hint="eastAsia" w:ascii="宋体" w:hAnsi="宋体"/>
                <w:sz w:val="24"/>
              </w:rPr>
              <w:t>清单</w:t>
            </w:r>
          </w:p>
        </w:tc>
        <w:tc>
          <w:tcPr>
            <w:tcW w:w="5245" w:type="dxa"/>
            <w:vAlign w:val="center"/>
          </w:tcPr>
          <w:p>
            <w:pPr>
              <w:tabs>
                <w:tab w:val="left" w:pos="1260"/>
                <w:tab w:val="left" w:pos="1620"/>
              </w:tabs>
              <w:adjustRightInd w:val="0"/>
              <w:snapToGrid w:val="0"/>
              <w:textAlignment w:val="baseline"/>
              <w:rPr>
                <w:rFonts w:hint="eastAsia" w:ascii="宋体" w:hAnsi="宋体"/>
                <w:sz w:val="24"/>
              </w:rPr>
            </w:pPr>
            <w:r>
              <w:rPr>
                <w:rFonts w:hint="eastAsia" w:ascii="宋体" w:hAnsi="宋体"/>
                <w:sz w:val="24"/>
              </w:rPr>
              <w:t>未对采购人发出的工程量清单有任何修改（需供应商填写的价格以及供应商对措施项目清单的增减和细化除外）</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工期</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满足谈判文件要求</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备选方案</w:t>
            </w:r>
          </w:p>
        </w:tc>
        <w:tc>
          <w:tcPr>
            <w:tcW w:w="5245" w:type="dxa"/>
            <w:vAlign w:val="center"/>
          </w:tcPr>
          <w:p>
            <w:pPr>
              <w:tabs>
                <w:tab w:val="left" w:pos="1260"/>
                <w:tab w:val="left" w:pos="1620"/>
              </w:tabs>
              <w:adjustRightInd w:val="0"/>
              <w:snapToGrid w:val="0"/>
              <w:textAlignment w:val="baseline"/>
              <w:rPr>
                <w:rFonts w:ascii="宋体" w:hAnsi="宋体"/>
                <w:strike/>
                <w:sz w:val="24"/>
              </w:rPr>
            </w:pPr>
            <w:r>
              <w:rPr>
                <w:rFonts w:hint="eastAsia" w:ascii="宋体" w:hAnsi="宋体"/>
                <w:sz w:val="24"/>
              </w:rPr>
              <w:t>供应商不得提交两份及以上内容不同的响应文件，或者在同一份响应文件中对同一谈判项目有两个及以上报价的</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附加条件</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响应文件不含有采购人不能接受的附加条件</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其他无效情形</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无法律、法规和谈判文件规定的其他无效情形</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491" w:type="dxa"/>
            <w:gridSpan w:val="2"/>
            <w:vAlign w:val="center"/>
          </w:tcPr>
          <w:p>
            <w:pPr>
              <w:tabs>
                <w:tab w:val="left" w:pos="1260"/>
                <w:tab w:val="left" w:pos="1620"/>
              </w:tabs>
              <w:adjustRightInd w:val="0"/>
              <w:snapToGrid w:val="0"/>
              <w:textAlignment w:val="baseline"/>
              <w:rPr>
                <w:rFonts w:ascii="宋体" w:hAnsi="宋体"/>
                <w:sz w:val="24"/>
              </w:rPr>
            </w:pPr>
            <w:r>
              <w:rPr>
                <w:rFonts w:ascii="宋体" w:hAnsi="宋体"/>
                <w:b/>
                <w:sz w:val="24"/>
              </w:rPr>
              <w:t>结论（通过或未通过）</w:t>
            </w:r>
          </w:p>
        </w:tc>
        <w:tc>
          <w:tcPr>
            <w:tcW w:w="5245" w:type="dxa"/>
            <w:vAlign w:val="center"/>
          </w:tcPr>
          <w:p>
            <w:pPr>
              <w:tabs>
                <w:tab w:val="left" w:pos="1260"/>
                <w:tab w:val="left" w:pos="1620"/>
              </w:tabs>
              <w:adjustRightInd w:val="0"/>
              <w:snapToGrid w:val="0"/>
              <w:textAlignment w:val="baseline"/>
              <w:rPr>
                <w:rFonts w:ascii="宋体" w:hAnsi="宋体"/>
                <w:sz w:val="24"/>
              </w:rPr>
            </w:pPr>
          </w:p>
        </w:tc>
        <w:tc>
          <w:tcPr>
            <w:tcW w:w="1275" w:type="dxa"/>
            <w:vAlign w:val="center"/>
          </w:tcPr>
          <w:p>
            <w:pPr>
              <w:tabs>
                <w:tab w:val="left" w:pos="1260"/>
                <w:tab w:val="left" w:pos="1620"/>
              </w:tabs>
              <w:adjustRightInd w:val="0"/>
              <w:snapToGrid w:val="0"/>
              <w:textAlignment w:val="baseline"/>
              <w:rPr>
                <w:rFonts w:ascii="宋体" w:hAnsi="宋体"/>
                <w:sz w:val="24"/>
              </w:rPr>
            </w:pPr>
          </w:p>
        </w:tc>
      </w:tr>
    </w:tbl>
    <w:p>
      <w:pPr>
        <w:tabs>
          <w:tab w:val="left" w:pos="1260"/>
          <w:tab w:val="left" w:pos="1620"/>
        </w:tabs>
        <w:adjustRightInd w:val="0"/>
        <w:spacing w:line="360" w:lineRule="auto"/>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注：</w:t>
      </w:r>
    </w:p>
    <w:p>
      <w:pPr>
        <w:tabs>
          <w:tab w:val="left" w:pos="1260"/>
          <w:tab w:val="left" w:pos="1620"/>
        </w:tabs>
        <w:adjustRightInd w:val="0"/>
        <w:spacing w:line="360" w:lineRule="auto"/>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1、符合谈判文件要求用“</w:t>
      </w:r>
      <w:r>
        <w:rPr>
          <w:rFonts w:hint="eastAsia"/>
          <w:b/>
          <w:bCs/>
          <w:szCs w:val="21"/>
        </w:rPr>
        <w:t>√</w:t>
      </w:r>
      <w:r>
        <w:rPr>
          <w:rFonts w:hint="eastAsia" w:asciiTheme="minorEastAsia" w:hAnsiTheme="minorEastAsia" w:eastAsiaTheme="minorEastAsia"/>
          <w:szCs w:val="21"/>
        </w:rPr>
        <w:t>”表示，不符合用“</w:t>
      </w:r>
      <w:r>
        <w:rPr>
          <w:rFonts w:hint="eastAsia" w:asciiTheme="minorEastAsia" w:hAnsiTheme="minorEastAsia" w:eastAsiaTheme="minorEastAsia"/>
          <w:b/>
          <w:bCs/>
          <w:szCs w:val="21"/>
        </w:rPr>
        <w:t>×</w:t>
      </w:r>
      <w:r>
        <w:rPr>
          <w:rFonts w:hint="eastAsia" w:asciiTheme="minorEastAsia" w:hAnsiTheme="minorEastAsia" w:eastAsiaTheme="minorEastAsia"/>
          <w:szCs w:val="21"/>
        </w:rPr>
        <w:t>”表示。有一项不符合要求，结论为不合格。</w:t>
      </w:r>
    </w:p>
    <w:p>
      <w:pPr>
        <w:tabs>
          <w:tab w:val="left" w:pos="1260"/>
          <w:tab w:val="left" w:pos="1620"/>
        </w:tabs>
        <w:adjustRightInd w:val="0"/>
        <w:spacing w:line="360" w:lineRule="auto"/>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2、进行符合性审查过程中，谈判小组成员意见不同时，按少数服从多数的原则确定。</w:t>
      </w:r>
    </w:p>
    <w:p>
      <w:pPr>
        <w:tabs>
          <w:tab w:val="left" w:pos="1260"/>
          <w:tab w:val="left" w:pos="1620"/>
        </w:tabs>
        <w:adjustRightInd w:val="0"/>
        <w:spacing w:line="360" w:lineRule="auto"/>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3、有下列情形之一的，视为供应商相互串通：</w:t>
      </w:r>
    </w:p>
    <w:p>
      <w:pPr>
        <w:tabs>
          <w:tab w:val="left" w:pos="1260"/>
          <w:tab w:val="left" w:pos="1620"/>
        </w:tabs>
        <w:adjustRightInd w:val="0"/>
        <w:spacing w:line="360" w:lineRule="auto"/>
        <w:ind w:left="424" w:leftChars="202"/>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（1）不同供应商的响应文件由同一单位或者个人编制；</w:t>
      </w:r>
    </w:p>
    <w:p>
      <w:pPr>
        <w:tabs>
          <w:tab w:val="left" w:pos="1260"/>
          <w:tab w:val="left" w:pos="1620"/>
        </w:tabs>
        <w:adjustRightInd w:val="0"/>
        <w:spacing w:line="360" w:lineRule="auto"/>
        <w:ind w:left="424" w:leftChars="202"/>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（2）不同供应商委托同一单位或者个人办理谈判事宜；</w:t>
      </w:r>
    </w:p>
    <w:p>
      <w:pPr>
        <w:tabs>
          <w:tab w:val="left" w:pos="1260"/>
          <w:tab w:val="left" w:pos="1620"/>
        </w:tabs>
        <w:adjustRightInd w:val="0"/>
        <w:spacing w:line="360" w:lineRule="auto"/>
        <w:ind w:left="424" w:leftChars="202"/>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（3）不同供应商的响应文件载明的项目管理成员或者联系人员为同一人；</w:t>
      </w:r>
    </w:p>
    <w:p>
      <w:pPr>
        <w:tabs>
          <w:tab w:val="left" w:pos="1260"/>
          <w:tab w:val="left" w:pos="1620"/>
        </w:tabs>
        <w:adjustRightInd w:val="0"/>
        <w:spacing w:line="360" w:lineRule="auto"/>
        <w:ind w:left="424" w:leftChars="202"/>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（4）不同供应商的响应文件异常一致或者报价呈规律性差异；</w:t>
      </w:r>
    </w:p>
    <w:p>
      <w:pPr>
        <w:tabs>
          <w:tab w:val="left" w:pos="1260"/>
          <w:tab w:val="left" w:pos="1620"/>
        </w:tabs>
        <w:adjustRightInd w:val="0"/>
        <w:spacing w:line="360" w:lineRule="auto"/>
        <w:ind w:left="424" w:leftChars="202"/>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（5）不同供应商的响应文件相互混装；</w:t>
      </w:r>
    </w:p>
    <w:p>
      <w:pPr>
        <w:tabs>
          <w:tab w:val="left" w:pos="1260"/>
          <w:tab w:val="left" w:pos="1620"/>
        </w:tabs>
        <w:adjustRightInd w:val="0"/>
        <w:spacing w:line="360" w:lineRule="auto"/>
        <w:ind w:left="424" w:leftChars="202"/>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（6）不同供应商的谈判保证金从同一单位或者个人的账户转出。</w:t>
      </w:r>
    </w:p>
    <w:p>
      <w:pPr>
        <w:tabs>
          <w:tab w:val="left" w:pos="1260"/>
          <w:tab w:val="left" w:pos="1620"/>
        </w:tabs>
        <w:adjustRightInd w:val="0"/>
        <w:spacing w:line="360" w:lineRule="auto"/>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4、有下列情形之一的，属于提供虚假材料谋取成交的行为：</w:t>
      </w:r>
    </w:p>
    <w:p>
      <w:pPr>
        <w:tabs>
          <w:tab w:val="left" w:pos="1260"/>
          <w:tab w:val="left" w:pos="1620"/>
        </w:tabs>
        <w:adjustRightInd w:val="0"/>
        <w:spacing w:line="360" w:lineRule="auto"/>
        <w:ind w:left="424" w:leftChars="202"/>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（1）使用伪造、变造的许可证件；</w:t>
      </w:r>
    </w:p>
    <w:p>
      <w:pPr>
        <w:tabs>
          <w:tab w:val="left" w:pos="1260"/>
          <w:tab w:val="left" w:pos="1620"/>
        </w:tabs>
        <w:adjustRightInd w:val="0"/>
        <w:spacing w:line="360" w:lineRule="auto"/>
        <w:ind w:left="424" w:leftChars="202"/>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（2）提供虚假的财务状况或者业绩；</w:t>
      </w:r>
    </w:p>
    <w:p>
      <w:pPr>
        <w:tabs>
          <w:tab w:val="left" w:pos="1260"/>
          <w:tab w:val="left" w:pos="1620"/>
        </w:tabs>
        <w:adjustRightInd w:val="0"/>
        <w:spacing w:line="360" w:lineRule="auto"/>
        <w:ind w:left="424" w:leftChars="202"/>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（3）提供虚假的项目负责人或者主要技术人员简历、劳动关系证明；</w:t>
      </w:r>
    </w:p>
    <w:p>
      <w:pPr>
        <w:tabs>
          <w:tab w:val="left" w:pos="1260"/>
          <w:tab w:val="left" w:pos="1620"/>
        </w:tabs>
        <w:adjustRightInd w:val="0"/>
        <w:spacing w:line="360" w:lineRule="auto"/>
        <w:ind w:left="424" w:leftChars="202"/>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（4）提供虚假的信用状况；</w:t>
      </w:r>
    </w:p>
    <w:p>
      <w:pPr>
        <w:tabs>
          <w:tab w:val="left" w:pos="1260"/>
          <w:tab w:val="left" w:pos="1620"/>
        </w:tabs>
        <w:adjustRightInd w:val="0"/>
        <w:spacing w:line="360" w:lineRule="auto"/>
        <w:ind w:left="424" w:leftChars="202"/>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（5）其他弄虚作假的行为。</w:t>
      </w:r>
    </w:p>
    <w:p>
      <w:pPr>
        <w:tabs>
          <w:tab w:val="left" w:pos="1260"/>
          <w:tab w:val="left" w:pos="1620"/>
        </w:tabs>
        <w:adjustRightInd w:val="0"/>
        <w:spacing w:line="360" w:lineRule="auto"/>
        <w:jc w:val="left"/>
        <w:textAlignment w:val="baseline"/>
        <w:rPr>
          <w:b/>
          <w:szCs w:val="21"/>
        </w:rPr>
      </w:pPr>
      <w:r>
        <w:rPr>
          <w:b/>
          <w:szCs w:val="21"/>
        </w:rPr>
        <w:br w:type="page"/>
      </w:r>
    </w:p>
    <w:p>
      <w:pPr>
        <w:snapToGrid w:val="0"/>
        <w:spacing w:afterLines="50"/>
      </w:pPr>
    </w:p>
    <w:p>
      <w:pPr>
        <w:jc w:val="center"/>
        <w:outlineLvl w:val="0"/>
        <w:rPr>
          <w:sz w:val="30"/>
          <w:szCs w:val="30"/>
        </w:rPr>
      </w:pPr>
      <w:bookmarkStart w:id="96" w:name="_Toc152042387"/>
      <w:bookmarkStart w:id="97" w:name="_Toc296602497"/>
      <w:bookmarkStart w:id="98" w:name="_Toc144974577"/>
      <w:bookmarkStart w:id="99" w:name="_Toc247085767"/>
      <w:bookmarkStart w:id="100" w:name="_Toc246996995"/>
      <w:bookmarkStart w:id="101" w:name="_Toc246996252"/>
      <w:bookmarkStart w:id="102" w:name="_Toc179632627"/>
      <w:bookmarkStart w:id="103" w:name="_Toc152045609"/>
      <w:bookmarkStart w:id="104" w:name="_Toc4808"/>
      <w:r>
        <w:rPr>
          <w:rFonts w:hint="eastAsia"/>
          <w:sz w:val="30"/>
          <w:szCs w:val="30"/>
        </w:rPr>
        <w:t xml:space="preserve">第四章 </w:t>
      </w:r>
      <w:r>
        <w:rPr>
          <w:rFonts w:hint="eastAsia"/>
          <w:sz w:val="30"/>
          <w:szCs w:val="30"/>
          <w:lang w:val="en-US" w:eastAsia="zh-CN"/>
        </w:rPr>
        <w:t xml:space="preserve"> </w:t>
      </w:r>
      <w:r>
        <w:rPr>
          <w:rFonts w:hint="eastAsia"/>
          <w:sz w:val="30"/>
          <w:szCs w:val="30"/>
        </w:rPr>
        <w:t>合同条款及格式</w:t>
      </w:r>
      <w:bookmarkEnd w:id="96"/>
      <w:bookmarkEnd w:id="97"/>
      <w:bookmarkEnd w:id="98"/>
      <w:bookmarkEnd w:id="99"/>
      <w:bookmarkEnd w:id="100"/>
      <w:bookmarkEnd w:id="101"/>
      <w:bookmarkEnd w:id="102"/>
      <w:bookmarkEnd w:id="103"/>
      <w:bookmarkEnd w:id="104"/>
    </w:p>
    <w:p>
      <w:pPr>
        <w:jc w:val="left"/>
        <w:outlineLvl w:val="9"/>
      </w:pPr>
      <w:bookmarkStart w:id="105" w:name="_Toc246996996"/>
      <w:bookmarkStart w:id="106" w:name="_Toc144974578"/>
      <w:bookmarkStart w:id="107" w:name="_Toc152042388"/>
      <w:bookmarkStart w:id="108" w:name="_Toc296602498"/>
      <w:bookmarkStart w:id="109" w:name="_Toc246996253"/>
      <w:bookmarkStart w:id="110" w:name="_Toc247085768"/>
      <w:bookmarkStart w:id="111" w:name="_Toc179632628"/>
      <w:bookmarkStart w:id="112" w:name="_Toc152045610"/>
    </w:p>
    <w:p>
      <w:pPr>
        <w:jc w:val="center"/>
        <w:outlineLvl w:val="1"/>
        <w:rPr>
          <w:sz w:val="30"/>
          <w:szCs w:val="30"/>
        </w:rPr>
      </w:pPr>
      <w:bookmarkStart w:id="113" w:name="_Toc21532"/>
      <w:r>
        <w:rPr>
          <w:rFonts w:hint="eastAsia"/>
          <w:sz w:val="30"/>
          <w:szCs w:val="30"/>
        </w:rPr>
        <w:t>第一节</w:t>
      </w:r>
      <w:r>
        <w:rPr>
          <w:rFonts w:hint="eastAsia"/>
          <w:sz w:val="30"/>
          <w:szCs w:val="30"/>
          <w:lang w:val="en-US" w:eastAsia="zh-CN"/>
        </w:rPr>
        <w:t xml:space="preserve"> </w:t>
      </w:r>
      <w:r>
        <w:rPr>
          <w:rFonts w:hint="eastAsia"/>
          <w:sz w:val="30"/>
          <w:szCs w:val="30"/>
        </w:rPr>
        <w:t xml:space="preserve"> 通用合同条款</w:t>
      </w:r>
      <w:bookmarkEnd w:id="105"/>
      <w:bookmarkEnd w:id="106"/>
      <w:bookmarkEnd w:id="107"/>
      <w:bookmarkEnd w:id="108"/>
      <w:bookmarkEnd w:id="109"/>
      <w:bookmarkEnd w:id="110"/>
      <w:bookmarkEnd w:id="111"/>
      <w:bookmarkEnd w:id="112"/>
      <w:bookmarkEnd w:id="113"/>
    </w:p>
    <w:p>
      <w:pPr>
        <w:spacing w:line="360" w:lineRule="auto"/>
        <w:jc w:val="center"/>
        <w:rPr>
          <w:rFonts w:ascii="宋体" w:hAnsi="宋体"/>
          <w:b/>
          <w:sz w:val="36"/>
          <w:szCs w:val="36"/>
        </w:rPr>
      </w:pPr>
      <w:r>
        <w:rPr>
          <w:rFonts w:hint="eastAsia" w:ascii="宋体" w:hAnsi="宋体"/>
          <w:b/>
          <w:sz w:val="36"/>
          <w:szCs w:val="36"/>
        </w:rPr>
        <w:t>通用合同条款</w:t>
      </w:r>
    </w:p>
    <w:p>
      <w:pPr>
        <w:snapToGrid w:val="0"/>
        <w:spacing w:beforeLines="50"/>
        <w:ind w:left="991" w:hanging="991" w:hangingChars="413"/>
        <w:jc w:val="left"/>
        <w:outlineLvl w:val="2"/>
        <w:rPr>
          <w:rFonts w:ascii="黑体" w:eastAsia="黑体"/>
          <w:sz w:val="24"/>
        </w:rPr>
      </w:pPr>
      <w:bookmarkStart w:id="114" w:name="_Toc247085769"/>
      <w:bookmarkStart w:id="115" w:name="_Toc184635098"/>
      <w:bookmarkStart w:id="116" w:name="_Toc246996254"/>
      <w:bookmarkStart w:id="117" w:name="_Toc246996997"/>
      <w:bookmarkStart w:id="118" w:name="_Toc296602499"/>
      <w:bookmarkStart w:id="119" w:name="_Toc971"/>
      <w:bookmarkStart w:id="120" w:name="_Toc27721"/>
      <w:r>
        <w:rPr>
          <w:rFonts w:hint="eastAsia" w:ascii="黑体" w:eastAsia="黑体"/>
          <w:sz w:val="24"/>
        </w:rPr>
        <w:t>1.</w:t>
      </w:r>
      <w:r>
        <w:rPr>
          <w:rFonts w:hint="eastAsia" w:ascii="黑体" w:eastAsia="黑体"/>
          <w:sz w:val="24"/>
        </w:rPr>
        <w:tab/>
      </w:r>
      <w:r>
        <w:rPr>
          <w:rFonts w:hint="eastAsia" w:ascii="黑体" w:eastAsia="黑体"/>
          <w:sz w:val="24"/>
        </w:rPr>
        <w:t>一般约定</w:t>
      </w:r>
      <w:bookmarkEnd w:id="114"/>
      <w:bookmarkEnd w:id="115"/>
      <w:bookmarkEnd w:id="116"/>
      <w:bookmarkEnd w:id="117"/>
      <w:bookmarkEnd w:id="118"/>
      <w:bookmarkEnd w:id="119"/>
      <w:bookmarkEnd w:id="120"/>
    </w:p>
    <w:p>
      <w:pPr>
        <w:snapToGrid w:val="0"/>
        <w:spacing w:beforeLines="50"/>
        <w:ind w:left="991" w:hanging="991" w:hangingChars="413"/>
        <w:jc w:val="left"/>
        <w:rPr>
          <w:rFonts w:ascii="黑体" w:eastAsia="黑体"/>
          <w:sz w:val="24"/>
        </w:rPr>
      </w:pPr>
      <w:bookmarkStart w:id="121" w:name="_Toc247085770"/>
      <w:bookmarkStart w:id="122" w:name="_Toc246996998"/>
      <w:bookmarkStart w:id="123" w:name="_Toc246996255"/>
      <w:bookmarkStart w:id="124" w:name="_Toc296602500"/>
      <w:r>
        <w:rPr>
          <w:rFonts w:hint="eastAsia" w:ascii="黑体" w:eastAsia="黑体"/>
          <w:sz w:val="24"/>
        </w:rPr>
        <w:t>1.1</w:t>
      </w:r>
      <w:r>
        <w:rPr>
          <w:rFonts w:hint="eastAsia" w:ascii="黑体" w:eastAsia="黑体"/>
          <w:sz w:val="24"/>
        </w:rPr>
        <w:tab/>
      </w:r>
      <w:r>
        <w:rPr>
          <w:rFonts w:hint="eastAsia" w:ascii="黑体" w:eastAsia="黑体"/>
          <w:sz w:val="24"/>
        </w:rPr>
        <w:t>词语定义</w:t>
      </w:r>
      <w:bookmarkEnd w:id="121"/>
      <w:bookmarkEnd w:id="122"/>
      <w:bookmarkEnd w:id="123"/>
      <w:bookmarkEnd w:id="124"/>
    </w:p>
    <w:p>
      <w:pPr>
        <w:snapToGrid w:val="0"/>
        <w:spacing w:beforeLines="50"/>
        <w:ind w:left="991" w:leftChars="472"/>
        <w:rPr>
          <w:rFonts w:ascii="宋体" w:hAnsi="宋体"/>
          <w:sz w:val="24"/>
        </w:rPr>
      </w:pPr>
      <w:r>
        <w:rPr>
          <w:rFonts w:hint="eastAsia" w:ascii="宋体" w:hAnsi="宋体"/>
          <w:sz w:val="24"/>
        </w:rPr>
        <w:t>通用合同条款、专用合同条款中的下列词语应具有本款所赋予的含义。</w:t>
      </w:r>
    </w:p>
    <w:p>
      <w:pPr>
        <w:snapToGrid w:val="0"/>
        <w:spacing w:beforeLines="50"/>
        <w:ind w:left="991" w:hanging="991" w:hangingChars="413"/>
        <w:jc w:val="left"/>
        <w:rPr>
          <w:rFonts w:ascii="宋体" w:hAnsi="宋体"/>
          <w:sz w:val="24"/>
        </w:rPr>
      </w:pPr>
      <w:r>
        <w:rPr>
          <w:rFonts w:ascii="宋体" w:hAnsi="宋体"/>
          <w:sz w:val="24"/>
        </w:rPr>
        <w:t>1.1.1</w:t>
      </w:r>
      <w:r>
        <w:rPr>
          <w:rFonts w:hint="eastAsia" w:ascii="宋体" w:hAnsi="宋体"/>
          <w:sz w:val="24"/>
        </w:rPr>
        <w:tab/>
      </w:r>
      <w:r>
        <w:rPr>
          <w:rFonts w:hint="eastAsia" w:ascii="宋体" w:hAnsi="宋体"/>
          <w:sz w:val="24"/>
        </w:rPr>
        <w:t>合同</w:t>
      </w:r>
    </w:p>
    <w:p>
      <w:pPr>
        <w:snapToGrid w:val="0"/>
        <w:spacing w:beforeLines="50"/>
        <w:ind w:left="991" w:hanging="991" w:hangingChars="413"/>
        <w:jc w:val="left"/>
        <w:rPr>
          <w:rFonts w:ascii="宋体" w:hAnsi="宋体"/>
          <w:sz w:val="24"/>
        </w:rPr>
      </w:pPr>
      <w:r>
        <w:rPr>
          <w:rFonts w:hint="eastAsia" w:ascii="宋体" w:hAnsi="宋体"/>
          <w:sz w:val="24"/>
        </w:rPr>
        <w:t>1.1.1.1</w:t>
      </w:r>
      <w:r>
        <w:rPr>
          <w:rFonts w:hint="eastAsia" w:ascii="宋体" w:hAnsi="宋体"/>
          <w:sz w:val="24"/>
        </w:rPr>
        <w:tab/>
      </w:r>
      <w:r>
        <w:rPr>
          <w:rFonts w:hint="eastAsia" w:ascii="宋体" w:hAnsi="宋体"/>
          <w:sz w:val="24"/>
        </w:rPr>
        <w:t>合同文件（或称合同）：指合同协议书、中标（成交）通知书、报价函及报价函附录、专用合同条款、通用合同条款、技术标准和要求、图纸、已标价工程量清单，以及其他合同文件。</w:t>
      </w:r>
    </w:p>
    <w:p>
      <w:pPr>
        <w:snapToGrid w:val="0"/>
        <w:spacing w:beforeLines="50"/>
        <w:ind w:left="991" w:hanging="991" w:hangingChars="413"/>
        <w:jc w:val="left"/>
        <w:rPr>
          <w:rFonts w:ascii="宋体" w:hAnsi="宋体"/>
          <w:sz w:val="24"/>
        </w:rPr>
      </w:pPr>
      <w:r>
        <w:rPr>
          <w:rFonts w:hint="eastAsia" w:ascii="宋体" w:hAnsi="宋体"/>
          <w:sz w:val="24"/>
        </w:rPr>
        <w:t>1.1.1.2</w:t>
      </w:r>
      <w:r>
        <w:rPr>
          <w:rFonts w:hint="eastAsia" w:ascii="宋体" w:hAnsi="宋体"/>
          <w:sz w:val="24"/>
        </w:rPr>
        <w:tab/>
      </w:r>
      <w:r>
        <w:rPr>
          <w:rFonts w:hint="eastAsia" w:ascii="宋体" w:hAnsi="宋体"/>
          <w:sz w:val="24"/>
        </w:rPr>
        <w:t>合同协议书：指第1.5 款所指的合同协议书。</w:t>
      </w:r>
    </w:p>
    <w:p>
      <w:pPr>
        <w:snapToGrid w:val="0"/>
        <w:spacing w:beforeLines="50"/>
        <w:ind w:left="991" w:hanging="991" w:hangingChars="413"/>
        <w:jc w:val="left"/>
        <w:rPr>
          <w:rFonts w:ascii="宋体" w:hAnsi="宋体"/>
          <w:sz w:val="24"/>
        </w:rPr>
      </w:pPr>
      <w:r>
        <w:rPr>
          <w:rFonts w:hint="eastAsia" w:ascii="宋体" w:hAnsi="宋体"/>
          <w:sz w:val="24"/>
        </w:rPr>
        <w:t>1.1.1.3</w:t>
      </w:r>
      <w:r>
        <w:rPr>
          <w:rFonts w:hint="eastAsia" w:ascii="宋体" w:hAnsi="宋体"/>
          <w:sz w:val="24"/>
        </w:rPr>
        <w:tab/>
      </w:r>
      <w:r>
        <w:rPr>
          <w:rFonts w:hint="eastAsia" w:ascii="宋体" w:hAnsi="宋体"/>
          <w:sz w:val="24"/>
        </w:rPr>
        <w:t>中标（成交）通知书：指发包人通知承包人中标（成交）的函件。中标（成交）通知书随附的澄清、说明、补正事项纪要等，是中标（成交）通知书的组成部分。</w:t>
      </w:r>
    </w:p>
    <w:p>
      <w:pPr>
        <w:snapToGrid w:val="0"/>
        <w:spacing w:beforeLines="50"/>
        <w:ind w:left="991" w:hanging="991" w:hangingChars="413"/>
        <w:jc w:val="left"/>
        <w:rPr>
          <w:rFonts w:ascii="宋体" w:hAnsi="宋体"/>
          <w:sz w:val="24"/>
        </w:rPr>
      </w:pPr>
      <w:r>
        <w:rPr>
          <w:rFonts w:hint="eastAsia" w:ascii="宋体" w:hAnsi="宋体"/>
          <w:sz w:val="24"/>
        </w:rPr>
        <w:t>1.1.1.4</w:t>
      </w:r>
      <w:r>
        <w:rPr>
          <w:rFonts w:hint="eastAsia" w:ascii="宋体" w:hAnsi="宋体"/>
          <w:sz w:val="24"/>
        </w:rPr>
        <w:tab/>
      </w:r>
      <w:r>
        <w:rPr>
          <w:rFonts w:hint="eastAsia" w:ascii="宋体" w:hAnsi="宋体"/>
          <w:sz w:val="24"/>
        </w:rPr>
        <w:t>报价函：指构成合同文件组成部分的由承包人填写并签署的报价函。</w:t>
      </w:r>
    </w:p>
    <w:p>
      <w:pPr>
        <w:snapToGrid w:val="0"/>
        <w:spacing w:beforeLines="50"/>
        <w:ind w:left="991" w:hanging="991" w:hangingChars="413"/>
        <w:jc w:val="left"/>
        <w:rPr>
          <w:rFonts w:ascii="宋体" w:hAnsi="宋体"/>
          <w:sz w:val="24"/>
        </w:rPr>
      </w:pPr>
      <w:r>
        <w:rPr>
          <w:rFonts w:hint="eastAsia" w:ascii="宋体" w:hAnsi="宋体"/>
          <w:sz w:val="24"/>
        </w:rPr>
        <w:t>1.1.1.5</w:t>
      </w:r>
      <w:r>
        <w:rPr>
          <w:rFonts w:hint="eastAsia" w:ascii="宋体" w:hAnsi="宋体"/>
          <w:sz w:val="24"/>
        </w:rPr>
        <w:tab/>
      </w:r>
      <w:r>
        <w:rPr>
          <w:rFonts w:hint="eastAsia" w:ascii="宋体" w:hAnsi="宋体"/>
          <w:sz w:val="24"/>
        </w:rPr>
        <w:t>报价函附录：指附在报价函后构成合同文件的报价函附录。</w:t>
      </w:r>
    </w:p>
    <w:p>
      <w:pPr>
        <w:snapToGrid w:val="0"/>
        <w:spacing w:beforeLines="50"/>
        <w:ind w:left="991" w:hanging="991" w:hangingChars="413"/>
        <w:jc w:val="left"/>
        <w:rPr>
          <w:rFonts w:ascii="宋体" w:hAnsi="宋体"/>
          <w:sz w:val="24"/>
        </w:rPr>
      </w:pPr>
      <w:r>
        <w:rPr>
          <w:rFonts w:hint="eastAsia" w:ascii="宋体" w:hAnsi="宋体"/>
          <w:sz w:val="24"/>
        </w:rPr>
        <w:t>1.1.1.6</w:t>
      </w:r>
      <w:r>
        <w:rPr>
          <w:rFonts w:hint="eastAsia" w:ascii="宋体" w:hAnsi="宋体"/>
          <w:sz w:val="24"/>
        </w:rPr>
        <w:tab/>
      </w:r>
      <w:r>
        <w:rPr>
          <w:rFonts w:hint="eastAsia" w:ascii="宋体" w:hAnsi="宋体"/>
          <w:sz w:val="24"/>
        </w:rPr>
        <w:t>技术标准和要求：指构成合同文件组成部分的名为技术标准和要求的文件，以及合同双方当事人约定对其所作的修改或补充。</w:t>
      </w:r>
    </w:p>
    <w:p>
      <w:pPr>
        <w:snapToGrid w:val="0"/>
        <w:spacing w:beforeLines="50"/>
        <w:ind w:left="991" w:hanging="991" w:hangingChars="413"/>
        <w:jc w:val="left"/>
        <w:rPr>
          <w:rFonts w:ascii="宋体" w:hAnsi="宋体"/>
          <w:sz w:val="24"/>
        </w:rPr>
      </w:pPr>
      <w:r>
        <w:rPr>
          <w:rFonts w:hint="eastAsia" w:ascii="宋体" w:hAnsi="宋体"/>
          <w:sz w:val="24"/>
        </w:rPr>
        <w:t>1.1.1.7</w:t>
      </w:r>
      <w:r>
        <w:rPr>
          <w:rFonts w:hint="eastAsia" w:ascii="宋体" w:hAnsi="宋体"/>
          <w:sz w:val="24"/>
        </w:rPr>
        <w:tab/>
      </w:r>
      <w:r>
        <w:rPr>
          <w:rFonts w:hint="eastAsia" w:ascii="宋体" w:hAnsi="宋体"/>
          <w:sz w:val="24"/>
        </w:rPr>
        <w:t>图纸：指包含在合同中的工程图纸，以及由发包人按合同约定提供的任何补充和修改的图纸，包括配套的说明。</w:t>
      </w:r>
    </w:p>
    <w:p>
      <w:pPr>
        <w:snapToGrid w:val="0"/>
        <w:spacing w:beforeLines="50"/>
        <w:ind w:left="991" w:hanging="991" w:hangingChars="413"/>
        <w:jc w:val="left"/>
        <w:rPr>
          <w:rFonts w:ascii="宋体" w:hAnsi="宋体"/>
          <w:sz w:val="24"/>
        </w:rPr>
      </w:pPr>
      <w:r>
        <w:rPr>
          <w:rFonts w:hint="eastAsia" w:ascii="宋体" w:hAnsi="宋体"/>
          <w:sz w:val="24"/>
        </w:rPr>
        <w:t>1.1.1.8</w:t>
      </w:r>
      <w:r>
        <w:rPr>
          <w:rFonts w:hint="eastAsia" w:ascii="宋体" w:hAnsi="宋体"/>
          <w:sz w:val="24"/>
        </w:rPr>
        <w:tab/>
      </w:r>
      <w:r>
        <w:rPr>
          <w:rFonts w:hint="eastAsia" w:ascii="宋体" w:hAnsi="宋体"/>
          <w:sz w:val="24"/>
        </w:rPr>
        <w:t>已标价工程量清单：指构成合同文件组成部分的由承包人按照规定的格式和要求填写并标明价格的工程量清单。</w:t>
      </w:r>
    </w:p>
    <w:p>
      <w:pPr>
        <w:snapToGrid w:val="0"/>
        <w:spacing w:beforeLines="50"/>
        <w:ind w:left="991" w:hanging="991" w:hangingChars="413"/>
        <w:jc w:val="left"/>
        <w:rPr>
          <w:rFonts w:ascii="宋体" w:hAnsi="宋体"/>
          <w:sz w:val="24"/>
        </w:rPr>
      </w:pPr>
      <w:r>
        <w:rPr>
          <w:rFonts w:hint="eastAsia" w:ascii="宋体" w:hAnsi="宋体"/>
          <w:sz w:val="24"/>
        </w:rPr>
        <w:t>1.1.1.9</w:t>
      </w:r>
      <w:r>
        <w:rPr>
          <w:rFonts w:hint="eastAsia" w:ascii="宋体" w:hAnsi="宋体"/>
          <w:sz w:val="24"/>
        </w:rPr>
        <w:tab/>
      </w:r>
      <w:r>
        <w:rPr>
          <w:rFonts w:hint="eastAsia" w:ascii="宋体" w:hAnsi="宋体"/>
          <w:sz w:val="24"/>
        </w:rPr>
        <w:t>其他合同文件：指经合同双方当事人确认构成合同文件的其他文件。</w:t>
      </w:r>
    </w:p>
    <w:p>
      <w:pPr>
        <w:snapToGrid w:val="0"/>
        <w:spacing w:beforeLines="50"/>
        <w:ind w:left="991" w:hanging="991" w:hangingChars="413"/>
        <w:jc w:val="left"/>
        <w:rPr>
          <w:rFonts w:ascii="宋体" w:hAnsi="宋体"/>
          <w:sz w:val="24"/>
        </w:rPr>
      </w:pPr>
      <w:r>
        <w:rPr>
          <w:rFonts w:hint="eastAsia" w:ascii="宋体" w:hAnsi="宋体"/>
          <w:sz w:val="24"/>
        </w:rPr>
        <w:t>1.1.2</w:t>
      </w:r>
      <w:r>
        <w:rPr>
          <w:rFonts w:hint="eastAsia" w:ascii="宋体" w:hAnsi="宋体"/>
          <w:sz w:val="24"/>
        </w:rPr>
        <w:tab/>
      </w:r>
      <w:r>
        <w:rPr>
          <w:rFonts w:hint="eastAsia" w:ascii="宋体" w:hAnsi="宋体"/>
          <w:sz w:val="24"/>
        </w:rPr>
        <w:t>合同当事人和人员</w:t>
      </w:r>
    </w:p>
    <w:p>
      <w:pPr>
        <w:snapToGrid w:val="0"/>
        <w:spacing w:beforeLines="50"/>
        <w:ind w:left="991" w:hanging="991" w:hangingChars="413"/>
        <w:jc w:val="left"/>
        <w:rPr>
          <w:rFonts w:ascii="宋体" w:hAnsi="宋体"/>
          <w:sz w:val="24"/>
        </w:rPr>
      </w:pPr>
      <w:r>
        <w:rPr>
          <w:rFonts w:hint="eastAsia" w:ascii="宋体" w:hAnsi="宋体"/>
          <w:sz w:val="24"/>
        </w:rPr>
        <w:t>1.1.2.1</w:t>
      </w:r>
      <w:r>
        <w:rPr>
          <w:rFonts w:hint="eastAsia" w:ascii="宋体" w:hAnsi="宋体"/>
          <w:sz w:val="24"/>
        </w:rPr>
        <w:tab/>
      </w:r>
      <w:r>
        <w:rPr>
          <w:rFonts w:hint="eastAsia" w:ascii="宋体" w:hAnsi="宋体"/>
          <w:sz w:val="24"/>
        </w:rPr>
        <w:t>合同当事人：指发包人和（或）承包人。</w:t>
      </w:r>
    </w:p>
    <w:p>
      <w:pPr>
        <w:snapToGrid w:val="0"/>
        <w:spacing w:beforeLines="50"/>
        <w:ind w:left="991" w:hanging="991" w:hangingChars="413"/>
        <w:jc w:val="left"/>
        <w:rPr>
          <w:rFonts w:ascii="宋体" w:hAnsi="宋体"/>
          <w:sz w:val="24"/>
        </w:rPr>
      </w:pPr>
      <w:r>
        <w:rPr>
          <w:rFonts w:hint="eastAsia" w:ascii="宋体" w:hAnsi="宋体"/>
          <w:sz w:val="24"/>
        </w:rPr>
        <w:t>1.1.2.2</w:t>
      </w:r>
      <w:r>
        <w:rPr>
          <w:rFonts w:hint="eastAsia" w:ascii="宋体" w:hAnsi="宋体"/>
          <w:sz w:val="24"/>
        </w:rPr>
        <w:tab/>
      </w:r>
      <w:r>
        <w:rPr>
          <w:rFonts w:hint="eastAsia" w:ascii="宋体" w:hAnsi="宋体"/>
          <w:sz w:val="24"/>
        </w:rPr>
        <w:t xml:space="preserve">发包人：指专用合同条款中指明并与承包人在合同协议书中签字的当事人。 </w:t>
      </w:r>
    </w:p>
    <w:p>
      <w:pPr>
        <w:snapToGrid w:val="0"/>
        <w:spacing w:beforeLines="50"/>
        <w:ind w:left="991" w:hanging="991" w:hangingChars="413"/>
        <w:jc w:val="left"/>
        <w:rPr>
          <w:rFonts w:ascii="宋体" w:hAnsi="宋体"/>
          <w:sz w:val="24"/>
        </w:rPr>
      </w:pPr>
      <w:r>
        <w:rPr>
          <w:rFonts w:hint="eastAsia" w:ascii="宋体" w:hAnsi="宋体"/>
          <w:sz w:val="24"/>
        </w:rPr>
        <w:t>1.1.2.3</w:t>
      </w:r>
      <w:r>
        <w:rPr>
          <w:rFonts w:hint="eastAsia" w:ascii="宋体" w:hAnsi="宋体"/>
          <w:sz w:val="24"/>
        </w:rPr>
        <w:tab/>
      </w:r>
      <w:r>
        <w:rPr>
          <w:rFonts w:hint="eastAsia" w:ascii="宋体" w:hAnsi="宋体"/>
          <w:sz w:val="24"/>
        </w:rPr>
        <w:t>承包人：指与发包人签订合同协议书的当事人。</w:t>
      </w:r>
    </w:p>
    <w:p>
      <w:pPr>
        <w:snapToGrid w:val="0"/>
        <w:spacing w:beforeLines="50"/>
        <w:ind w:left="991" w:hanging="991" w:hangingChars="413"/>
        <w:jc w:val="left"/>
        <w:rPr>
          <w:rFonts w:ascii="宋体" w:hAnsi="宋体"/>
          <w:sz w:val="24"/>
        </w:rPr>
      </w:pPr>
      <w:r>
        <w:rPr>
          <w:rFonts w:hint="eastAsia" w:ascii="宋体" w:hAnsi="宋体"/>
          <w:sz w:val="24"/>
        </w:rPr>
        <w:t>1.1.2.4</w:t>
      </w:r>
      <w:r>
        <w:rPr>
          <w:rFonts w:hint="eastAsia" w:ascii="宋体" w:hAnsi="宋体"/>
          <w:sz w:val="24"/>
        </w:rPr>
        <w:tab/>
      </w:r>
      <w:r>
        <w:rPr>
          <w:rFonts w:hint="eastAsia" w:ascii="宋体" w:hAnsi="宋体"/>
          <w:sz w:val="24"/>
        </w:rPr>
        <w:t>承包人项目经理：指承包人派驻施工场地的全权负责人。</w:t>
      </w:r>
    </w:p>
    <w:p>
      <w:pPr>
        <w:snapToGrid w:val="0"/>
        <w:spacing w:beforeLines="50"/>
        <w:ind w:left="991" w:hanging="991" w:hangingChars="413"/>
        <w:jc w:val="left"/>
        <w:rPr>
          <w:rFonts w:ascii="宋体" w:hAnsi="宋体"/>
          <w:sz w:val="24"/>
        </w:rPr>
      </w:pPr>
      <w:r>
        <w:rPr>
          <w:rFonts w:hint="eastAsia" w:ascii="宋体" w:hAnsi="宋体"/>
          <w:sz w:val="24"/>
        </w:rPr>
        <w:t>1.1.2.5</w:t>
      </w:r>
      <w:r>
        <w:rPr>
          <w:rFonts w:hint="eastAsia" w:ascii="宋体" w:hAnsi="宋体"/>
          <w:sz w:val="24"/>
        </w:rPr>
        <w:tab/>
      </w:r>
      <w:r>
        <w:rPr>
          <w:rFonts w:hint="eastAsia" w:ascii="宋体" w:hAnsi="宋体"/>
          <w:sz w:val="24"/>
        </w:rPr>
        <w:t>监理人：指在专用合同条款中指明的，受发包人委托对合同履行实施管理的法人或其他组织。属于国家强制监理的，监理人应当具有相应的监理资质。</w:t>
      </w:r>
    </w:p>
    <w:p>
      <w:pPr>
        <w:snapToGrid w:val="0"/>
        <w:spacing w:beforeLines="50"/>
        <w:ind w:left="991" w:hanging="991" w:hangingChars="413"/>
        <w:jc w:val="left"/>
        <w:rPr>
          <w:rFonts w:ascii="宋体" w:hAnsi="宋体"/>
          <w:sz w:val="24"/>
        </w:rPr>
      </w:pPr>
      <w:r>
        <w:rPr>
          <w:rFonts w:hint="eastAsia" w:ascii="宋体" w:hAnsi="宋体"/>
          <w:sz w:val="24"/>
        </w:rPr>
        <w:t>1.1.2.6</w:t>
      </w:r>
      <w:r>
        <w:rPr>
          <w:rFonts w:hint="eastAsia" w:ascii="宋体" w:hAnsi="宋体"/>
          <w:sz w:val="24"/>
        </w:rPr>
        <w:tab/>
      </w:r>
      <w:r>
        <w:rPr>
          <w:rFonts w:hint="eastAsia" w:ascii="宋体" w:hAnsi="宋体"/>
          <w:sz w:val="24"/>
        </w:rPr>
        <w:t>总监理工程师（总监）：指由监理人委派常驻施工场地对合同履行实施管理的全权负责人。</w:t>
      </w:r>
    </w:p>
    <w:p>
      <w:pPr>
        <w:snapToGrid w:val="0"/>
        <w:spacing w:beforeLines="50"/>
        <w:ind w:left="991" w:hanging="991" w:hangingChars="413"/>
        <w:jc w:val="left"/>
        <w:rPr>
          <w:rFonts w:ascii="宋体" w:hAnsi="宋体"/>
          <w:sz w:val="24"/>
        </w:rPr>
      </w:pPr>
      <w:r>
        <w:rPr>
          <w:rFonts w:hint="eastAsia" w:ascii="宋体" w:hAnsi="宋体"/>
          <w:sz w:val="24"/>
        </w:rPr>
        <w:t>1.1.3</w:t>
      </w:r>
      <w:r>
        <w:rPr>
          <w:rFonts w:hint="eastAsia" w:ascii="宋体" w:hAnsi="宋体"/>
          <w:sz w:val="24"/>
        </w:rPr>
        <w:tab/>
      </w:r>
      <w:r>
        <w:rPr>
          <w:rFonts w:hint="eastAsia" w:ascii="宋体" w:hAnsi="宋体"/>
          <w:sz w:val="24"/>
        </w:rPr>
        <w:t>工程和设备</w:t>
      </w:r>
    </w:p>
    <w:p>
      <w:pPr>
        <w:snapToGrid w:val="0"/>
        <w:spacing w:beforeLines="50"/>
        <w:ind w:left="991" w:hanging="991" w:hangingChars="413"/>
        <w:jc w:val="left"/>
        <w:rPr>
          <w:rFonts w:ascii="宋体" w:hAnsi="宋体"/>
          <w:sz w:val="24"/>
        </w:rPr>
      </w:pPr>
      <w:r>
        <w:rPr>
          <w:rFonts w:hint="eastAsia" w:ascii="宋体" w:hAnsi="宋体"/>
          <w:sz w:val="24"/>
        </w:rPr>
        <w:t>1.1.3.1</w:t>
      </w:r>
      <w:r>
        <w:rPr>
          <w:rFonts w:hint="eastAsia" w:ascii="宋体" w:hAnsi="宋体"/>
          <w:sz w:val="24"/>
        </w:rPr>
        <w:tab/>
      </w:r>
      <w:r>
        <w:rPr>
          <w:rFonts w:hint="eastAsia" w:ascii="宋体" w:hAnsi="宋体"/>
          <w:sz w:val="24"/>
        </w:rPr>
        <w:t>工程：指永久工程和（或）临时工程。</w:t>
      </w:r>
    </w:p>
    <w:p>
      <w:pPr>
        <w:snapToGrid w:val="0"/>
        <w:spacing w:beforeLines="50"/>
        <w:ind w:left="991" w:hanging="991" w:hangingChars="413"/>
        <w:jc w:val="left"/>
        <w:rPr>
          <w:rFonts w:ascii="宋体" w:hAnsi="宋体"/>
          <w:sz w:val="24"/>
        </w:rPr>
      </w:pPr>
      <w:r>
        <w:rPr>
          <w:rFonts w:hint="eastAsia" w:ascii="宋体" w:hAnsi="宋体"/>
          <w:sz w:val="24"/>
        </w:rPr>
        <w:t>1.1.3.2</w:t>
      </w:r>
      <w:r>
        <w:rPr>
          <w:rFonts w:hint="eastAsia" w:ascii="宋体" w:hAnsi="宋体"/>
          <w:sz w:val="24"/>
        </w:rPr>
        <w:tab/>
      </w:r>
      <w:r>
        <w:rPr>
          <w:rFonts w:hint="eastAsia" w:ascii="宋体" w:hAnsi="宋体"/>
          <w:sz w:val="24"/>
        </w:rPr>
        <w:t>工程设备：指构成或计划构成永久工程一部分的机电设备、仪器装置、运载工具及其他类似的设备和装置。</w:t>
      </w:r>
    </w:p>
    <w:p>
      <w:pPr>
        <w:snapToGrid w:val="0"/>
        <w:spacing w:beforeLines="50"/>
        <w:ind w:left="991" w:hanging="991" w:hangingChars="413"/>
        <w:jc w:val="left"/>
        <w:rPr>
          <w:rFonts w:ascii="宋体" w:hAnsi="宋体"/>
          <w:sz w:val="24"/>
        </w:rPr>
      </w:pPr>
      <w:r>
        <w:rPr>
          <w:rFonts w:hint="eastAsia" w:ascii="宋体" w:hAnsi="宋体"/>
          <w:sz w:val="24"/>
        </w:rPr>
        <w:t>1.1.3.3</w:t>
      </w:r>
      <w:r>
        <w:rPr>
          <w:rFonts w:hint="eastAsia" w:ascii="宋体" w:hAnsi="宋体"/>
          <w:sz w:val="24"/>
        </w:rPr>
        <w:tab/>
      </w:r>
      <w:r>
        <w:rPr>
          <w:rFonts w:hint="eastAsia" w:ascii="宋体" w:hAnsi="宋体"/>
          <w:sz w:val="24"/>
        </w:rPr>
        <w:t>施工场地（或称工地、现场）：指用于合同工程施工的场所，以及在合同中指定作为施工场地组成部分的其他场所，包括永久占地和临时占地。</w:t>
      </w:r>
    </w:p>
    <w:p>
      <w:pPr>
        <w:snapToGrid w:val="0"/>
        <w:spacing w:beforeLines="50"/>
        <w:ind w:left="991" w:hanging="991" w:hangingChars="413"/>
        <w:jc w:val="left"/>
        <w:rPr>
          <w:rFonts w:ascii="宋体" w:hAnsi="宋体"/>
          <w:sz w:val="24"/>
        </w:rPr>
      </w:pPr>
      <w:r>
        <w:rPr>
          <w:rFonts w:hint="eastAsia" w:ascii="宋体" w:hAnsi="宋体"/>
          <w:sz w:val="24"/>
        </w:rPr>
        <w:t>1.1.4</w:t>
      </w:r>
      <w:r>
        <w:rPr>
          <w:rFonts w:hint="eastAsia" w:ascii="宋体" w:hAnsi="宋体"/>
          <w:sz w:val="24"/>
        </w:rPr>
        <w:tab/>
      </w:r>
      <w:r>
        <w:rPr>
          <w:rFonts w:hint="eastAsia" w:ascii="宋体" w:hAnsi="宋体"/>
          <w:sz w:val="24"/>
        </w:rPr>
        <w:t>日期</w:t>
      </w:r>
    </w:p>
    <w:p>
      <w:pPr>
        <w:snapToGrid w:val="0"/>
        <w:spacing w:beforeLines="50"/>
        <w:ind w:left="991" w:hanging="991" w:hangingChars="413"/>
        <w:jc w:val="left"/>
        <w:rPr>
          <w:rFonts w:ascii="宋体" w:hAnsi="宋体"/>
          <w:sz w:val="24"/>
        </w:rPr>
      </w:pPr>
      <w:r>
        <w:rPr>
          <w:rFonts w:hint="eastAsia" w:ascii="宋体" w:hAnsi="宋体"/>
          <w:sz w:val="24"/>
        </w:rPr>
        <w:t>1.1.4.1</w:t>
      </w:r>
      <w:r>
        <w:rPr>
          <w:rFonts w:hint="eastAsia" w:ascii="宋体" w:hAnsi="宋体"/>
          <w:sz w:val="24"/>
        </w:rPr>
        <w:tab/>
      </w:r>
      <w:r>
        <w:rPr>
          <w:rFonts w:hint="eastAsia" w:ascii="宋体" w:hAnsi="宋体"/>
          <w:sz w:val="24"/>
        </w:rPr>
        <w:t>开工通知：指监理人按第6.2款通知承包人开工的函件。</w:t>
      </w:r>
    </w:p>
    <w:p>
      <w:pPr>
        <w:snapToGrid w:val="0"/>
        <w:spacing w:beforeLines="50"/>
        <w:ind w:left="991" w:hanging="991" w:hangingChars="413"/>
        <w:jc w:val="left"/>
        <w:rPr>
          <w:rFonts w:ascii="宋体" w:hAnsi="宋体"/>
          <w:sz w:val="24"/>
        </w:rPr>
      </w:pPr>
      <w:r>
        <w:rPr>
          <w:rFonts w:hint="eastAsia" w:ascii="宋体" w:hAnsi="宋体"/>
          <w:sz w:val="24"/>
        </w:rPr>
        <w:t>1.1.4.2</w:t>
      </w:r>
      <w:r>
        <w:rPr>
          <w:rFonts w:hint="eastAsia" w:ascii="宋体" w:hAnsi="宋体"/>
          <w:sz w:val="24"/>
        </w:rPr>
        <w:tab/>
      </w:r>
      <w:r>
        <w:rPr>
          <w:rFonts w:hint="eastAsia" w:ascii="宋体" w:hAnsi="宋体"/>
          <w:sz w:val="24"/>
        </w:rPr>
        <w:t>开工日期：指监理人按第6.2款发出的开工通知中写明的开工日期。</w:t>
      </w:r>
    </w:p>
    <w:p>
      <w:pPr>
        <w:snapToGrid w:val="0"/>
        <w:spacing w:beforeLines="50"/>
        <w:ind w:left="991" w:hanging="991" w:hangingChars="413"/>
        <w:jc w:val="left"/>
        <w:rPr>
          <w:rFonts w:ascii="宋体" w:hAnsi="宋体"/>
          <w:sz w:val="24"/>
        </w:rPr>
      </w:pPr>
      <w:r>
        <w:rPr>
          <w:rFonts w:hint="eastAsia" w:ascii="宋体" w:hAnsi="宋体"/>
          <w:sz w:val="24"/>
        </w:rPr>
        <w:t>1.1.4.3</w:t>
      </w:r>
      <w:r>
        <w:rPr>
          <w:rFonts w:hint="eastAsia" w:ascii="宋体" w:hAnsi="宋体"/>
          <w:sz w:val="24"/>
        </w:rPr>
        <w:tab/>
      </w:r>
      <w:r>
        <w:rPr>
          <w:rFonts w:hint="eastAsia" w:ascii="宋体" w:hAnsi="宋体"/>
          <w:sz w:val="24"/>
        </w:rPr>
        <w:t>工期：指承包人在报价函中承诺的完成合同工程所需的期限，包括按第6.3款、第6.4款约定所作的变更。</w:t>
      </w:r>
    </w:p>
    <w:p>
      <w:pPr>
        <w:snapToGrid w:val="0"/>
        <w:spacing w:beforeLines="50"/>
        <w:ind w:left="991" w:hanging="991" w:hangingChars="413"/>
        <w:jc w:val="left"/>
        <w:rPr>
          <w:rFonts w:ascii="宋体" w:hAnsi="宋体"/>
          <w:sz w:val="24"/>
        </w:rPr>
      </w:pPr>
      <w:r>
        <w:rPr>
          <w:rFonts w:hint="eastAsia" w:ascii="宋体" w:hAnsi="宋体"/>
          <w:sz w:val="24"/>
        </w:rPr>
        <w:t>1.1.4.4</w:t>
      </w:r>
      <w:r>
        <w:rPr>
          <w:rFonts w:hint="eastAsia" w:ascii="宋体" w:hAnsi="宋体"/>
          <w:sz w:val="24"/>
        </w:rPr>
        <w:tab/>
      </w:r>
      <w:r>
        <w:rPr>
          <w:rFonts w:hint="eastAsia" w:ascii="宋体" w:hAnsi="宋体"/>
          <w:sz w:val="24"/>
        </w:rPr>
        <w:t>竣工日期：指第1.1.4.3目约定工期届满时的日期。实际竣工日期以工程接收证书中写明的日期为准。</w:t>
      </w:r>
    </w:p>
    <w:p>
      <w:pPr>
        <w:snapToGrid w:val="0"/>
        <w:spacing w:beforeLines="50"/>
        <w:ind w:left="991" w:hanging="991" w:hangingChars="413"/>
        <w:jc w:val="left"/>
        <w:rPr>
          <w:rFonts w:ascii="宋体" w:hAnsi="宋体"/>
          <w:sz w:val="24"/>
        </w:rPr>
      </w:pPr>
      <w:r>
        <w:rPr>
          <w:rFonts w:hint="eastAsia" w:ascii="宋体" w:hAnsi="宋体"/>
          <w:sz w:val="24"/>
        </w:rPr>
        <w:t>1.1.4.5</w:t>
      </w:r>
      <w:r>
        <w:rPr>
          <w:rFonts w:hint="eastAsia" w:ascii="宋体" w:hAnsi="宋体"/>
          <w:sz w:val="24"/>
        </w:rPr>
        <w:tab/>
      </w:r>
      <w:r>
        <w:rPr>
          <w:rFonts w:hint="eastAsia" w:ascii="宋体" w:hAnsi="宋体"/>
          <w:sz w:val="24"/>
        </w:rPr>
        <w:t>缺陷责任期：指履行第12.1款约定的缺陷责任的期限，具体期限由专用合同条款约定。</w:t>
      </w:r>
    </w:p>
    <w:p>
      <w:pPr>
        <w:snapToGrid w:val="0"/>
        <w:spacing w:beforeLines="50"/>
        <w:ind w:left="991" w:hanging="991" w:hangingChars="413"/>
        <w:jc w:val="left"/>
        <w:rPr>
          <w:rFonts w:ascii="宋体" w:hAnsi="宋体"/>
          <w:sz w:val="24"/>
        </w:rPr>
      </w:pPr>
      <w:r>
        <w:rPr>
          <w:rFonts w:hint="eastAsia" w:ascii="宋体" w:hAnsi="宋体"/>
          <w:sz w:val="24"/>
        </w:rPr>
        <w:t>1.1.4.6</w:t>
      </w:r>
      <w:r>
        <w:rPr>
          <w:rFonts w:hint="eastAsia" w:ascii="宋体" w:hAnsi="宋体"/>
          <w:sz w:val="24"/>
        </w:rPr>
        <w:tab/>
      </w:r>
      <w:r>
        <w:rPr>
          <w:rFonts w:hint="eastAsia" w:ascii="宋体" w:hAnsi="宋体"/>
          <w:sz w:val="24"/>
        </w:rPr>
        <w:t>天：除特别指明外，指日历天。合同中按天计算时间的，开始当天不计入，从次日开始计算。期限最后一天的截止时间为当天24:00。</w:t>
      </w:r>
    </w:p>
    <w:p>
      <w:pPr>
        <w:snapToGrid w:val="0"/>
        <w:spacing w:beforeLines="50"/>
        <w:ind w:left="991" w:hanging="991" w:hangingChars="413"/>
        <w:jc w:val="left"/>
        <w:rPr>
          <w:rFonts w:ascii="宋体" w:hAnsi="宋体"/>
          <w:sz w:val="24"/>
        </w:rPr>
      </w:pPr>
      <w:r>
        <w:rPr>
          <w:rFonts w:hint="eastAsia" w:ascii="宋体" w:hAnsi="宋体"/>
          <w:sz w:val="24"/>
        </w:rPr>
        <w:t>1.1.5</w:t>
      </w:r>
      <w:r>
        <w:rPr>
          <w:rFonts w:hint="eastAsia" w:ascii="宋体" w:hAnsi="宋体"/>
          <w:sz w:val="24"/>
        </w:rPr>
        <w:tab/>
      </w:r>
      <w:r>
        <w:rPr>
          <w:rFonts w:hint="eastAsia" w:ascii="宋体" w:hAnsi="宋体"/>
          <w:sz w:val="24"/>
        </w:rPr>
        <w:t>合同价格和费用</w:t>
      </w:r>
    </w:p>
    <w:p>
      <w:pPr>
        <w:snapToGrid w:val="0"/>
        <w:spacing w:beforeLines="50"/>
        <w:ind w:left="991" w:hanging="991" w:hangingChars="413"/>
        <w:jc w:val="left"/>
        <w:rPr>
          <w:rFonts w:ascii="宋体" w:hAnsi="宋体"/>
          <w:sz w:val="24"/>
        </w:rPr>
      </w:pPr>
      <w:r>
        <w:rPr>
          <w:rFonts w:hint="eastAsia" w:ascii="宋体" w:hAnsi="宋体"/>
          <w:sz w:val="24"/>
        </w:rPr>
        <w:t>1.1.5.1</w:t>
      </w:r>
      <w:r>
        <w:rPr>
          <w:rFonts w:hint="eastAsia" w:ascii="宋体" w:hAnsi="宋体"/>
          <w:sz w:val="24"/>
        </w:rPr>
        <w:tab/>
      </w:r>
      <w:r>
        <w:rPr>
          <w:rFonts w:hint="eastAsia" w:ascii="宋体" w:hAnsi="宋体"/>
          <w:sz w:val="24"/>
        </w:rPr>
        <w:t>签约合同价：指签定合同时合同协议书中写明的，包括了暂列金额的合同总金额。</w:t>
      </w:r>
    </w:p>
    <w:p>
      <w:pPr>
        <w:snapToGrid w:val="0"/>
        <w:spacing w:beforeLines="50"/>
        <w:ind w:left="991" w:hanging="991" w:hangingChars="413"/>
        <w:jc w:val="left"/>
        <w:rPr>
          <w:rFonts w:ascii="宋体" w:hAnsi="宋体"/>
          <w:sz w:val="24"/>
        </w:rPr>
      </w:pPr>
      <w:r>
        <w:rPr>
          <w:rFonts w:hint="eastAsia" w:ascii="宋体" w:hAnsi="宋体"/>
          <w:sz w:val="24"/>
        </w:rPr>
        <w:t>1.1.5.2</w:t>
      </w:r>
      <w:r>
        <w:rPr>
          <w:rFonts w:hint="eastAsia" w:ascii="宋体" w:hAnsi="宋体"/>
          <w:sz w:val="24"/>
        </w:rPr>
        <w:tab/>
      </w:r>
      <w:r>
        <w:rPr>
          <w:rFonts w:hint="eastAsia" w:ascii="宋体" w:hAnsi="宋体"/>
          <w:sz w:val="24"/>
        </w:rPr>
        <w:t>合同价格：指承包人按合同约定完成了包括缺陷责任期内的全部承包工作后，发包人应付给承包人的金额，包括在履行合同过程中按合同约定进行的变更和调整。</w:t>
      </w:r>
    </w:p>
    <w:p>
      <w:pPr>
        <w:snapToGrid w:val="0"/>
        <w:spacing w:beforeLines="50"/>
        <w:ind w:left="991" w:hanging="991" w:hangingChars="413"/>
        <w:jc w:val="left"/>
        <w:rPr>
          <w:rFonts w:ascii="宋体" w:hAnsi="宋体"/>
          <w:sz w:val="24"/>
        </w:rPr>
      </w:pPr>
      <w:r>
        <w:rPr>
          <w:rFonts w:hint="eastAsia" w:ascii="宋体" w:hAnsi="宋体"/>
          <w:sz w:val="24"/>
        </w:rPr>
        <w:t>1.1.5.3</w:t>
      </w:r>
      <w:r>
        <w:rPr>
          <w:rFonts w:hint="eastAsia" w:ascii="宋体" w:hAnsi="宋体"/>
          <w:sz w:val="24"/>
        </w:rPr>
        <w:tab/>
      </w:r>
      <w:r>
        <w:rPr>
          <w:rFonts w:hint="eastAsia" w:ascii="宋体" w:hAnsi="宋体"/>
          <w:sz w:val="24"/>
        </w:rPr>
        <w:t>费用：指为履行合同所发生的或将要发生的所有合理开支，包括管理费和应分摊的其他费用，但不包括利润。</w:t>
      </w:r>
    </w:p>
    <w:p>
      <w:pPr>
        <w:snapToGrid w:val="0"/>
        <w:spacing w:beforeLines="50"/>
        <w:ind w:left="991" w:hanging="991" w:hangingChars="413"/>
        <w:jc w:val="left"/>
        <w:rPr>
          <w:rFonts w:ascii="宋体" w:hAnsi="宋体"/>
          <w:sz w:val="24"/>
        </w:rPr>
      </w:pPr>
      <w:r>
        <w:rPr>
          <w:rFonts w:hint="eastAsia" w:ascii="宋体" w:hAnsi="宋体"/>
          <w:sz w:val="24"/>
        </w:rPr>
        <w:t>1.1.5.4</w:t>
      </w:r>
      <w:r>
        <w:rPr>
          <w:rFonts w:hint="eastAsia" w:ascii="宋体" w:hAnsi="宋体"/>
          <w:sz w:val="24"/>
        </w:rPr>
        <w:tab/>
      </w:r>
      <w:r>
        <w:rPr>
          <w:rFonts w:hint="eastAsia" w:ascii="宋体" w:hAnsi="宋体"/>
          <w:sz w:val="24"/>
        </w:rPr>
        <w:t>暂列金额：指已标价工程量清单中所列的暂列金额，用于在签订协议书时尚未确定或不可预见变更的施工及其所需材料、工程设备、服务等的金额，包括以计日工方式支付的金额。</w:t>
      </w:r>
    </w:p>
    <w:p>
      <w:pPr>
        <w:snapToGrid w:val="0"/>
        <w:spacing w:beforeLines="50"/>
        <w:ind w:left="991" w:hanging="991" w:hangingChars="413"/>
        <w:jc w:val="left"/>
        <w:rPr>
          <w:rFonts w:ascii="宋体" w:hAnsi="宋体"/>
          <w:sz w:val="24"/>
        </w:rPr>
      </w:pPr>
      <w:r>
        <w:rPr>
          <w:rFonts w:hint="eastAsia" w:ascii="宋体" w:hAnsi="宋体"/>
          <w:sz w:val="24"/>
        </w:rPr>
        <w:t>1.1.5.5</w:t>
      </w:r>
      <w:r>
        <w:rPr>
          <w:rFonts w:hint="eastAsia" w:ascii="宋体" w:hAnsi="宋体"/>
          <w:sz w:val="24"/>
        </w:rPr>
        <w:tab/>
      </w:r>
      <w:r>
        <w:rPr>
          <w:rFonts w:hint="eastAsia" w:ascii="宋体" w:hAnsi="宋体"/>
          <w:sz w:val="24"/>
        </w:rPr>
        <w:t>计日工：指对零星工作采取的一种计价方式，按合同中的计日工子目及其单价计价付款。</w:t>
      </w:r>
    </w:p>
    <w:p>
      <w:pPr>
        <w:snapToGrid w:val="0"/>
        <w:spacing w:beforeLines="50"/>
        <w:ind w:left="991" w:hanging="991" w:hangingChars="413"/>
        <w:jc w:val="left"/>
        <w:rPr>
          <w:rFonts w:ascii="宋体" w:hAnsi="宋体"/>
          <w:sz w:val="24"/>
        </w:rPr>
      </w:pPr>
      <w:r>
        <w:rPr>
          <w:rFonts w:hint="eastAsia" w:ascii="宋体" w:hAnsi="宋体"/>
          <w:sz w:val="24"/>
        </w:rPr>
        <w:t>1.1.5.6</w:t>
      </w:r>
      <w:r>
        <w:rPr>
          <w:rFonts w:hint="eastAsia" w:ascii="宋体" w:hAnsi="宋体"/>
          <w:sz w:val="24"/>
        </w:rPr>
        <w:tab/>
      </w:r>
      <w:r>
        <w:rPr>
          <w:rFonts w:hint="eastAsia" w:ascii="宋体" w:hAnsi="宋体"/>
          <w:sz w:val="24"/>
        </w:rPr>
        <w:t>质量保证金（或称保留金）：指按第10.4款约定用于保证在缺陷责任期内履行缺陷修复义务的金额。</w:t>
      </w:r>
    </w:p>
    <w:p>
      <w:pPr>
        <w:snapToGrid w:val="0"/>
        <w:spacing w:beforeLines="50"/>
        <w:ind w:left="991" w:hanging="991" w:hangingChars="413"/>
        <w:jc w:val="left"/>
        <w:rPr>
          <w:rFonts w:ascii="宋体" w:hAnsi="宋体"/>
          <w:sz w:val="24"/>
        </w:rPr>
      </w:pPr>
      <w:r>
        <w:rPr>
          <w:rFonts w:hint="eastAsia" w:ascii="宋体" w:hAnsi="宋体"/>
          <w:sz w:val="24"/>
        </w:rPr>
        <w:t>1.1.6</w:t>
      </w:r>
      <w:r>
        <w:rPr>
          <w:rFonts w:hint="eastAsia" w:ascii="宋体" w:hAnsi="宋体"/>
          <w:sz w:val="24"/>
        </w:rPr>
        <w:tab/>
      </w:r>
      <w:r>
        <w:rPr>
          <w:rFonts w:hint="eastAsia" w:ascii="宋体" w:hAnsi="宋体"/>
          <w:sz w:val="24"/>
        </w:rPr>
        <w:t>其他</w:t>
      </w:r>
    </w:p>
    <w:p>
      <w:pPr>
        <w:snapToGrid w:val="0"/>
        <w:spacing w:beforeLines="50"/>
        <w:ind w:left="991" w:hanging="991" w:hangingChars="413"/>
        <w:jc w:val="left"/>
        <w:rPr>
          <w:rFonts w:ascii="宋体" w:hAnsi="宋体"/>
          <w:sz w:val="24"/>
        </w:rPr>
      </w:pPr>
      <w:r>
        <w:rPr>
          <w:rFonts w:hint="eastAsia" w:ascii="宋体" w:hAnsi="宋体"/>
          <w:sz w:val="24"/>
        </w:rPr>
        <w:t>1.1.6.1</w:t>
      </w:r>
      <w:r>
        <w:rPr>
          <w:rFonts w:hint="eastAsia" w:ascii="宋体" w:hAnsi="宋体"/>
          <w:sz w:val="24"/>
        </w:rPr>
        <w:tab/>
      </w:r>
      <w:r>
        <w:rPr>
          <w:rFonts w:hint="eastAsia" w:ascii="宋体" w:hAnsi="宋体"/>
          <w:sz w:val="24"/>
        </w:rPr>
        <w:t>书面形式：指合同文件、信函、电报、传真、电子数据交换和电子邮件等可以有形地表现所载内容的形式。</w:t>
      </w:r>
    </w:p>
    <w:p>
      <w:pPr>
        <w:snapToGrid w:val="0"/>
        <w:spacing w:beforeLines="50"/>
        <w:ind w:left="991" w:hanging="991" w:hangingChars="413"/>
        <w:jc w:val="left"/>
        <w:rPr>
          <w:rFonts w:ascii="黑体" w:eastAsia="黑体"/>
          <w:sz w:val="24"/>
        </w:rPr>
      </w:pPr>
      <w:bookmarkStart w:id="125" w:name="_Toc296602501"/>
      <w:bookmarkStart w:id="126" w:name="_Toc247085771"/>
      <w:bookmarkStart w:id="127" w:name="_Toc246996256"/>
      <w:bookmarkStart w:id="128" w:name="_Toc246996999"/>
      <w:r>
        <w:rPr>
          <w:rFonts w:hint="eastAsia" w:ascii="黑体" w:eastAsia="黑体"/>
          <w:sz w:val="24"/>
        </w:rPr>
        <w:t>1.2</w:t>
      </w:r>
      <w:r>
        <w:rPr>
          <w:rFonts w:hint="eastAsia" w:ascii="黑体" w:eastAsia="黑体"/>
          <w:sz w:val="24"/>
        </w:rPr>
        <w:tab/>
      </w:r>
      <w:r>
        <w:rPr>
          <w:rFonts w:hint="eastAsia" w:ascii="黑体" w:eastAsia="黑体"/>
          <w:sz w:val="24"/>
        </w:rPr>
        <w:t>语言文字</w:t>
      </w:r>
      <w:bookmarkEnd w:id="125"/>
      <w:bookmarkEnd w:id="126"/>
      <w:bookmarkEnd w:id="127"/>
      <w:bookmarkEnd w:id="128"/>
    </w:p>
    <w:p>
      <w:pPr>
        <w:snapToGrid w:val="0"/>
        <w:spacing w:beforeLines="50"/>
        <w:ind w:left="991" w:leftChars="472"/>
        <w:rPr>
          <w:rFonts w:ascii="宋体" w:hAnsi="宋体"/>
          <w:sz w:val="24"/>
        </w:rPr>
      </w:pPr>
      <w:bookmarkStart w:id="129" w:name="_Toc247085772"/>
      <w:bookmarkStart w:id="130" w:name="_Toc246996257"/>
      <w:bookmarkStart w:id="131" w:name="_Toc246997000"/>
      <w:r>
        <w:rPr>
          <w:rFonts w:hint="eastAsia" w:ascii="宋体" w:hAnsi="宋体"/>
          <w:sz w:val="24"/>
        </w:rPr>
        <w:t>合同使用的语言文字为中文。专用术语使用外文的，应附有中文注释。</w:t>
      </w:r>
    </w:p>
    <w:p>
      <w:pPr>
        <w:snapToGrid w:val="0"/>
        <w:spacing w:beforeLines="50"/>
        <w:ind w:left="991" w:hanging="991" w:hangingChars="413"/>
        <w:jc w:val="left"/>
        <w:rPr>
          <w:rFonts w:ascii="黑体" w:eastAsia="黑体"/>
          <w:sz w:val="24"/>
        </w:rPr>
      </w:pPr>
      <w:bookmarkStart w:id="132" w:name="_Toc296602502"/>
      <w:r>
        <w:rPr>
          <w:rFonts w:hint="eastAsia" w:ascii="黑体" w:eastAsia="黑体"/>
          <w:sz w:val="24"/>
        </w:rPr>
        <w:t>1.3</w:t>
      </w:r>
      <w:r>
        <w:rPr>
          <w:rFonts w:hint="eastAsia" w:ascii="黑体" w:eastAsia="黑体"/>
          <w:sz w:val="24"/>
        </w:rPr>
        <w:tab/>
      </w:r>
      <w:r>
        <w:rPr>
          <w:rFonts w:hint="eastAsia" w:ascii="黑体" w:eastAsia="黑体"/>
          <w:sz w:val="24"/>
        </w:rPr>
        <w:t>法律</w:t>
      </w:r>
      <w:bookmarkEnd w:id="129"/>
      <w:bookmarkEnd w:id="130"/>
      <w:bookmarkEnd w:id="131"/>
      <w:bookmarkEnd w:id="132"/>
    </w:p>
    <w:p>
      <w:pPr>
        <w:snapToGrid w:val="0"/>
        <w:spacing w:beforeLines="50"/>
        <w:ind w:left="991" w:leftChars="472"/>
        <w:rPr>
          <w:rFonts w:ascii="宋体" w:hAnsi="宋体"/>
          <w:sz w:val="24"/>
        </w:rPr>
      </w:pPr>
      <w:r>
        <w:rPr>
          <w:rFonts w:hint="eastAsia" w:ascii="宋体" w:hAnsi="宋体"/>
          <w:sz w:val="24"/>
        </w:rPr>
        <w:t>适用于合同的法律包括中华人民共和国法律、行政法规、部门规章，以及工程所在地的地方法规、自治条例、单行条例和地方政府规章。</w:t>
      </w:r>
    </w:p>
    <w:p>
      <w:pPr>
        <w:snapToGrid w:val="0"/>
        <w:spacing w:beforeLines="50"/>
        <w:ind w:left="991" w:hanging="991" w:hangingChars="413"/>
        <w:jc w:val="left"/>
        <w:rPr>
          <w:rFonts w:ascii="黑体" w:eastAsia="黑体"/>
          <w:sz w:val="24"/>
        </w:rPr>
      </w:pPr>
      <w:bookmarkStart w:id="133" w:name="_Toc247085773"/>
      <w:bookmarkStart w:id="134" w:name="_Toc296602503"/>
      <w:bookmarkStart w:id="135" w:name="_Toc246996258"/>
      <w:bookmarkStart w:id="136" w:name="_Toc246997001"/>
      <w:r>
        <w:rPr>
          <w:rFonts w:hint="eastAsia" w:ascii="黑体" w:eastAsia="黑体"/>
          <w:sz w:val="24"/>
        </w:rPr>
        <w:t>1.4</w:t>
      </w:r>
      <w:r>
        <w:rPr>
          <w:rFonts w:hint="eastAsia" w:ascii="黑体" w:eastAsia="黑体"/>
          <w:sz w:val="24"/>
        </w:rPr>
        <w:tab/>
      </w:r>
      <w:r>
        <w:rPr>
          <w:rFonts w:hint="eastAsia" w:ascii="黑体" w:eastAsia="黑体"/>
          <w:sz w:val="24"/>
        </w:rPr>
        <w:t>合同文件的优先顺序</w:t>
      </w:r>
      <w:bookmarkEnd w:id="133"/>
      <w:bookmarkEnd w:id="134"/>
      <w:bookmarkEnd w:id="135"/>
      <w:bookmarkEnd w:id="136"/>
    </w:p>
    <w:p>
      <w:pPr>
        <w:snapToGrid w:val="0"/>
        <w:spacing w:beforeLines="50"/>
        <w:ind w:left="991" w:leftChars="472"/>
        <w:rPr>
          <w:rFonts w:ascii="宋体" w:hAnsi="宋体"/>
          <w:sz w:val="24"/>
        </w:rPr>
      </w:pPr>
      <w:r>
        <w:rPr>
          <w:rFonts w:hint="eastAsia" w:ascii="宋体" w:hAnsi="宋体"/>
          <w:sz w:val="24"/>
        </w:rPr>
        <w:t>组成合同的各项文件应互相解释，互为说明。除专用合同条款另有约定外，解释合同文件的优先顺序如下：</w:t>
      </w:r>
    </w:p>
    <w:p>
      <w:pPr>
        <w:snapToGrid w:val="0"/>
        <w:spacing w:beforeLines="50"/>
        <w:ind w:left="991" w:leftChars="472"/>
        <w:rPr>
          <w:rFonts w:ascii="宋体" w:hAnsi="宋体"/>
          <w:sz w:val="24"/>
        </w:rPr>
      </w:pPr>
      <w:r>
        <w:rPr>
          <w:rFonts w:hint="eastAsia" w:ascii="宋体" w:hAnsi="宋体"/>
          <w:sz w:val="24"/>
        </w:rPr>
        <w:t>（1）合同协议书；</w:t>
      </w:r>
    </w:p>
    <w:p>
      <w:pPr>
        <w:snapToGrid w:val="0"/>
        <w:spacing w:beforeLines="50"/>
        <w:ind w:left="991" w:leftChars="472"/>
        <w:rPr>
          <w:rFonts w:ascii="宋体" w:hAnsi="宋体"/>
          <w:sz w:val="24"/>
        </w:rPr>
      </w:pPr>
      <w:r>
        <w:rPr>
          <w:rFonts w:hint="eastAsia" w:ascii="宋体" w:hAnsi="宋体"/>
          <w:sz w:val="24"/>
        </w:rPr>
        <w:t>（2）中标（成交）通知书；</w:t>
      </w:r>
    </w:p>
    <w:p>
      <w:pPr>
        <w:snapToGrid w:val="0"/>
        <w:spacing w:beforeLines="50"/>
        <w:ind w:left="991" w:leftChars="472"/>
        <w:rPr>
          <w:rFonts w:ascii="宋体" w:hAnsi="宋体"/>
          <w:sz w:val="24"/>
        </w:rPr>
      </w:pPr>
      <w:r>
        <w:rPr>
          <w:rFonts w:hint="eastAsia" w:ascii="宋体" w:hAnsi="宋体"/>
          <w:sz w:val="24"/>
        </w:rPr>
        <w:t>（3）报价函及报价函附录；</w:t>
      </w:r>
    </w:p>
    <w:p>
      <w:pPr>
        <w:snapToGrid w:val="0"/>
        <w:spacing w:beforeLines="50"/>
        <w:ind w:left="991" w:leftChars="472"/>
        <w:rPr>
          <w:rFonts w:ascii="宋体" w:hAnsi="宋体"/>
          <w:sz w:val="24"/>
        </w:rPr>
      </w:pPr>
      <w:r>
        <w:rPr>
          <w:rFonts w:hint="eastAsia" w:ascii="宋体" w:hAnsi="宋体"/>
          <w:sz w:val="24"/>
        </w:rPr>
        <w:t>（4）专用合同条款；</w:t>
      </w:r>
    </w:p>
    <w:p>
      <w:pPr>
        <w:snapToGrid w:val="0"/>
        <w:spacing w:beforeLines="50"/>
        <w:ind w:left="991" w:leftChars="472"/>
        <w:rPr>
          <w:rFonts w:ascii="宋体" w:hAnsi="宋体"/>
          <w:sz w:val="24"/>
        </w:rPr>
      </w:pPr>
      <w:r>
        <w:rPr>
          <w:rFonts w:hint="eastAsia" w:ascii="宋体" w:hAnsi="宋体"/>
          <w:sz w:val="24"/>
        </w:rPr>
        <w:t>（5）通用合同条款；</w:t>
      </w:r>
    </w:p>
    <w:p>
      <w:pPr>
        <w:snapToGrid w:val="0"/>
        <w:spacing w:beforeLines="50"/>
        <w:ind w:left="991" w:leftChars="472"/>
        <w:rPr>
          <w:rFonts w:ascii="宋体" w:hAnsi="宋体"/>
          <w:sz w:val="24"/>
        </w:rPr>
      </w:pPr>
      <w:r>
        <w:rPr>
          <w:rFonts w:hint="eastAsia" w:ascii="宋体" w:hAnsi="宋体"/>
          <w:sz w:val="24"/>
        </w:rPr>
        <w:t>（6）技术标准和要求；</w:t>
      </w:r>
    </w:p>
    <w:p>
      <w:pPr>
        <w:snapToGrid w:val="0"/>
        <w:spacing w:beforeLines="50"/>
        <w:ind w:left="991" w:leftChars="472"/>
        <w:rPr>
          <w:rFonts w:ascii="宋体" w:hAnsi="宋体"/>
          <w:sz w:val="24"/>
        </w:rPr>
      </w:pPr>
      <w:r>
        <w:rPr>
          <w:rFonts w:hint="eastAsia" w:ascii="宋体" w:hAnsi="宋体"/>
          <w:sz w:val="24"/>
        </w:rPr>
        <w:t>（7）图纸；</w:t>
      </w:r>
    </w:p>
    <w:p>
      <w:pPr>
        <w:snapToGrid w:val="0"/>
        <w:spacing w:beforeLines="50"/>
        <w:ind w:left="991" w:leftChars="472"/>
        <w:rPr>
          <w:rFonts w:ascii="宋体" w:hAnsi="宋体"/>
          <w:sz w:val="24"/>
        </w:rPr>
      </w:pPr>
      <w:r>
        <w:rPr>
          <w:rFonts w:hint="eastAsia" w:ascii="宋体" w:hAnsi="宋体"/>
          <w:sz w:val="24"/>
        </w:rPr>
        <w:t>（8）已标价工程量清单；</w:t>
      </w:r>
    </w:p>
    <w:p>
      <w:pPr>
        <w:snapToGrid w:val="0"/>
        <w:spacing w:beforeLines="50"/>
        <w:ind w:left="991" w:leftChars="472"/>
        <w:rPr>
          <w:rFonts w:ascii="宋体" w:hAnsi="宋体"/>
          <w:sz w:val="24"/>
        </w:rPr>
      </w:pPr>
      <w:r>
        <w:rPr>
          <w:rFonts w:hint="eastAsia" w:ascii="宋体" w:hAnsi="宋体"/>
          <w:sz w:val="24"/>
        </w:rPr>
        <w:t>（9）其他合同文件。</w:t>
      </w:r>
    </w:p>
    <w:p>
      <w:pPr>
        <w:snapToGrid w:val="0"/>
        <w:spacing w:beforeLines="50"/>
        <w:ind w:left="991" w:hanging="991" w:hangingChars="413"/>
        <w:jc w:val="left"/>
        <w:rPr>
          <w:rFonts w:ascii="黑体" w:eastAsia="黑体"/>
          <w:sz w:val="24"/>
        </w:rPr>
      </w:pPr>
      <w:bookmarkStart w:id="137" w:name="_Toc246996259"/>
      <w:bookmarkStart w:id="138" w:name="_Toc246997002"/>
      <w:bookmarkStart w:id="139" w:name="_Toc296602504"/>
      <w:bookmarkStart w:id="140" w:name="_Toc247085774"/>
      <w:r>
        <w:rPr>
          <w:rFonts w:hint="eastAsia" w:ascii="黑体" w:eastAsia="黑体"/>
          <w:sz w:val="24"/>
        </w:rPr>
        <w:t>1.5</w:t>
      </w:r>
      <w:r>
        <w:rPr>
          <w:rFonts w:hint="eastAsia" w:ascii="黑体" w:eastAsia="黑体"/>
          <w:sz w:val="24"/>
        </w:rPr>
        <w:tab/>
      </w:r>
      <w:r>
        <w:rPr>
          <w:rFonts w:hint="eastAsia" w:ascii="黑体" w:eastAsia="黑体"/>
          <w:sz w:val="24"/>
        </w:rPr>
        <w:t>合同协议书</w:t>
      </w:r>
      <w:bookmarkEnd w:id="137"/>
      <w:bookmarkEnd w:id="138"/>
      <w:bookmarkEnd w:id="139"/>
      <w:bookmarkEnd w:id="140"/>
    </w:p>
    <w:p>
      <w:pPr>
        <w:snapToGrid w:val="0"/>
        <w:spacing w:beforeLines="50"/>
        <w:ind w:left="991" w:leftChars="472"/>
        <w:rPr>
          <w:rFonts w:ascii="宋体" w:hAnsi="宋体"/>
          <w:sz w:val="24"/>
        </w:rPr>
      </w:pPr>
      <w:r>
        <w:rPr>
          <w:rFonts w:hint="eastAsia" w:ascii="宋体" w:hAnsi="宋体"/>
          <w:sz w:val="24"/>
        </w:rPr>
        <w:t>承包人按中标（成交）通知书规定的时间与发包人签订合同协议书。除法律另有规定或合同另有约定外，发包人和承包人的法定代表人或其委托代理人在合同协议书上签字并盖单位章后，合同生效。</w:t>
      </w:r>
    </w:p>
    <w:p>
      <w:pPr>
        <w:snapToGrid w:val="0"/>
        <w:spacing w:beforeLines="50"/>
        <w:ind w:left="991" w:hanging="991" w:hangingChars="413"/>
        <w:jc w:val="left"/>
        <w:rPr>
          <w:rFonts w:ascii="黑体" w:eastAsia="黑体"/>
          <w:sz w:val="24"/>
        </w:rPr>
      </w:pPr>
      <w:bookmarkStart w:id="141" w:name="_Toc246996260"/>
      <w:bookmarkStart w:id="142" w:name="_Toc247085775"/>
      <w:bookmarkStart w:id="143" w:name="_Toc246997003"/>
      <w:bookmarkStart w:id="144" w:name="_Toc296602505"/>
      <w:r>
        <w:rPr>
          <w:rFonts w:hint="eastAsia" w:ascii="黑体" w:eastAsia="黑体"/>
          <w:sz w:val="24"/>
        </w:rPr>
        <w:t>1.6</w:t>
      </w:r>
      <w:r>
        <w:rPr>
          <w:rFonts w:hint="eastAsia" w:ascii="黑体" w:eastAsia="黑体"/>
          <w:sz w:val="24"/>
        </w:rPr>
        <w:tab/>
      </w:r>
      <w:r>
        <w:rPr>
          <w:rFonts w:hint="eastAsia" w:ascii="黑体" w:eastAsia="黑体"/>
          <w:sz w:val="24"/>
        </w:rPr>
        <w:t>图纸和承包人文件</w:t>
      </w:r>
      <w:bookmarkEnd w:id="141"/>
      <w:bookmarkEnd w:id="142"/>
      <w:bookmarkEnd w:id="143"/>
      <w:bookmarkEnd w:id="144"/>
    </w:p>
    <w:p>
      <w:pPr>
        <w:snapToGrid w:val="0"/>
        <w:spacing w:beforeLines="50"/>
        <w:ind w:left="991" w:hanging="991" w:hangingChars="413"/>
        <w:jc w:val="left"/>
        <w:rPr>
          <w:rFonts w:ascii="宋体" w:hAnsi="宋体"/>
          <w:sz w:val="24"/>
        </w:rPr>
      </w:pPr>
      <w:r>
        <w:rPr>
          <w:rFonts w:hint="eastAsia" w:ascii="宋体" w:hAnsi="宋体"/>
          <w:sz w:val="24"/>
        </w:rPr>
        <w:t>1.6.1</w:t>
      </w:r>
      <w:r>
        <w:rPr>
          <w:rFonts w:hint="eastAsia" w:ascii="宋体" w:hAnsi="宋体"/>
          <w:sz w:val="24"/>
        </w:rPr>
        <w:tab/>
      </w:r>
      <w:r>
        <w:rPr>
          <w:rFonts w:hint="eastAsia" w:ascii="宋体" w:hAnsi="宋体"/>
          <w:sz w:val="24"/>
        </w:rPr>
        <w:t>发包人提供的图纸</w:t>
      </w:r>
    </w:p>
    <w:p>
      <w:pPr>
        <w:snapToGrid w:val="0"/>
        <w:spacing w:beforeLines="50"/>
        <w:ind w:left="991" w:leftChars="472"/>
        <w:rPr>
          <w:rFonts w:ascii="宋体" w:hAnsi="宋体"/>
          <w:sz w:val="24"/>
        </w:rPr>
      </w:pPr>
      <w:r>
        <w:rPr>
          <w:rFonts w:hint="eastAsia" w:ascii="宋体" w:hAnsi="宋体"/>
          <w:sz w:val="24"/>
        </w:rPr>
        <w:t>除专用合同条款另有约定外，图纸应在合理的期限内按照合同约定的数量提供给承包人。</w:t>
      </w:r>
    </w:p>
    <w:p>
      <w:pPr>
        <w:snapToGrid w:val="0"/>
        <w:spacing w:beforeLines="50"/>
        <w:ind w:left="991" w:hanging="991" w:hangingChars="413"/>
        <w:jc w:val="left"/>
        <w:rPr>
          <w:rFonts w:ascii="宋体" w:hAnsi="宋体"/>
          <w:sz w:val="24"/>
        </w:rPr>
      </w:pPr>
      <w:r>
        <w:rPr>
          <w:rFonts w:hint="eastAsia" w:ascii="宋体" w:hAnsi="宋体"/>
          <w:sz w:val="24"/>
        </w:rPr>
        <w:t>1.6.2</w:t>
      </w:r>
      <w:r>
        <w:rPr>
          <w:rFonts w:hint="eastAsia" w:ascii="宋体" w:hAnsi="宋体"/>
          <w:sz w:val="24"/>
        </w:rPr>
        <w:tab/>
      </w:r>
      <w:r>
        <w:rPr>
          <w:rFonts w:hint="eastAsia" w:ascii="宋体" w:hAnsi="宋体"/>
          <w:sz w:val="24"/>
        </w:rPr>
        <w:t>承包人提供的文件</w:t>
      </w:r>
    </w:p>
    <w:p>
      <w:pPr>
        <w:snapToGrid w:val="0"/>
        <w:spacing w:beforeLines="50"/>
        <w:ind w:left="991" w:leftChars="472"/>
        <w:rPr>
          <w:rFonts w:ascii="宋体" w:hAnsi="宋体"/>
          <w:sz w:val="24"/>
        </w:rPr>
      </w:pPr>
      <w:r>
        <w:rPr>
          <w:rFonts w:hint="eastAsia" w:ascii="宋体" w:hAnsi="宋体"/>
          <w:sz w:val="24"/>
        </w:rPr>
        <w:t>按专用合同条款约定由承包人提供的文件，包括部分工程的大样图、加工图等，承包人应按约定的数量和期限报送监理人。监理人应在专用合同条款约定的期限内批复。</w:t>
      </w:r>
    </w:p>
    <w:p>
      <w:pPr>
        <w:snapToGrid w:val="0"/>
        <w:spacing w:beforeLines="50"/>
        <w:ind w:left="991" w:hanging="991" w:hangingChars="413"/>
        <w:jc w:val="left"/>
        <w:rPr>
          <w:rFonts w:ascii="黑体" w:eastAsia="黑体"/>
          <w:sz w:val="24"/>
        </w:rPr>
      </w:pPr>
      <w:bookmarkStart w:id="145" w:name="_Toc247085776"/>
      <w:bookmarkStart w:id="146" w:name="_Toc246996261"/>
      <w:bookmarkStart w:id="147" w:name="_Toc296602506"/>
      <w:bookmarkStart w:id="148" w:name="_Toc246997004"/>
      <w:r>
        <w:rPr>
          <w:rFonts w:hint="eastAsia" w:ascii="黑体" w:eastAsia="黑体"/>
          <w:sz w:val="24"/>
        </w:rPr>
        <w:t>1.7</w:t>
      </w:r>
      <w:r>
        <w:rPr>
          <w:rFonts w:hint="eastAsia" w:ascii="黑体" w:eastAsia="黑体"/>
          <w:sz w:val="24"/>
        </w:rPr>
        <w:tab/>
      </w:r>
      <w:r>
        <w:rPr>
          <w:rFonts w:hint="eastAsia" w:ascii="黑体" w:eastAsia="黑体"/>
          <w:sz w:val="24"/>
        </w:rPr>
        <w:t>联络</w:t>
      </w:r>
      <w:bookmarkEnd w:id="145"/>
      <w:bookmarkEnd w:id="146"/>
      <w:bookmarkEnd w:id="147"/>
      <w:bookmarkEnd w:id="148"/>
    </w:p>
    <w:p>
      <w:pPr>
        <w:snapToGrid w:val="0"/>
        <w:spacing w:beforeLines="50"/>
        <w:ind w:left="991" w:leftChars="472"/>
        <w:rPr>
          <w:rFonts w:ascii="宋体" w:hAnsi="宋体"/>
          <w:sz w:val="24"/>
        </w:rPr>
      </w:pPr>
      <w:r>
        <w:rPr>
          <w:rFonts w:hint="eastAsia" w:ascii="宋体" w:hAnsi="宋体"/>
          <w:sz w:val="24"/>
        </w:rPr>
        <w:t>与合同有关的通知、批准、证明、证书、指示、要求、请求、同意、意见、确定和决定等重要文件，均应采用书面形式。</w:t>
      </w:r>
    </w:p>
    <w:p>
      <w:pPr>
        <w:snapToGrid w:val="0"/>
        <w:spacing w:beforeLines="50"/>
        <w:ind w:left="991" w:leftChars="472"/>
        <w:rPr>
          <w:rFonts w:ascii="宋体" w:hAnsi="宋体"/>
          <w:sz w:val="24"/>
        </w:rPr>
      </w:pPr>
      <w:r>
        <w:rPr>
          <w:rFonts w:hint="eastAsia" w:ascii="宋体" w:hAnsi="宋体"/>
          <w:sz w:val="24"/>
        </w:rPr>
        <w:t>按合同约定应当由监理人审核、批准、确认或者提出修改意见的承包人的要求、请求、申请和报批等，监理人在合同约定的期限内未回复的，视同认可，合同中未明确约定回复期限的，其相应期限均为收到相关文件后7天。</w:t>
      </w:r>
    </w:p>
    <w:p>
      <w:pPr>
        <w:snapToGrid w:val="0"/>
        <w:spacing w:beforeLines="50"/>
        <w:ind w:left="991" w:hanging="991" w:hangingChars="413"/>
        <w:jc w:val="left"/>
        <w:outlineLvl w:val="2"/>
        <w:rPr>
          <w:rFonts w:ascii="黑体" w:eastAsia="黑体"/>
          <w:sz w:val="24"/>
        </w:rPr>
      </w:pPr>
      <w:bookmarkStart w:id="149" w:name="_Toc246997006"/>
      <w:bookmarkStart w:id="150" w:name="_Toc247085778"/>
      <w:bookmarkStart w:id="151" w:name="_Toc246996263"/>
      <w:bookmarkStart w:id="152" w:name="_Toc184635099"/>
      <w:bookmarkStart w:id="153" w:name="_Toc296602507"/>
      <w:bookmarkStart w:id="154" w:name="_Toc10856"/>
      <w:bookmarkStart w:id="155" w:name="_Toc32183"/>
      <w:r>
        <w:rPr>
          <w:rFonts w:hint="eastAsia" w:ascii="黑体" w:eastAsia="黑体"/>
          <w:sz w:val="24"/>
        </w:rPr>
        <w:t>2.</w:t>
      </w:r>
      <w:r>
        <w:rPr>
          <w:rFonts w:hint="eastAsia" w:ascii="黑体" w:eastAsia="黑体"/>
          <w:sz w:val="24"/>
        </w:rPr>
        <w:tab/>
      </w:r>
      <w:r>
        <w:rPr>
          <w:rFonts w:hint="eastAsia" w:ascii="黑体" w:eastAsia="黑体"/>
          <w:sz w:val="24"/>
        </w:rPr>
        <w:t>发包人义务</w:t>
      </w:r>
      <w:bookmarkEnd w:id="149"/>
      <w:bookmarkEnd w:id="150"/>
      <w:bookmarkEnd w:id="151"/>
      <w:bookmarkEnd w:id="152"/>
      <w:bookmarkEnd w:id="153"/>
      <w:bookmarkEnd w:id="154"/>
      <w:bookmarkEnd w:id="155"/>
    </w:p>
    <w:p>
      <w:pPr>
        <w:snapToGrid w:val="0"/>
        <w:spacing w:beforeLines="50"/>
        <w:ind w:left="991" w:hanging="991" w:hangingChars="413"/>
        <w:jc w:val="left"/>
        <w:rPr>
          <w:rFonts w:ascii="黑体" w:eastAsia="黑体"/>
          <w:sz w:val="24"/>
        </w:rPr>
      </w:pPr>
      <w:bookmarkStart w:id="156" w:name="_Toc246996264"/>
      <w:bookmarkStart w:id="157" w:name="_Toc246997007"/>
      <w:bookmarkStart w:id="158" w:name="_Toc247085779"/>
      <w:bookmarkStart w:id="159" w:name="_Toc296602508"/>
      <w:r>
        <w:rPr>
          <w:rFonts w:hint="eastAsia" w:ascii="黑体" w:eastAsia="黑体"/>
          <w:sz w:val="24"/>
        </w:rPr>
        <w:t>2.1</w:t>
      </w:r>
      <w:r>
        <w:rPr>
          <w:rFonts w:hint="eastAsia" w:ascii="黑体" w:eastAsia="黑体"/>
          <w:sz w:val="24"/>
        </w:rPr>
        <w:tab/>
      </w:r>
      <w:r>
        <w:rPr>
          <w:rFonts w:hint="eastAsia" w:ascii="黑体" w:eastAsia="黑体"/>
          <w:sz w:val="24"/>
        </w:rPr>
        <w:t>遵守法律</w:t>
      </w:r>
      <w:bookmarkEnd w:id="156"/>
      <w:bookmarkEnd w:id="157"/>
      <w:bookmarkEnd w:id="158"/>
      <w:bookmarkEnd w:id="159"/>
    </w:p>
    <w:p>
      <w:pPr>
        <w:snapToGrid w:val="0"/>
        <w:spacing w:beforeLines="50"/>
        <w:ind w:left="991" w:leftChars="472"/>
        <w:rPr>
          <w:rFonts w:ascii="宋体" w:hAnsi="宋体"/>
          <w:sz w:val="24"/>
        </w:rPr>
      </w:pPr>
      <w:r>
        <w:rPr>
          <w:rFonts w:hint="eastAsia" w:ascii="宋体" w:hAnsi="宋体"/>
          <w:sz w:val="24"/>
        </w:rPr>
        <w:t>发包人在履行合同过程中应遵守法律，并保证承包人免于承担因发包人违反法律而引起的任何责任。</w:t>
      </w:r>
    </w:p>
    <w:p>
      <w:pPr>
        <w:snapToGrid w:val="0"/>
        <w:spacing w:beforeLines="50"/>
        <w:ind w:left="991" w:hanging="991" w:hangingChars="413"/>
        <w:jc w:val="left"/>
        <w:rPr>
          <w:rFonts w:ascii="黑体" w:eastAsia="黑体"/>
          <w:sz w:val="24"/>
        </w:rPr>
      </w:pPr>
      <w:bookmarkStart w:id="160" w:name="_Toc246996265"/>
      <w:bookmarkStart w:id="161" w:name="_Toc246997008"/>
      <w:bookmarkStart w:id="162" w:name="_Toc247085780"/>
      <w:bookmarkStart w:id="163" w:name="_Toc296602509"/>
      <w:r>
        <w:rPr>
          <w:rFonts w:hint="eastAsia" w:ascii="黑体" w:eastAsia="黑体"/>
          <w:sz w:val="24"/>
        </w:rPr>
        <w:t>2.2</w:t>
      </w:r>
      <w:r>
        <w:rPr>
          <w:rFonts w:hint="eastAsia" w:ascii="黑体" w:eastAsia="黑体"/>
          <w:sz w:val="24"/>
        </w:rPr>
        <w:tab/>
      </w:r>
      <w:r>
        <w:rPr>
          <w:rFonts w:hint="eastAsia" w:ascii="黑体" w:eastAsia="黑体"/>
          <w:sz w:val="24"/>
        </w:rPr>
        <w:t>发出开工通知</w:t>
      </w:r>
      <w:bookmarkEnd w:id="160"/>
      <w:bookmarkEnd w:id="161"/>
      <w:bookmarkEnd w:id="162"/>
      <w:bookmarkEnd w:id="163"/>
    </w:p>
    <w:p>
      <w:pPr>
        <w:snapToGrid w:val="0"/>
        <w:spacing w:beforeLines="50"/>
        <w:ind w:left="991" w:leftChars="472"/>
        <w:rPr>
          <w:rFonts w:ascii="宋体" w:hAnsi="宋体"/>
          <w:sz w:val="24"/>
        </w:rPr>
      </w:pPr>
      <w:r>
        <w:rPr>
          <w:rFonts w:hint="eastAsia" w:ascii="宋体" w:hAnsi="宋体"/>
          <w:sz w:val="24"/>
        </w:rPr>
        <w:t>发包人应委托监理人按第6.2款的约定向承包人发出开工通知。</w:t>
      </w:r>
    </w:p>
    <w:p>
      <w:pPr>
        <w:snapToGrid w:val="0"/>
        <w:spacing w:beforeLines="50"/>
        <w:ind w:left="991" w:hanging="991" w:hangingChars="413"/>
        <w:jc w:val="left"/>
        <w:rPr>
          <w:rFonts w:ascii="黑体" w:eastAsia="黑体"/>
          <w:sz w:val="24"/>
        </w:rPr>
      </w:pPr>
      <w:bookmarkStart w:id="164" w:name="_Toc246996266"/>
      <w:bookmarkStart w:id="165" w:name="_Toc246997009"/>
      <w:bookmarkStart w:id="166" w:name="_Toc296602510"/>
      <w:bookmarkStart w:id="167" w:name="_Toc247085781"/>
      <w:r>
        <w:rPr>
          <w:rFonts w:hint="eastAsia" w:ascii="黑体" w:eastAsia="黑体"/>
          <w:sz w:val="24"/>
        </w:rPr>
        <w:t>2.3</w:t>
      </w:r>
      <w:r>
        <w:rPr>
          <w:rFonts w:hint="eastAsia" w:ascii="黑体" w:eastAsia="黑体"/>
          <w:sz w:val="24"/>
        </w:rPr>
        <w:tab/>
      </w:r>
      <w:r>
        <w:rPr>
          <w:rFonts w:hint="eastAsia" w:ascii="黑体" w:eastAsia="黑体"/>
          <w:sz w:val="24"/>
        </w:rPr>
        <w:t>提供施工场地</w:t>
      </w:r>
      <w:bookmarkEnd w:id="164"/>
      <w:bookmarkEnd w:id="165"/>
      <w:bookmarkEnd w:id="166"/>
      <w:bookmarkEnd w:id="167"/>
    </w:p>
    <w:p>
      <w:pPr>
        <w:snapToGrid w:val="0"/>
        <w:spacing w:beforeLines="50"/>
        <w:ind w:left="991" w:leftChars="472"/>
        <w:rPr>
          <w:rFonts w:ascii="宋体" w:hAnsi="宋体"/>
          <w:sz w:val="24"/>
        </w:rPr>
      </w:pPr>
      <w:r>
        <w:rPr>
          <w:rFonts w:hint="eastAsia" w:ascii="宋体" w:hAnsi="宋体"/>
          <w:sz w:val="24"/>
        </w:rPr>
        <w:t>发包人应按专用合同条款约定向承包人提供施工场地，以及施工场地内地下管线和地下设施等有关资料，并保证资料的真实、准确、完整。</w:t>
      </w:r>
    </w:p>
    <w:p>
      <w:pPr>
        <w:snapToGrid w:val="0"/>
        <w:spacing w:beforeLines="50"/>
        <w:ind w:left="991" w:hanging="991" w:hangingChars="413"/>
        <w:jc w:val="left"/>
        <w:rPr>
          <w:rFonts w:ascii="黑体" w:eastAsia="黑体"/>
          <w:sz w:val="24"/>
        </w:rPr>
      </w:pPr>
      <w:bookmarkStart w:id="168" w:name="_Toc246996267"/>
      <w:bookmarkStart w:id="169" w:name="_Toc246997010"/>
      <w:bookmarkStart w:id="170" w:name="_Toc296602511"/>
      <w:bookmarkStart w:id="171" w:name="_Toc247085782"/>
      <w:r>
        <w:rPr>
          <w:rFonts w:hint="eastAsia" w:ascii="黑体" w:eastAsia="黑体"/>
          <w:sz w:val="24"/>
        </w:rPr>
        <w:t>2.4</w:t>
      </w:r>
      <w:r>
        <w:rPr>
          <w:rFonts w:hint="eastAsia" w:ascii="黑体" w:eastAsia="黑体"/>
          <w:sz w:val="24"/>
        </w:rPr>
        <w:tab/>
      </w:r>
      <w:r>
        <w:rPr>
          <w:rFonts w:hint="eastAsia" w:ascii="黑体" w:eastAsia="黑体"/>
          <w:sz w:val="24"/>
        </w:rPr>
        <w:t>协助承包人办理证件和批件</w:t>
      </w:r>
      <w:bookmarkEnd w:id="168"/>
      <w:bookmarkEnd w:id="169"/>
      <w:bookmarkEnd w:id="170"/>
      <w:bookmarkEnd w:id="171"/>
    </w:p>
    <w:p>
      <w:pPr>
        <w:snapToGrid w:val="0"/>
        <w:spacing w:beforeLines="50"/>
        <w:ind w:left="991" w:leftChars="472"/>
        <w:rPr>
          <w:rFonts w:ascii="宋体" w:hAnsi="宋体"/>
          <w:sz w:val="24"/>
        </w:rPr>
      </w:pPr>
      <w:r>
        <w:rPr>
          <w:rFonts w:hint="eastAsia" w:ascii="宋体" w:hAnsi="宋体"/>
          <w:sz w:val="24"/>
        </w:rPr>
        <w:t>发包人应协助承包人办理法律规定的有关施工证件和批件。</w:t>
      </w:r>
    </w:p>
    <w:p>
      <w:pPr>
        <w:snapToGrid w:val="0"/>
        <w:spacing w:beforeLines="50"/>
        <w:ind w:left="991" w:hanging="991" w:hangingChars="413"/>
        <w:jc w:val="left"/>
        <w:rPr>
          <w:rFonts w:ascii="黑体" w:eastAsia="黑体"/>
          <w:sz w:val="24"/>
        </w:rPr>
      </w:pPr>
      <w:bookmarkStart w:id="172" w:name="_Toc247085783"/>
      <w:bookmarkStart w:id="173" w:name="_Toc246997011"/>
      <w:bookmarkStart w:id="174" w:name="_Toc246996268"/>
      <w:bookmarkStart w:id="175" w:name="_Toc296602512"/>
      <w:r>
        <w:rPr>
          <w:rFonts w:hint="eastAsia" w:ascii="黑体" w:eastAsia="黑体"/>
          <w:sz w:val="24"/>
        </w:rPr>
        <w:t>2.5</w:t>
      </w:r>
      <w:r>
        <w:rPr>
          <w:rFonts w:hint="eastAsia" w:ascii="黑体" w:eastAsia="黑体"/>
          <w:sz w:val="24"/>
        </w:rPr>
        <w:tab/>
      </w:r>
      <w:r>
        <w:rPr>
          <w:rFonts w:hint="eastAsia" w:ascii="黑体" w:eastAsia="黑体"/>
          <w:sz w:val="24"/>
        </w:rPr>
        <w:t>组织设计交底</w:t>
      </w:r>
      <w:bookmarkEnd w:id="172"/>
      <w:bookmarkEnd w:id="173"/>
      <w:bookmarkEnd w:id="174"/>
      <w:bookmarkEnd w:id="175"/>
    </w:p>
    <w:p>
      <w:pPr>
        <w:snapToGrid w:val="0"/>
        <w:spacing w:beforeLines="50"/>
        <w:ind w:left="991" w:leftChars="472"/>
        <w:rPr>
          <w:rFonts w:ascii="宋体" w:hAnsi="宋体"/>
          <w:sz w:val="24"/>
        </w:rPr>
      </w:pPr>
      <w:r>
        <w:rPr>
          <w:rFonts w:hint="eastAsia" w:ascii="宋体" w:hAnsi="宋体"/>
          <w:sz w:val="24"/>
        </w:rPr>
        <w:t>发包人应根据合同进度计划，组织设计单位向承包人进行设计交底。</w:t>
      </w:r>
    </w:p>
    <w:p>
      <w:pPr>
        <w:snapToGrid w:val="0"/>
        <w:spacing w:beforeLines="50"/>
        <w:ind w:left="991" w:hanging="991" w:hangingChars="413"/>
        <w:jc w:val="left"/>
        <w:rPr>
          <w:rFonts w:ascii="黑体" w:eastAsia="黑体"/>
          <w:sz w:val="24"/>
        </w:rPr>
      </w:pPr>
      <w:bookmarkStart w:id="176" w:name="_Toc247085784"/>
      <w:bookmarkStart w:id="177" w:name="_Toc246996269"/>
      <w:bookmarkStart w:id="178" w:name="_Toc296602513"/>
      <w:bookmarkStart w:id="179" w:name="_Toc246997012"/>
      <w:r>
        <w:rPr>
          <w:rFonts w:hint="eastAsia" w:ascii="黑体" w:eastAsia="黑体"/>
          <w:sz w:val="24"/>
        </w:rPr>
        <w:t>2.6</w:t>
      </w:r>
      <w:r>
        <w:rPr>
          <w:rFonts w:hint="eastAsia" w:ascii="黑体" w:eastAsia="黑体"/>
          <w:sz w:val="24"/>
        </w:rPr>
        <w:tab/>
      </w:r>
      <w:r>
        <w:rPr>
          <w:rFonts w:hint="eastAsia" w:ascii="黑体" w:eastAsia="黑体"/>
          <w:sz w:val="24"/>
        </w:rPr>
        <w:t>支付合同价款</w:t>
      </w:r>
      <w:bookmarkEnd w:id="176"/>
      <w:bookmarkEnd w:id="177"/>
      <w:bookmarkEnd w:id="178"/>
      <w:bookmarkEnd w:id="179"/>
    </w:p>
    <w:p>
      <w:pPr>
        <w:snapToGrid w:val="0"/>
        <w:spacing w:beforeLines="50"/>
        <w:ind w:left="991" w:leftChars="472"/>
        <w:rPr>
          <w:rFonts w:ascii="宋体" w:hAnsi="宋体"/>
          <w:sz w:val="24"/>
        </w:rPr>
      </w:pPr>
      <w:r>
        <w:rPr>
          <w:rFonts w:hint="eastAsia" w:ascii="宋体" w:hAnsi="宋体"/>
          <w:sz w:val="24"/>
        </w:rPr>
        <w:t>发包人应按合同约定向承包人及时支付合同价款。</w:t>
      </w:r>
    </w:p>
    <w:p>
      <w:pPr>
        <w:snapToGrid w:val="0"/>
        <w:spacing w:beforeLines="50"/>
        <w:ind w:left="991" w:hanging="991" w:hangingChars="413"/>
        <w:jc w:val="left"/>
        <w:rPr>
          <w:rFonts w:ascii="黑体" w:eastAsia="黑体"/>
          <w:sz w:val="24"/>
        </w:rPr>
      </w:pPr>
      <w:bookmarkStart w:id="180" w:name="_Toc247085785"/>
      <w:bookmarkStart w:id="181" w:name="_Toc246997013"/>
      <w:bookmarkStart w:id="182" w:name="_Toc246996270"/>
      <w:bookmarkStart w:id="183" w:name="_Toc296602514"/>
      <w:r>
        <w:rPr>
          <w:rFonts w:hint="eastAsia" w:ascii="黑体" w:eastAsia="黑体"/>
          <w:sz w:val="24"/>
        </w:rPr>
        <w:t>2.7</w:t>
      </w:r>
      <w:r>
        <w:rPr>
          <w:rFonts w:hint="eastAsia" w:ascii="黑体" w:eastAsia="黑体"/>
          <w:sz w:val="24"/>
        </w:rPr>
        <w:tab/>
      </w:r>
      <w:r>
        <w:rPr>
          <w:rFonts w:hint="eastAsia" w:ascii="黑体" w:eastAsia="黑体"/>
          <w:sz w:val="24"/>
        </w:rPr>
        <w:t>组织竣工验收</w:t>
      </w:r>
      <w:bookmarkEnd w:id="180"/>
      <w:bookmarkEnd w:id="181"/>
      <w:bookmarkEnd w:id="182"/>
      <w:bookmarkEnd w:id="183"/>
    </w:p>
    <w:p>
      <w:pPr>
        <w:snapToGrid w:val="0"/>
        <w:spacing w:beforeLines="50"/>
        <w:ind w:left="991" w:leftChars="472"/>
        <w:rPr>
          <w:rFonts w:ascii="宋体" w:hAnsi="宋体"/>
          <w:sz w:val="24"/>
        </w:rPr>
      </w:pPr>
      <w:r>
        <w:rPr>
          <w:rFonts w:hint="eastAsia" w:ascii="宋体" w:hAnsi="宋体"/>
          <w:sz w:val="24"/>
        </w:rPr>
        <w:t>发包人应按合同约定及时组织竣工验收。</w:t>
      </w:r>
    </w:p>
    <w:p>
      <w:pPr>
        <w:snapToGrid w:val="0"/>
        <w:spacing w:beforeLines="50"/>
        <w:ind w:left="991" w:hanging="991" w:hangingChars="413"/>
        <w:jc w:val="left"/>
        <w:rPr>
          <w:rFonts w:ascii="黑体" w:eastAsia="黑体"/>
          <w:sz w:val="24"/>
        </w:rPr>
      </w:pPr>
      <w:bookmarkStart w:id="184" w:name="_Toc246997014"/>
      <w:bookmarkStart w:id="185" w:name="_Toc296602515"/>
      <w:bookmarkStart w:id="186" w:name="_Toc246996271"/>
      <w:bookmarkStart w:id="187" w:name="_Toc247085786"/>
      <w:r>
        <w:rPr>
          <w:rFonts w:hint="eastAsia" w:ascii="黑体" w:eastAsia="黑体"/>
          <w:sz w:val="24"/>
        </w:rPr>
        <w:t>2.8</w:t>
      </w:r>
      <w:r>
        <w:rPr>
          <w:rFonts w:hint="eastAsia" w:ascii="黑体" w:eastAsia="黑体"/>
          <w:sz w:val="24"/>
        </w:rPr>
        <w:tab/>
      </w:r>
      <w:r>
        <w:rPr>
          <w:rFonts w:hint="eastAsia" w:ascii="黑体" w:eastAsia="黑体"/>
          <w:sz w:val="24"/>
        </w:rPr>
        <w:t>其他义务</w:t>
      </w:r>
      <w:bookmarkEnd w:id="184"/>
      <w:bookmarkEnd w:id="185"/>
      <w:bookmarkEnd w:id="186"/>
      <w:bookmarkEnd w:id="187"/>
    </w:p>
    <w:p>
      <w:pPr>
        <w:snapToGrid w:val="0"/>
        <w:spacing w:beforeLines="50"/>
        <w:ind w:left="991" w:leftChars="472"/>
        <w:rPr>
          <w:rFonts w:ascii="宋体" w:hAnsi="宋体"/>
          <w:sz w:val="24"/>
        </w:rPr>
      </w:pPr>
      <w:r>
        <w:rPr>
          <w:rFonts w:hint="eastAsia" w:ascii="宋体" w:hAnsi="宋体"/>
          <w:sz w:val="24"/>
        </w:rPr>
        <w:t>发包人应履行合同约定的其他义务。</w:t>
      </w:r>
    </w:p>
    <w:p>
      <w:pPr>
        <w:snapToGrid w:val="0"/>
        <w:spacing w:beforeLines="50"/>
        <w:ind w:left="991" w:hanging="991" w:hangingChars="413"/>
        <w:jc w:val="left"/>
        <w:outlineLvl w:val="2"/>
        <w:rPr>
          <w:rFonts w:ascii="黑体" w:eastAsia="黑体"/>
          <w:sz w:val="24"/>
        </w:rPr>
      </w:pPr>
      <w:bookmarkStart w:id="188" w:name="_Toc184635100"/>
      <w:bookmarkStart w:id="189" w:name="_Toc246996272"/>
      <w:bookmarkStart w:id="190" w:name="_Toc296602516"/>
      <w:bookmarkStart w:id="191" w:name="_Toc247085787"/>
      <w:bookmarkStart w:id="192" w:name="_Toc246997015"/>
      <w:bookmarkStart w:id="193" w:name="_Toc12390"/>
      <w:bookmarkStart w:id="194" w:name="_Toc12350"/>
      <w:r>
        <w:rPr>
          <w:rFonts w:hint="eastAsia" w:ascii="黑体" w:eastAsia="黑体"/>
          <w:sz w:val="24"/>
        </w:rPr>
        <w:t>3.</w:t>
      </w:r>
      <w:r>
        <w:rPr>
          <w:rFonts w:hint="eastAsia" w:ascii="黑体" w:eastAsia="黑体"/>
          <w:sz w:val="24"/>
        </w:rPr>
        <w:tab/>
      </w:r>
      <w:r>
        <w:rPr>
          <w:rFonts w:hint="eastAsia" w:ascii="黑体" w:eastAsia="黑体"/>
          <w:sz w:val="24"/>
        </w:rPr>
        <w:t>监理人</w:t>
      </w:r>
      <w:bookmarkEnd w:id="188"/>
      <w:bookmarkEnd w:id="189"/>
      <w:bookmarkEnd w:id="190"/>
      <w:bookmarkEnd w:id="191"/>
      <w:bookmarkEnd w:id="192"/>
      <w:bookmarkEnd w:id="193"/>
      <w:bookmarkEnd w:id="194"/>
    </w:p>
    <w:p>
      <w:pPr>
        <w:snapToGrid w:val="0"/>
        <w:spacing w:beforeLines="50"/>
        <w:ind w:left="991" w:hanging="991" w:hangingChars="413"/>
        <w:jc w:val="left"/>
        <w:rPr>
          <w:rFonts w:ascii="黑体" w:eastAsia="黑体"/>
          <w:sz w:val="24"/>
        </w:rPr>
      </w:pPr>
      <w:bookmarkStart w:id="195" w:name="_Toc296602517"/>
      <w:bookmarkStart w:id="196" w:name="_Toc246997016"/>
      <w:bookmarkStart w:id="197" w:name="_Toc246996273"/>
      <w:bookmarkStart w:id="198" w:name="_Toc247085788"/>
      <w:r>
        <w:rPr>
          <w:rFonts w:hint="eastAsia" w:ascii="黑体" w:eastAsia="黑体"/>
          <w:sz w:val="24"/>
        </w:rPr>
        <w:t>3.1</w:t>
      </w:r>
      <w:r>
        <w:rPr>
          <w:rFonts w:hint="eastAsia" w:ascii="黑体" w:eastAsia="黑体"/>
          <w:sz w:val="24"/>
        </w:rPr>
        <w:tab/>
      </w:r>
      <w:r>
        <w:rPr>
          <w:rFonts w:hint="eastAsia" w:ascii="黑体" w:eastAsia="黑体"/>
          <w:sz w:val="24"/>
        </w:rPr>
        <w:t>监理人的职责和权力</w:t>
      </w:r>
      <w:bookmarkEnd w:id="195"/>
      <w:bookmarkEnd w:id="196"/>
      <w:bookmarkEnd w:id="197"/>
      <w:bookmarkEnd w:id="198"/>
    </w:p>
    <w:p>
      <w:pPr>
        <w:snapToGrid w:val="0"/>
        <w:spacing w:beforeLines="50"/>
        <w:ind w:left="991" w:hanging="991" w:hangingChars="413"/>
        <w:jc w:val="left"/>
        <w:rPr>
          <w:rFonts w:ascii="宋体" w:hAnsi="宋体"/>
          <w:sz w:val="24"/>
        </w:rPr>
      </w:pPr>
      <w:r>
        <w:rPr>
          <w:rFonts w:hint="eastAsia" w:ascii="宋体" w:hAnsi="宋体"/>
          <w:sz w:val="24"/>
        </w:rPr>
        <w:t>3.1.1</w:t>
      </w:r>
      <w:r>
        <w:rPr>
          <w:rFonts w:hint="eastAsia" w:ascii="宋体" w:hAnsi="宋体"/>
          <w:sz w:val="24"/>
        </w:rPr>
        <w:tab/>
      </w:r>
      <w:r>
        <w:rPr>
          <w:rFonts w:hint="eastAsia" w:ascii="宋体" w:hAnsi="宋体"/>
          <w:sz w:val="24"/>
        </w:rPr>
        <w:t>监理人受发包人委托，享有合同约定的权力，其所发出的任何指示应视为已得到发包人的批准。监理人在行使某项权力前需要经发包人事先批准而通用合同条款没有指明的，应在专用合同条款中指明。未经发包人批准，监理人无权修改合同。</w:t>
      </w:r>
    </w:p>
    <w:p>
      <w:pPr>
        <w:snapToGrid w:val="0"/>
        <w:spacing w:beforeLines="50"/>
        <w:ind w:left="991" w:hanging="991" w:hangingChars="413"/>
        <w:jc w:val="left"/>
        <w:rPr>
          <w:rFonts w:ascii="宋体" w:hAnsi="宋体"/>
          <w:sz w:val="24"/>
        </w:rPr>
      </w:pPr>
      <w:r>
        <w:rPr>
          <w:rFonts w:hint="eastAsia" w:ascii="宋体" w:hAnsi="宋体"/>
          <w:sz w:val="24"/>
        </w:rPr>
        <w:t>3.1.2</w:t>
      </w:r>
      <w:r>
        <w:rPr>
          <w:rFonts w:hint="eastAsia" w:ascii="宋体" w:hAnsi="宋体"/>
          <w:sz w:val="24"/>
        </w:rPr>
        <w:tab/>
      </w:r>
      <w:r>
        <w:rPr>
          <w:rFonts w:hint="eastAsia" w:ascii="宋体" w:hAnsi="宋体"/>
          <w:sz w:val="24"/>
        </w:rPr>
        <w:t>合同约定应由承包人承担的义务和责任，不因监理人对承包人文件的审查或批准，对工程、材料和工程设备的检查和检验，以及为实施监理作出的指示等职务行为而减轻或解除。</w:t>
      </w:r>
    </w:p>
    <w:p>
      <w:pPr>
        <w:snapToGrid w:val="0"/>
        <w:spacing w:beforeLines="50"/>
        <w:ind w:left="991" w:hanging="991" w:hangingChars="413"/>
        <w:jc w:val="left"/>
        <w:rPr>
          <w:rFonts w:ascii="黑体" w:eastAsia="黑体"/>
          <w:sz w:val="24"/>
        </w:rPr>
      </w:pPr>
      <w:bookmarkStart w:id="199" w:name="_Toc246997017"/>
      <w:bookmarkStart w:id="200" w:name="_Toc296602518"/>
      <w:bookmarkStart w:id="201" w:name="_Toc247085789"/>
      <w:bookmarkStart w:id="202" w:name="_Toc246996274"/>
      <w:r>
        <w:rPr>
          <w:rFonts w:hint="eastAsia" w:ascii="黑体" w:eastAsia="黑体"/>
          <w:sz w:val="24"/>
        </w:rPr>
        <w:t>3.2</w:t>
      </w:r>
      <w:r>
        <w:rPr>
          <w:rFonts w:hint="eastAsia" w:ascii="黑体" w:eastAsia="黑体"/>
          <w:sz w:val="24"/>
        </w:rPr>
        <w:tab/>
      </w:r>
      <w:r>
        <w:rPr>
          <w:rFonts w:hint="eastAsia" w:ascii="黑体" w:eastAsia="黑体"/>
          <w:sz w:val="24"/>
        </w:rPr>
        <w:t>总监理工程师</w:t>
      </w:r>
      <w:bookmarkEnd w:id="199"/>
      <w:bookmarkEnd w:id="200"/>
      <w:bookmarkEnd w:id="201"/>
      <w:bookmarkEnd w:id="202"/>
    </w:p>
    <w:p>
      <w:pPr>
        <w:snapToGrid w:val="0"/>
        <w:spacing w:beforeLines="50"/>
        <w:ind w:left="991" w:leftChars="472"/>
        <w:rPr>
          <w:rFonts w:ascii="宋体" w:hAnsi="宋体"/>
          <w:sz w:val="24"/>
        </w:rPr>
      </w:pPr>
      <w:r>
        <w:rPr>
          <w:rFonts w:hint="eastAsia" w:ascii="宋体" w:hAnsi="宋体"/>
          <w:sz w:val="24"/>
        </w:rPr>
        <w:t>发包人应在发出开工通知前将总监理工程师的任命通知承包人。</w:t>
      </w:r>
    </w:p>
    <w:p>
      <w:pPr>
        <w:snapToGrid w:val="0"/>
        <w:spacing w:beforeLines="50"/>
        <w:ind w:left="991" w:hanging="991" w:hangingChars="413"/>
        <w:jc w:val="left"/>
        <w:rPr>
          <w:rFonts w:ascii="黑体" w:eastAsia="黑体"/>
          <w:sz w:val="24"/>
        </w:rPr>
      </w:pPr>
      <w:bookmarkStart w:id="203" w:name="_Toc247085790"/>
      <w:bookmarkStart w:id="204" w:name="_Toc246997018"/>
      <w:bookmarkStart w:id="205" w:name="_Toc296602519"/>
      <w:bookmarkStart w:id="206" w:name="_Toc246996275"/>
      <w:r>
        <w:rPr>
          <w:rFonts w:hint="eastAsia" w:ascii="黑体" w:eastAsia="黑体"/>
          <w:sz w:val="24"/>
        </w:rPr>
        <w:t>3.3</w:t>
      </w:r>
      <w:r>
        <w:rPr>
          <w:rFonts w:hint="eastAsia" w:ascii="黑体" w:eastAsia="黑体"/>
          <w:sz w:val="24"/>
        </w:rPr>
        <w:tab/>
      </w:r>
      <w:r>
        <w:rPr>
          <w:rFonts w:hint="eastAsia" w:ascii="黑体" w:eastAsia="黑体"/>
          <w:sz w:val="24"/>
        </w:rPr>
        <w:t>监理人员</w:t>
      </w:r>
      <w:bookmarkEnd w:id="203"/>
      <w:bookmarkEnd w:id="204"/>
      <w:bookmarkEnd w:id="205"/>
      <w:bookmarkEnd w:id="206"/>
    </w:p>
    <w:p>
      <w:pPr>
        <w:snapToGrid w:val="0"/>
        <w:spacing w:beforeLines="50"/>
        <w:ind w:left="991" w:hanging="991" w:hangingChars="413"/>
        <w:jc w:val="left"/>
        <w:rPr>
          <w:rFonts w:ascii="宋体" w:hAnsi="宋体"/>
          <w:sz w:val="24"/>
        </w:rPr>
      </w:pPr>
      <w:r>
        <w:rPr>
          <w:rFonts w:hint="eastAsia" w:ascii="宋体" w:hAnsi="宋体"/>
          <w:sz w:val="24"/>
        </w:rPr>
        <w:t>3.3.1</w:t>
      </w:r>
      <w:r>
        <w:rPr>
          <w:rFonts w:hint="eastAsia" w:ascii="宋体" w:hAnsi="宋体"/>
          <w:sz w:val="24"/>
        </w:rPr>
        <w:tab/>
      </w:r>
      <w:r>
        <w:rPr>
          <w:rFonts w:hint="eastAsia" w:ascii="宋体" w:hAnsi="宋体"/>
          <w:sz w:val="24"/>
        </w:rPr>
        <w:t>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发包人和承包人。</w:t>
      </w:r>
    </w:p>
    <w:p>
      <w:pPr>
        <w:snapToGrid w:val="0"/>
        <w:spacing w:beforeLines="50"/>
        <w:ind w:left="991" w:hanging="991" w:hangingChars="413"/>
        <w:jc w:val="left"/>
        <w:rPr>
          <w:rFonts w:ascii="宋体" w:hAnsi="宋体"/>
          <w:sz w:val="24"/>
        </w:rPr>
      </w:pPr>
      <w:r>
        <w:rPr>
          <w:rFonts w:hint="eastAsia" w:ascii="宋体" w:hAnsi="宋体"/>
          <w:sz w:val="24"/>
        </w:rPr>
        <w:t>3.3.2</w:t>
      </w:r>
      <w:r>
        <w:rPr>
          <w:rFonts w:hint="eastAsia" w:ascii="宋体" w:hAnsi="宋体"/>
          <w:sz w:val="24"/>
        </w:rPr>
        <w:tab/>
      </w:r>
      <w:r>
        <w:rPr>
          <w:rFonts w:hint="eastAsia" w:ascii="宋体" w:hAnsi="宋体"/>
          <w:sz w:val="24"/>
        </w:rPr>
        <w:t>监理人员对承包人文件、工程或其采用的材料和工程设备未在约定的或合理的期限内提出否定意见的，视为已获批准，但不影响监理人在以后拒绝该项工作、工程、材料或工程设备的权利，监理人的拒绝应当符合法律规定和合同约定。</w:t>
      </w:r>
    </w:p>
    <w:p>
      <w:pPr>
        <w:snapToGrid w:val="0"/>
        <w:spacing w:beforeLines="50"/>
        <w:ind w:left="991" w:hanging="991" w:hangingChars="413"/>
        <w:jc w:val="left"/>
        <w:rPr>
          <w:rFonts w:ascii="宋体" w:hAnsi="宋体"/>
          <w:sz w:val="24"/>
        </w:rPr>
      </w:pPr>
      <w:r>
        <w:rPr>
          <w:rFonts w:hint="eastAsia" w:ascii="宋体" w:hAnsi="宋体"/>
          <w:sz w:val="24"/>
        </w:rPr>
        <w:t>3.3.3</w:t>
      </w:r>
      <w:r>
        <w:rPr>
          <w:rFonts w:hint="eastAsia" w:ascii="宋体" w:hAnsi="宋体"/>
          <w:sz w:val="24"/>
        </w:rPr>
        <w:tab/>
      </w:r>
      <w:r>
        <w:rPr>
          <w:rFonts w:hint="eastAsia" w:ascii="宋体" w:hAnsi="宋体"/>
          <w:sz w:val="24"/>
        </w:rPr>
        <w:t>承包人对总监理工程师授权的监理人员发出的指示有疑问的，可在该指示发出的48小时内向总监理工程师提出书面异议，总监理工程师应在48小时内对该指示予以确认、更改或撤销。</w:t>
      </w:r>
    </w:p>
    <w:p>
      <w:pPr>
        <w:snapToGrid w:val="0"/>
        <w:spacing w:beforeLines="50"/>
        <w:ind w:left="991" w:hanging="991" w:hangingChars="413"/>
        <w:jc w:val="left"/>
        <w:rPr>
          <w:rFonts w:ascii="宋体" w:hAnsi="宋体"/>
          <w:sz w:val="24"/>
        </w:rPr>
      </w:pPr>
      <w:r>
        <w:rPr>
          <w:rFonts w:hint="eastAsia" w:ascii="宋体" w:hAnsi="宋体"/>
          <w:sz w:val="24"/>
        </w:rPr>
        <w:t>3.3.4</w:t>
      </w:r>
      <w:r>
        <w:rPr>
          <w:rFonts w:hint="eastAsia" w:ascii="宋体" w:hAnsi="宋体"/>
          <w:sz w:val="24"/>
        </w:rPr>
        <w:tab/>
      </w:r>
      <w:r>
        <w:rPr>
          <w:rFonts w:hint="eastAsia" w:ascii="宋体" w:hAnsi="宋体"/>
          <w:sz w:val="24"/>
        </w:rPr>
        <w:t>除专用合同条款另有约定外，总监理工程师不应将第3.5款约定应由总监理工程师作出确定的权力授权或委托给其他监理人员。</w:t>
      </w:r>
    </w:p>
    <w:p>
      <w:pPr>
        <w:snapToGrid w:val="0"/>
        <w:spacing w:beforeLines="50"/>
        <w:ind w:left="991" w:hanging="991" w:hangingChars="413"/>
        <w:jc w:val="left"/>
        <w:rPr>
          <w:rFonts w:ascii="黑体" w:eastAsia="黑体"/>
          <w:sz w:val="24"/>
        </w:rPr>
      </w:pPr>
      <w:bookmarkStart w:id="207" w:name="_Toc246997019"/>
      <w:bookmarkStart w:id="208" w:name="_Toc246996276"/>
      <w:bookmarkStart w:id="209" w:name="_Toc296602520"/>
      <w:bookmarkStart w:id="210" w:name="_Toc247085791"/>
      <w:r>
        <w:rPr>
          <w:rFonts w:hint="eastAsia" w:ascii="黑体" w:eastAsia="黑体"/>
          <w:sz w:val="24"/>
        </w:rPr>
        <w:t>3.4</w:t>
      </w:r>
      <w:r>
        <w:rPr>
          <w:rFonts w:hint="eastAsia" w:ascii="黑体" w:eastAsia="黑体"/>
          <w:sz w:val="24"/>
        </w:rPr>
        <w:tab/>
      </w:r>
      <w:r>
        <w:rPr>
          <w:rFonts w:hint="eastAsia" w:ascii="黑体" w:eastAsia="黑体"/>
          <w:sz w:val="24"/>
        </w:rPr>
        <w:t>监理人的指示</w:t>
      </w:r>
      <w:bookmarkEnd w:id="207"/>
      <w:bookmarkEnd w:id="208"/>
      <w:bookmarkEnd w:id="209"/>
      <w:bookmarkEnd w:id="210"/>
    </w:p>
    <w:p>
      <w:pPr>
        <w:snapToGrid w:val="0"/>
        <w:spacing w:beforeLines="50"/>
        <w:ind w:left="991" w:hanging="991" w:hangingChars="413"/>
        <w:jc w:val="left"/>
        <w:rPr>
          <w:rFonts w:ascii="宋体" w:hAnsi="宋体"/>
          <w:sz w:val="24"/>
        </w:rPr>
      </w:pPr>
      <w:r>
        <w:rPr>
          <w:rFonts w:hint="eastAsia" w:ascii="宋体" w:hAnsi="宋体"/>
          <w:sz w:val="24"/>
        </w:rPr>
        <w:t>3.4.1</w:t>
      </w:r>
      <w:r>
        <w:rPr>
          <w:rFonts w:hint="eastAsia" w:ascii="宋体" w:hAnsi="宋体"/>
          <w:sz w:val="24"/>
        </w:rPr>
        <w:tab/>
      </w:r>
      <w:r>
        <w:rPr>
          <w:rFonts w:hint="eastAsia" w:ascii="宋体" w:hAnsi="宋体"/>
          <w:sz w:val="24"/>
        </w:rPr>
        <w:t>监理人应按第3.1款的约定向承包人发出指示，监理人的指示应盖有监理人授权的施工场地机构章，并由总监理工程师或总监理工程师按第3.3.1项约定授权的监理人员签字。</w:t>
      </w:r>
    </w:p>
    <w:p>
      <w:pPr>
        <w:snapToGrid w:val="0"/>
        <w:spacing w:beforeLines="50"/>
        <w:ind w:left="991" w:hanging="991" w:hangingChars="413"/>
        <w:jc w:val="left"/>
        <w:rPr>
          <w:rFonts w:ascii="宋体" w:hAnsi="宋体"/>
          <w:sz w:val="24"/>
        </w:rPr>
      </w:pPr>
      <w:r>
        <w:rPr>
          <w:rFonts w:hint="eastAsia" w:ascii="宋体" w:hAnsi="宋体"/>
          <w:sz w:val="24"/>
        </w:rPr>
        <w:t>3.4.2</w:t>
      </w:r>
      <w:r>
        <w:rPr>
          <w:rFonts w:hint="eastAsia" w:ascii="宋体" w:hAnsi="宋体"/>
          <w:sz w:val="24"/>
        </w:rPr>
        <w:tab/>
      </w:r>
      <w:r>
        <w:rPr>
          <w:rFonts w:hint="eastAsia" w:ascii="宋体" w:hAnsi="宋体"/>
          <w:sz w:val="24"/>
        </w:rPr>
        <w:t>承包人收到监理人按第3.4.1项作出的指示后应遵照执行。指示构成变更的，应按第9条处理。</w:t>
      </w:r>
    </w:p>
    <w:p>
      <w:pPr>
        <w:snapToGrid w:val="0"/>
        <w:spacing w:beforeLines="50"/>
        <w:ind w:left="991" w:hanging="991" w:hangingChars="413"/>
        <w:jc w:val="left"/>
        <w:rPr>
          <w:rFonts w:ascii="宋体" w:hAnsi="宋体"/>
          <w:sz w:val="24"/>
        </w:rPr>
      </w:pPr>
      <w:r>
        <w:rPr>
          <w:rFonts w:hint="eastAsia" w:ascii="宋体" w:hAnsi="宋体"/>
          <w:sz w:val="24"/>
        </w:rPr>
        <w:t>3.4.3</w:t>
      </w:r>
      <w:r>
        <w:rPr>
          <w:rFonts w:hint="eastAsia" w:ascii="宋体" w:hAnsi="宋体"/>
          <w:sz w:val="24"/>
        </w:rPr>
        <w:tab/>
      </w:r>
      <w:r>
        <w:rPr>
          <w:rFonts w:hint="eastAsia" w:ascii="宋体" w:hAnsi="宋体"/>
          <w:sz w:val="24"/>
        </w:rPr>
        <w:t>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snapToGrid w:val="0"/>
        <w:spacing w:beforeLines="50"/>
        <w:ind w:left="991" w:hanging="991" w:hangingChars="413"/>
        <w:jc w:val="left"/>
        <w:rPr>
          <w:rFonts w:ascii="宋体" w:hAnsi="宋体"/>
          <w:sz w:val="24"/>
        </w:rPr>
      </w:pPr>
      <w:r>
        <w:rPr>
          <w:rFonts w:hint="eastAsia" w:ascii="宋体" w:hAnsi="宋体"/>
          <w:sz w:val="24"/>
        </w:rPr>
        <w:t>3.4.4</w:t>
      </w:r>
      <w:r>
        <w:rPr>
          <w:rFonts w:hint="eastAsia" w:ascii="宋体" w:hAnsi="宋体"/>
          <w:sz w:val="24"/>
        </w:rPr>
        <w:tab/>
      </w:r>
      <w:r>
        <w:rPr>
          <w:rFonts w:hint="eastAsia" w:ascii="宋体" w:hAnsi="宋体"/>
          <w:sz w:val="24"/>
        </w:rPr>
        <w:t>除合同另有约定外，承包人只从总监理工程师或按第3.3.1项被授权的监理人员处取得指示。</w:t>
      </w:r>
    </w:p>
    <w:p>
      <w:pPr>
        <w:snapToGrid w:val="0"/>
        <w:spacing w:beforeLines="50"/>
        <w:ind w:left="991" w:hanging="991" w:hangingChars="413"/>
        <w:jc w:val="left"/>
        <w:rPr>
          <w:rFonts w:ascii="宋体" w:hAnsi="宋体"/>
          <w:sz w:val="24"/>
        </w:rPr>
      </w:pPr>
      <w:r>
        <w:rPr>
          <w:rFonts w:hint="eastAsia" w:ascii="宋体" w:hAnsi="宋体"/>
          <w:sz w:val="24"/>
        </w:rPr>
        <w:t>3.4.5</w:t>
      </w:r>
      <w:r>
        <w:rPr>
          <w:rFonts w:hint="eastAsia" w:ascii="宋体" w:hAnsi="宋体"/>
          <w:sz w:val="24"/>
        </w:rPr>
        <w:tab/>
      </w:r>
      <w:r>
        <w:rPr>
          <w:rFonts w:hint="eastAsia" w:ascii="宋体" w:hAnsi="宋体"/>
          <w:sz w:val="24"/>
        </w:rPr>
        <w:t>由于监理人未能按合同约定发出指示、指示延误或指示错误而导致承包人费用增加和（或）工期延误的，由发包人承担赔偿责任。</w:t>
      </w:r>
    </w:p>
    <w:p>
      <w:pPr>
        <w:snapToGrid w:val="0"/>
        <w:spacing w:beforeLines="50"/>
        <w:ind w:left="991" w:hanging="991" w:hangingChars="413"/>
        <w:jc w:val="left"/>
        <w:rPr>
          <w:rFonts w:ascii="黑体" w:eastAsia="黑体"/>
          <w:sz w:val="24"/>
        </w:rPr>
      </w:pPr>
      <w:bookmarkStart w:id="211" w:name="_Toc246996277"/>
      <w:bookmarkStart w:id="212" w:name="_Toc296602521"/>
      <w:bookmarkStart w:id="213" w:name="_Toc246997020"/>
      <w:bookmarkStart w:id="214" w:name="_Toc247085792"/>
      <w:r>
        <w:rPr>
          <w:rFonts w:hint="eastAsia" w:ascii="黑体" w:eastAsia="黑体"/>
          <w:sz w:val="24"/>
        </w:rPr>
        <w:t>3.5</w:t>
      </w:r>
      <w:r>
        <w:rPr>
          <w:rFonts w:hint="eastAsia" w:ascii="黑体" w:eastAsia="黑体"/>
          <w:sz w:val="24"/>
        </w:rPr>
        <w:tab/>
      </w:r>
      <w:r>
        <w:rPr>
          <w:rFonts w:hint="eastAsia" w:ascii="黑体" w:eastAsia="黑体"/>
          <w:sz w:val="24"/>
        </w:rPr>
        <w:t>商定或确定</w:t>
      </w:r>
      <w:bookmarkEnd w:id="211"/>
      <w:bookmarkEnd w:id="212"/>
      <w:bookmarkEnd w:id="213"/>
      <w:bookmarkEnd w:id="214"/>
    </w:p>
    <w:p>
      <w:pPr>
        <w:snapToGrid w:val="0"/>
        <w:spacing w:beforeLines="50"/>
        <w:ind w:left="991" w:hanging="991" w:hangingChars="413"/>
        <w:jc w:val="left"/>
        <w:rPr>
          <w:rFonts w:ascii="宋体" w:hAnsi="宋体"/>
          <w:sz w:val="24"/>
        </w:rPr>
      </w:pPr>
      <w:r>
        <w:rPr>
          <w:rFonts w:hint="eastAsia" w:ascii="宋体" w:hAnsi="宋体"/>
          <w:sz w:val="24"/>
        </w:rPr>
        <w:t>3.5.1</w:t>
      </w:r>
      <w:r>
        <w:rPr>
          <w:rFonts w:hint="eastAsia" w:ascii="宋体" w:hAnsi="宋体"/>
          <w:sz w:val="24"/>
        </w:rPr>
        <w:tab/>
      </w:r>
      <w:r>
        <w:rPr>
          <w:rFonts w:hint="eastAsia" w:ascii="宋体" w:hAnsi="宋体"/>
          <w:sz w:val="24"/>
        </w:rPr>
        <w:t>合同约定总监理工程师应按照本款对任何事项进行商定或确定时，总监理工程师应与合同当事人协商，尽量达成一致。不能达成一致的，总监理工程师应认真研究后审慎确定。</w:t>
      </w:r>
    </w:p>
    <w:p>
      <w:pPr>
        <w:snapToGrid w:val="0"/>
        <w:spacing w:beforeLines="50"/>
        <w:ind w:left="991" w:hanging="991" w:hangingChars="413"/>
        <w:jc w:val="left"/>
        <w:rPr>
          <w:rFonts w:ascii="宋体" w:hAnsi="宋体"/>
          <w:sz w:val="24"/>
        </w:rPr>
      </w:pPr>
      <w:r>
        <w:rPr>
          <w:rFonts w:hint="eastAsia" w:ascii="宋体" w:hAnsi="宋体"/>
          <w:sz w:val="24"/>
        </w:rPr>
        <w:t>3.5.2</w:t>
      </w:r>
      <w:r>
        <w:rPr>
          <w:rFonts w:hint="eastAsia" w:ascii="宋体" w:hAnsi="宋体"/>
          <w:sz w:val="24"/>
        </w:rPr>
        <w:tab/>
      </w:r>
      <w:r>
        <w:rPr>
          <w:rFonts w:hint="eastAsia" w:ascii="宋体" w:hAnsi="宋体"/>
          <w:sz w:val="24"/>
        </w:rPr>
        <w:t>总监理工程师应将商定或确定的事项通知合同当事人，并附详细依据。对总监理工程师的确定有异议的，构成争议，按照第17条的约定处理。在争议解决前，双方应暂按总监理工程师的确定执行，按照第17条的约定对总监理工程师的确定作出修改的，按修改后的结果执行。</w:t>
      </w:r>
    </w:p>
    <w:p>
      <w:pPr>
        <w:snapToGrid w:val="0"/>
        <w:spacing w:beforeLines="50"/>
        <w:ind w:left="991" w:hanging="991" w:hangingChars="413"/>
        <w:jc w:val="left"/>
        <w:outlineLvl w:val="2"/>
        <w:rPr>
          <w:rFonts w:ascii="黑体" w:eastAsia="黑体"/>
          <w:sz w:val="24"/>
        </w:rPr>
      </w:pPr>
      <w:bookmarkStart w:id="215" w:name="_Toc247085793"/>
      <w:bookmarkStart w:id="216" w:name="_Toc246996278"/>
      <w:bookmarkStart w:id="217" w:name="_Toc246997021"/>
      <w:bookmarkStart w:id="218" w:name="_Toc184635101"/>
      <w:bookmarkStart w:id="219" w:name="_Toc296602522"/>
      <w:bookmarkStart w:id="220" w:name="_Toc4955"/>
      <w:bookmarkStart w:id="221" w:name="_Toc17962"/>
      <w:r>
        <w:rPr>
          <w:rFonts w:hint="eastAsia" w:ascii="黑体" w:eastAsia="黑体"/>
          <w:sz w:val="24"/>
        </w:rPr>
        <w:t>4.</w:t>
      </w:r>
      <w:r>
        <w:rPr>
          <w:rFonts w:hint="eastAsia" w:ascii="黑体" w:eastAsia="黑体"/>
          <w:sz w:val="24"/>
        </w:rPr>
        <w:tab/>
      </w:r>
      <w:r>
        <w:rPr>
          <w:rFonts w:hint="eastAsia" w:ascii="黑体" w:eastAsia="黑体"/>
          <w:sz w:val="24"/>
        </w:rPr>
        <w:t>承包人</w:t>
      </w:r>
      <w:bookmarkEnd w:id="215"/>
      <w:bookmarkEnd w:id="216"/>
      <w:bookmarkEnd w:id="217"/>
      <w:bookmarkEnd w:id="218"/>
      <w:bookmarkEnd w:id="219"/>
      <w:bookmarkEnd w:id="220"/>
      <w:bookmarkEnd w:id="221"/>
    </w:p>
    <w:p>
      <w:pPr>
        <w:snapToGrid w:val="0"/>
        <w:spacing w:beforeLines="50"/>
        <w:ind w:left="991" w:hanging="991" w:hangingChars="413"/>
        <w:jc w:val="left"/>
        <w:rPr>
          <w:rFonts w:ascii="黑体" w:eastAsia="黑体"/>
          <w:sz w:val="24"/>
        </w:rPr>
      </w:pPr>
      <w:bookmarkStart w:id="222" w:name="_Toc246997022"/>
      <w:bookmarkStart w:id="223" w:name="_Toc247085794"/>
      <w:bookmarkStart w:id="224" w:name="_Toc246996279"/>
      <w:bookmarkStart w:id="225" w:name="_Toc296602523"/>
      <w:r>
        <w:rPr>
          <w:rFonts w:hint="eastAsia" w:ascii="黑体" w:eastAsia="黑体"/>
          <w:sz w:val="24"/>
        </w:rPr>
        <w:t>4.1</w:t>
      </w:r>
      <w:r>
        <w:rPr>
          <w:rFonts w:hint="eastAsia" w:ascii="黑体" w:eastAsia="黑体"/>
          <w:sz w:val="24"/>
        </w:rPr>
        <w:tab/>
      </w:r>
      <w:r>
        <w:rPr>
          <w:rFonts w:hint="eastAsia" w:ascii="黑体" w:eastAsia="黑体"/>
          <w:sz w:val="24"/>
        </w:rPr>
        <w:t>承包人的一般义务</w:t>
      </w:r>
      <w:bookmarkEnd w:id="222"/>
      <w:bookmarkEnd w:id="223"/>
      <w:bookmarkEnd w:id="224"/>
      <w:bookmarkEnd w:id="225"/>
    </w:p>
    <w:p>
      <w:pPr>
        <w:snapToGrid w:val="0"/>
        <w:spacing w:beforeLines="50"/>
        <w:ind w:left="991" w:hanging="991" w:hangingChars="413"/>
        <w:jc w:val="left"/>
        <w:rPr>
          <w:rFonts w:ascii="宋体" w:hAnsi="宋体"/>
          <w:sz w:val="24"/>
        </w:rPr>
      </w:pPr>
      <w:r>
        <w:rPr>
          <w:rFonts w:ascii="宋体" w:hAnsi="宋体"/>
          <w:sz w:val="24"/>
        </w:rPr>
        <w:t>4.1.1</w:t>
      </w:r>
      <w:r>
        <w:rPr>
          <w:rFonts w:hint="eastAsia" w:ascii="宋体" w:hAnsi="宋体"/>
          <w:sz w:val="24"/>
        </w:rPr>
        <w:tab/>
      </w:r>
      <w:r>
        <w:rPr>
          <w:rFonts w:hint="eastAsia" w:ascii="宋体" w:hAnsi="宋体"/>
          <w:sz w:val="24"/>
        </w:rPr>
        <w:t>承包人应按合同约定以及监理人根据第3.4款作出的指示，实施、完成全部工程，并修补工程中的任何缺陷。</w:t>
      </w:r>
    </w:p>
    <w:p>
      <w:pPr>
        <w:snapToGrid w:val="0"/>
        <w:spacing w:beforeLines="50"/>
        <w:ind w:left="991" w:hanging="991" w:hangingChars="413"/>
        <w:jc w:val="left"/>
        <w:rPr>
          <w:rFonts w:ascii="宋体" w:hAnsi="宋体"/>
          <w:sz w:val="24"/>
        </w:rPr>
      </w:pPr>
      <w:r>
        <w:rPr>
          <w:rFonts w:ascii="宋体" w:hAnsi="宋体"/>
          <w:sz w:val="24"/>
        </w:rPr>
        <w:t>4.</w:t>
      </w:r>
      <w:r>
        <w:rPr>
          <w:rFonts w:hint="eastAsia" w:ascii="宋体" w:hAnsi="宋体"/>
          <w:sz w:val="24"/>
        </w:rPr>
        <w:t>1</w:t>
      </w:r>
      <w:r>
        <w:rPr>
          <w:rFonts w:ascii="宋体" w:hAnsi="宋体"/>
          <w:sz w:val="24"/>
        </w:rPr>
        <w:t>.</w:t>
      </w:r>
      <w:r>
        <w:rPr>
          <w:rFonts w:hint="eastAsia" w:ascii="宋体" w:hAnsi="宋体"/>
          <w:sz w:val="24"/>
        </w:rPr>
        <w:t>2</w:t>
      </w:r>
      <w:r>
        <w:rPr>
          <w:rFonts w:hint="eastAsia" w:ascii="宋体" w:hAnsi="宋体"/>
          <w:sz w:val="24"/>
        </w:rPr>
        <w:tab/>
      </w:r>
      <w:r>
        <w:rPr>
          <w:rFonts w:ascii="宋体" w:hAnsi="宋体"/>
          <w:sz w:val="24"/>
        </w:rPr>
        <w:t>除合同另有约定外，承包人应提供为按照合同完成工程所需的</w:t>
      </w:r>
      <w:r>
        <w:rPr>
          <w:rFonts w:hint="eastAsia" w:ascii="宋体" w:hAnsi="宋体"/>
          <w:sz w:val="24"/>
        </w:rPr>
        <w:t>劳务、</w:t>
      </w:r>
      <w:r>
        <w:rPr>
          <w:rFonts w:ascii="宋体" w:hAnsi="宋体"/>
          <w:sz w:val="24"/>
        </w:rPr>
        <w:t>材料、</w:t>
      </w:r>
      <w:r>
        <w:rPr>
          <w:rFonts w:hint="eastAsia" w:ascii="宋体" w:hAnsi="宋体"/>
          <w:sz w:val="24"/>
        </w:rPr>
        <w:t>施工设备、</w:t>
      </w:r>
      <w:r>
        <w:rPr>
          <w:rFonts w:ascii="宋体" w:hAnsi="宋体"/>
          <w:sz w:val="24"/>
        </w:rPr>
        <w:t>工程设备</w:t>
      </w:r>
      <w:r>
        <w:rPr>
          <w:rFonts w:hint="eastAsia" w:ascii="宋体" w:hAnsi="宋体"/>
          <w:sz w:val="24"/>
        </w:rPr>
        <w:t>和其他物品，</w:t>
      </w:r>
      <w:r>
        <w:rPr>
          <w:rFonts w:ascii="宋体" w:hAnsi="宋体"/>
          <w:sz w:val="24"/>
        </w:rPr>
        <w:t>以及</w:t>
      </w:r>
      <w:r>
        <w:rPr>
          <w:rFonts w:hint="eastAsia" w:ascii="宋体" w:hAnsi="宋体"/>
          <w:sz w:val="24"/>
        </w:rPr>
        <w:t>按合同约定的</w:t>
      </w:r>
      <w:r>
        <w:rPr>
          <w:rFonts w:ascii="宋体" w:hAnsi="宋体"/>
          <w:sz w:val="24"/>
        </w:rPr>
        <w:t>临时设施等。</w:t>
      </w:r>
    </w:p>
    <w:p>
      <w:pPr>
        <w:snapToGrid w:val="0"/>
        <w:spacing w:beforeLines="50"/>
        <w:ind w:left="991" w:hanging="991" w:hangingChars="413"/>
        <w:jc w:val="left"/>
        <w:rPr>
          <w:rFonts w:ascii="宋体" w:hAnsi="宋体"/>
          <w:sz w:val="24"/>
        </w:rPr>
      </w:pPr>
      <w:r>
        <w:rPr>
          <w:rFonts w:ascii="宋体" w:hAnsi="宋体"/>
          <w:sz w:val="24"/>
        </w:rPr>
        <w:t>4.</w:t>
      </w:r>
      <w:r>
        <w:rPr>
          <w:rFonts w:hint="eastAsia" w:ascii="宋体" w:hAnsi="宋体"/>
          <w:sz w:val="24"/>
        </w:rPr>
        <w:t>1</w:t>
      </w:r>
      <w:r>
        <w:rPr>
          <w:rFonts w:ascii="宋体" w:hAnsi="宋体"/>
          <w:sz w:val="24"/>
        </w:rPr>
        <w:t>.</w:t>
      </w:r>
      <w:r>
        <w:rPr>
          <w:rFonts w:hint="eastAsia" w:ascii="宋体" w:hAnsi="宋体"/>
          <w:sz w:val="24"/>
        </w:rPr>
        <w:t>3</w:t>
      </w:r>
      <w:r>
        <w:rPr>
          <w:rFonts w:hint="eastAsia" w:ascii="宋体" w:hAnsi="宋体"/>
          <w:sz w:val="24"/>
        </w:rPr>
        <w:tab/>
      </w:r>
      <w:r>
        <w:rPr>
          <w:rFonts w:ascii="宋体" w:hAnsi="宋体"/>
          <w:sz w:val="24"/>
        </w:rPr>
        <w:t>承包人应对所有现场作业、所有施工方法和全部工程的完备性、稳定性和安全性负责。</w:t>
      </w:r>
    </w:p>
    <w:p>
      <w:pPr>
        <w:snapToGrid w:val="0"/>
        <w:spacing w:beforeLines="50"/>
        <w:ind w:left="991" w:hanging="991" w:hangingChars="413"/>
        <w:jc w:val="left"/>
        <w:rPr>
          <w:rFonts w:ascii="宋体" w:hAnsi="宋体"/>
          <w:sz w:val="24"/>
        </w:rPr>
      </w:pPr>
      <w:r>
        <w:rPr>
          <w:rFonts w:ascii="宋体" w:hAnsi="宋体"/>
          <w:sz w:val="24"/>
        </w:rPr>
        <w:t>4.</w:t>
      </w:r>
      <w:r>
        <w:rPr>
          <w:rFonts w:hint="eastAsia" w:ascii="宋体" w:hAnsi="宋体"/>
          <w:sz w:val="24"/>
        </w:rPr>
        <w:t>1</w:t>
      </w:r>
      <w:r>
        <w:rPr>
          <w:rFonts w:ascii="宋体" w:hAnsi="宋体"/>
          <w:sz w:val="24"/>
        </w:rPr>
        <w:t>.</w:t>
      </w:r>
      <w:r>
        <w:rPr>
          <w:rFonts w:hint="eastAsia" w:ascii="宋体" w:hAnsi="宋体"/>
          <w:sz w:val="24"/>
        </w:rPr>
        <w:t>4</w:t>
      </w:r>
      <w:r>
        <w:rPr>
          <w:rFonts w:hint="eastAsia" w:ascii="宋体" w:hAnsi="宋体"/>
          <w:sz w:val="24"/>
        </w:rPr>
        <w:tab/>
      </w:r>
      <w:r>
        <w:rPr>
          <w:rFonts w:hint="eastAsia" w:ascii="宋体" w:hAnsi="宋体"/>
          <w:sz w:val="24"/>
        </w:rPr>
        <w:t>承包人应按照法律规定和合同约定，负责施工场地及其周边环境与生态的保护工作。</w:t>
      </w:r>
    </w:p>
    <w:p>
      <w:pPr>
        <w:snapToGrid w:val="0"/>
        <w:spacing w:beforeLines="50"/>
        <w:ind w:left="991" w:hanging="991" w:hangingChars="413"/>
        <w:jc w:val="left"/>
        <w:rPr>
          <w:rFonts w:ascii="宋体" w:hAnsi="宋体"/>
          <w:sz w:val="24"/>
        </w:rPr>
      </w:pPr>
      <w:r>
        <w:rPr>
          <w:rFonts w:hint="eastAsia" w:ascii="宋体" w:hAnsi="宋体"/>
          <w:sz w:val="24"/>
        </w:rPr>
        <w:t>4.1.5</w:t>
      </w:r>
      <w:r>
        <w:rPr>
          <w:rFonts w:hint="eastAsia" w:ascii="宋体" w:hAnsi="宋体"/>
          <w:sz w:val="24"/>
        </w:rPr>
        <w:tab/>
      </w:r>
      <w:r>
        <w:rPr>
          <w:rFonts w:hint="eastAsia" w:ascii="宋体" w:hAnsi="宋体"/>
          <w:sz w:val="24"/>
        </w:rPr>
        <w:t>工程接收证书颁发前，承包人应负责照管和维护工程。工程接收证书颁发时尚有部分未竣工工程的，承包人还应负责该未竣工工程的照管和维护工作，直至竣工后移交给发包人为止。</w:t>
      </w:r>
    </w:p>
    <w:p>
      <w:pPr>
        <w:snapToGrid w:val="0"/>
        <w:spacing w:beforeLines="50"/>
        <w:ind w:left="991" w:hanging="991" w:hangingChars="413"/>
        <w:jc w:val="left"/>
        <w:rPr>
          <w:rFonts w:ascii="宋体" w:hAnsi="宋体"/>
          <w:sz w:val="24"/>
        </w:rPr>
      </w:pPr>
      <w:r>
        <w:rPr>
          <w:rFonts w:hint="eastAsia" w:ascii="宋体" w:hAnsi="宋体"/>
          <w:sz w:val="24"/>
        </w:rPr>
        <w:t>4.1.6</w:t>
      </w:r>
      <w:r>
        <w:rPr>
          <w:rFonts w:hint="eastAsia" w:ascii="宋体" w:hAnsi="宋体"/>
          <w:sz w:val="24"/>
        </w:rPr>
        <w:tab/>
      </w:r>
      <w:r>
        <w:rPr>
          <w:rFonts w:hint="eastAsia" w:ascii="宋体" w:hAnsi="宋体"/>
          <w:sz w:val="24"/>
        </w:rPr>
        <w:t>承包人应履行合同约定的其他义务。</w:t>
      </w:r>
    </w:p>
    <w:p>
      <w:pPr>
        <w:snapToGrid w:val="0"/>
        <w:spacing w:beforeLines="50"/>
        <w:ind w:left="991" w:hanging="991" w:hangingChars="413"/>
        <w:jc w:val="left"/>
        <w:rPr>
          <w:rFonts w:ascii="黑体" w:eastAsia="黑体"/>
          <w:sz w:val="24"/>
        </w:rPr>
      </w:pPr>
      <w:bookmarkStart w:id="226" w:name="_Toc246997023"/>
      <w:bookmarkStart w:id="227" w:name="_Toc247085795"/>
      <w:bookmarkStart w:id="228" w:name="_Toc246996280"/>
      <w:bookmarkStart w:id="229" w:name="_Toc296602524"/>
      <w:r>
        <w:rPr>
          <w:rFonts w:hint="eastAsia" w:ascii="黑体" w:eastAsia="黑体"/>
          <w:sz w:val="24"/>
        </w:rPr>
        <w:t>4.2</w:t>
      </w:r>
      <w:r>
        <w:rPr>
          <w:rFonts w:hint="eastAsia" w:ascii="黑体" w:eastAsia="黑体"/>
          <w:sz w:val="24"/>
        </w:rPr>
        <w:tab/>
      </w:r>
      <w:r>
        <w:rPr>
          <w:rFonts w:hint="eastAsia" w:ascii="黑体" w:eastAsia="黑体"/>
          <w:sz w:val="24"/>
        </w:rPr>
        <w:t>履约担保</w:t>
      </w:r>
      <w:bookmarkEnd w:id="226"/>
      <w:bookmarkEnd w:id="227"/>
      <w:bookmarkEnd w:id="228"/>
      <w:bookmarkEnd w:id="229"/>
    </w:p>
    <w:p>
      <w:pPr>
        <w:snapToGrid w:val="0"/>
        <w:spacing w:beforeLines="50"/>
        <w:ind w:left="991" w:hanging="991" w:hangingChars="413"/>
        <w:jc w:val="left"/>
        <w:rPr>
          <w:rFonts w:ascii="宋体" w:hAnsi="宋体"/>
          <w:sz w:val="24"/>
        </w:rPr>
      </w:pPr>
      <w:r>
        <w:rPr>
          <w:rFonts w:hint="eastAsia" w:ascii="宋体" w:hAnsi="宋体"/>
          <w:sz w:val="24"/>
        </w:rPr>
        <w:t>4.2.1</w:t>
      </w:r>
      <w:r>
        <w:rPr>
          <w:rFonts w:hint="eastAsia" w:ascii="宋体" w:hAnsi="宋体"/>
          <w:sz w:val="24"/>
        </w:rPr>
        <w:tab/>
      </w:r>
      <w:r>
        <w:rPr>
          <w:rFonts w:hint="eastAsia" w:ascii="宋体" w:hAnsi="宋体"/>
          <w:sz w:val="24"/>
        </w:rPr>
        <w:t>承包人应保证其履约担保在发包人颁发工程接收证书前一直有效。发包人应在工程接收证书颁发后28天内把履约担保退还给承包人。</w:t>
      </w:r>
    </w:p>
    <w:p>
      <w:pPr>
        <w:snapToGrid w:val="0"/>
        <w:spacing w:beforeLines="50"/>
        <w:ind w:left="991" w:hanging="991" w:hangingChars="413"/>
        <w:jc w:val="left"/>
        <w:rPr>
          <w:rFonts w:ascii="宋体" w:hAnsi="宋体"/>
          <w:sz w:val="24"/>
        </w:rPr>
      </w:pPr>
      <w:r>
        <w:rPr>
          <w:rFonts w:hint="eastAsia" w:ascii="宋体" w:hAnsi="宋体"/>
          <w:sz w:val="24"/>
        </w:rPr>
        <w:t>4.2.2</w:t>
      </w:r>
      <w:r>
        <w:rPr>
          <w:rFonts w:hint="eastAsia" w:ascii="宋体" w:hAnsi="宋体"/>
          <w:sz w:val="24"/>
        </w:rPr>
        <w:tab/>
      </w:r>
      <w:r>
        <w:rPr>
          <w:rFonts w:hint="eastAsia" w:ascii="宋体" w:hAnsi="宋体"/>
          <w:sz w:val="24"/>
        </w:rPr>
        <w:t>如工程延期，承包人有义务继续提供履约担保。由于发包人原因导致延期的，继续提供履约担保所需的费用由发包人承担；由于承包人原因导致延期的，继续提供履约担保所需费用由承包人承担。</w:t>
      </w:r>
    </w:p>
    <w:p>
      <w:pPr>
        <w:snapToGrid w:val="0"/>
        <w:spacing w:beforeLines="50"/>
        <w:ind w:left="991" w:hanging="991" w:hangingChars="413"/>
        <w:jc w:val="left"/>
        <w:rPr>
          <w:rFonts w:ascii="黑体" w:eastAsia="黑体"/>
          <w:sz w:val="24"/>
        </w:rPr>
      </w:pPr>
      <w:bookmarkStart w:id="230" w:name="_Toc247085797"/>
      <w:bookmarkStart w:id="231" w:name="_Toc246996282"/>
      <w:bookmarkStart w:id="232" w:name="_Toc296602525"/>
      <w:bookmarkStart w:id="233" w:name="_Toc246997025"/>
      <w:r>
        <w:rPr>
          <w:rFonts w:hint="eastAsia" w:ascii="黑体" w:eastAsia="黑体"/>
          <w:sz w:val="24"/>
        </w:rPr>
        <w:t>4.3</w:t>
      </w:r>
      <w:r>
        <w:rPr>
          <w:rFonts w:hint="eastAsia" w:ascii="黑体" w:eastAsia="黑体"/>
          <w:sz w:val="24"/>
        </w:rPr>
        <w:tab/>
      </w:r>
      <w:r>
        <w:rPr>
          <w:rFonts w:hint="eastAsia" w:ascii="黑体" w:eastAsia="黑体"/>
          <w:sz w:val="24"/>
        </w:rPr>
        <w:t>承包人项目经理</w:t>
      </w:r>
      <w:bookmarkEnd w:id="230"/>
      <w:bookmarkEnd w:id="231"/>
      <w:bookmarkEnd w:id="232"/>
      <w:bookmarkEnd w:id="233"/>
    </w:p>
    <w:p>
      <w:pPr>
        <w:snapToGrid w:val="0"/>
        <w:spacing w:beforeLines="50"/>
        <w:ind w:left="991" w:leftChars="472"/>
        <w:rPr>
          <w:rFonts w:ascii="宋体" w:hAnsi="宋体"/>
          <w:sz w:val="24"/>
        </w:rPr>
      </w:pPr>
      <w:r>
        <w:rPr>
          <w:rFonts w:hint="eastAsia" w:ascii="宋体" w:hAnsi="宋体"/>
          <w:sz w:val="24"/>
        </w:rPr>
        <w:t>承包人应按合同约定指派项目经理，并在约定的期限内到职。承包人项目经理应按合同约定以及监理人按第3.4款作出的指示，负责组织合同工程的实施。承包人为履行合同发出的一切函件均应盖有承包人授权的施工场地管理机构章，并由承包人项目经理或其授权代表签字。</w:t>
      </w:r>
    </w:p>
    <w:p>
      <w:pPr>
        <w:snapToGrid w:val="0"/>
        <w:spacing w:beforeLines="50"/>
        <w:ind w:left="991" w:hanging="991" w:hangingChars="413"/>
        <w:jc w:val="left"/>
        <w:rPr>
          <w:rFonts w:ascii="黑体" w:eastAsia="黑体"/>
          <w:sz w:val="24"/>
        </w:rPr>
      </w:pPr>
      <w:bookmarkStart w:id="234" w:name="_Toc246997026"/>
      <w:bookmarkStart w:id="235" w:name="_Toc247085798"/>
      <w:bookmarkStart w:id="236" w:name="_Toc246996283"/>
      <w:bookmarkStart w:id="237" w:name="_Toc296602526"/>
      <w:r>
        <w:rPr>
          <w:rFonts w:hint="eastAsia" w:ascii="黑体" w:eastAsia="黑体"/>
          <w:sz w:val="24"/>
        </w:rPr>
        <w:t>4.4</w:t>
      </w:r>
      <w:r>
        <w:rPr>
          <w:rFonts w:hint="eastAsia" w:ascii="黑体" w:eastAsia="黑体"/>
          <w:sz w:val="24"/>
        </w:rPr>
        <w:tab/>
      </w:r>
      <w:r>
        <w:rPr>
          <w:rFonts w:hint="eastAsia" w:ascii="黑体" w:eastAsia="黑体"/>
          <w:sz w:val="24"/>
        </w:rPr>
        <w:t>工程价款应专款专用</w:t>
      </w:r>
      <w:bookmarkEnd w:id="234"/>
      <w:bookmarkEnd w:id="235"/>
      <w:bookmarkEnd w:id="236"/>
      <w:bookmarkEnd w:id="237"/>
    </w:p>
    <w:p>
      <w:pPr>
        <w:snapToGrid w:val="0"/>
        <w:spacing w:beforeLines="50"/>
        <w:ind w:left="991" w:leftChars="472"/>
        <w:rPr>
          <w:rFonts w:ascii="宋体" w:hAnsi="宋体"/>
          <w:sz w:val="24"/>
        </w:rPr>
      </w:pPr>
      <w:r>
        <w:rPr>
          <w:rFonts w:hint="eastAsia" w:ascii="宋体" w:hAnsi="宋体"/>
          <w:sz w:val="24"/>
        </w:rPr>
        <w:t>发包人按合同约定支付给承包人的各项价款应专用于合同工程。</w:t>
      </w:r>
      <w:bookmarkStart w:id="238" w:name="_Toc246997027"/>
      <w:bookmarkStart w:id="239" w:name="_Toc247085799"/>
      <w:bookmarkStart w:id="240" w:name="_Toc246996284"/>
    </w:p>
    <w:p>
      <w:pPr>
        <w:snapToGrid w:val="0"/>
        <w:spacing w:beforeLines="50"/>
        <w:ind w:left="991" w:hanging="991" w:hangingChars="413"/>
        <w:jc w:val="left"/>
        <w:rPr>
          <w:rFonts w:ascii="黑体" w:eastAsia="黑体"/>
          <w:sz w:val="24"/>
        </w:rPr>
      </w:pPr>
      <w:bookmarkStart w:id="241" w:name="_Toc179632668"/>
      <w:bookmarkStart w:id="242" w:name="_Toc152045650"/>
      <w:bookmarkStart w:id="243" w:name="_Toc296602527"/>
      <w:bookmarkStart w:id="244" w:name="_Toc152042428"/>
      <w:bookmarkStart w:id="245" w:name="_Toc144974618"/>
      <w:r>
        <w:rPr>
          <w:rFonts w:hint="eastAsia" w:ascii="黑体" w:eastAsia="黑体"/>
          <w:sz w:val="24"/>
        </w:rPr>
        <w:t>4.5</w:t>
      </w:r>
      <w:r>
        <w:rPr>
          <w:rFonts w:hint="eastAsia" w:ascii="黑体" w:eastAsia="黑体"/>
          <w:sz w:val="24"/>
        </w:rPr>
        <w:tab/>
      </w:r>
      <w:r>
        <w:rPr>
          <w:rFonts w:hint="eastAsia" w:ascii="黑体" w:eastAsia="黑体"/>
          <w:sz w:val="24"/>
        </w:rPr>
        <w:t>不利物质条件</w:t>
      </w:r>
      <w:bookmarkEnd w:id="241"/>
      <w:bookmarkEnd w:id="242"/>
      <w:bookmarkEnd w:id="243"/>
      <w:bookmarkEnd w:id="244"/>
      <w:bookmarkEnd w:id="245"/>
    </w:p>
    <w:p>
      <w:pPr>
        <w:snapToGrid w:val="0"/>
        <w:spacing w:beforeLines="50"/>
        <w:ind w:left="991" w:hanging="991" w:hangingChars="413"/>
        <w:jc w:val="left"/>
        <w:rPr>
          <w:rFonts w:ascii="宋体" w:hAnsi="宋体"/>
          <w:sz w:val="24"/>
        </w:rPr>
      </w:pPr>
      <w:r>
        <w:rPr>
          <w:rFonts w:hint="eastAsia" w:ascii="宋体" w:hAnsi="宋体"/>
          <w:sz w:val="24"/>
        </w:rPr>
        <w:t>4.5.1</w:t>
      </w:r>
      <w:r>
        <w:rPr>
          <w:rFonts w:hint="eastAsia" w:ascii="宋体" w:hAnsi="宋体"/>
          <w:sz w:val="24"/>
        </w:rPr>
        <w:tab/>
      </w:r>
      <w:r>
        <w:rPr>
          <w:rFonts w:hint="eastAsia" w:ascii="宋体" w:hAnsi="宋体"/>
          <w:sz w:val="24"/>
        </w:rPr>
        <w:t>不利物质条件，除专用合同条款另有约定外，是指承包人在施工场地遇到的不可预见的自然物质条件、非自然的物质障碍和污染物，包括地下和水文条件，但不包括气候条件。</w:t>
      </w:r>
    </w:p>
    <w:p>
      <w:pPr>
        <w:snapToGrid w:val="0"/>
        <w:spacing w:beforeLines="50"/>
        <w:ind w:left="991" w:hanging="991" w:hangingChars="413"/>
        <w:jc w:val="left"/>
        <w:rPr>
          <w:rFonts w:ascii="宋体" w:hAnsi="宋体"/>
          <w:sz w:val="24"/>
        </w:rPr>
      </w:pPr>
      <w:r>
        <w:rPr>
          <w:rFonts w:hint="eastAsia" w:ascii="宋体" w:hAnsi="宋体"/>
          <w:sz w:val="24"/>
        </w:rPr>
        <w:t>4.5.2</w:t>
      </w:r>
      <w:r>
        <w:rPr>
          <w:rFonts w:hint="eastAsia" w:ascii="宋体" w:hAnsi="宋体"/>
          <w:sz w:val="24"/>
        </w:rPr>
        <w:tab/>
      </w:r>
      <w:r>
        <w:rPr>
          <w:rFonts w:hint="eastAsia" w:ascii="宋体" w:hAnsi="宋体"/>
          <w:sz w:val="24"/>
        </w:rPr>
        <w:t>承包人遇到不利物质条件时，应采取适应不利物质条件的合理措施继续施工，并及时通知监理人，通知应载明不利物质条件的内容以及承包人认为不可预见的理由。监理人应当及时发出指示，指示构成变更的，按第9条约定执行。监理人没有发出指示的，承包人因采取合理措施而增加的费用和（或）工期延误，由发包人承担。</w:t>
      </w:r>
    </w:p>
    <w:p>
      <w:pPr>
        <w:snapToGrid w:val="0"/>
        <w:spacing w:beforeLines="50"/>
        <w:ind w:left="991" w:hanging="991" w:hangingChars="413"/>
        <w:jc w:val="left"/>
        <w:outlineLvl w:val="2"/>
        <w:rPr>
          <w:rFonts w:ascii="黑体" w:eastAsia="黑体"/>
          <w:sz w:val="24"/>
        </w:rPr>
      </w:pPr>
      <w:bookmarkStart w:id="246" w:name="_Toc152042446"/>
      <w:bookmarkStart w:id="247" w:name="_Toc152045668"/>
      <w:bookmarkStart w:id="248" w:name="_Toc144974636"/>
      <w:bookmarkStart w:id="249" w:name="_Toc179632686"/>
      <w:bookmarkStart w:id="250" w:name="_Toc296602528"/>
      <w:bookmarkStart w:id="251" w:name="_Toc9312"/>
      <w:bookmarkStart w:id="252" w:name="_Toc5651"/>
      <w:r>
        <w:rPr>
          <w:rFonts w:hint="eastAsia" w:ascii="黑体" w:eastAsia="黑体"/>
          <w:sz w:val="24"/>
        </w:rPr>
        <w:t>5.</w:t>
      </w:r>
      <w:r>
        <w:rPr>
          <w:rFonts w:hint="eastAsia" w:ascii="黑体" w:eastAsia="黑体"/>
          <w:sz w:val="24"/>
        </w:rPr>
        <w:tab/>
      </w:r>
      <w:bookmarkEnd w:id="246"/>
      <w:bookmarkEnd w:id="247"/>
      <w:bookmarkEnd w:id="248"/>
      <w:bookmarkEnd w:id="249"/>
      <w:bookmarkStart w:id="253" w:name="_Toc144974637"/>
      <w:bookmarkStart w:id="254" w:name="_Toc152045669"/>
      <w:bookmarkStart w:id="255" w:name="_Toc152042447"/>
      <w:bookmarkStart w:id="256" w:name="_Toc179632687"/>
      <w:r>
        <w:rPr>
          <w:rFonts w:hint="eastAsia" w:ascii="黑体" w:eastAsia="黑体"/>
          <w:sz w:val="24"/>
        </w:rPr>
        <w:t>施工控制网</w:t>
      </w:r>
      <w:bookmarkEnd w:id="250"/>
      <w:bookmarkEnd w:id="251"/>
      <w:bookmarkEnd w:id="252"/>
      <w:bookmarkEnd w:id="253"/>
      <w:bookmarkEnd w:id="254"/>
      <w:bookmarkEnd w:id="255"/>
      <w:bookmarkEnd w:id="256"/>
    </w:p>
    <w:p>
      <w:pPr>
        <w:snapToGrid w:val="0"/>
        <w:spacing w:beforeLines="50"/>
        <w:ind w:left="991" w:hanging="991" w:hangingChars="413"/>
        <w:jc w:val="left"/>
        <w:rPr>
          <w:rFonts w:ascii="宋体" w:hAnsi="宋体"/>
          <w:sz w:val="24"/>
        </w:rPr>
      </w:pPr>
      <w:r>
        <w:rPr>
          <w:rFonts w:hint="eastAsia" w:ascii="宋体" w:hAnsi="宋体"/>
          <w:sz w:val="24"/>
        </w:rPr>
        <w:t>5.1</w:t>
      </w:r>
      <w:r>
        <w:rPr>
          <w:rFonts w:hint="eastAsia" w:ascii="宋体" w:hAnsi="宋体"/>
          <w:sz w:val="24"/>
        </w:rPr>
        <w:tab/>
      </w:r>
      <w:r>
        <w:rPr>
          <w:rFonts w:hint="eastAsia" w:ascii="宋体" w:hAnsi="宋体"/>
          <w:sz w:val="24"/>
        </w:rPr>
        <w:t>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pPr>
        <w:snapToGrid w:val="0"/>
        <w:spacing w:beforeLines="50"/>
        <w:ind w:left="991" w:hanging="991" w:hangingChars="413"/>
        <w:jc w:val="left"/>
        <w:rPr>
          <w:rFonts w:ascii="宋体" w:hAnsi="宋体"/>
          <w:sz w:val="24"/>
        </w:rPr>
      </w:pPr>
      <w:r>
        <w:rPr>
          <w:rFonts w:hint="eastAsia" w:ascii="宋体" w:hAnsi="宋体"/>
          <w:sz w:val="24"/>
        </w:rPr>
        <w:t>5.2</w:t>
      </w:r>
      <w:r>
        <w:rPr>
          <w:rFonts w:hint="eastAsia" w:ascii="宋体" w:hAnsi="宋体"/>
          <w:sz w:val="24"/>
        </w:rPr>
        <w:tab/>
      </w:r>
      <w:r>
        <w:rPr>
          <w:rFonts w:hint="eastAsia" w:ascii="宋体" w:hAnsi="宋体"/>
          <w:sz w:val="24"/>
        </w:rPr>
        <w:t>承包人应负责管理施工控制网点。施工控制网点丢失或损坏的，承包人应及时修复。承包人应承担施工控制网点的管理与修复费用，并在工程竣工后将施工控制网点移交发包人。</w:t>
      </w:r>
    </w:p>
    <w:p>
      <w:pPr>
        <w:snapToGrid w:val="0"/>
        <w:spacing w:beforeLines="50"/>
        <w:ind w:left="991" w:hanging="991" w:hangingChars="413"/>
        <w:jc w:val="left"/>
        <w:outlineLvl w:val="2"/>
        <w:rPr>
          <w:rFonts w:ascii="黑体" w:eastAsia="黑体"/>
          <w:sz w:val="24"/>
        </w:rPr>
      </w:pPr>
      <w:bookmarkStart w:id="257" w:name="_Toc152042457"/>
      <w:bookmarkStart w:id="258" w:name="_Toc179632697"/>
      <w:bookmarkStart w:id="259" w:name="_Toc144974647"/>
      <w:bookmarkStart w:id="260" w:name="_Toc152045679"/>
      <w:bookmarkStart w:id="261" w:name="_Toc296602529"/>
      <w:bookmarkStart w:id="262" w:name="_Toc14740"/>
      <w:bookmarkStart w:id="263" w:name="_Toc25277"/>
      <w:r>
        <w:rPr>
          <w:rFonts w:hint="eastAsia" w:ascii="黑体" w:eastAsia="黑体"/>
          <w:sz w:val="24"/>
        </w:rPr>
        <w:t>6.</w:t>
      </w:r>
      <w:r>
        <w:rPr>
          <w:rFonts w:hint="eastAsia" w:ascii="黑体" w:eastAsia="黑体"/>
          <w:sz w:val="24"/>
        </w:rPr>
        <w:tab/>
      </w:r>
      <w:bookmarkEnd w:id="257"/>
      <w:bookmarkEnd w:id="258"/>
      <w:bookmarkEnd w:id="259"/>
      <w:bookmarkEnd w:id="260"/>
      <w:r>
        <w:rPr>
          <w:rFonts w:hint="eastAsia" w:ascii="黑体" w:eastAsia="黑体"/>
          <w:sz w:val="24"/>
        </w:rPr>
        <w:t>工期</w:t>
      </w:r>
      <w:bookmarkEnd w:id="261"/>
      <w:bookmarkEnd w:id="262"/>
      <w:bookmarkEnd w:id="263"/>
    </w:p>
    <w:p>
      <w:pPr>
        <w:snapToGrid w:val="0"/>
        <w:spacing w:beforeLines="50"/>
        <w:ind w:left="991" w:hanging="991" w:hangingChars="413"/>
        <w:jc w:val="left"/>
        <w:rPr>
          <w:rFonts w:ascii="黑体" w:eastAsia="黑体"/>
          <w:sz w:val="24"/>
        </w:rPr>
      </w:pPr>
      <w:bookmarkStart w:id="264" w:name="_Toc296602530"/>
      <w:bookmarkStart w:id="265" w:name="_Toc152045682"/>
      <w:bookmarkStart w:id="266" w:name="_Toc179632700"/>
      <w:bookmarkStart w:id="267" w:name="_Toc152042460"/>
      <w:bookmarkStart w:id="268" w:name="_Toc144974650"/>
      <w:r>
        <w:rPr>
          <w:rFonts w:hint="eastAsia" w:ascii="黑体" w:eastAsia="黑体"/>
          <w:sz w:val="24"/>
        </w:rPr>
        <w:t>6.1</w:t>
      </w:r>
      <w:r>
        <w:rPr>
          <w:rFonts w:hint="eastAsia" w:ascii="黑体" w:eastAsia="黑体"/>
          <w:sz w:val="24"/>
        </w:rPr>
        <w:tab/>
      </w:r>
      <w:r>
        <w:rPr>
          <w:rFonts w:hint="eastAsia" w:ascii="黑体" w:eastAsia="黑体"/>
          <w:sz w:val="24"/>
        </w:rPr>
        <w:t>进度计划</w:t>
      </w:r>
      <w:bookmarkEnd w:id="264"/>
    </w:p>
    <w:p>
      <w:pPr>
        <w:snapToGrid w:val="0"/>
        <w:spacing w:beforeLines="50"/>
        <w:ind w:left="991" w:leftChars="472"/>
        <w:rPr>
          <w:rFonts w:ascii="宋体" w:hAnsi="宋体"/>
          <w:sz w:val="24"/>
        </w:rPr>
      </w:pPr>
      <w:r>
        <w:rPr>
          <w:rFonts w:hint="eastAsia" w:ascii="宋体" w:hAnsi="宋体"/>
          <w:sz w:val="24"/>
        </w:rPr>
        <w:t>承包</w:t>
      </w:r>
      <w:r>
        <w:rPr>
          <w:rFonts w:ascii="宋体" w:hAnsi="宋体"/>
          <w:sz w:val="24"/>
        </w:rPr>
        <w:t>人应按照</w:t>
      </w:r>
      <w:r>
        <w:rPr>
          <w:rFonts w:hint="eastAsia" w:ascii="宋体" w:hAnsi="宋体"/>
          <w:sz w:val="24"/>
        </w:rPr>
        <w:t>专用合同条款约</w:t>
      </w:r>
      <w:r>
        <w:rPr>
          <w:rFonts w:ascii="宋体" w:hAnsi="宋体"/>
          <w:sz w:val="24"/>
        </w:rPr>
        <w:t>定的时间，向监理人提交进度计划</w:t>
      </w:r>
      <w:r>
        <w:rPr>
          <w:rFonts w:hint="eastAsia" w:ascii="宋体" w:hAnsi="宋体"/>
          <w:sz w:val="24"/>
        </w:rPr>
        <w:t>。</w:t>
      </w:r>
      <w:r>
        <w:rPr>
          <w:rFonts w:ascii="宋体" w:hAnsi="宋体"/>
          <w:sz w:val="24"/>
        </w:rPr>
        <w:t>经监理人审批后</w:t>
      </w:r>
      <w:r>
        <w:rPr>
          <w:rFonts w:hint="eastAsia" w:ascii="宋体" w:hAnsi="宋体"/>
          <w:sz w:val="24"/>
        </w:rPr>
        <w:t>的进度计划具有合同约束力，承包人应当严格执行。实际进度与进度计划不符时，监理人应当指示承包人对进度计划进行修订，重新提交给监理人审批。</w:t>
      </w:r>
    </w:p>
    <w:bookmarkEnd w:id="265"/>
    <w:bookmarkEnd w:id="266"/>
    <w:bookmarkEnd w:id="267"/>
    <w:bookmarkEnd w:id="268"/>
    <w:p>
      <w:pPr>
        <w:snapToGrid w:val="0"/>
        <w:spacing w:beforeLines="50"/>
        <w:ind w:left="991" w:hanging="991" w:hangingChars="413"/>
        <w:jc w:val="left"/>
        <w:rPr>
          <w:rFonts w:ascii="黑体" w:eastAsia="黑体"/>
          <w:sz w:val="24"/>
        </w:rPr>
      </w:pPr>
      <w:bookmarkStart w:id="269" w:name="_Toc296602531"/>
      <w:r>
        <w:rPr>
          <w:rFonts w:hint="eastAsia" w:ascii="黑体" w:eastAsia="黑体"/>
          <w:sz w:val="24"/>
        </w:rPr>
        <w:t>6.2</w:t>
      </w:r>
      <w:r>
        <w:rPr>
          <w:rFonts w:hint="eastAsia" w:ascii="黑体" w:eastAsia="黑体"/>
          <w:sz w:val="24"/>
        </w:rPr>
        <w:tab/>
      </w:r>
      <w:r>
        <w:rPr>
          <w:rFonts w:hint="eastAsia" w:ascii="黑体" w:eastAsia="黑体"/>
          <w:sz w:val="24"/>
        </w:rPr>
        <w:t>工程实施</w:t>
      </w:r>
      <w:bookmarkEnd w:id="269"/>
    </w:p>
    <w:p>
      <w:pPr>
        <w:snapToGrid w:val="0"/>
        <w:spacing w:beforeLines="50"/>
        <w:ind w:left="991" w:leftChars="472"/>
        <w:rPr>
          <w:rFonts w:ascii="宋体" w:hAnsi="宋体"/>
          <w:sz w:val="24"/>
        </w:rPr>
      </w:pPr>
      <w:r>
        <w:rPr>
          <w:rFonts w:hint="eastAsia" w:ascii="宋体" w:hAnsi="宋体"/>
          <w:sz w:val="24"/>
        </w:rPr>
        <w:t>监理人应在开工日期7天前向承包人发出开工通知。承包人应在第</w:t>
      </w:r>
      <w:r>
        <w:rPr>
          <w:rFonts w:ascii="宋体" w:hAnsi="宋体"/>
          <w:sz w:val="24"/>
        </w:rPr>
        <w:t>1.1.4.3</w:t>
      </w:r>
      <w:r>
        <w:rPr>
          <w:rFonts w:hint="eastAsia" w:ascii="宋体" w:hAnsi="宋体"/>
          <w:sz w:val="24"/>
        </w:rPr>
        <w:t>目约定的期限内完成合同工程。实际竣工日期在接收证书中写明。</w:t>
      </w:r>
    </w:p>
    <w:p>
      <w:pPr>
        <w:snapToGrid w:val="0"/>
        <w:spacing w:beforeLines="50"/>
        <w:ind w:left="991" w:hanging="991" w:hangingChars="413"/>
        <w:jc w:val="left"/>
        <w:rPr>
          <w:rFonts w:ascii="黑体" w:eastAsia="黑体"/>
          <w:sz w:val="24"/>
        </w:rPr>
      </w:pPr>
      <w:bookmarkStart w:id="270" w:name="_Toc296602532"/>
      <w:bookmarkStart w:id="271" w:name="_Toc179632703"/>
      <w:bookmarkStart w:id="272" w:name="_Toc144974653"/>
      <w:bookmarkStart w:id="273" w:name="_Toc152045685"/>
      <w:bookmarkStart w:id="274" w:name="_Toc152042463"/>
      <w:r>
        <w:rPr>
          <w:rFonts w:hint="eastAsia" w:ascii="黑体" w:eastAsia="黑体"/>
          <w:sz w:val="24"/>
        </w:rPr>
        <w:t>6.3</w:t>
      </w:r>
      <w:r>
        <w:rPr>
          <w:rFonts w:hint="eastAsia" w:ascii="黑体" w:eastAsia="黑体"/>
          <w:sz w:val="24"/>
        </w:rPr>
        <w:tab/>
      </w:r>
      <w:r>
        <w:rPr>
          <w:rFonts w:hint="eastAsia" w:ascii="黑体" w:eastAsia="黑体"/>
          <w:sz w:val="24"/>
        </w:rPr>
        <w:t>发包人引起的工期延误</w:t>
      </w:r>
      <w:bookmarkEnd w:id="270"/>
      <w:bookmarkEnd w:id="271"/>
      <w:bookmarkEnd w:id="272"/>
      <w:bookmarkEnd w:id="273"/>
      <w:bookmarkEnd w:id="274"/>
    </w:p>
    <w:p>
      <w:pPr>
        <w:snapToGrid w:val="0"/>
        <w:spacing w:beforeLines="50"/>
        <w:ind w:left="991" w:leftChars="472"/>
        <w:rPr>
          <w:rFonts w:ascii="宋体" w:hAnsi="宋体"/>
          <w:sz w:val="24"/>
        </w:rPr>
      </w:pPr>
      <w:r>
        <w:rPr>
          <w:rFonts w:hint="eastAsia" w:ascii="宋体" w:hAnsi="宋体"/>
          <w:sz w:val="24"/>
        </w:rPr>
        <w:t>在履行合同过程中，由于发包人的下列原因造成工期延误的，承包人有权要求发包人延长工期和（或）增加费用，并支付合理利润。需要修订合同进度计划的，按照第6.1款的约定执行。</w:t>
      </w:r>
    </w:p>
    <w:p>
      <w:pPr>
        <w:snapToGrid w:val="0"/>
        <w:spacing w:beforeLines="50"/>
        <w:ind w:left="991" w:leftChars="472"/>
        <w:rPr>
          <w:rFonts w:ascii="宋体" w:hAnsi="宋体"/>
          <w:sz w:val="24"/>
        </w:rPr>
      </w:pPr>
      <w:r>
        <w:rPr>
          <w:rFonts w:hint="eastAsia" w:ascii="宋体" w:hAnsi="宋体"/>
          <w:sz w:val="24"/>
        </w:rPr>
        <w:t>（1）增加合同工作内容；</w:t>
      </w:r>
    </w:p>
    <w:p>
      <w:pPr>
        <w:snapToGrid w:val="0"/>
        <w:spacing w:beforeLines="50"/>
        <w:ind w:left="991" w:leftChars="472"/>
        <w:rPr>
          <w:rFonts w:ascii="宋体" w:hAnsi="宋体"/>
          <w:sz w:val="24"/>
        </w:rPr>
      </w:pPr>
      <w:r>
        <w:rPr>
          <w:rFonts w:hint="eastAsia" w:ascii="宋体" w:hAnsi="宋体"/>
          <w:sz w:val="24"/>
        </w:rPr>
        <w:t>（2）改变合同中任何一项工作的质量要求或其他特性；</w:t>
      </w:r>
    </w:p>
    <w:p>
      <w:pPr>
        <w:snapToGrid w:val="0"/>
        <w:spacing w:beforeLines="50"/>
        <w:ind w:left="991" w:leftChars="472"/>
        <w:rPr>
          <w:rFonts w:ascii="宋体" w:hAnsi="宋体"/>
          <w:sz w:val="24"/>
        </w:rPr>
      </w:pPr>
      <w:r>
        <w:rPr>
          <w:rFonts w:hint="eastAsia" w:ascii="宋体" w:hAnsi="宋体"/>
          <w:sz w:val="24"/>
        </w:rPr>
        <w:t>（3）发包人迟延提供材料、工程设备或变更交货地点；</w:t>
      </w:r>
    </w:p>
    <w:p>
      <w:pPr>
        <w:snapToGrid w:val="0"/>
        <w:spacing w:beforeLines="50"/>
        <w:ind w:left="991" w:leftChars="472"/>
        <w:rPr>
          <w:rFonts w:ascii="宋体" w:hAnsi="宋体"/>
          <w:sz w:val="24"/>
        </w:rPr>
      </w:pPr>
      <w:r>
        <w:rPr>
          <w:rFonts w:hint="eastAsia" w:ascii="宋体" w:hAnsi="宋体"/>
          <w:sz w:val="24"/>
        </w:rPr>
        <w:t>（4）因发包人原因导致的暂停施工；</w:t>
      </w:r>
    </w:p>
    <w:p>
      <w:pPr>
        <w:snapToGrid w:val="0"/>
        <w:spacing w:beforeLines="50"/>
        <w:ind w:left="991" w:leftChars="472"/>
        <w:rPr>
          <w:rFonts w:ascii="宋体" w:hAnsi="宋体"/>
          <w:sz w:val="24"/>
        </w:rPr>
      </w:pPr>
      <w:r>
        <w:rPr>
          <w:rFonts w:hint="eastAsia" w:ascii="宋体" w:hAnsi="宋体"/>
          <w:sz w:val="24"/>
        </w:rPr>
        <w:t>（5）提供图纸延误；</w:t>
      </w:r>
    </w:p>
    <w:p>
      <w:pPr>
        <w:snapToGrid w:val="0"/>
        <w:spacing w:beforeLines="50"/>
        <w:ind w:left="991" w:leftChars="472"/>
        <w:rPr>
          <w:rFonts w:ascii="宋体" w:hAnsi="宋体"/>
          <w:sz w:val="24"/>
        </w:rPr>
      </w:pPr>
      <w:r>
        <w:rPr>
          <w:rFonts w:hint="eastAsia" w:ascii="宋体" w:hAnsi="宋体"/>
          <w:sz w:val="24"/>
        </w:rPr>
        <w:t>（6）未按合同约定及时支付预付款、进度款；</w:t>
      </w:r>
    </w:p>
    <w:p>
      <w:pPr>
        <w:snapToGrid w:val="0"/>
        <w:spacing w:beforeLines="50"/>
        <w:ind w:left="991" w:leftChars="472"/>
        <w:rPr>
          <w:rFonts w:ascii="宋体" w:hAnsi="宋体"/>
          <w:sz w:val="24"/>
        </w:rPr>
      </w:pPr>
      <w:r>
        <w:rPr>
          <w:rFonts w:hint="eastAsia" w:ascii="宋体" w:hAnsi="宋体"/>
          <w:sz w:val="24"/>
        </w:rPr>
        <w:t>（7）发包人造成工期延误的其他原因。</w:t>
      </w:r>
    </w:p>
    <w:p>
      <w:pPr>
        <w:snapToGrid w:val="0"/>
        <w:spacing w:beforeLines="50"/>
        <w:ind w:left="991" w:hanging="991" w:hangingChars="413"/>
        <w:jc w:val="left"/>
        <w:rPr>
          <w:rFonts w:ascii="黑体" w:eastAsia="黑体"/>
          <w:sz w:val="24"/>
        </w:rPr>
      </w:pPr>
      <w:bookmarkStart w:id="275" w:name="_Toc144974654"/>
      <w:bookmarkStart w:id="276" w:name="_Toc179632704"/>
      <w:bookmarkStart w:id="277" w:name="_Toc152045686"/>
      <w:bookmarkStart w:id="278" w:name="_Toc152042464"/>
      <w:bookmarkStart w:id="279" w:name="_Toc296602533"/>
      <w:r>
        <w:rPr>
          <w:rFonts w:hint="eastAsia" w:ascii="黑体" w:eastAsia="黑体"/>
          <w:sz w:val="24"/>
        </w:rPr>
        <w:t>6.4</w:t>
      </w:r>
      <w:r>
        <w:rPr>
          <w:rFonts w:hint="eastAsia" w:ascii="黑体" w:eastAsia="黑体"/>
          <w:sz w:val="24"/>
        </w:rPr>
        <w:tab/>
      </w:r>
      <w:r>
        <w:rPr>
          <w:rFonts w:hint="eastAsia" w:ascii="黑体" w:eastAsia="黑体"/>
          <w:sz w:val="24"/>
        </w:rPr>
        <w:t>异常恶劣的气候条件</w:t>
      </w:r>
      <w:bookmarkEnd w:id="275"/>
      <w:bookmarkEnd w:id="276"/>
      <w:bookmarkEnd w:id="277"/>
      <w:bookmarkEnd w:id="278"/>
      <w:bookmarkEnd w:id="279"/>
    </w:p>
    <w:p>
      <w:pPr>
        <w:snapToGrid w:val="0"/>
        <w:spacing w:beforeLines="50"/>
        <w:ind w:left="991" w:leftChars="472"/>
        <w:rPr>
          <w:rFonts w:ascii="宋体" w:hAnsi="宋体"/>
          <w:sz w:val="24"/>
        </w:rPr>
      </w:pPr>
      <w:r>
        <w:rPr>
          <w:rFonts w:hint="eastAsia" w:ascii="宋体" w:hAnsi="宋体"/>
          <w:sz w:val="24"/>
        </w:rPr>
        <w:t>由于出现专用合同条款约定的异常恶劣气候导致工期延误的，承包人有权要求发包人延长工期。</w:t>
      </w:r>
    </w:p>
    <w:p>
      <w:pPr>
        <w:snapToGrid w:val="0"/>
        <w:spacing w:beforeLines="50"/>
        <w:ind w:left="991" w:hanging="991" w:hangingChars="413"/>
        <w:jc w:val="left"/>
        <w:rPr>
          <w:rFonts w:ascii="黑体" w:eastAsia="黑体"/>
          <w:sz w:val="24"/>
        </w:rPr>
      </w:pPr>
      <w:bookmarkStart w:id="280" w:name="_Toc179632705"/>
      <w:bookmarkStart w:id="281" w:name="_Toc296602534"/>
      <w:bookmarkStart w:id="282" w:name="_Toc152042465"/>
      <w:bookmarkStart w:id="283" w:name="_Toc144974655"/>
      <w:bookmarkStart w:id="284" w:name="_Toc152045687"/>
      <w:r>
        <w:rPr>
          <w:rFonts w:hint="eastAsia" w:ascii="黑体" w:eastAsia="黑体"/>
          <w:sz w:val="24"/>
        </w:rPr>
        <w:t>6.5</w:t>
      </w:r>
      <w:r>
        <w:rPr>
          <w:rFonts w:hint="eastAsia" w:ascii="黑体" w:eastAsia="黑体"/>
          <w:sz w:val="24"/>
        </w:rPr>
        <w:tab/>
      </w:r>
      <w:r>
        <w:rPr>
          <w:rFonts w:hint="eastAsia" w:ascii="黑体" w:eastAsia="黑体"/>
          <w:sz w:val="24"/>
        </w:rPr>
        <w:t>承包人引起的工期延误</w:t>
      </w:r>
      <w:bookmarkEnd w:id="280"/>
      <w:bookmarkEnd w:id="281"/>
      <w:bookmarkEnd w:id="282"/>
      <w:bookmarkEnd w:id="283"/>
      <w:bookmarkEnd w:id="284"/>
    </w:p>
    <w:p>
      <w:pPr>
        <w:snapToGrid w:val="0"/>
        <w:spacing w:beforeLines="50"/>
        <w:ind w:left="991" w:leftChars="472"/>
        <w:rPr>
          <w:rFonts w:ascii="宋体" w:hAnsi="宋体"/>
          <w:sz w:val="24"/>
        </w:rPr>
      </w:pPr>
      <w:r>
        <w:rPr>
          <w:rFonts w:ascii="宋体" w:hAnsi="宋体"/>
          <w:sz w:val="24"/>
        </w:rPr>
        <w:t>由于</w:t>
      </w:r>
      <w:r>
        <w:rPr>
          <w:rFonts w:hint="eastAsia" w:ascii="宋体" w:hAnsi="宋体"/>
          <w:sz w:val="24"/>
        </w:rPr>
        <w:t>承包</w:t>
      </w:r>
      <w:r>
        <w:rPr>
          <w:rFonts w:ascii="宋体" w:hAnsi="宋体"/>
          <w:sz w:val="24"/>
        </w:rPr>
        <w:t>人原因造成工期延误，</w:t>
      </w:r>
      <w:r>
        <w:rPr>
          <w:rFonts w:hint="eastAsia" w:ascii="宋体" w:hAnsi="宋体"/>
          <w:sz w:val="24"/>
        </w:rPr>
        <w:t>承包</w:t>
      </w:r>
      <w:r>
        <w:rPr>
          <w:rFonts w:ascii="宋体" w:hAnsi="宋体"/>
          <w:sz w:val="24"/>
        </w:rPr>
        <w:t>人应按照</w:t>
      </w:r>
      <w:r>
        <w:rPr>
          <w:rFonts w:hint="eastAsia" w:ascii="宋体" w:hAnsi="宋体"/>
          <w:sz w:val="24"/>
        </w:rPr>
        <w:t>专用合同条款</w:t>
      </w:r>
      <w:r>
        <w:rPr>
          <w:rFonts w:ascii="宋体" w:hAnsi="宋体"/>
          <w:sz w:val="24"/>
        </w:rPr>
        <w:t>中约定的逾期竣工违约金计算方法</w:t>
      </w:r>
      <w:r>
        <w:rPr>
          <w:rFonts w:hint="eastAsia" w:ascii="宋体" w:hAnsi="宋体"/>
          <w:sz w:val="24"/>
        </w:rPr>
        <w:t>和最高限额</w:t>
      </w:r>
      <w:r>
        <w:rPr>
          <w:rFonts w:ascii="宋体" w:hAnsi="宋体"/>
          <w:sz w:val="24"/>
        </w:rPr>
        <w:t>，支付逾期竣工违约金</w:t>
      </w:r>
      <w:r>
        <w:rPr>
          <w:rFonts w:hint="eastAsia" w:ascii="宋体" w:hAnsi="宋体"/>
          <w:sz w:val="24"/>
        </w:rPr>
        <w:t>。承包人支付逾期竣工违约金，不免除承包人完成工程及修补缺陷的义务。</w:t>
      </w:r>
    </w:p>
    <w:bookmarkEnd w:id="238"/>
    <w:bookmarkEnd w:id="239"/>
    <w:bookmarkEnd w:id="240"/>
    <w:p>
      <w:pPr>
        <w:snapToGrid w:val="0"/>
        <w:spacing w:beforeLines="50"/>
        <w:ind w:left="991" w:hanging="991" w:hangingChars="413"/>
        <w:jc w:val="left"/>
        <w:outlineLvl w:val="2"/>
        <w:rPr>
          <w:rFonts w:ascii="黑体" w:eastAsia="黑体"/>
          <w:sz w:val="24"/>
        </w:rPr>
      </w:pPr>
      <w:bookmarkStart w:id="285" w:name="_Toc246997034"/>
      <w:bookmarkStart w:id="286" w:name="_Toc296602535"/>
      <w:bookmarkStart w:id="287" w:name="_Toc246996291"/>
      <w:bookmarkStart w:id="288" w:name="_Toc184635110"/>
      <w:bookmarkStart w:id="289" w:name="_Toc247085806"/>
      <w:bookmarkStart w:id="290" w:name="_Toc32611"/>
      <w:bookmarkStart w:id="291" w:name="_Toc13114"/>
      <w:r>
        <w:rPr>
          <w:rFonts w:hint="eastAsia" w:ascii="黑体" w:eastAsia="黑体"/>
          <w:sz w:val="24"/>
        </w:rPr>
        <w:t>7.</w:t>
      </w:r>
      <w:r>
        <w:rPr>
          <w:rFonts w:hint="eastAsia" w:ascii="黑体" w:eastAsia="黑体"/>
          <w:sz w:val="24"/>
        </w:rPr>
        <w:tab/>
      </w:r>
      <w:r>
        <w:rPr>
          <w:rFonts w:hint="eastAsia" w:ascii="黑体" w:eastAsia="黑体"/>
          <w:sz w:val="24"/>
        </w:rPr>
        <w:t>工程质量</w:t>
      </w:r>
      <w:bookmarkEnd w:id="285"/>
      <w:bookmarkEnd w:id="286"/>
      <w:bookmarkEnd w:id="287"/>
      <w:bookmarkEnd w:id="288"/>
      <w:bookmarkEnd w:id="289"/>
      <w:bookmarkEnd w:id="290"/>
      <w:bookmarkEnd w:id="291"/>
    </w:p>
    <w:p>
      <w:pPr>
        <w:snapToGrid w:val="0"/>
        <w:spacing w:beforeLines="50"/>
        <w:ind w:left="991" w:hanging="991" w:hangingChars="413"/>
        <w:jc w:val="left"/>
        <w:rPr>
          <w:rFonts w:ascii="黑体" w:eastAsia="黑体"/>
          <w:sz w:val="24"/>
        </w:rPr>
      </w:pPr>
      <w:bookmarkStart w:id="292" w:name="_Toc246996292"/>
      <w:bookmarkStart w:id="293" w:name="_Toc246997035"/>
      <w:bookmarkStart w:id="294" w:name="_Toc247085807"/>
      <w:bookmarkStart w:id="295" w:name="_Toc296602536"/>
      <w:r>
        <w:rPr>
          <w:rFonts w:hint="eastAsia" w:ascii="黑体" w:eastAsia="黑体"/>
          <w:sz w:val="24"/>
        </w:rPr>
        <w:t>7.1</w:t>
      </w:r>
      <w:r>
        <w:rPr>
          <w:rFonts w:hint="eastAsia" w:ascii="黑体" w:eastAsia="黑体"/>
          <w:sz w:val="24"/>
        </w:rPr>
        <w:tab/>
      </w:r>
      <w:r>
        <w:rPr>
          <w:rFonts w:hint="eastAsia" w:ascii="黑体" w:eastAsia="黑体"/>
          <w:sz w:val="24"/>
        </w:rPr>
        <w:t>工程质量要求</w:t>
      </w:r>
      <w:bookmarkEnd w:id="292"/>
      <w:bookmarkEnd w:id="293"/>
      <w:bookmarkEnd w:id="294"/>
      <w:bookmarkEnd w:id="295"/>
    </w:p>
    <w:p>
      <w:pPr>
        <w:snapToGrid w:val="0"/>
        <w:spacing w:beforeLines="50"/>
        <w:ind w:left="991" w:leftChars="472"/>
        <w:rPr>
          <w:rFonts w:ascii="宋体" w:hAnsi="宋体"/>
          <w:sz w:val="24"/>
        </w:rPr>
      </w:pPr>
      <w:r>
        <w:rPr>
          <w:rFonts w:hint="eastAsia" w:ascii="宋体" w:hAnsi="宋体"/>
          <w:sz w:val="24"/>
        </w:rPr>
        <w:t>工程质量验收按照合同约定的验收标准执行。</w:t>
      </w:r>
    </w:p>
    <w:p>
      <w:pPr>
        <w:snapToGrid w:val="0"/>
        <w:spacing w:beforeLines="50"/>
        <w:ind w:left="991" w:hanging="991" w:hangingChars="413"/>
        <w:jc w:val="left"/>
        <w:rPr>
          <w:rFonts w:ascii="黑体" w:eastAsia="黑体"/>
          <w:sz w:val="24"/>
        </w:rPr>
      </w:pPr>
      <w:bookmarkStart w:id="296" w:name="_Toc247085808"/>
      <w:bookmarkStart w:id="297" w:name="_Toc296602537"/>
      <w:bookmarkStart w:id="298" w:name="_Toc246997036"/>
      <w:bookmarkStart w:id="299" w:name="_Toc246996293"/>
      <w:r>
        <w:rPr>
          <w:rFonts w:hint="eastAsia" w:ascii="黑体" w:eastAsia="黑体"/>
          <w:sz w:val="24"/>
        </w:rPr>
        <w:t>7.2</w:t>
      </w:r>
      <w:r>
        <w:rPr>
          <w:rFonts w:hint="eastAsia" w:ascii="黑体" w:eastAsia="黑体"/>
          <w:sz w:val="24"/>
        </w:rPr>
        <w:tab/>
      </w:r>
      <w:r>
        <w:rPr>
          <w:rFonts w:hint="eastAsia" w:ascii="黑体" w:eastAsia="黑体"/>
          <w:sz w:val="24"/>
        </w:rPr>
        <w:t>监理人的质量检查</w:t>
      </w:r>
      <w:bookmarkEnd w:id="296"/>
      <w:bookmarkEnd w:id="297"/>
      <w:bookmarkEnd w:id="298"/>
      <w:bookmarkEnd w:id="299"/>
    </w:p>
    <w:p>
      <w:pPr>
        <w:snapToGrid w:val="0"/>
        <w:spacing w:beforeLines="50"/>
        <w:ind w:left="991" w:leftChars="472"/>
        <w:rPr>
          <w:rFonts w:ascii="宋体" w:hAnsi="宋体"/>
          <w:sz w:val="24"/>
        </w:rPr>
      </w:pPr>
      <w:r>
        <w:rPr>
          <w:rFonts w:hint="eastAsia" w:ascii="宋体" w:hAnsi="宋体"/>
          <w:sz w:val="24"/>
        </w:rPr>
        <w:t>监理人有权对工程的所有部位及其施工工艺、材料和工程设备进行检查和检验。监理人的检查和检验，不免除承包人按合同约定应负的责任。</w:t>
      </w:r>
    </w:p>
    <w:p>
      <w:pPr>
        <w:snapToGrid w:val="0"/>
        <w:spacing w:beforeLines="50"/>
        <w:ind w:left="991" w:hanging="991" w:hangingChars="413"/>
        <w:jc w:val="left"/>
        <w:rPr>
          <w:rFonts w:ascii="黑体" w:eastAsia="黑体"/>
          <w:sz w:val="24"/>
        </w:rPr>
      </w:pPr>
      <w:bookmarkStart w:id="300" w:name="_Toc247085809"/>
      <w:bookmarkStart w:id="301" w:name="_Toc246996294"/>
      <w:bookmarkStart w:id="302" w:name="_Toc246997037"/>
      <w:bookmarkStart w:id="303" w:name="_Toc296602538"/>
      <w:r>
        <w:rPr>
          <w:rFonts w:hint="eastAsia" w:ascii="黑体" w:eastAsia="黑体"/>
          <w:sz w:val="24"/>
        </w:rPr>
        <w:t>7.3</w:t>
      </w:r>
      <w:r>
        <w:rPr>
          <w:rFonts w:hint="eastAsia" w:ascii="黑体" w:eastAsia="黑体"/>
          <w:sz w:val="24"/>
        </w:rPr>
        <w:tab/>
      </w:r>
      <w:r>
        <w:rPr>
          <w:rFonts w:hint="eastAsia" w:ascii="黑体" w:eastAsia="黑体"/>
          <w:sz w:val="24"/>
        </w:rPr>
        <w:t>工程隐蔽部位覆盖前的检查</w:t>
      </w:r>
      <w:bookmarkEnd w:id="300"/>
      <w:bookmarkEnd w:id="301"/>
      <w:bookmarkEnd w:id="302"/>
      <w:bookmarkEnd w:id="303"/>
    </w:p>
    <w:p>
      <w:pPr>
        <w:snapToGrid w:val="0"/>
        <w:spacing w:beforeLines="50"/>
        <w:ind w:left="991" w:leftChars="472"/>
        <w:rPr>
          <w:rFonts w:ascii="宋体" w:hAnsi="宋体"/>
          <w:sz w:val="24"/>
        </w:rPr>
      </w:pPr>
      <w:r>
        <w:rPr>
          <w:rFonts w:hint="eastAsia" w:ascii="宋体" w:hAnsi="宋体"/>
          <w:sz w:val="24"/>
        </w:rPr>
        <w:t>经承包人自检确认的工程隐蔽部位具备覆盖条件后，承包人应通知监理人在约定的期限内检查。监理人应按时到场检查。监理人未到场检查的，除监理人另有指示外，承包人可自行完成覆盖工作。无论监理人是否到场检查，对已覆盖的工程隐蔽部位，监理人</w:t>
      </w:r>
      <w:r>
        <w:rPr>
          <w:rFonts w:ascii="宋体" w:hAnsi="宋体"/>
          <w:sz w:val="24"/>
        </w:rPr>
        <w:t>可</w:t>
      </w:r>
      <w:r>
        <w:rPr>
          <w:rFonts w:hint="eastAsia" w:ascii="宋体" w:hAnsi="宋体"/>
          <w:sz w:val="24"/>
        </w:rPr>
        <w:t>要求承包人对已覆盖的部位进行钻孔探测或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snapToGrid w:val="0"/>
        <w:spacing w:beforeLines="50"/>
        <w:ind w:left="991" w:leftChars="472"/>
        <w:rPr>
          <w:rFonts w:ascii="宋体" w:hAnsi="宋体"/>
          <w:sz w:val="24"/>
        </w:rPr>
      </w:pPr>
      <w:r>
        <w:rPr>
          <w:rFonts w:hint="eastAsia" w:ascii="宋体" w:hAnsi="宋体"/>
          <w:sz w:val="24"/>
        </w:rPr>
        <w:t>承包人未通知监理人到场检查，私自将工程隐蔽部位覆盖的，监理人有权指示承包人钻孔探测或揭开检查，无论工程隐蔽部位质量是否合格，由此增加的费用和（或）工期延误由承包人承担。</w:t>
      </w:r>
    </w:p>
    <w:p>
      <w:pPr>
        <w:snapToGrid w:val="0"/>
        <w:spacing w:beforeLines="50"/>
        <w:ind w:left="991" w:hanging="991" w:hangingChars="413"/>
        <w:jc w:val="left"/>
        <w:rPr>
          <w:rFonts w:ascii="黑体" w:eastAsia="黑体"/>
          <w:sz w:val="24"/>
        </w:rPr>
      </w:pPr>
      <w:bookmarkStart w:id="304" w:name="_Toc247085810"/>
      <w:bookmarkStart w:id="305" w:name="_Toc246997038"/>
      <w:bookmarkStart w:id="306" w:name="_Toc296602539"/>
      <w:bookmarkStart w:id="307" w:name="_Toc246996295"/>
      <w:r>
        <w:rPr>
          <w:rFonts w:hint="eastAsia" w:ascii="黑体" w:eastAsia="黑体"/>
          <w:sz w:val="24"/>
        </w:rPr>
        <w:t>7.4</w:t>
      </w:r>
      <w:r>
        <w:rPr>
          <w:rFonts w:hint="eastAsia" w:ascii="黑体" w:eastAsia="黑体"/>
          <w:sz w:val="24"/>
        </w:rPr>
        <w:tab/>
      </w:r>
      <w:r>
        <w:rPr>
          <w:rFonts w:hint="eastAsia" w:ascii="黑体" w:eastAsia="黑体"/>
          <w:sz w:val="24"/>
        </w:rPr>
        <w:t>清除不合格工程</w:t>
      </w:r>
      <w:bookmarkEnd w:id="304"/>
      <w:bookmarkEnd w:id="305"/>
      <w:bookmarkEnd w:id="306"/>
      <w:bookmarkEnd w:id="307"/>
    </w:p>
    <w:p>
      <w:pPr>
        <w:snapToGrid w:val="0"/>
        <w:spacing w:beforeLines="50"/>
        <w:ind w:left="991" w:leftChars="472"/>
        <w:rPr>
          <w:rFonts w:ascii="宋体" w:hAnsi="宋体"/>
          <w:sz w:val="24"/>
        </w:rPr>
      </w:pPr>
      <w:r>
        <w:rPr>
          <w:rFonts w:ascii="宋体" w:hAnsi="宋体"/>
          <w:sz w:val="24"/>
        </w:rPr>
        <w:t>由于</w:t>
      </w:r>
      <w:r>
        <w:rPr>
          <w:rFonts w:hint="eastAsia" w:ascii="宋体" w:hAnsi="宋体"/>
          <w:sz w:val="24"/>
        </w:rPr>
        <w:t>承包</w:t>
      </w:r>
      <w:r>
        <w:rPr>
          <w:rFonts w:ascii="宋体" w:hAnsi="宋体"/>
          <w:sz w:val="24"/>
        </w:rPr>
        <w:t>人的材料、工程设备，或采用施工工艺不符合合同</w:t>
      </w:r>
      <w:r>
        <w:rPr>
          <w:rFonts w:hint="eastAsia" w:ascii="宋体" w:hAnsi="宋体"/>
          <w:sz w:val="24"/>
        </w:rPr>
        <w:t>要求</w:t>
      </w:r>
      <w:r>
        <w:rPr>
          <w:rFonts w:ascii="宋体" w:hAnsi="宋体"/>
          <w:sz w:val="24"/>
        </w:rPr>
        <w:t>造成的任何缺陷，监理人可以随时发出指示，要求承包人立即采取措施进行补救，直至达到合同要求的质量标准，由此增加的费用和（或）工期延误由</w:t>
      </w:r>
      <w:r>
        <w:rPr>
          <w:rFonts w:hint="eastAsia" w:ascii="宋体" w:hAnsi="宋体"/>
          <w:sz w:val="24"/>
        </w:rPr>
        <w:t>承包</w:t>
      </w:r>
      <w:r>
        <w:rPr>
          <w:rFonts w:ascii="宋体" w:hAnsi="宋体"/>
          <w:sz w:val="24"/>
        </w:rPr>
        <w:t>人承担</w:t>
      </w:r>
      <w:r>
        <w:rPr>
          <w:rFonts w:hint="eastAsia" w:ascii="宋体" w:hAnsi="宋体"/>
          <w:sz w:val="24"/>
        </w:rPr>
        <w:t>。</w:t>
      </w:r>
    </w:p>
    <w:p>
      <w:pPr>
        <w:snapToGrid w:val="0"/>
        <w:spacing w:beforeLines="50"/>
        <w:ind w:left="991" w:hanging="991" w:hangingChars="413"/>
        <w:jc w:val="left"/>
        <w:outlineLvl w:val="2"/>
        <w:rPr>
          <w:rFonts w:ascii="黑体" w:eastAsia="黑体"/>
          <w:sz w:val="24"/>
        </w:rPr>
      </w:pPr>
      <w:bookmarkStart w:id="308" w:name="_Toc246996296"/>
      <w:bookmarkStart w:id="309" w:name="_Toc247085811"/>
      <w:bookmarkStart w:id="310" w:name="_Toc296602540"/>
      <w:bookmarkStart w:id="311" w:name="_Toc246997039"/>
      <w:bookmarkStart w:id="312" w:name="_Toc17189"/>
      <w:bookmarkStart w:id="313" w:name="_Toc6981"/>
      <w:r>
        <w:rPr>
          <w:rFonts w:hint="eastAsia" w:ascii="黑体" w:eastAsia="黑体"/>
          <w:sz w:val="24"/>
        </w:rPr>
        <w:t>8.</w:t>
      </w:r>
      <w:r>
        <w:rPr>
          <w:rFonts w:hint="eastAsia" w:ascii="黑体" w:eastAsia="黑体"/>
          <w:sz w:val="24"/>
        </w:rPr>
        <w:tab/>
      </w:r>
      <w:r>
        <w:rPr>
          <w:rFonts w:hint="eastAsia" w:ascii="黑体" w:eastAsia="黑体"/>
          <w:sz w:val="24"/>
        </w:rPr>
        <w:t>试验和检验</w:t>
      </w:r>
      <w:bookmarkEnd w:id="308"/>
      <w:bookmarkEnd w:id="309"/>
      <w:bookmarkEnd w:id="310"/>
      <w:bookmarkEnd w:id="311"/>
      <w:bookmarkEnd w:id="312"/>
      <w:bookmarkEnd w:id="313"/>
    </w:p>
    <w:p>
      <w:pPr>
        <w:snapToGrid w:val="0"/>
        <w:spacing w:beforeLines="50"/>
        <w:ind w:left="991" w:hanging="991" w:hangingChars="413"/>
        <w:jc w:val="left"/>
        <w:rPr>
          <w:rFonts w:ascii="黑体" w:eastAsia="黑体"/>
          <w:sz w:val="24"/>
        </w:rPr>
      </w:pPr>
      <w:bookmarkStart w:id="314" w:name="_Toc152045703"/>
      <w:bookmarkStart w:id="315" w:name="_Toc179632721"/>
      <w:bookmarkStart w:id="316" w:name="_Toc144974672"/>
      <w:bookmarkStart w:id="317" w:name="_Toc296602541"/>
      <w:bookmarkStart w:id="318" w:name="_Toc152042481"/>
      <w:r>
        <w:rPr>
          <w:rFonts w:hint="eastAsia" w:ascii="黑体" w:eastAsia="黑体"/>
          <w:sz w:val="24"/>
        </w:rPr>
        <w:t>8.1</w:t>
      </w:r>
      <w:r>
        <w:rPr>
          <w:rFonts w:hint="eastAsia" w:ascii="黑体" w:eastAsia="黑体"/>
          <w:sz w:val="24"/>
        </w:rPr>
        <w:tab/>
      </w:r>
      <w:r>
        <w:rPr>
          <w:rFonts w:hint="eastAsia" w:ascii="黑体" w:eastAsia="黑体"/>
          <w:sz w:val="24"/>
        </w:rPr>
        <w:t>材料、工程设备和工程的试验和检验</w:t>
      </w:r>
      <w:bookmarkEnd w:id="314"/>
      <w:bookmarkEnd w:id="315"/>
      <w:bookmarkEnd w:id="316"/>
      <w:bookmarkEnd w:id="317"/>
      <w:bookmarkEnd w:id="318"/>
    </w:p>
    <w:p>
      <w:pPr>
        <w:snapToGrid w:val="0"/>
        <w:spacing w:beforeLines="50"/>
        <w:ind w:left="991" w:hanging="991" w:hangingChars="413"/>
        <w:jc w:val="left"/>
        <w:rPr>
          <w:rFonts w:ascii="宋体" w:hAnsi="宋体"/>
          <w:sz w:val="24"/>
        </w:rPr>
      </w:pPr>
      <w:r>
        <w:rPr>
          <w:rFonts w:hint="eastAsia" w:ascii="宋体" w:hAnsi="宋体"/>
          <w:sz w:val="24"/>
        </w:rPr>
        <w:t>8.1.1</w:t>
      </w:r>
      <w:r>
        <w:rPr>
          <w:rFonts w:hint="eastAsia" w:ascii="宋体" w:hAnsi="宋体"/>
          <w:sz w:val="24"/>
        </w:rPr>
        <w:tab/>
      </w:r>
      <w:r>
        <w:rPr>
          <w:rFonts w:hint="eastAsia" w:ascii="宋体" w:hAnsi="宋体"/>
          <w:sz w:val="24"/>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napToGrid w:val="0"/>
        <w:spacing w:beforeLines="50"/>
        <w:ind w:left="991" w:hanging="991" w:hangingChars="413"/>
        <w:jc w:val="left"/>
        <w:rPr>
          <w:rFonts w:ascii="宋体" w:hAnsi="宋体"/>
          <w:sz w:val="24"/>
        </w:rPr>
      </w:pPr>
      <w:r>
        <w:rPr>
          <w:rFonts w:hint="eastAsia" w:ascii="宋体" w:hAnsi="宋体"/>
          <w:sz w:val="24"/>
        </w:rPr>
        <w:t>8.1.2</w:t>
      </w:r>
      <w:r>
        <w:rPr>
          <w:rFonts w:hint="eastAsia" w:ascii="宋体" w:hAnsi="宋体"/>
          <w:sz w:val="24"/>
        </w:rPr>
        <w:tab/>
      </w:r>
      <w:r>
        <w:rPr>
          <w:rFonts w:hint="eastAsia" w:ascii="宋体" w:hAnsi="宋体"/>
          <w:sz w:val="24"/>
        </w:rPr>
        <w:t>监理人未按合同约定派员参加试验和检验的，除监理人另有指示外，承包人可自行试验和检验，并应立即将试验和检验结果报送监理人，监理人应签字确认。</w:t>
      </w:r>
    </w:p>
    <w:p>
      <w:pPr>
        <w:snapToGrid w:val="0"/>
        <w:spacing w:beforeLines="50"/>
        <w:ind w:left="991" w:hanging="991" w:hangingChars="413"/>
        <w:jc w:val="left"/>
        <w:rPr>
          <w:rFonts w:ascii="宋体" w:hAnsi="宋体"/>
          <w:sz w:val="24"/>
        </w:rPr>
      </w:pPr>
      <w:r>
        <w:rPr>
          <w:rFonts w:hint="eastAsia" w:ascii="宋体" w:hAnsi="宋体"/>
          <w:sz w:val="24"/>
        </w:rPr>
        <w:t>8.1.3</w:t>
      </w:r>
      <w:r>
        <w:rPr>
          <w:rFonts w:hint="eastAsia" w:ascii="宋体" w:hAnsi="宋体"/>
          <w:sz w:val="24"/>
        </w:rPr>
        <w:tab/>
      </w:r>
      <w:r>
        <w:rPr>
          <w:rFonts w:hint="eastAsia" w:ascii="宋体" w:hAnsi="宋体"/>
          <w:sz w:val="24"/>
        </w:rPr>
        <w:t>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snapToGrid w:val="0"/>
        <w:spacing w:beforeLines="50"/>
        <w:ind w:left="991" w:hanging="991" w:hangingChars="413"/>
        <w:jc w:val="left"/>
        <w:rPr>
          <w:rFonts w:ascii="黑体" w:eastAsia="黑体"/>
          <w:sz w:val="24"/>
        </w:rPr>
      </w:pPr>
      <w:bookmarkStart w:id="319" w:name="_Toc144974673"/>
      <w:bookmarkStart w:id="320" w:name="_Toc152045704"/>
      <w:bookmarkStart w:id="321" w:name="_Toc152042482"/>
      <w:bookmarkStart w:id="322" w:name="_Toc179632722"/>
      <w:bookmarkStart w:id="323" w:name="_Toc296602542"/>
      <w:r>
        <w:rPr>
          <w:rFonts w:hint="eastAsia" w:ascii="黑体" w:eastAsia="黑体"/>
          <w:sz w:val="24"/>
        </w:rPr>
        <w:t>8.2</w:t>
      </w:r>
      <w:r>
        <w:rPr>
          <w:rFonts w:hint="eastAsia" w:ascii="黑体" w:eastAsia="黑体"/>
          <w:sz w:val="24"/>
        </w:rPr>
        <w:tab/>
      </w:r>
      <w:r>
        <w:rPr>
          <w:rFonts w:hint="eastAsia" w:ascii="黑体" w:eastAsia="黑体"/>
          <w:sz w:val="24"/>
        </w:rPr>
        <w:t>现场材料试验</w:t>
      </w:r>
      <w:bookmarkEnd w:id="319"/>
      <w:bookmarkEnd w:id="320"/>
      <w:bookmarkEnd w:id="321"/>
      <w:bookmarkEnd w:id="322"/>
      <w:bookmarkEnd w:id="323"/>
    </w:p>
    <w:p>
      <w:pPr>
        <w:snapToGrid w:val="0"/>
        <w:spacing w:beforeLines="50"/>
        <w:ind w:left="991" w:hanging="991" w:hangingChars="413"/>
        <w:jc w:val="left"/>
        <w:rPr>
          <w:rFonts w:ascii="宋体" w:hAnsi="宋体"/>
          <w:sz w:val="24"/>
        </w:rPr>
      </w:pPr>
      <w:r>
        <w:rPr>
          <w:rFonts w:hint="eastAsia" w:ascii="宋体" w:hAnsi="宋体"/>
          <w:sz w:val="24"/>
        </w:rPr>
        <w:t>8.2.1</w:t>
      </w:r>
      <w:r>
        <w:rPr>
          <w:rFonts w:hint="eastAsia" w:ascii="宋体" w:hAnsi="宋体"/>
          <w:sz w:val="24"/>
        </w:rPr>
        <w:tab/>
      </w:r>
      <w:r>
        <w:rPr>
          <w:rFonts w:hint="eastAsia" w:ascii="宋体" w:hAnsi="宋体"/>
          <w:sz w:val="24"/>
        </w:rPr>
        <w:t>承包人根据合同约定或监理人指示进行的现场材料试验，应由承包人提供试验场所、试验人员、试验设备器材以及其他必要的试验条件。</w:t>
      </w:r>
    </w:p>
    <w:p>
      <w:pPr>
        <w:snapToGrid w:val="0"/>
        <w:spacing w:beforeLines="50"/>
        <w:ind w:left="991" w:hanging="991" w:hangingChars="413"/>
        <w:jc w:val="left"/>
        <w:rPr>
          <w:rFonts w:ascii="宋体" w:hAnsi="宋体"/>
          <w:sz w:val="24"/>
        </w:rPr>
      </w:pPr>
      <w:r>
        <w:rPr>
          <w:rFonts w:hint="eastAsia" w:ascii="宋体" w:hAnsi="宋体"/>
          <w:sz w:val="24"/>
        </w:rPr>
        <w:t>8.2.2</w:t>
      </w:r>
      <w:r>
        <w:rPr>
          <w:rFonts w:hint="eastAsia" w:ascii="宋体" w:hAnsi="宋体"/>
          <w:sz w:val="24"/>
        </w:rPr>
        <w:tab/>
      </w:r>
      <w:r>
        <w:rPr>
          <w:rFonts w:hint="eastAsia" w:ascii="宋体" w:hAnsi="宋体"/>
          <w:sz w:val="24"/>
        </w:rPr>
        <w:t>监理人在必要时可以使用承包人的试验场所、试验设备器材以及其他试验条件，进行以工程质量检查为目的的复核性材料试验，承包人应予以协助。</w:t>
      </w:r>
    </w:p>
    <w:p>
      <w:pPr>
        <w:snapToGrid w:val="0"/>
        <w:spacing w:beforeLines="50"/>
        <w:ind w:left="991" w:hanging="991" w:hangingChars="413"/>
        <w:jc w:val="left"/>
        <w:outlineLvl w:val="2"/>
        <w:rPr>
          <w:rFonts w:ascii="黑体" w:eastAsia="黑体"/>
          <w:sz w:val="24"/>
        </w:rPr>
      </w:pPr>
      <w:bookmarkStart w:id="324" w:name="_Toc296602543"/>
      <w:bookmarkStart w:id="325" w:name="_Toc247085812"/>
      <w:bookmarkStart w:id="326" w:name="_Toc246996297"/>
      <w:bookmarkStart w:id="327" w:name="_Toc246997040"/>
      <w:bookmarkStart w:id="328" w:name="_Toc184635112"/>
      <w:bookmarkStart w:id="329" w:name="_Toc2046"/>
      <w:bookmarkStart w:id="330" w:name="_Toc8146"/>
      <w:r>
        <w:rPr>
          <w:rFonts w:hint="eastAsia" w:ascii="黑体" w:eastAsia="黑体"/>
          <w:sz w:val="24"/>
        </w:rPr>
        <w:t>9.</w:t>
      </w:r>
      <w:r>
        <w:rPr>
          <w:rFonts w:hint="eastAsia" w:ascii="黑体" w:eastAsia="黑体"/>
          <w:sz w:val="24"/>
        </w:rPr>
        <w:tab/>
      </w:r>
      <w:r>
        <w:rPr>
          <w:rFonts w:hint="eastAsia" w:ascii="黑体" w:eastAsia="黑体"/>
          <w:sz w:val="24"/>
        </w:rPr>
        <w:t>变更</w:t>
      </w:r>
      <w:bookmarkEnd w:id="324"/>
      <w:bookmarkEnd w:id="325"/>
      <w:bookmarkEnd w:id="326"/>
      <w:bookmarkEnd w:id="327"/>
      <w:bookmarkEnd w:id="328"/>
      <w:bookmarkEnd w:id="329"/>
      <w:bookmarkEnd w:id="330"/>
    </w:p>
    <w:p>
      <w:pPr>
        <w:snapToGrid w:val="0"/>
        <w:spacing w:beforeLines="50"/>
        <w:ind w:left="991" w:hanging="991" w:hangingChars="413"/>
        <w:jc w:val="left"/>
        <w:rPr>
          <w:rFonts w:ascii="黑体" w:eastAsia="黑体"/>
          <w:sz w:val="24"/>
        </w:rPr>
      </w:pPr>
      <w:bookmarkStart w:id="331" w:name="_Toc247085813"/>
      <w:bookmarkStart w:id="332" w:name="_Toc296602544"/>
      <w:bookmarkStart w:id="333" w:name="_Toc246996298"/>
      <w:bookmarkStart w:id="334" w:name="_Toc246997041"/>
      <w:r>
        <w:rPr>
          <w:rFonts w:hint="eastAsia" w:ascii="黑体" w:eastAsia="黑体"/>
          <w:sz w:val="24"/>
        </w:rPr>
        <w:t>9.1</w:t>
      </w:r>
      <w:r>
        <w:rPr>
          <w:rFonts w:hint="eastAsia" w:ascii="黑体" w:eastAsia="黑体"/>
          <w:sz w:val="24"/>
        </w:rPr>
        <w:tab/>
      </w:r>
      <w:r>
        <w:rPr>
          <w:rFonts w:hint="eastAsia" w:ascii="黑体" w:eastAsia="黑体"/>
          <w:sz w:val="24"/>
        </w:rPr>
        <w:t>变更权</w:t>
      </w:r>
      <w:bookmarkEnd w:id="331"/>
      <w:bookmarkEnd w:id="332"/>
      <w:bookmarkEnd w:id="333"/>
      <w:bookmarkEnd w:id="334"/>
    </w:p>
    <w:p>
      <w:pPr>
        <w:snapToGrid w:val="0"/>
        <w:spacing w:beforeLines="50"/>
        <w:ind w:left="991" w:leftChars="472"/>
        <w:rPr>
          <w:rFonts w:ascii="宋体" w:hAnsi="宋体"/>
          <w:sz w:val="24"/>
        </w:rPr>
      </w:pPr>
      <w:r>
        <w:rPr>
          <w:rFonts w:hint="eastAsia" w:ascii="宋体" w:hAnsi="宋体"/>
          <w:sz w:val="24"/>
        </w:rPr>
        <w:t>在履行合同过程中，经发包人同意，监理人可按第9.2款约定的变更程序向承包人作出变更指示，承包人应遵照执行。</w:t>
      </w:r>
    </w:p>
    <w:p>
      <w:pPr>
        <w:snapToGrid w:val="0"/>
        <w:spacing w:beforeLines="50"/>
        <w:ind w:left="991" w:hanging="991" w:hangingChars="413"/>
        <w:jc w:val="left"/>
        <w:rPr>
          <w:rFonts w:ascii="黑体" w:eastAsia="黑体"/>
          <w:sz w:val="24"/>
        </w:rPr>
      </w:pPr>
      <w:bookmarkStart w:id="335" w:name="_Toc246997042"/>
      <w:bookmarkStart w:id="336" w:name="_Toc246996299"/>
      <w:bookmarkStart w:id="337" w:name="_Toc296602545"/>
      <w:bookmarkStart w:id="338" w:name="_Toc247085814"/>
      <w:r>
        <w:rPr>
          <w:rFonts w:hint="eastAsia" w:ascii="黑体" w:eastAsia="黑体"/>
          <w:sz w:val="24"/>
        </w:rPr>
        <w:t>9.2</w:t>
      </w:r>
      <w:r>
        <w:rPr>
          <w:rFonts w:hint="eastAsia" w:ascii="黑体" w:eastAsia="黑体"/>
          <w:sz w:val="24"/>
        </w:rPr>
        <w:tab/>
      </w:r>
      <w:r>
        <w:rPr>
          <w:rFonts w:hint="eastAsia" w:ascii="黑体" w:eastAsia="黑体"/>
          <w:sz w:val="24"/>
        </w:rPr>
        <w:t>变更程序</w:t>
      </w:r>
      <w:bookmarkEnd w:id="335"/>
      <w:bookmarkEnd w:id="336"/>
      <w:bookmarkEnd w:id="337"/>
      <w:bookmarkEnd w:id="338"/>
    </w:p>
    <w:p>
      <w:pPr>
        <w:snapToGrid w:val="0"/>
        <w:spacing w:beforeLines="50"/>
        <w:ind w:left="991" w:leftChars="472"/>
        <w:rPr>
          <w:rFonts w:ascii="宋体" w:hAnsi="宋体"/>
          <w:sz w:val="24"/>
        </w:rPr>
      </w:pPr>
      <w:r>
        <w:rPr>
          <w:rFonts w:hint="eastAsia" w:ascii="宋体" w:hAnsi="宋体"/>
          <w:sz w:val="24"/>
        </w:rPr>
        <w:t>承包</w:t>
      </w:r>
      <w:r>
        <w:rPr>
          <w:rFonts w:ascii="宋体" w:hAnsi="宋体"/>
          <w:sz w:val="24"/>
        </w:rPr>
        <w:t>人应在</w:t>
      </w:r>
      <w:r>
        <w:rPr>
          <w:rFonts w:hint="eastAsia" w:ascii="宋体" w:hAnsi="宋体"/>
          <w:sz w:val="24"/>
        </w:rPr>
        <w:t>收到变更指示14</w:t>
      </w:r>
      <w:r>
        <w:rPr>
          <w:rFonts w:ascii="宋体" w:hAnsi="宋体"/>
          <w:sz w:val="24"/>
        </w:rPr>
        <w:t>天内，向监理人提交</w:t>
      </w:r>
      <w:r>
        <w:rPr>
          <w:rFonts w:hint="eastAsia" w:ascii="宋体" w:hAnsi="宋体"/>
          <w:sz w:val="24"/>
        </w:rPr>
        <w:t>变更报价书</w:t>
      </w:r>
      <w:r>
        <w:rPr>
          <w:rFonts w:ascii="宋体" w:hAnsi="宋体"/>
          <w:sz w:val="24"/>
        </w:rPr>
        <w:t>。监理人应审查，并</w:t>
      </w:r>
      <w:r>
        <w:rPr>
          <w:rFonts w:hint="eastAsia" w:ascii="宋体" w:hAnsi="宋体"/>
          <w:sz w:val="24"/>
        </w:rPr>
        <w:t>在收到承包人变更报价书后14天内，</w:t>
      </w:r>
      <w:r>
        <w:rPr>
          <w:rFonts w:ascii="宋体" w:hAnsi="宋体"/>
          <w:sz w:val="24"/>
        </w:rPr>
        <w:t>与发包人和</w:t>
      </w:r>
      <w:r>
        <w:rPr>
          <w:rFonts w:hint="eastAsia" w:ascii="宋体" w:hAnsi="宋体"/>
          <w:sz w:val="24"/>
        </w:rPr>
        <w:t>承包</w:t>
      </w:r>
      <w:r>
        <w:rPr>
          <w:rFonts w:ascii="宋体" w:hAnsi="宋体"/>
          <w:sz w:val="24"/>
        </w:rPr>
        <w:t>人共同商定此估价。在未达成协议的情况下，监理人应确定该估价</w:t>
      </w:r>
      <w:r>
        <w:rPr>
          <w:rFonts w:hint="eastAsia" w:ascii="宋体" w:hAnsi="宋体"/>
          <w:sz w:val="24"/>
        </w:rPr>
        <w:t>。</w:t>
      </w:r>
    </w:p>
    <w:p>
      <w:pPr>
        <w:snapToGrid w:val="0"/>
        <w:spacing w:beforeLines="50"/>
        <w:ind w:left="991" w:hanging="991" w:hangingChars="413"/>
        <w:jc w:val="left"/>
        <w:rPr>
          <w:rFonts w:ascii="黑体" w:eastAsia="黑体"/>
          <w:sz w:val="24"/>
        </w:rPr>
      </w:pPr>
      <w:bookmarkStart w:id="339" w:name="_Toc247085815"/>
      <w:bookmarkStart w:id="340" w:name="_Toc296602546"/>
      <w:bookmarkStart w:id="341" w:name="_Toc246996300"/>
      <w:bookmarkStart w:id="342" w:name="_Toc246997043"/>
      <w:r>
        <w:rPr>
          <w:rFonts w:hint="eastAsia" w:ascii="黑体" w:eastAsia="黑体"/>
          <w:sz w:val="24"/>
        </w:rPr>
        <w:t>9.3</w:t>
      </w:r>
      <w:r>
        <w:rPr>
          <w:rFonts w:hint="eastAsia" w:ascii="黑体" w:eastAsia="黑体"/>
          <w:sz w:val="24"/>
        </w:rPr>
        <w:tab/>
      </w:r>
      <w:r>
        <w:rPr>
          <w:rFonts w:hint="eastAsia" w:ascii="黑体" w:eastAsia="黑体"/>
          <w:sz w:val="24"/>
        </w:rPr>
        <w:t>变更的估价原则</w:t>
      </w:r>
      <w:bookmarkEnd w:id="339"/>
      <w:bookmarkEnd w:id="340"/>
      <w:bookmarkEnd w:id="341"/>
      <w:bookmarkEnd w:id="342"/>
    </w:p>
    <w:p>
      <w:pPr>
        <w:snapToGrid w:val="0"/>
        <w:spacing w:beforeLines="50"/>
        <w:ind w:left="991" w:leftChars="472"/>
        <w:rPr>
          <w:rFonts w:ascii="宋体" w:hAnsi="宋体"/>
          <w:sz w:val="24"/>
        </w:rPr>
      </w:pPr>
      <w:r>
        <w:rPr>
          <w:rFonts w:hint="eastAsia" w:ascii="宋体" w:hAnsi="宋体"/>
          <w:sz w:val="24"/>
        </w:rPr>
        <w:t>除专用合同条款另有约定外，因</w:t>
      </w:r>
      <w:r>
        <w:rPr>
          <w:rFonts w:ascii="宋体" w:hAnsi="宋体"/>
          <w:sz w:val="24"/>
        </w:rPr>
        <w:t>变更</w:t>
      </w:r>
      <w:r>
        <w:rPr>
          <w:rFonts w:hint="eastAsia" w:ascii="宋体" w:hAnsi="宋体"/>
          <w:sz w:val="24"/>
        </w:rPr>
        <w:t>引起的价格调整按照本款约定处理</w:t>
      </w:r>
      <w:r>
        <w:rPr>
          <w:rFonts w:ascii="宋体" w:hAnsi="宋体"/>
          <w:sz w:val="24"/>
        </w:rPr>
        <w:t>：</w:t>
      </w:r>
    </w:p>
    <w:p>
      <w:pPr>
        <w:snapToGrid w:val="0"/>
        <w:spacing w:beforeLines="50"/>
        <w:ind w:left="1591" w:leftChars="472" w:hanging="600" w:hangingChars="250"/>
        <w:rPr>
          <w:rFonts w:ascii="宋体" w:hAnsi="宋体"/>
          <w:sz w:val="24"/>
        </w:rPr>
      </w:pPr>
      <w:r>
        <w:rPr>
          <w:rFonts w:hint="eastAsia" w:ascii="宋体" w:hAnsi="宋体"/>
          <w:sz w:val="24"/>
        </w:rPr>
        <w:t>（1）已标价工程量清单中有适用于变更工作的子目的，采用该子目的单价；</w:t>
      </w:r>
    </w:p>
    <w:p>
      <w:pPr>
        <w:snapToGrid w:val="0"/>
        <w:spacing w:beforeLines="50"/>
        <w:ind w:left="1591" w:leftChars="472" w:hanging="600" w:hangingChars="250"/>
        <w:rPr>
          <w:rFonts w:ascii="宋体" w:hAnsi="宋体"/>
          <w:sz w:val="24"/>
        </w:rPr>
      </w:pPr>
      <w:r>
        <w:rPr>
          <w:rFonts w:hint="eastAsia" w:ascii="宋体" w:hAnsi="宋体"/>
          <w:sz w:val="24"/>
        </w:rPr>
        <w:t>（2）已标价工程量清单中无适用于变更工作的子目，但有类似子目的，可在合理范围内参照类似项目，由监理人按第3.5款商定或确定变更工作的单价；</w:t>
      </w:r>
    </w:p>
    <w:p>
      <w:pPr>
        <w:snapToGrid w:val="0"/>
        <w:spacing w:beforeLines="50"/>
        <w:ind w:left="1591" w:leftChars="472" w:hanging="600" w:hangingChars="250"/>
        <w:rPr>
          <w:rFonts w:ascii="宋体" w:hAnsi="宋体"/>
          <w:sz w:val="24"/>
        </w:rPr>
      </w:pPr>
      <w:r>
        <w:rPr>
          <w:rFonts w:hint="eastAsia" w:ascii="宋体" w:hAnsi="宋体"/>
          <w:sz w:val="24"/>
        </w:rPr>
        <w:t>（3）已标价工程量清单中无适用或类似子目的单价，可按照成本加利润的原则，由监理人按第3.5款商定或确定变更工作的单价。</w:t>
      </w:r>
    </w:p>
    <w:p>
      <w:pPr>
        <w:snapToGrid w:val="0"/>
        <w:spacing w:beforeLines="50"/>
        <w:ind w:left="991" w:hanging="991" w:hangingChars="413"/>
        <w:jc w:val="left"/>
        <w:rPr>
          <w:rFonts w:ascii="黑体" w:eastAsia="黑体"/>
          <w:sz w:val="24"/>
        </w:rPr>
      </w:pPr>
      <w:bookmarkStart w:id="343" w:name="_Toc247085816"/>
      <w:bookmarkStart w:id="344" w:name="_Toc296602547"/>
      <w:bookmarkStart w:id="345" w:name="_Toc246996301"/>
      <w:bookmarkStart w:id="346" w:name="_Toc246997044"/>
      <w:r>
        <w:rPr>
          <w:rFonts w:hint="eastAsia" w:ascii="黑体" w:eastAsia="黑体"/>
          <w:sz w:val="24"/>
        </w:rPr>
        <w:t>9.4</w:t>
      </w:r>
      <w:r>
        <w:rPr>
          <w:rFonts w:hint="eastAsia" w:ascii="黑体" w:eastAsia="黑体"/>
          <w:sz w:val="24"/>
        </w:rPr>
        <w:tab/>
      </w:r>
      <w:r>
        <w:rPr>
          <w:rFonts w:hint="eastAsia" w:ascii="黑体" w:eastAsia="黑体"/>
          <w:sz w:val="24"/>
        </w:rPr>
        <w:t>暂列金额</w:t>
      </w:r>
      <w:bookmarkEnd w:id="343"/>
      <w:bookmarkEnd w:id="344"/>
      <w:bookmarkEnd w:id="345"/>
      <w:bookmarkEnd w:id="346"/>
    </w:p>
    <w:p>
      <w:pPr>
        <w:snapToGrid w:val="0"/>
        <w:spacing w:beforeLines="50"/>
        <w:ind w:left="991" w:leftChars="472"/>
        <w:rPr>
          <w:rFonts w:ascii="宋体" w:hAnsi="宋体"/>
          <w:sz w:val="24"/>
        </w:rPr>
      </w:pPr>
      <w:r>
        <w:rPr>
          <w:rFonts w:hint="eastAsia" w:ascii="宋体" w:hAnsi="宋体"/>
          <w:sz w:val="24"/>
        </w:rPr>
        <w:t>暂列金额只能按照监理人的指示使用，并对合同价格进行相应调整。</w:t>
      </w:r>
    </w:p>
    <w:p>
      <w:pPr>
        <w:snapToGrid w:val="0"/>
        <w:spacing w:beforeLines="50"/>
        <w:ind w:left="991" w:hanging="991" w:hangingChars="413"/>
        <w:jc w:val="left"/>
        <w:rPr>
          <w:rFonts w:ascii="黑体" w:eastAsia="黑体"/>
          <w:sz w:val="24"/>
        </w:rPr>
      </w:pPr>
      <w:bookmarkStart w:id="347" w:name="_Toc246996302"/>
      <w:bookmarkStart w:id="348" w:name="_Toc246997045"/>
      <w:bookmarkStart w:id="349" w:name="_Toc247085817"/>
      <w:bookmarkStart w:id="350" w:name="_Toc296602548"/>
      <w:r>
        <w:rPr>
          <w:rFonts w:hint="eastAsia" w:ascii="黑体" w:eastAsia="黑体"/>
          <w:sz w:val="24"/>
        </w:rPr>
        <w:t>9.5</w:t>
      </w:r>
      <w:r>
        <w:rPr>
          <w:rFonts w:hint="eastAsia" w:ascii="黑体" w:eastAsia="黑体"/>
          <w:sz w:val="24"/>
        </w:rPr>
        <w:tab/>
      </w:r>
      <w:r>
        <w:rPr>
          <w:rFonts w:hint="eastAsia" w:ascii="黑体" w:eastAsia="黑体"/>
          <w:sz w:val="24"/>
        </w:rPr>
        <w:t>计日工</w:t>
      </w:r>
      <w:bookmarkEnd w:id="347"/>
      <w:bookmarkEnd w:id="348"/>
      <w:bookmarkEnd w:id="349"/>
      <w:bookmarkEnd w:id="350"/>
    </w:p>
    <w:p>
      <w:pPr>
        <w:snapToGrid w:val="0"/>
        <w:spacing w:beforeLines="50"/>
        <w:ind w:left="991" w:hanging="991" w:hangingChars="413"/>
        <w:jc w:val="left"/>
        <w:rPr>
          <w:rFonts w:ascii="宋体" w:hAnsi="宋体"/>
          <w:sz w:val="24"/>
        </w:rPr>
      </w:pPr>
      <w:r>
        <w:rPr>
          <w:rFonts w:hint="eastAsia" w:ascii="宋体" w:hAnsi="宋体"/>
          <w:sz w:val="24"/>
        </w:rPr>
        <w:t>9.5.1</w:t>
      </w:r>
      <w:r>
        <w:rPr>
          <w:rFonts w:hint="eastAsia" w:ascii="宋体" w:hAnsi="宋体"/>
          <w:sz w:val="24"/>
        </w:rPr>
        <w:tab/>
      </w:r>
      <w:r>
        <w:rPr>
          <w:rFonts w:hint="eastAsia" w:ascii="宋体" w:hAnsi="宋体"/>
          <w:sz w:val="24"/>
        </w:rPr>
        <w:t>发包人认为有必要时，由监理人通知承包人以计日工方式实施变更的零星工作。其价款按列入已标价工程量清单中的计日工计价子目及其单价进行计算。</w:t>
      </w:r>
    </w:p>
    <w:p>
      <w:pPr>
        <w:snapToGrid w:val="0"/>
        <w:spacing w:beforeLines="50"/>
        <w:ind w:left="991" w:hanging="991" w:hangingChars="413"/>
        <w:jc w:val="left"/>
        <w:rPr>
          <w:rFonts w:ascii="宋体" w:hAnsi="宋体"/>
          <w:sz w:val="24"/>
        </w:rPr>
      </w:pPr>
      <w:r>
        <w:rPr>
          <w:rFonts w:hint="eastAsia" w:ascii="宋体" w:hAnsi="宋体"/>
          <w:sz w:val="24"/>
        </w:rPr>
        <w:t>9.5.2</w:t>
      </w:r>
      <w:r>
        <w:rPr>
          <w:rFonts w:hint="eastAsia" w:ascii="宋体" w:hAnsi="宋体"/>
          <w:sz w:val="24"/>
        </w:rPr>
        <w:tab/>
      </w:r>
      <w:r>
        <w:rPr>
          <w:rFonts w:hint="eastAsia" w:ascii="宋体" w:hAnsi="宋体"/>
          <w:sz w:val="24"/>
        </w:rPr>
        <w:t>采用计日工计价的任何一项变更工作，应从暂列金额中支付，承包人应在该项变更的实施过程中，每天提交以下报表和有关凭证报送监理人审批：</w:t>
      </w:r>
    </w:p>
    <w:p>
      <w:pPr>
        <w:snapToGrid w:val="0"/>
        <w:spacing w:beforeLines="50"/>
        <w:ind w:left="991" w:leftChars="472"/>
        <w:rPr>
          <w:rFonts w:ascii="宋体" w:hAnsi="宋体"/>
          <w:sz w:val="24"/>
        </w:rPr>
      </w:pPr>
      <w:r>
        <w:rPr>
          <w:rFonts w:hint="eastAsia" w:ascii="宋体" w:hAnsi="宋体"/>
          <w:sz w:val="24"/>
        </w:rPr>
        <w:t>（l）工作名称、内容和数量；</w:t>
      </w:r>
    </w:p>
    <w:p>
      <w:pPr>
        <w:snapToGrid w:val="0"/>
        <w:spacing w:beforeLines="50"/>
        <w:ind w:left="991" w:leftChars="472"/>
        <w:rPr>
          <w:rFonts w:ascii="宋体" w:hAnsi="宋体"/>
          <w:sz w:val="24"/>
        </w:rPr>
      </w:pPr>
      <w:r>
        <w:rPr>
          <w:rFonts w:hint="eastAsia" w:ascii="宋体" w:hAnsi="宋体"/>
          <w:sz w:val="24"/>
        </w:rPr>
        <w:t>（2）投入该工作所有人员的姓名、工种、级别和耗用工时；</w:t>
      </w:r>
    </w:p>
    <w:p>
      <w:pPr>
        <w:snapToGrid w:val="0"/>
        <w:spacing w:beforeLines="50"/>
        <w:ind w:left="991" w:leftChars="472"/>
        <w:rPr>
          <w:rFonts w:ascii="宋体" w:hAnsi="宋体"/>
          <w:sz w:val="24"/>
        </w:rPr>
      </w:pPr>
      <w:r>
        <w:rPr>
          <w:rFonts w:hint="eastAsia" w:ascii="宋体" w:hAnsi="宋体"/>
          <w:sz w:val="24"/>
        </w:rPr>
        <w:t>（3）投入该工作的材料类别和数量；</w:t>
      </w:r>
    </w:p>
    <w:p>
      <w:pPr>
        <w:snapToGrid w:val="0"/>
        <w:spacing w:beforeLines="50"/>
        <w:ind w:left="991" w:leftChars="472"/>
        <w:rPr>
          <w:rFonts w:ascii="宋体" w:hAnsi="宋体"/>
          <w:sz w:val="24"/>
        </w:rPr>
      </w:pPr>
      <w:r>
        <w:rPr>
          <w:rFonts w:hint="eastAsia" w:ascii="宋体" w:hAnsi="宋体"/>
          <w:sz w:val="24"/>
        </w:rPr>
        <w:t>（4）投入该工作的施工设备型号、台数和耗用台时；</w:t>
      </w:r>
    </w:p>
    <w:p>
      <w:pPr>
        <w:snapToGrid w:val="0"/>
        <w:spacing w:beforeLines="50"/>
        <w:ind w:left="991" w:leftChars="472"/>
        <w:rPr>
          <w:rFonts w:ascii="宋体" w:hAnsi="宋体"/>
          <w:sz w:val="24"/>
        </w:rPr>
      </w:pPr>
      <w:r>
        <w:rPr>
          <w:rFonts w:hint="eastAsia" w:ascii="宋体" w:hAnsi="宋体"/>
          <w:sz w:val="24"/>
        </w:rPr>
        <w:t>（5）监理人要求提交的其他资料和凭证。</w:t>
      </w:r>
    </w:p>
    <w:p>
      <w:pPr>
        <w:snapToGrid w:val="0"/>
        <w:spacing w:beforeLines="50"/>
        <w:ind w:left="991" w:hanging="991" w:hangingChars="413"/>
        <w:jc w:val="left"/>
        <w:rPr>
          <w:rFonts w:ascii="宋体" w:hAnsi="宋体"/>
          <w:sz w:val="24"/>
        </w:rPr>
      </w:pPr>
      <w:r>
        <w:rPr>
          <w:rFonts w:hint="eastAsia" w:ascii="宋体" w:hAnsi="宋体"/>
          <w:sz w:val="24"/>
        </w:rPr>
        <w:t>9.5.3</w:t>
      </w:r>
      <w:r>
        <w:rPr>
          <w:rFonts w:hint="eastAsia" w:ascii="宋体" w:hAnsi="宋体"/>
          <w:sz w:val="24"/>
        </w:rPr>
        <w:tab/>
      </w:r>
      <w:r>
        <w:rPr>
          <w:rFonts w:hint="eastAsia" w:ascii="宋体" w:hAnsi="宋体"/>
          <w:sz w:val="24"/>
        </w:rPr>
        <w:t>计日工由承包人汇总后，按第10.3款的约定列入进度付款申请单，由监理人复核并经发包人同意后列入进度付款。</w:t>
      </w:r>
    </w:p>
    <w:p>
      <w:pPr>
        <w:snapToGrid w:val="0"/>
        <w:spacing w:beforeLines="50"/>
        <w:ind w:left="991" w:hanging="991" w:hangingChars="413"/>
        <w:jc w:val="left"/>
        <w:outlineLvl w:val="2"/>
        <w:rPr>
          <w:rFonts w:ascii="黑体" w:eastAsia="黑体"/>
          <w:sz w:val="24"/>
        </w:rPr>
      </w:pPr>
      <w:bookmarkStart w:id="351" w:name="_Toc246997047"/>
      <w:bookmarkStart w:id="352" w:name="_Toc184635114"/>
      <w:bookmarkStart w:id="353" w:name="_Toc296602549"/>
      <w:bookmarkStart w:id="354" w:name="_Toc23045"/>
      <w:bookmarkStart w:id="355" w:name="_Toc16529"/>
      <w:bookmarkStart w:id="356" w:name="_Toc247085819"/>
      <w:bookmarkStart w:id="357" w:name="_Toc246996304"/>
      <w:r>
        <w:rPr>
          <w:rFonts w:hint="eastAsia" w:ascii="黑体" w:eastAsia="黑体"/>
          <w:sz w:val="24"/>
        </w:rPr>
        <w:t>10.</w:t>
      </w:r>
      <w:r>
        <w:rPr>
          <w:rFonts w:hint="eastAsia" w:ascii="黑体" w:eastAsia="黑体"/>
          <w:sz w:val="24"/>
        </w:rPr>
        <w:tab/>
      </w:r>
      <w:r>
        <w:rPr>
          <w:rFonts w:hint="eastAsia" w:ascii="黑体" w:eastAsia="黑体"/>
          <w:sz w:val="24"/>
        </w:rPr>
        <w:t>计量与支付</w:t>
      </w:r>
      <w:bookmarkEnd w:id="351"/>
      <w:bookmarkEnd w:id="352"/>
      <w:bookmarkEnd w:id="353"/>
      <w:bookmarkEnd w:id="354"/>
      <w:bookmarkEnd w:id="355"/>
      <w:bookmarkEnd w:id="356"/>
      <w:bookmarkEnd w:id="357"/>
    </w:p>
    <w:p>
      <w:pPr>
        <w:snapToGrid w:val="0"/>
        <w:spacing w:beforeLines="50"/>
        <w:ind w:left="991" w:hanging="991" w:hangingChars="413"/>
        <w:jc w:val="left"/>
        <w:rPr>
          <w:rFonts w:ascii="黑体" w:eastAsia="黑体"/>
          <w:sz w:val="24"/>
        </w:rPr>
      </w:pPr>
      <w:bookmarkStart w:id="358" w:name="_Toc296602550"/>
      <w:bookmarkStart w:id="359" w:name="_Toc246997048"/>
      <w:bookmarkStart w:id="360" w:name="_Toc247085820"/>
      <w:bookmarkStart w:id="361" w:name="_Toc246996305"/>
      <w:r>
        <w:rPr>
          <w:rFonts w:hint="eastAsia" w:ascii="黑体" w:eastAsia="黑体"/>
          <w:sz w:val="24"/>
        </w:rPr>
        <w:t>10.1</w:t>
      </w:r>
      <w:r>
        <w:rPr>
          <w:rFonts w:hint="eastAsia" w:ascii="黑体" w:eastAsia="黑体"/>
          <w:sz w:val="24"/>
        </w:rPr>
        <w:tab/>
      </w:r>
      <w:r>
        <w:rPr>
          <w:rFonts w:hint="eastAsia" w:ascii="黑体" w:eastAsia="黑体"/>
          <w:sz w:val="24"/>
        </w:rPr>
        <w:t>计量</w:t>
      </w:r>
      <w:bookmarkEnd w:id="358"/>
      <w:bookmarkEnd w:id="359"/>
      <w:bookmarkEnd w:id="360"/>
      <w:bookmarkEnd w:id="361"/>
    </w:p>
    <w:p>
      <w:pPr>
        <w:snapToGrid w:val="0"/>
        <w:spacing w:beforeLines="50"/>
        <w:ind w:left="991" w:leftChars="472"/>
        <w:rPr>
          <w:rFonts w:ascii="宋体" w:hAnsi="宋体"/>
          <w:sz w:val="24"/>
        </w:rPr>
      </w:pPr>
      <w:r>
        <w:rPr>
          <w:rFonts w:hint="eastAsia" w:ascii="宋体" w:hAnsi="宋体"/>
          <w:sz w:val="24"/>
        </w:rPr>
        <w:t>除专用合同条款另有约定外，承包人应根据有合同约束力的进度计划，按月分解签约合同价，形成支付分解报告，送监理人批准后成为有合同约束力的支付分解表，按有合同约束力的支付分解表分期计量和支付；支付分解表应随进度计划的修订而调整；除按照第9条约定的变更外，签约合同价所基于的工程量即是用于竣工结算的最终工程量。</w:t>
      </w:r>
    </w:p>
    <w:p>
      <w:pPr>
        <w:snapToGrid w:val="0"/>
        <w:spacing w:beforeLines="50"/>
        <w:ind w:left="991" w:hanging="991" w:hangingChars="413"/>
        <w:jc w:val="left"/>
        <w:rPr>
          <w:rFonts w:ascii="黑体" w:eastAsia="黑体"/>
          <w:sz w:val="24"/>
        </w:rPr>
      </w:pPr>
      <w:bookmarkStart w:id="362" w:name="_Toc246996306"/>
      <w:bookmarkStart w:id="363" w:name="_Toc246997049"/>
      <w:bookmarkStart w:id="364" w:name="_Toc296602551"/>
      <w:bookmarkStart w:id="365" w:name="_Toc247085821"/>
      <w:r>
        <w:rPr>
          <w:rFonts w:hint="eastAsia" w:ascii="黑体" w:eastAsia="黑体"/>
          <w:sz w:val="24"/>
        </w:rPr>
        <w:t>10.2</w:t>
      </w:r>
      <w:r>
        <w:rPr>
          <w:rFonts w:hint="eastAsia" w:ascii="黑体" w:eastAsia="黑体"/>
          <w:sz w:val="24"/>
        </w:rPr>
        <w:tab/>
      </w:r>
      <w:r>
        <w:rPr>
          <w:rFonts w:hint="eastAsia" w:ascii="黑体" w:eastAsia="黑体"/>
          <w:sz w:val="24"/>
        </w:rPr>
        <w:t>预付款</w:t>
      </w:r>
      <w:bookmarkEnd w:id="362"/>
      <w:bookmarkEnd w:id="363"/>
      <w:bookmarkEnd w:id="364"/>
      <w:bookmarkEnd w:id="365"/>
    </w:p>
    <w:p>
      <w:pPr>
        <w:snapToGrid w:val="0"/>
        <w:spacing w:beforeLines="50"/>
        <w:ind w:left="991" w:leftChars="472"/>
        <w:rPr>
          <w:rFonts w:ascii="宋体" w:hAnsi="宋体"/>
          <w:sz w:val="24"/>
        </w:rPr>
      </w:pPr>
      <w:r>
        <w:rPr>
          <w:rFonts w:hint="eastAsia" w:ascii="宋体" w:hAnsi="宋体"/>
          <w:sz w:val="24"/>
        </w:rPr>
        <w:t>预付款用于承包人为合同工程施工购置材料、工程设备、施工设备、修建临时设施以及组织施工队伍进场等。预付款的额度、预付办法，以及扣回与还清办法在专用合同条款中约定。预付款必须专用于合同工程。</w:t>
      </w:r>
    </w:p>
    <w:p>
      <w:pPr>
        <w:snapToGrid w:val="0"/>
        <w:spacing w:beforeLines="50"/>
        <w:ind w:left="991" w:hanging="991" w:hangingChars="413"/>
        <w:jc w:val="left"/>
        <w:rPr>
          <w:rFonts w:ascii="黑体" w:eastAsia="黑体"/>
          <w:sz w:val="24"/>
        </w:rPr>
      </w:pPr>
      <w:bookmarkStart w:id="366" w:name="_Toc247085822"/>
      <w:bookmarkStart w:id="367" w:name="_Toc246997050"/>
      <w:bookmarkStart w:id="368" w:name="_Toc296602552"/>
      <w:bookmarkStart w:id="369" w:name="_Toc246996307"/>
      <w:r>
        <w:rPr>
          <w:rFonts w:hint="eastAsia" w:ascii="黑体" w:eastAsia="黑体"/>
          <w:sz w:val="24"/>
        </w:rPr>
        <w:t>10.3</w:t>
      </w:r>
      <w:r>
        <w:rPr>
          <w:rFonts w:hint="eastAsia" w:ascii="黑体" w:eastAsia="黑体"/>
          <w:sz w:val="24"/>
        </w:rPr>
        <w:tab/>
      </w:r>
      <w:r>
        <w:rPr>
          <w:rFonts w:hint="eastAsia" w:ascii="黑体" w:eastAsia="黑体"/>
          <w:sz w:val="24"/>
        </w:rPr>
        <w:t>工程进度付款</w:t>
      </w:r>
      <w:bookmarkEnd w:id="366"/>
      <w:bookmarkEnd w:id="367"/>
      <w:bookmarkEnd w:id="368"/>
      <w:bookmarkEnd w:id="369"/>
    </w:p>
    <w:p>
      <w:pPr>
        <w:snapToGrid w:val="0"/>
        <w:spacing w:beforeLines="50"/>
        <w:ind w:left="991" w:leftChars="472"/>
        <w:rPr>
          <w:rFonts w:ascii="宋体" w:hAnsi="宋体"/>
          <w:sz w:val="24"/>
        </w:rPr>
      </w:pPr>
      <w:r>
        <w:rPr>
          <w:rFonts w:hint="eastAsia" w:ascii="宋体" w:hAnsi="宋体"/>
          <w:sz w:val="24"/>
        </w:rPr>
        <w:t>承包人应在第10.1款约定的支付分解表确定的每个付款周期末，按监理人批准的格式和专用合同条款约定的份数，向监理人提交进度付款申请单，并附相应的支持性证明文件。除专用合同条款另有约定外，进度付款申请单应包括下列内容：</w:t>
      </w:r>
    </w:p>
    <w:p>
      <w:pPr>
        <w:snapToGrid w:val="0"/>
        <w:spacing w:beforeLines="50"/>
        <w:ind w:left="991" w:leftChars="472"/>
        <w:rPr>
          <w:rFonts w:ascii="宋体" w:hAnsi="宋体"/>
          <w:sz w:val="24"/>
        </w:rPr>
      </w:pPr>
      <w:r>
        <w:rPr>
          <w:rFonts w:hint="eastAsia" w:ascii="宋体" w:hAnsi="宋体"/>
          <w:sz w:val="24"/>
        </w:rPr>
        <w:t>（1）截至本次付款周期末已实施工程的合同价款；</w:t>
      </w:r>
    </w:p>
    <w:p>
      <w:pPr>
        <w:snapToGrid w:val="0"/>
        <w:spacing w:beforeLines="50"/>
        <w:ind w:left="991" w:leftChars="472"/>
        <w:rPr>
          <w:rFonts w:ascii="宋体" w:hAnsi="宋体"/>
          <w:sz w:val="24"/>
        </w:rPr>
      </w:pPr>
      <w:r>
        <w:rPr>
          <w:rFonts w:hint="eastAsia" w:ascii="宋体" w:hAnsi="宋体"/>
          <w:sz w:val="24"/>
        </w:rPr>
        <w:t>（2）根据第9条应增加和扣减的变更金额；</w:t>
      </w:r>
    </w:p>
    <w:p>
      <w:pPr>
        <w:snapToGrid w:val="0"/>
        <w:spacing w:beforeLines="50"/>
        <w:ind w:left="991" w:leftChars="472"/>
        <w:rPr>
          <w:rFonts w:ascii="宋体" w:hAnsi="宋体"/>
          <w:sz w:val="24"/>
        </w:rPr>
      </w:pPr>
      <w:r>
        <w:rPr>
          <w:rFonts w:hint="eastAsia" w:ascii="宋体" w:hAnsi="宋体"/>
          <w:sz w:val="24"/>
        </w:rPr>
        <w:t>（3）根据第16条应增加和扣减的索赔金额；</w:t>
      </w:r>
    </w:p>
    <w:p>
      <w:pPr>
        <w:snapToGrid w:val="0"/>
        <w:spacing w:beforeLines="50"/>
        <w:ind w:left="991" w:leftChars="472"/>
        <w:rPr>
          <w:rFonts w:ascii="宋体" w:hAnsi="宋体"/>
          <w:sz w:val="24"/>
        </w:rPr>
      </w:pPr>
      <w:r>
        <w:rPr>
          <w:rFonts w:hint="eastAsia" w:ascii="宋体" w:hAnsi="宋体"/>
          <w:sz w:val="24"/>
        </w:rPr>
        <w:t>（4）根据第10.2款应支付的预付款和扣减的返还预付款；</w:t>
      </w:r>
    </w:p>
    <w:p>
      <w:pPr>
        <w:snapToGrid w:val="0"/>
        <w:spacing w:beforeLines="50"/>
        <w:ind w:left="991" w:leftChars="472"/>
        <w:rPr>
          <w:rFonts w:ascii="宋体" w:hAnsi="宋体"/>
          <w:sz w:val="24"/>
        </w:rPr>
      </w:pPr>
      <w:r>
        <w:rPr>
          <w:rFonts w:hint="eastAsia" w:ascii="宋体" w:hAnsi="宋体"/>
          <w:sz w:val="24"/>
        </w:rPr>
        <w:t>（5）根据第10.4款应扣减的质量保证金；</w:t>
      </w:r>
    </w:p>
    <w:p>
      <w:pPr>
        <w:snapToGrid w:val="0"/>
        <w:spacing w:beforeLines="50"/>
        <w:ind w:left="991" w:leftChars="472"/>
        <w:rPr>
          <w:rFonts w:ascii="宋体" w:hAnsi="宋体"/>
          <w:sz w:val="24"/>
        </w:rPr>
      </w:pPr>
      <w:r>
        <w:rPr>
          <w:rFonts w:hint="eastAsia" w:ascii="宋体" w:hAnsi="宋体"/>
          <w:sz w:val="24"/>
        </w:rPr>
        <w:t>（6）根据合同应增加和扣减的其他金额。</w:t>
      </w:r>
    </w:p>
    <w:p>
      <w:pPr>
        <w:snapToGrid w:val="0"/>
        <w:spacing w:beforeLines="50"/>
        <w:ind w:left="991" w:leftChars="472"/>
        <w:rPr>
          <w:rFonts w:ascii="宋体" w:hAnsi="宋体"/>
          <w:sz w:val="24"/>
        </w:rPr>
      </w:pPr>
      <w:r>
        <w:rPr>
          <w:rFonts w:hint="eastAsia" w:ascii="宋体" w:hAnsi="宋体"/>
          <w:sz w:val="24"/>
        </w:rPr>
        <w:t>监理人应在收到承包人进度付款申请单以及相应的支持性证明文件后的7天内完成核查</w:t>
      </w:r>
      <w:r>
        <w:rPr>
          <w:rFonts w:ascii="宋体" w:hAnsi="宋体"/>
          <w:sz w:val="24"/>
        </w:rPr>
        <w:t>，</w:t>
      </w:r>
      <w:r>
        <w:rPr>
          <w:rFonts w:hint="eastAsia" w:ascii="宋体" w:hAnsi="宋体"/>
          <w:sz w:val="24"/>
        </w:rPr>
        <w:t>并向承包人出具经发包人签认的付款证书。</w:t>
      </w:r>
      <w:r>
        <w:rPr>
          <w:rFonts w:ascii="宋体" w:hAnsi="宋体"/>
          <w:sz w:val="24"/>
        </w:rPr>
        <w:t>发包人应在监理人收到进度付款申请单的</w:t>
      </w:r>
      <w:r>
        <w:rPr>
          <w:rFonts w:hint="eastAsia" w:ascii="宋体" w:hAnsi="宋体"/>
          <w:sz w:val="24"/>
        </w:rPr>
        <w:t>14</w:t>
      </w:r>
      <w:r>
        <w:rPr>
          <w:rFonts w:ascii="宋体" w:hAnsi="宋体"/>
          <w:sz w:val="24"/>
        </w:rPr>
        <w:t>天内将进度</w:t>
      </w:r>
      <w:r>
        <w:rPr>
          <w:rFonts w:hint="eastAsia" w:ascii="宋体" w:hAnsi="宋体"/>
          <w:sz w:val="24"/>
        </w:rPr>
        <w:t>应付</w:t>
      </w:r>
      <w:r>
        <w:rPr>
          <w:rFonts w:ascii="宋体" w:hAnsi="宋体"/>
          <w:sz w:val="24"/>
        </w:rPr>
        <w:t>款支付给</w:t>
      </w:r>
      <w:r>
        <w:rPr>
          <w:rFonts w:hint="eastAsia" w:ascii="宋体" w:hAnsi="宋体"/>
          <w:sz w:val="24"/>
        </w:rPr>
        <w:t>承包</w:t>
      </w:r>
      <w:r>
        <w:rPr>
          <w:rFonts w:ascii="宋体" w:hAnsi="宋体"/>
          <w:sz w:val="24"/>
        </w:rPr>
        <w:t>人</w:t>
      </w:r>
      <w:r>
        <w:rPr>
          <w:rFonts w:hint="eastAsia" w:ascii="宋体" w:hAnsi="宋体"/>
          <w:sz w:val="24"/>
        </w:rPr>
        <w:t>。涉及政府投资资金的，按照国库集中支付等国家相关规定和专用合同条款的约定执行。</w:t>
      </w:r>
    </w:p>
    <w:p>
      <w:pPr>
        <w:snapToGrid w:val="0"/>
        <w:spacing w:beforeLines="50"/>
        <w:ind w:left="991" w:hanging="991" w:hangingChars="413"/>
        <w:jc w:val="left"/>
        <w:rPr>
          <w:rFonts w:ascii="黑体" w:eastAsia="黑体"/>
          <w:sz w:val="24"/>
        </w:rPr>
      </w:pPr>
      <w:bookmarkStart w:id="370" w:name="_Toc247085823"/>
      <w:bookmarkStart w:id="371" w:name="_Toc296602553"/>
      <w:bookmarkStart w:id="372" w:name="_Toc246996308"/>
      <w:bookmarkStart w:id="373" w:name="_Toc246997051"/>
      <w:r>
        <w:rPr>
          <w:rFonts w:hint="eastAsia" w:ascii="黑体" w:eastAsia="黑体"/>
          <w:sz w:val="24"/>
        </w:rPr>
        <w:t>10.4</w:t>
      </w:r>
      <w:r>
        <w:rPr>
          <w:rFonts w:hint="eastAsia" w:ascii="黑体" w:eastAsia="黑体"/>
          <w:sz w:val="24"/>
        </w:rPr>
        <w:tab/>
      </w:r>
      <w:r>
        <w:rPr>
          <w:rFonts w:hint="eastAsia" w:ascii="黑体" w:eastAsia="黑体"/>
          <w:sz w:val="24"/>
        </w:rPr>
        <w:t>质量保证金</w:t>
      </w:r>
      <w:bookmarkEnd w:id="370"/>
      <w:bookmarkEnd w:id="371"/>
      <w:bookmarkEnd w:id="372"/>
      <w:bookmarkEnd w:id="373"/>
    </w:p>
    <w:p>
      <w:pPr>
        <w:snapToGrid w:val="0"/>
        <w:spacing w:beforeLines="50"/>
        <w:ind w:left="991" w:leftChars="472"/>
        <w:rPr>
          <w:rFonts w:ascii="宋体" w:hAnsi="宋体"/>
          <w:sz w:val="24"/>
        </w:rPr>
      </w:pPr>
      <w:r>
        <w:rPr>
          <w:rFonts w:hint="eastAsia" w:ascii="宋体" w:hAnsi="宋体"/>
          <w:sz w:val="24"/>
        </w:rPr>
        <w:t>监理人应从第一个付款周期开始，在发包人的进度付款中，按专用合同条款的约定扣留质量保证金，直至扣留的质量保证金总额达到专用合同条款约定的金额或比例为止。</w:t>
      </w:r>
    </w:p>
    <w:p>
      <w:pPr>
        <w:snapToGrid w:val="0"/>
        <w:spacing w:beforeLines="50"/>
        <w:ind w:left="991" w:leftChars="472"/>
        <w:rPr>
          <w:rFonts w:ascii="宋体" w:hAnsi="宋体"/>
          <w:sz w:val="24"/>
        </w:rPr>
      </w:pPr>
      <w:r>
        <w:rPr>
          <w:rFonts w:hint="eastAsia" w:ascii="宋体" w:hAnsi="宋体"/>
          <w:sz w:val="24"/>
        </w:rPr>
        <w:t>在专用合同条款约定的缺陷责任期满时，承包人向发包人申请到期应返还承包人剩余的质量保证金金额，发包人应在14天内会同承包人按照合同约定的内容核实承包人是否完成缺陷责任，并将无异议的剩余质量保证金返还承包人。</w:t>
      </w:r>
    </w:p>
    <w:p>
      <w:pPr>
        <w:snapToGrid w:val="0"/>
        <w:spacing w:beforeLines="50"/>
        <w:ind w:left="991" w:hanging="991" w:hangingChars="413"/>
        <w:jc w:val="left"/>
        <w:rPr>
          <w:rFonts w:ascii="黑体" w:eastAsia="黑体"/>
          <w:sz w:val="24"/>
        </w:rPr>
      </w:pPr>
      <w:bookmarkStart w:id="374" w:name="_Toc247085824"/>
      <w:bookmarkStart w:id="375" w:name="_Toc296602554"/>
      <w:bookmarkStart w:id="376" w:name="_Toc246997052"/>
      <w:bookmarkStart w:id="377" w:name="_Toc246996309"/>
      <w:r>
        <w:rPr>
          <w:rFonts w:hint="eastAsia" w:ascii="黑体" w:eastAsia="黑体"/>
          <w:sz w:val="24"/>
        </w:rPr>
        <w:t>10.5</w:t>
      </w:r>
      <w:r>
        <w:rPr>
          <w:rFonts w:hint="eastAsia" w:ascii="黑体" w:eastAsia="黑体"/>
          <w:sz w:val="24"/>
        </w:rPr>
        <w:tab/>
      </w:r>
      <w:r>
        <w:rPr>
          <w:rFonts w:hint="eastAsia" w:ascii="黑体" w:eastAsia="黑体"/>
          <w:sz w:val="24"/>
        </w:rPr>
        <w:t>竣工结算</w:t>
      </w:r>
      <w:bookmarkEnd w:id="374"/>
      <w:bookmarkEnd w:id="375"/>
      <w:bookmarkEnd w:id="376"/>
      <w:bookmarkEnd w:id="377"/>
    </w:p>
    <w:p>
      <w:pPr>
        <w:snapToGrid w:val="0"/>
        <w:spacing w:beforeLines="50"/>
        <w:ind w:left="991" w:hanging="991" w:hangingChars="413"/>
        <w:jc w:val="left"/>
        <w:rPr>
          <w:rFonts w:ascii="宋体" w:hAnsi="宋体"/>
          <w:sz w:val="24"/>
        </w:rPr>
      </w:pPr>
      <w:r>
        <w:rPr>
          <w:rFonts w:hint="eastAsia" w:ascii="宋体" w:hAnsi="宋体"/>
          <w:sz w:val="24"/>
        </w:rPr>
        <w:t>10.5.1</w:t>
      </w:r>
      <w:r>
        <w:rPr>
          <w:rFonts w:hint="eastAsia" w:ascii="宋体" w:hAnsi="宋体"/>
          <w:sz w:val="24"/>
        </w:rPr>
        <w:tab/>
      </w:r>
      <w:r>
        <w:rPr>
          <w:rFonts w:hint="eastAsia" w:ascii="宋体" w:hAnsi="宋体"/>
          <w:sz w:val="24"/>
        </w:rPr>
        <w:t>除专用合同条款另有约定外，竣工结算价格不因物价波动和法律变化而调整。</w:t>
      </w:r>
    </w:p>
    <w:p>
      <w:pPr>
        <w:snapToGrid w:val="0"/>
        <w:spacing w:beforeLines="50"/>
        <w:ind w:left="991" w:hanging="991" w:hangingChars="413"/>
        <w:jc w:val="left"/>
        <w:rPr>
          <w:rFonts w:ascii="宋体" w:hAnsi="宋体"/>
          <w:sz w:val="24"/>
        </w:rPr>
      </w:pPr>
      <w:r>
        <w:rPr>
          <w:rFonts w:hint="eastAsia" w:ascii="宋体" w:hAnsi="宋体"/>
          <w:sz w:val="24"/>
        </w:rPr>
        <w:t>10.5.2</w:t>
      </w:r>
      <w:r>
        <w:rPr>
          <w:rFonts w:hint="eastAsia" w:ascii="宋体" w:hAnsi="宋体"/>
          <w:sz w:val="24"/>
        </w:rPr>
        <w:tab/>
      </w:r>
      <w:r>
        <w:rPr>
          <w:rFonts w:ascii="宋体" w:hAnsi="宋体"/>
          <w:sz w:val="24"/>
        </w:rPr>
        <w:t>工程接收证书颁发后，承包人应按</w:t>
      </w:r>
      <w:r>
        <w:rPr>
          <w:rFonts w:hint="eastAsia" w:ascii="宋体" w:hAnsi="宋体"/>
          <w:sz w:val="24"/>
        </w:rPr>
        <w:t>专用合同条款</w:t>
      </w:r>
      <w:r>
        <w:rPr>
          <w:rFonts w:ascii="宋体" w:hAnsi="宋体"/>
          <w:sz w:val="24"/>
        </w:rPr>
        <w:t>约定的份数和期限向监理人提交竣工付款申请单，并提供相关证明材料。监理人</w:t>
      </w:r>
      <w:r>
        <w:rPr>
          <w:rFonts w:hint="eastAsia" w:ascii="宋体" w:hAnsi="宋体"/>
          <w:sz w:val="24"/>
        </w:rPr>
        <w:t>应当在</w:t>
      </w:r>
      <w:r>
        <w:rPr>
          <w:rFonts w:ascii="宋体" w:hAnsi="宋体"/>
          <w:sz w:val="24"/>
        </w:rPr>
        <w:t>收到竣工结算申请单的</w:t>
      </w:r>
      <w:r>
        <w:rPr>
          <w:rFonts w:hint="eastAsia" w:ascii="宋体" w:hAnsi="宋体"/>
          <w:sz w:val="24"/>
        </w:rPr>
        <w:t>7天内完成</w:t>
      </w:r>
      <w:r>
        <w:rPr>
          <w:rFonts w:ascii="宋体" w:hAnsi="宋体"/>
          <w:sz w:val="24"/>
        </w:rPr>
        <w:t>核查</w:t>
      </w:r>
      <w:r>
        <w:rPr>
          <w:rFonts w:hint="eastAsia" w:ascii="宋体" w:hAnsi="宋体"/>
          <w:sz w:val="24"/>
        </w:rPr>
        <w:t>、准备竣工付款证书并送发包人审核</w:t>
      </w:r>
      <w:r>
        <w:rPr>
          <w:rFonts w:ascii="宋体" w:hAnsi="宋体"/>
          <w:sz w:val="24"/>
        </w:rPr>
        <w:t>，发包人应在</w:t>
      </w:r>
      <w:r>
        <w:rPr>
          <w:rFonts w:hint="eastAsia" w:ascii="宋体" w:hAnsi="宋体"/>
          <w:sz w:val="24"/>
        </w:rPr>
        <w:t>收到后14</w:t>
      </w:r>
      <w:r>
        <w:rPr>
          <w:rFonts w:ascii="宋体" w:hAnsi="宋体"/>
          <w:sz w:val="24"/>
        </w:rPr>
        <w:t>天内</w:t>
      </w:r>
      <w:r>
        <w:rPr>
          <w:rFonts w:hint="eastAsia" w:ascii="宋体" w:hAnsi="宋体"/>
          <w:sz w:val="24"/>
        </w:rPr>
        <w:t>提出具体意见或签认竣工付款证书，并在</w:t>
      </w:r>
      <w:r>
        <w:rPr>
          <w:rFonts w:ascii="宋体" w:hAnsi="宋体"/>
          <w:sz w:val="24"/>
        </w:rPr>
        <w:t>监理人收到竣工结算申请单的</w:t>
      </w:r>
      <w:r>
        <w:rPr>
          <w:rFonts w:hint="eastAsia" w:ascii="宋体" w:hAnsi="宋体"/>
          <w:sz w:val="24"/>
        </w:rPr>
        <w:t>28</w:t>
      </w:r>
      <w:r>
        <w:rPr>
          <w:rFonts w:ascii="宋体" w:hAnsi="宋体"/>
          <w:sz w:val="24"/>
        </w:rPr>
        <w:t>天内将应付款支付给承包人。</w:t>
      </w:r>
      <w:r>
        <w:rPr>
          <w:rFonts w:hint="eastAsia" w:ascii="宋体" w:hAnsi="宋体"/>
          <w:sz w:val="24"/>
        </w:rPr>
        <w:t>发包人未在约定时间内审核并提出具体意见或者签认竣工付款证书的，视为同意承包人提出的竣工付款金额。</w:t>
      </w:r>
    </w:p>
    <w:p>
      <w:pPr>
        <w:snapToGrid w:val="0"/>
        <w:spacing w:beforeLines="50"/>
        <w:ind w:left="991" w:hanging="991" w:hangingChars="413"/>
        <w:jc w:val="left"/>
        <w:rPr>
          <w:rFonts w:ascii="宋体" w:hAnsi="宋体"/>
          <w:sz w:val="24"/>
        </w:rPr>
      </w:pPr>
      <w:r>
        <w:rPr>
          <w:rFonts w:hint="eastAsia" w:ascii="宋体" w:hAnsi="宋体"/>
          <w:sz w:val="24"/>
        </w:rPr>
        <w:t>10.5.3</w:t>
      </w:r>
      <w:r>
        <w:rPr>
          <w:rFonts w:hint="eastAsia" w:ascii="宋体" w:hAnsi="宋体"/>
          <w:sz w:val="24"/>
        </w:rPr>
        <w:tab/>
      </w:r>
      <w:r>
        <w:rPr>
          <w:rFonts w:hint="eastAsia" w:ascii="宋体" w:hAnsi="宋体"/>
          <w:sz w:val="24"/>
        </w:rPr>
        <w:t>竣工付款涉及政府投资资金的，按照国库集中支付等国家相关规定和专用合同条款的约定执行。</w:t>
      </w:r>
    </w:p>
    <w:p>
      <w:pPr>
        <w:snapToGrid w:val="0"/>
        <w:spacing w:beforeLines="50"/>
        <w:ind w:left="991" w:hanging="991" w:hangingChars="413"/>
        <w:jc w:val="left"/>
        <w:rPr>
          <w:rFonts w:ascii="黑体" w:eastAsia="黑体"/>
          <w:sz w:val="24"/>
        </w:rPr>
      </w:pPr>
      <w:bookmarkStart w:id="378" w:name="_Toc247085825"/>
      <w:bookmarkStart w:id="379" w:name="_Toc296602555"/>
      <w:bookmarkStart w:id="380" w:name="_Toc246996310"/>
      <w:bookmarkStart w:id="381" w:name="_Toc246997053"/>
      <w:r>
        <w:rPr>
          <w:rFonts w:hint="eastAsia" w:ascii="黑体" w:eastAsia="黑体"/>
          <w:sz w:val="24"/>
        </w:rPr>
        <w:t>10.6</w:t>
      </w:r>
      <w:r>
        <w:rPr>
          <w:rFonts w:hint="eastAsia" w:ascii="黑体" w:eastAsia="黑体"/>
          <w:sz w:val="24"/>
        </w:rPr>
        <w:tab/>
      </w:r>
      <w:r>
        <w:rPr>
          <w:rFonts w:hint="eastAsia" w:ascii="黑体" w:eastAsia="黑体"/>
          <w:sz w:val="24"/>
        </w:rPr>
        <w:t>付款延误</w:t>
      </w:r>
      <w:bookmarkEnd w:id="378"/>
      <w:bookmarkEnd w:id="379"/>
      <w:bookmarkEnd w:id="380"/>
      <w:bookmarkEnd w:id="381"/>
    </w:p>
    <w:p>
      <w:pPr>
        <w:snapToGrid w:val="0"/>
        <w:spacing w:beforeLines="50"/>
        <w:ind w:left="991" w:leftChars="472"/>
        <w:rPr>
          <w:rFonts w:ascii="宋体" w:hAnsi="宋体"/>
          <w:sz w:val="24"/>
        </w:rPr>
      </w:pPr>
      <w:r>
        <w:rPr>
          <w:rFonts w:hint="eastAsia" w:ascii="宋体" w:hAnsi="宋体"/>
          <w:sz w:val="24"/>
        </w:rPr>
        <w:t>发包人不按期支付的，按专用合同条款的约定支付逾期付款违约金。</w:t>
      </w:r>
    </w:p>
    <w:p>
      <w:pPr>
        <w:snapToGrid w:val="0"/>
        <w:spacing w:beforeLines="50"/>
        <w:ind w:left="991" w:hanging="991" w:hangingChars="413"/>
        <w:jc w:val="left"/>
        <w:outlineLvl w:val="2"/>
        <w:rPr>
          <w:rFonts w:ascii="黑体" w:eastAsia="黑体"/>
          <w:sz w:val="24"/>
        </w:rPr>
      </w:pPr>
      <w:bookmarkStart w:id="382" w:name="_Toc184635115"/>
      <w:bookmarkStart w:id="383" w:name="_Toc246996311"/>
      <w:bookmarkStart w:id="384" w:name="_Toc246997054"/>
      <w:bookmarkStart w:id="385" w:name="_Toc247085826"/>
      <w:bookmarkStart w:id="386" w:name="_Toc296602556"/>
      <w:bookmarkStart w:id="387" w:name="_Toc20332"/>
      <w:bookmarkStart w:id="388" w:name="_Toc26069"/>
      <w:r>
        <w:rPr>
          <w:rFonts w:hint="eastAsia" w:ascii="黑体" w:eastAsia="黑体"/>
          <w:sz w:val="24"/>
        </w:rPr>
        <w:t>11.</w:t>
      </w:r>
      <w:r>
        <w:rPr>
          <w:rFonts w:hint="eastAsia" w:ascii="黑体" w:eastAsia="黑体"/>
          <w:sz w:val="24"/>
        </w:rPr>
        <w:tab/>
      </w:r>
      <w:r>
        <w:rPr>
          <w:rFonts w:hint="eastAsia" w:ascii="黑体" w:eastAsia="黑体"/>
          <w:sz w:val="24"/>
        </w:rPr>
        <w:t>竣工验收</w:t>
      </w:r>
      <w:bookmarkEnd w:id="382"/>
      <w:bookmarkEnd w:id="383"/>
      <w:bookmarkEnd w:id="384"/>
      <w:bookmarkEnd w:id="385"/>
      <w:bookmarkEnd w:id="386"/>
      <w:bookmarkEnd w:id="387"/>
      <w:bookmarkEnd w:id="388"/>
    </w:p>
    <w:p>
      <w:pPr>
        <w:snapToGrid w:val="0"/>
        <w:spacing w:beforeLines="50"/>
        <w:ind w:left="991" w:hanging="991" w:hangingChars="413"/>
        <w:jc w:val="left"/>
        <w:rPr>
          <w:rFonts w:ascii="黑体" w:eastAsia="黑体"/>
          <w:sz w:val="24"/>
        </w:rPr>
      </w:pPr>
      <w:bookmarkStart w:id="389" w:name="_Toc296602557"/>
      <w:bookmarkStart w:id="390" w:name="_Toc246997055"/>
      <w:bookmarkStart w:id="391" w:name="_Toc246996312"/>
      <w:bookmarkStart w:id="392" w:name="_Toc247085827"/>
      <w:r>
        <w:rPr>
          <w:rFonts w:hint="eastAsia" w:ascii="黑体" w:eastAsia="黑体"/>
          <w:sz w:val="24"/>
        </w:rPr>
        <w:t>11.1</w:t>
      </w:r>
      <w:r>
        <w:rPr>
          <w:rFonts w:hint="eastAsia" w:ascii="黑体" w:eastAsia="黑体"/>
          <w:sz w:val="24"/>
        </w:rPr>
        <w:tab/>
      </w:r>
      <w:r>
        <w:rPr>
          <w:rFonts w:hint="eastAsia" w:ascii="黑体" w:eastAsia="黑体"/>
          <w:sz w:val="24"/>
        </w:rPr>
        <w:t>竣工验收的含义</w:t>
      </w:r>
      <w:bookmarkEnd w:id="389"/>
    </w:p>
    <w:p>
      <w:pPr>
        <w:snapToGrid w:val="0"/>
        <w:spacing w:beforeLines="50"/>
        <w:ind w:left="991" w:hanging="991" w:hangingChars="413"/>
        <w:jc w:val="left"/>
        <w:rPr>
          <w:rFonts w:ascii="宋体" w:hAnsi="宋体"/>
          <w:sz w:val="24"/>
        </w:rPr>
      </w:pPr>
      <w:r>
        <w:rPr>
          <w:rFonts w:hint="eastAsia" w:ascii="宋体" w:hAnsi="宋体"/>
          <w:sz w:val="24"/>
        </w:rPr>
        <w:t>11.1.1</w:t>
      </w:r>
      <w:r>
        <w:rPr>
          <w:rFonts w:hint="eastAsia" w:ascii="宋体" w:hAnsi="宋体"/>
          <w:sz w:val="24"/>
        </w:rPr>
        <w:tab/>
      </w:r>
      <w:r>
        <w:rPr>
          <w:rFonts w:hint="eastAsia" w:ascii="宋体" w:hAnsi="宋体"/>
          <w:sz w:val="24"/>
        </w:rPr>
        <w:t>竣工验收是指承包人完成了全部合同工作后，发包人按合同要求进行的验收。</w:t>
      </w:r>
    </w:p>
    <w:p>
      <w:pPr>
        <w:snapToGrid w:val="0"/>
        <w:spacing w:beforeLines="50"/>
        <w:ind w:left="991" w:hanging="991" w:hangingChars="413"/>
        <w:jc w:val="left"/>
        <w:rPr>
          <w:rFonts w:ascii="宋体" w:hAnsi="宋体"/>
          <w:sz w:val="24"/>
        </w:rPr>
      </w:pPr>
      <w:r>
        <w:rPr>
          <w:rFonts w:hint="eastAsia" w:ascii="宋体" w:hAnsi="宋体"/>
          <w:sz w:val="24"/>
        </w:rPr>
        <w:t>11.1.2</w:t>
      </w:r>
      <w:r>
        <w:rPr>
          <w:rFonts w:hint="eastAsia" w:ascii="宋体" w:hAnsi="宋体"/>
          <w:sz w:val="24"/>
        </w:rPr>
        <w:tab/>
      </w:r>
      <w:r>
        <w:rPr>
          <w:rFonts w:hint="eastAsia" w:ascii="宋体" w:hAnsi="宋体"/>
          <w:sz w:val="24"/>
        </w:rPr>
        <w:t>需要进行国家验收的，竣工验收是国家验收的一部分。竣工验收所采用的各项验收和评定标准应符合国家验收标准。发包人和承包人为竣工验收提供的各项竣工验收资料应符合国家验收的要求。</w:t>
      </w:r>
    </w:p>
    <w:p>
      <w:pPr>
        <w:snapToGrid w:val="0"/>
        <w:spacing w:beforeLines="50"/>
        <w:ind w:left="991" w:hanging="991" w:hangingChars="413"/>
        <w:jc w:val="left"/>
        <w:rPr>
          <w:rFonts w:ascii="黑体" w:eastAsia="黑体"/>
          <w:sz w:val="24"/>
        </w:rPr>
      </w:pPr>
      <w:bookmarkStart w:id="393" w:name="_Toc296602558"/>
      <w:r>
        <w:rPr>
          <w:rFonts w:hint="eastAsia" w:ascii="黑体" w:eastAsia="黑体"/>
          <w:sz w:val="24"/>
        </w:rPr>
        <w:t>11.2</w:t>
      </w:r>
      <w:r>
        <w:rPr>
          <w:rFonts w:hint="eastAsia" w:ascii="黑体" w:eastAsia="黑体"/>
          <w:sz w:val="24"/>
        </w:rPr>
        <w:tab/>
      </w:r>
      <w:r>
        <w:rPr>
          <w:rFonts w:hint="eastAsia" w:ascii="黑体" w:eastAsia="黑体"/>
          <w:sz w:val="24"/>
        </w:rPr>
        <w:t>竣工验收申请报告</w:t>
      </w:r>
      <w:bookmarkEnd w:id="390"/>
      <w:bookmarkEnd w:id="391"/>
      <w:bookmarkEnd w:id="392"/>
      <w:bookmarkEnd w:id="393"/>
    </w:p>
    <w:p>
      <w:pPr>
        <w:snapToGrid w:val="0"/>
        <w:spacing w:beforeLines="50"/>
        <w:ind w:left="991" w:leftChars="472"/>
        <w:rPr>
          <w:rFonts w:ascii="宋体" w:hAnsi="宋体"/>
          <w:sz w:val="24"/>
        </w:rPr>
      </w:pPr>
      <w:r>
        <w:rPr>
          <w:rFonts w:ascii="宋体" w:hAnsi="宋体"/>
          <w:sz w:val="24"/>
        </w:rPr>
        <w:t>当工程具备竣工条件时，</w:t>
      </w:r>
      <w:r>
        <w:rPr>
          <w:rFonts w:hint="eastAsia" w:ascii="宋体" w:hAnsi="宋体"/>
          <w:sz w:val="24"/>
        </w:rPr>
        <w:t>承包</w:t>
      </w:r>
      <w:r>
        <w:rPr>
          <w:rFonts w:ascii="宋体" w:hAnsi="宋体"/>
          <w:sz w:val="24"/>
        </w:rPr>
        <w:t>人即可向监理人报送竣工验收申请报告</w:t>
      </w:r>
      <w:r>
        <w:rPr>
          <w:rFonts w:hint="eastAsia" w:ascii="宋体" w:hAnsi="宋体"/>
          <w:sz w:val="24"/>
        </w:rPr>
        <w:t>。</w:t>
      </w:r>
    </w:p>
    <w:p>
      <w:pPr>
        <w:snapToGrid w:val="0"/>
        <w:spacing w:beforeLines="50"/>
        <w:ind w:left="991" w:hanging="991" w:hangingChars="413"/>
        <w:jc w:val="left"/>
        <w:rPr>
          <w:rFonts w:ascii="黑体" w:eastAsia="黑体"/>
          <w:sz w:val="24"/>
        </w:rPr>
      </w:pPr>
      <w:bookmarkStart w:id="394" w:name="_Toc296602559"/>
      <w:bookmarkStart w:id="395" w:name="_Toc247085828"/>
      <w:bookmarkStart w:id="396" w:name="_Toc246996313"/>
      <w:bookmarkStart w:id="397" w:name="_Toc246997056"/>
      <w:r>
        <w:rPr>
          <w:rFonts w:hint="eastAsia" w:ascii="黑体" w:eastAsia="黑体"/>
          <w:sz w:val="24"/>
        </w:rPr>
        <w:t>11.3</w:t>
      </w:r>
      <w:r>
        <w:rPr>
          <w:rFonts w:hint="eastAsia" w:ascii="黑体" w:eastAsia="黑体"/>
          <w:sz w:val="24"/>
        </w:rPr>
        <w:tab/>
      </w:r>
      <w:r>
        <w:rPr>
          <w:rFonts w:hint="eastAsia" w:ascii="黑体" w:eastAsia="黑体"/>
          <w:sz w:val="24"/>
        </w:rPr>
        <w:t>竣工和验收</w:t>
      </w:r>
      <w:bookmarkEnd w:id="394"/>
      <w:bookmarkEnd w:id="395"/>
      <w:bookmarkEnd w:id="396"/>
      <w:bookmarkEnd w:id="397"/>
    </w:p>
    <w:p>
      <w:pPr>
        <w:snapToGrid w:val="0"/>
        <w:spacing w:beforeLines="50"/>
        <w:ind w:left="991" w:leftChars="472"/>
        <w:rPr>
          <w:rFonts w:ascii="宋体" w:hAnsi="宋体"/>
          <w:sz w:val="24"/>
        </w:rPr>
      </w:pPr>
      <w:r>
        <w:rPr>
          <w:rFonts w:ascii="宋体" w:hAnsi="宋体"/>
          <w:sz w:val="24"/>
        </w:rPr>
        <w:t>监理人审查后认为具备竣工验收条件的，提请发包人进行工程验收。发包人经过验收后同意接收工程的，由监理人向</w:t>
      </w:r>
      <w:r>
        <w:rPr>
          <w:rFonts w:hint="eastAsia" w:ascii="宋体" w:hAnsi="宋体"/>
          <w:sz w:val="24"/>
        </w:rPr>
        <w:t>承包</w:t>
      </w:r>
      <w:r>
        <w:rPr>
          <w:rFonts w:ascii="宋体" w:hAnsi="宋体"/>
          <w:sz w:val="24"/>
        </w:rPr>
        <w:t>人出具经发包人签认的工程接收证书</w:t>
      </w:r>
      <w:r>
        <w:rPr>
          <w:rFonts w:hint="eastAsia" w:ascii="宋体" w:hAnsi="宋体"/>
          <w:sz w:val="24"/>
        </w:rPr>
        <w:t>。</w:t>
      </w:r>
    </w:p>
    <w:p>
      <w:pPr>
        <w:snapToGrid w:val="0"/>
        <w:spacing w:beforeLines="50"/>
        <w:ind w:left="991" w:leftChars="472"/>
        <w:rPr>
          <w:rFonts w:ascii="宋体" w:hAnsi="宋体"/>
          <w:sz w:val="24"/>
        </w:rPr>
      </w:pPr>
      <w:r>
        <w:rPr>
          <w:rFonts w:ascii="宋体" w:hAnsi="宋体"/>
          <w:sz w:val="24"/>
        </w:rPr>
        <w:t>除专用合同条款另有约定外，经验收合格工程的实际竣工日期，以提交竣工验收申请报告的日期为准，并在工程接收证书中写明</w:t>
      </w:r>
      <w:r>
        <w:rPr>
          <w:rFonts w:hint="eastAsia" w:ascii="宋体" w:hAnsi="宋体"/>
          <w:sz w:val="24"/>
        </w:rPr>
        <w:t>。</w:t>
      </w:r>
    </w:p>
    <w:p>
      <w:pPr>
        <w:snapToGrid w:val="0"/>
        <w:spacing w:beforeLines="50"/>
        <w:ind w:left="991" w:hanging="991" w:hangingChars="413"/>
        <w:jc w:val="left"/>
        <w:rPr>
          <w:rFonts w:ascii="黑体" w:eastAsia="黑体"/>
          <w:sz w:val="24"/>
        </w:rPr>
      </w:pPr>
      <w:bookmarkStart w:id="398" w:name="_Toc246996314"/>
      <w:bookmarkStart w:id="399" w:name="_Toc296602560"/>
      <w:bookmarkStart w:id="400" w:name="_Toc246997057"/>
      <w:bookmarkStart w:id="401" w:name="_Toc247085829"/>
      <w:r>
        <w:rPr>
          <w:rFonts w:hint="eastAsia" w:ascii="黑体" w:eastAsia="黑体"/>
          <w:sz w:val="24"/>
        </w:rPr>
        <w:t>11.4</w:t>
      </w:r>
      <w:r>
        <w:rPr>
          <w:rFonts w:hint="eastAsia" w:ascii="黑体" w:eastAsia="黑体"/>
          <w:sz w:val="24"/>
        </w:rPr>
        <w:tab/>
      </w:r>
      <w:r>
        <w:rPr>
          <w:rFonts w:hint="eastAsia" w:ascii="黑体" w:eastAsia="黑体"/>
          <w:sz w:val="24"/>
        </w:rPr>
        <w:t>试运行</w:t>
      </w:r>
      <w:bookmarkEnd w:id="398"/>
      <w:bookmarkEnd w:id="399"/>
      <w:bookmarkEnd w:id="400"/>
      <w:bookmarkEnd w:id="401"/>
    </w:p>
    <w:p>
      <w:pPr>
        <w:snapToGrid w:val="0"/>
        <w:spacing w:beforeLines="50"/>
        <w:ind w:left="991" w:leftChars="472"/>
        <w:rPr>
          <w:rFonts w:ascii="宋体" w:hAnsi="宋体"/>
          <w:sz w:val="24"/>
        </w:rPr>
      </w:pPr>
      <w:r>
        <w:rPr>
          <w:rFonts w:hint="eastAsia" w:ascii="宋体" w:hAnsi="宋体"/>
          <w:sz w:val="24"/>
        </w:rPr>
        <w:t>除专用合同条款另有约定外，承包人应按专用合同条款约定进行工程及工程设备试运行，负责提供试运行所需的人员、器材和必要的条件，并承担全部试运行费用。</w:t>
      </w:r>
    </w:p>
    <w:p>
      <w:pPr>
        <w:snapToGrid w:val="0"/>
        <w:spacing w:beforeLines="50"/>
        <w:ind w:left="991" w:hanging="991" w:hangingChars="413"/>
        <w:jc w:val="left"/>
        <w:rPr>
          <w:rFonts w:ascii="黑体" w:eastAsia="黑体"/>
          <w:sz w:val="24"/>
        </w:rPr>
      </w:pPr>
      <w:bookmarkStart w:id="402" w:name="_Toc246996315"/>
      <w:bookmarkStart w:id="403" w:name="_Toc296602561"/>
      <w:bookmarkStart w:id="404" w:name="_Toc246997058"/>
      <w:bookmarkStart w:id="405" w:name="_Toc247085830"/>
      <w:r>
        <w:rPr>
          <w:rFonts w:hint="eastAsia" w:ascii="黑体" w:eastAsia="黑体"/>
          <w:sz w:val="24"/>
        </w:rPr>
        <w:t>11.5</w:t>
      </w:r>
      <w:r>
        <w:rPr>
          <w:rFonts w:hint="eastAsia" w:ascii="黑体" w:eastAsia="黑体"/>
          <w:sz w:val="24"/>
        </w:rPr>
        <w:tab/>
      </w:r>
      <w:r>
        <w:rPr>
          <w:rFonts w:hint="eastAsia" w:ascii="黑体" w:eastAsia="黑体"/>
          <w:sz w:val="24"/>
        </w:rPr>
        <w:t>竣工清场</w:t>
      </w:r>
      <w:bookmarkEnd w:id="402"/>
      <w:bookmarkEnd w:id="403"/>
      <w:bookmarkEnd w:id="404"/>
      <w:bookmarkEnd w:id="405"/>
    </w:p>
    <w:p>
      <w:pPr>
        <w:snapToGrid w:val="0"/>
        <w:spacing w:beforeLines="50"/>
        <w:ind w:left="991" w:leftChars="472"/>
        <w:rPr>
          <w:rFonts w:ascii="宋体" w:hAnsi="宋体"/>
          <w:sz w:val="24"/>
        </w:rPr>
      </w:pPr>
      <w:r>
        <w:rPr>
          <w:rFonts w:hint="eastAsia" w:ascii="宋体" w:hAnsi="宋体"/>
          <w:sz w:val="24"/>
        </w:rPr>
        <w:t>除合同另有约定外，工程接收证书颁发后，承包人应对施工场地进行清理，直至监理人检验合格为止。竣工清场费用由承包人承担。</w:t>
      </w:r>
    </w:p>
    <w:p>
      <w:pPr>
        <w:snapToGrid w:val="0"/>
        <w:spacing w:beforeLines="50"/>
        <w:ind w:left="991" w:hanging="991" w:hangingChars="413"/>
        <w:jc w:val="left"/>
        <w:outlineLvl w:val="2"/>
        <w:rPr>
          <w:rFonts w:ascii="黑体" w:eastAsia="黑体"/>
          <w:sz w:val="24"/>
        </w:rPr>
      </w:pPr>
      <w:bookmarkStart w:id="406" w:name="_Toc296602562"/>
      <w:bookmarkStart w:id="407" w:name="_Toc247085831"/>
      <w:bookmarkStart w:id="408" w:name="_Toc246997059"/>
      <w:bookmarkStart w:id="409" w:name="_Toc184635116"/>
      <w:bookmarkStart w:id="410" w:name="_Toc246996316"/>
      <w:bookmarkStart w:id="411" w:name="_Toc1331"/>
      <w:bookmarkStart w:id="412" w:name="_Toc26485"/>
      <w:r>
        <w:rPr>
          <w:rFonts w:hint="eastAsia" w:ascii="黑体" w:eastAsia="黑体"/>
          <w:sz w:val="24"/>
        </w:rPr>
        <w:t>12.</w:t>
      </w:r>
      <w:r>
        <w:rPr>
          <w:rFonts w:hint="eastAsia" w:ascii="黑体" w:eastAsia="黑体"/>
          <w:sz w:val="24"/>
        </w:rPr>
        <w:tab/>
      </w:r>
      <w:r>
        <w:rPr>
          <w:rFonts w:hint="eastAsia" w:ascii="黑体" w:eastAsia="黑体"/>
          <w:sz w:val="24"/>
        </w:rPr>
        <w:t>缺陷责任与保修责任</w:t>
      </w:r>
      <w:bookmarkEnd w:id="406"/>
      <w:bookmarkEnd w:id="407"/>
      <w:bookmarkEnd w:id="408"/>
      <w:bookmarkEnd w:id="409"/>
      <w:bookmarkEnd w:id="410"/>
      <w:bookmarkEnd w:id="411"/>
      <w:bookmarkEnd w:id="412"/>
    </w:p>
    <w:p>
      <w:pPr>
        <w:snapToGrid w:val="0"/>
        <w:spacing w:beforeLines="50"/>
        <w:ind w:left="991" w:hanging="991" w:hangingChars="413"/>
        <w:jc w:val="left"/>
        <w:rPr>
          <w:rFonts w:ascii="黑体" w:eastAsia="黑体"/>
          <w:sz w:val="24"/>
        </w:rPr>
      </w:pPr>
      <w:bookmarkStart w:id="413" w:name="_Toc246997060"/>
      <w:bookmarkStart w:id="414" w:name="_Toc247085832"/>
      <w:bookmarkStart w:id="415" w:name="_Toc296602563"/>
      <w:bookmarkStart w:id="416" w:name="_Toc246996317"/>
      <w:r>
        <w:rPr>
          <w:rFonts w:hint="eastAsia" w:ascii="黑体" w:eastAsia="黑体"/>
          <w:sz w:val="24"/>
        </w:rPr>
        <w:t>12.1</w:t>
      </w:r>
      <w:r>
        <w:rPr>
          <w:rFonts w:hint="eastAsia" w:ascii="黑体" w:eastAsia="黑体"/>
          <w:sz w:val="24"/>
        </w:rPr>
        <w:tab/>
      </w:r>
      <w:r>
        <w:rPr>
          <w:rFonts w:hint="eastAsia" w:ascii="黑体" w:eastAsia="黑体"/>
          <w:sz w:val="24"/>
        </w:rPr>
        <w:t>缺陷责任</w:t>
      </w:r>
      <w:bookmarkEnd w:id="413"/>
      <w:bookmarkEnd w:id="414"/>
      <w:bookmarkEnd w:id="415"/>
      <w:bookmarkEnd w:id="416"/>
    </w:p>
    <w:p>
      <w:pPr>
        <w:snapToGrid w:val="0"/>
        <w:spacing w:beforeLines="50"/>
        <w:ind w:left="991" w:leftChars="472"/>
        <w:rPr>
          <w:rFonts w:ascii="宋体" w:hAnsi="宋体"/>
          <w:sz w:val="24"/>
        </w:rPr>
      </w:pPr>
      <w:r>
        <w:rPr>
          <w:rFonts w:hint="eastAsia" w:ascii="宋体" w:hAnsi="宋体"/>
          <w:sz w:val="24"/>
        </w:rPr>
        <w:t>缺陷责任自实际竣工日期起计算。在缺陷责任期内，已交付的工程</w:t>
      </w:r>
      <w:r>
        <w:rPr>
          <w:rFonts w:ascii="宋体" w:hAnsi="宋体"/>
          <w:sz w:val="24"/>
        </w:rPr>
        <w:t>由于</w:t>
      </w:r>
      <w:r>
        <w:rPr>
          <w:rFonts w:hint="eastAsia" w:ascii="宋体" w:hAnsi="宋体"/>
          <w:sz w:val="24"/>
        </w:rPr>
        <w:t>承包</w:t>
      </w:r>
      <w:r>
        <w:rPr>
          <w:rFonts w:ascii="宋体" w:hAnsi="宋体"/>
          <w:sz w:val="24"/>
        </w:rPr>
        <w:t>人的材料、设备或工艺不符合合同要求所产生的缺陷，修补费用由</w:t>
      </w:r>
      <w:r>
        <w:rPr>
          <w:rFonts w:hint="eastAsia" w:ascii="宋体" w:hAnsi="宋体"/>
          <w:sz w:val="24"/>
        </w:rPr>
        <w:t>承包</w:t>
      </w:r>
      <w:r>
        <w:rPr>
          <w:rFonts w:ascii="宋体" w:hAnsi="宋体"/>
          <w:sz w:val="24"/>
        </w:rPr>
        <w:t>人承担</w:t>
      </w:r>
      <w:r>
        <w:rPr>
          <w:rFonts w:hint="eastAsia" w:ascii="宋体" w:hAnsi="宋体"/>
          <w:sz w:val="24"/>
        </w:rPr>
        <w:t>。由于承包人原因造成某项缺陷或损坏使某项工程或工程设备不能按原定目标使用而需要再次检查、检验和修复的，发包人有权要求承包人相应延长缺陷责任期，但缺陷责任期最长不超过2年。</w:t>
      </w:r>
    </w:p>
    <w:p>
      <w:pPr>
        <w:snapToGrid w:val="0"/>
        <w:spacing w:beforeLines="50"/>
        <w:ind w:left="991" w:hanging="991" w:hangingChars="413"/>
        <w:jc w:val="left"/>
        <w:rPr>
          <w:rFonts w:ascii="黑体" w:eastAsia="黑体"/>
          <w:sz w:val="24"/>
        </w:rPr>
      </w:pPr>
      <w:bookmarkStart w:id="417" w:name="_Toc247085833"/>
      <w:bookmarkStart w:id="418" w:name="_Toc296602564"/>
      <w:bookmarkStart w:id="419" w:name="_Toc246996318"/>
      <w:bookmarkStart w:id="420" w:name="_Toc246997061"/>
      <w:r>
        <w:rPr>
          <w:rFonts w:hint="eastAsia" w:ascii="黑体" w:eastAsia="黑体"/>
          <w:sz w:val="24"/>
        </w:rPr>
        <w:t>12.2</w:t>
      </w:r>
      <w:r>
        <w:rPr>
          <w:rFonts w:hint="eastAsia" w:ascii="黑体" w:eastAsia="黑体"/>
          <w:sz w:val="24"/>
        </w:rPr>
        <w:tab/>
      </w:r>
      <w:r>
        <w:rPr>
          <w:rFonts w:hint="eastAsia" w:ascii="黑体" w:eastAsia="黑体"/>
          <w:sz w:val="24"/>
        </w:rPr>
        <w:t>保修责任</w:t>
      </w:r>
      <w:bookmarkEnd w:id="417"/>
      <w:bookmarkEnd w:id="418"/>
      <w:bookmarkEnd w:id="419"/>
      <w:bookmarkEnd w:id="420"/>
    </w:p>
    <w:p>
      <w:pPr>
        <w:snapToGrid w:val="0"/>
        <w:spacing w:beforeLines="50"/>
        <w:ind w:left="991" w:leftChars="472"/>
        <w:rPr>
          <w:rFonts w:ascii="宋体" w:hAnsi="宋体"/>
          <w:sz w:val="24"/>
        </w:rPr>
      </w:pPr>
      <w:r>
        <w:rPr>
          <w:rFonts w:hint="eastAsia" w:ascii="宋体" w:hAnsi="宋体"/>
          <w:sz w:val="24"/>
        </w:rPr>
        <w:t>合同当事人根据有关法律规定，在专用合同条款中约定工程质量保修范围、期限和责任。保修期自实际竣工日期起计算。</w:t>
      </w:r>
      <w:bookmarkStart w:id="421" w:name="_Toc247085834"/>
      <w:bookmarkStart w:id="422" w:name="_Toc246997062"/>
      <w:bookmarkStart w:id="423" w:name="_Toc184635117"/>
      <w:bookmarkStart w:id="424" w:name="_Toc246996319"/>
    </w:p>
    <w:p>
      <w:pPr>
        <w:snapToGrid w:val="0"/>
        <w:spacing w:beforeLines="50"/>
        <w:ind w:left="991" w:hanging="991" w:hangingChars="413"/>
        <w:jc w:val="left"/>
        <w:outlineLvl w:val="2"/>
        <w:rPr>
          <w:rFonts w:ascii="黑体" w:eastAsia="黑体"/>
          <w:sz w:val="24"/>
        </w:rPr>
      </w:pPr>
      <w:bookmarkStart w:id="425" w:name="_Toc22677"/>
      <w:bookmarkStart w:id="426" w:name="_Toc296602565"/>
      <w:bookmarkStart w:id="427" w:name="_Toc13951"/>
      <w:r>
        <w:rPr>
          <w:rFonts w:hint="eastAsia" w:ascii="黑体" w:eastAsia="黑体"/>
          <w:sz w:val="24"/>
        </w:rPr>
        <w:t>13.</w:t>
      </w:r>
      <w:r>
        <w:rPr>
          <w:rFonts w:hint="eastAsia" w:ascii="黑体" w:eastAsia="黑体"/>
          <w:sz w:val="24"/>
        </w:rPr>
        <w:tab/>
      </w:r>
      <w:r>
        <w:rPr>
          <w:rFonts w:hint="eastAsia" w:ascii="黑体" w:eastAsia="黑体"/>
          <w:sz w:val="24"/>
        </w:rPr>
        <w:t>保险</w:t>
      </w:r>
      <w:bookmarkEnd w:id="421"/>
      <w:bookmarkEnd w:id="422"/>
      <w:bookmarkEnd w:id="423"/>
      <w:bookmarkEnd w:id="424"/>
      <w:bookmarkEnd w:id="425"/>
      <w:bookmarkEnd w:id="426"/>
      <w:bookmarkEnd w:id="427"/>
    </w:p>
    <w:p>
      <w:pPr>
        <w:snapToGrid w:val="0"/>
        <w:spacing w:beforeLines="50"/>
        <w:ind w:left="991" w:hanging="991" w:hangingChars="413"/>
        <w:jc w:val="left"/>
        <w:rPr>
          <w:rFonts w:ascii="黑体" w:eastAsia="黑体"/>
          <w:sz w:val="24"/>
        </w:rPr>
      </w:pPr>
      <w:bookmarkStart w:id="428" w:name="_Toc246996320"/>
      <w:bookmarkStart w:id="429" w:name="_Toc246997063"/>
      <w:bookmarkStart w:id="430" w:name="_Toc296602566"/>
      <w:bookmarkStart w:id="431" w:name="_Toc247085835"/>
      <w:r>
        <w:rPr>
          <w:rFonts w:hint="eastAsia" w:ascii="黑体" w:eastAsia="黑体"/>
          <w:sz w:val="24"/>
        </w:rPr>
        <w:t>13.1</w:t>
      </w:r>
      <w:r>
        <w:rPr>
          <w:rFonts w:hint="eastAsia" w:ascii="黑体" w:eastAsia="黑体"/>
          <w:sz w:val="24"/>
        </w:rPr>
        <w:tab/>
      </w:r>
      <w:r>
        <w:rPr>
          <w:rFonts w:hint="eastAsia" w:ascii="黑体" w:eastAsia="黑体"/>
          <w:sz w:val="24"/>
        </w:rPr>
        <w:t>保险范围</w:t>
      </w:r>
      <w:bookmarkEnd w:id="428"/>
      <w:bookmarkEnd w:id="429"/>
      <w:bookmarkEnd w:id="430"/>
      <w:bookmarkEnd w:id="431"/>
    </w:p>
    <w:p>
      <w:pPr>
        <w:snapToGrid w:val="0"/>
        <w:spacing w:beforeLines="50"/>
        <w:ind w:left="991" w:hanging="991" w:hangingChars="413"/>
        <w:jc w:val="left"/>
        <w:rPr>
          <w:rFonts w:ascii="宋体" w:hAnsi="宋体"/>
          <w:sz w:val="24"/>
        </w:rPr>
      </w:pPr>
      <w:r>
        <w:rPr>
          <w:rFonts w:hint="eastAsia" w:ascii="宋体" w:hAnsi="宋体"/>
          <w:sz w:val="24"/>
        </w:rPr>
        <w:t>13.1.1</w:t>
      </w:r>
      <w:r>
        <w:rPr>
          <w:rFonts w:hint="eastAsia" w:ascii="宋体" w:hAnsi="宋体"/>
          <w:sz w:val="24"/>
        </w:rPr>
        <w:tab/>
      </w:r>
      <w:r>
        <w:rPr>
          <w:rFonts w:hint="eastAsia" w:ascii="宋体" w:hAnsi="宋体"/>
          <w:sz w:val="24"/>
        </w:rPr>
        <w:t>承包人按照专用合同条款的约定向双方同意的保险人投保建筑工程一切险或安装工程一切险等保险。具体的投保险种、保险范围、保险金额、保险费率、保险期限等有关内容应当在专用合同条款中明确约定。</w:t>
      </w:r>
    </w:p>
    <w:p>
      <w:pPr>
        <w:snapToGrid w:val="0"/>
        <w:spacing w:beforeLines="50"/>
        <w:ind w:left="991" w:hanging="991" w:hangingChars="413"/>
        <w:jc w:val="left"/>
        <w:rPr>
          <w:rFonts w:ascii="宋体" w:hAnsi="宋体"/>
          <w:sz w:val="24"/>
        </w:rPr>
      </w:pPr>
      <w:r>
        <w:rPr>
          <w:rFonts w:hint="eastAsia" w:ascii="宋体" w:hAnsi="宋体"/>
          <w:sz w:val="24"/>
        </w:rPr>
        <w:t>13.1.2</w:t>
      </w:r>
      <w:r>
        <w:rPr>
          <w:rFonts w:hint="eastAsia" w:ascii="宋体" w:hAnsi="宋体"/>
          <w:sz w:val="24"/>
        </w:rPr>
        <w:tab/>
      </w:r>
      <w:r>
        <w:rPr>
          <w:rFonts w:hint="eastAsia" w:ascii="宋体" w:hAnsi="宋体"/>
          <w:sz w:val="24"/>
        </w:rPr>
        <w:t>承包</w:t>
      </w:r>
      <w:r>
        <w:rPr>
          <w:rFonts w:ascii="宋体" w:hAnsi="宋体"/>
          <w:sz w:val="24"/>
        </w:rPr>
        <w:t>人应依照有关法律规定参加工伤保险和人身意外伤害险，为其履行合同所雇佣的全部人员，缴纳工伤保险费和</w:t>
      </w:r>
      <w:r>
        <w:rPr>
          <w:rFonts w:hint="eastAsia" w:ascii="宋体" w:hAnsi="宋体"/>
          <w:sz w:val="24"/>
        </w:rPr>
        <w:t>人身</w:t>
      </w:r>
      <w:r>
        <w:rPr>
          <w:rFonts w:ascii="宋体" w:hAnsi="宋体"/>
          <w:sz w:val="24"/>
        </w:rPr>
        <w:t>意外伤害险费。</w:t>
      </w:r>
    </w:p>
    <w:p>
      <w:pPr>
        <w:snapToGrid w:val="0"/>
        <w:spacing w:beforeLines="50"/>
        <w:ind w:left="991" w:hanging="991" w:hangingChars="413"/>
        <w:jc w:val="left"/>
        <w:rPr>
          <w:rFonts w:ascii="宋体" w:hAnsi="宋体"/>
          <w:sz w:val="24"/>
        </w:rPr>
      </w:pPr>
      <w:r>
        <w:rPr>
          <w:rFonts w:hint="eastAsia" w:ascii="宋体" w:hAnsi="宋体"/>
          <w:sz w:val="24"/>
        </w:rPr>
        <w:t>13.1.3</w:t>
      </w:r>
      <w:r>
        <w:rPr>
          <w:rFonts w:hint="eastAsia" w:ascii="宋体" w:hAnsi="宋体"/>
          <w:sz w:val="24"/>
        </w:rPr>
        <w:tab/>
      </w:r>
      <w:r>
        <w:rPr>
          <w:rFonts w:ascii="宋体" w:hAnsi="宋体"/>
          <w:sz w:val="24"/>
        </w:rPr>
        <w:t>发包人应依照有关法律规定参加工伤保险和人身意外伤害险，为其现场机构雇佣的全部人员，缴纳工伤保险费和人身意外伤害险费，并要求其监理人也进行此类保险</w:t>
      </w:r>
      <w:r>
        <w:rPr>
          <w:rFonts w:hint="eastAsia" w:ascii="宋体" w:hAnsi="宋体"/>
          <w:sz w:val="24"/>
        </w:rPr>
        <w:t>。</w:t>
      </w:r>
    </w:p>
    <w:p>
      <w:pPr>
        <w:snapToGrid w:val="0"/>
        <w:spacing w:beforeLines="50"/>
        <w:ind w:left="991" w:hanging="991" w:hangingChars="413"/>
        <w:jc w:val="left"/>
        <w:rPr>
          <w:rFonts w:ascii="黑体" w:eastAsia="黑体"/>
          <w:sz w:val="24"/>
        </w:rPr>
      </w:pPr>
      <w:bookmarkStart w:id="432" w:name="_Toc246996321"/>
      <w:bookmarkStart w:id="433" w:name="_Toc246997064"/>
      <w:bookmarkStart w:id="434" w:name="_Toc296602567"/>
      <w:bookmarkStart w:id="435" w:name="_Toc247085836"/>
      <w:r>
        <w:rPr>
          <w:rFonts w:hint="eastAsia" w:ascii="黑体" w:eastAsia="黑体"/>
          <w:sz w:val="24"/>
        </w:rPr>
        <w:t>13.2</w:t>
      </w:r>
      <w:r>
        <w:rPr>
          <w:rFonts w:hint="eastAsia" w:ascii="黑体" w:eastAsia="黑体"/>
          <w:sz w:val="24"/>
        </w:rPr>
        <w:tab/>
      </w:r>
      <w:r>
        <w:rPr>
          <w:rFonts w:ascii="黑体" w:eastAsia="黑体"/>
          <w:sz w:val="24"/>
        </w:rPr>
        <w:t>未办理保</w:t>
      </w:r>
      <w:r>
        <w:rPr>
          <w:rFonts w:hint="eastAsia" w:ascii="黑体" w:eastAsia="黑体"/>
          <w:sz w:val="24"/>
        </w:rPr>
        <w:t>险</w:t>
      </w:r>
      <w:bookmarkEnd w:id="432"/>
      <w:bookmarkEnd w:id="433"/>
      <w:bookmarkEnd w:id="434"/>
      <w:bookmarkEnd w:id="435"/>
    </w:p>
    <w:p>
      <w:pPr>
        <w:snapToGrid w:val="0"/>
        <w:spacing w:beforeLines="50"/>
        <w:ind w:left="991" w:hanging="991" w:hangingChars="413"/>
        <w:jc w:val="left"/>
        <w:rPr>
          <w:rFonts w:ascii="宋体" w:hAnsi="宋体"/>
          <w:sz w:val="24"/>
        </w:rPr>
      </w:pPr>
      <w:bookmarkStart w:id="436" w:name="_Toc184635118"/>
      <w:r>
        <w:rPr>
          <w:rFonts w:hint="eastAsia" w:ascii="宋体" w:hAnsi="宋体"/>
          <w:sz w:val="24"/>
        </w:rPr>
        <w:t>13.2.1</w:t>
      </w:r>
      <w:r>
        <w:rPr>
          <w:rFonts w:hint="eastAsia" w:ascii="宋体" w:hAnsi="宋体"/>
          <w:sz w:val="24"/>
        </w:rPr>
        <w:tab/>
      </w:r>
      <w:r>
        <w:rPr>
          <w:rFonts w:ascii="宋体" w:hAnsi="宋体"/>
          <w:sz w:val="24"/>
        </w:rPr>
        <w:t>由于负有投保义务的一方当事人未按合同约定办理保险，或未能使保险持续有效的，另一方当事人可代为办理，所需费用由对方当事人承担。</w:t>
      </w:r>
    </w:p>
    <w:p>
      <w:pPr>
        <w:snapToGrid w:val="0"/>
        <w:spacing w:beforeLines="50"/>
        <w:ind w:left="991" w:hanging="991" w:hangingChars="413"/>
        <w:jc w:val="left"/>
        <w:rPr>
          <w:rFonts w:ascii="宋体" w:hAnsi="宋体"/>
          <w:sz w:val="24"/>
        </w:rPr>
      </w:pPr>
      <w:r>
        <w:rPr>
          <w:rFonts w:hint="eastAsia" w:ascii="宋体" w:hAnsi="宋体"/>
          <w:sz w:val="24"/>
        </w:rPr>
        <w:t>13.2.2</w:t>
      </w:r>
      <w:r>
        <w:rPr>
          <w:rFonts w:hint="eastAsia" w:ascii="宋体" w:hAnsi="宋体"/>
          <w:sz w:val="24"/>
        </w:rPr>
        <w:tab/>
      </w:r>
      <w:r>
        <w:rPr>
          <w:rFonts w:ascii="宋体" w:hAnsi="宋体"/>
          <w:sz w:val="24"/>
        </w:rPr>
        <w:t>由于负有投保义务的一方当事人未按合同约定办理某项保险，导致受益人未能得到保险人的赔偿，原应从该项保险得到的保险金应由负有投保义务的一方当事人支付</w:t>
      </w:r>
      <w:r>
        <w:rPr>
          <w:rFonts w:hint="eastAsia" w:ascii="宋体" w:hAnsi="宋体"/>
          <w:sz w:val="24"/>
        </w:rPr>
        <w:t>。</w:t>
      </w:r>
    </w:p>
    <w:bookmarkEnd w:id="436"/>
    <w:p>
      <w:pPr>
        <w:snapToGrid w:val="0"/>
        <w:spacing w:beforeLines="50"/>
        <w:ind w:left="991" w:hanging="991" w:hangingChars="413"/>
        <w:jc w:val="left"/>
        <w:outlineLvl w:val="2"/>
        <w:rPr>
          <w:rFonts w:ascii="黑体" w:eastAsia="黑体"/>
          <w:sz w:val="24"/>
        </w:rPr>
      </w:pPr>
      <w:bookmarkStart w:id="437" w:name="_Toc247527781"/>
      <w:bookmarkStart w:id="438" w:name="_Toc296602568"/>
      <w:bookmarkStart w:id="439" w:name="_Toc247514180"/>
      <w:bookmarkStart w:id="440" w:name="_Toc271821895"/>
      <w:bookmarkStart w:id="441" w:name="_Toc7229"/>
      <w:bookmarkStart w:id="442" w:name="_Toc5392"/>
      <w:bookmarkStart w:id="443" w:name="_Toc246997065"/>
      <w:bookmarkStart w:id="444" w:name="_Toc247085837"/>
      <w:bookmarkStart w:id="445" w:name="_Toc184635119"/>
      <w:bookmarkStart w:id="446" w:name="_Toc246996322"/>
      <w:r>
        <w:rPr>
          <w:rFonts w:hint="eastAsia" w:ascii="黑体" w:eastAsia="黑体"/>
          <w:sz w:val="24"/>
        </w:rPr>
        <w:t>14.</w:t>
      </w:r>
      <w:r>
        <w:rPr>
          <w:rFonts w:hint="eastAsia" w:ascii="黑体" w:eastAsia="黑体"/>
          <w:sz w:val="24"/>
        </w:rPr>
        <w:tab/>
      </w:r>
      <w:r>
        <w:rPr>
          <w:rFonts w:hint="eastAsia" w:ascii="黑体" w:eastAsia="黑体"/>
          <w:sz w:val="24"/>
        </w:rPr>
        <w:t>不可抗力</w:t>
      </w:r>
      <w:bookmarkEnd w:id="437"/>
      <w:bookmarkEnd w:id="438"/>
      <w:bookmarkEnd w:id="439"/>
      <w:bookmarkEnd w:id="440"/>
      <w:bookmarkEnd w:id="441"/>
      <w:bookmarkEnd w:id="442"/>
    </w:p>
    <w:p>
      <w:pPr>
        <w:snapToGrid w:val="0"/>
        <w:spacing w:beforeLines="50"/>
        <w:ind w:left="991" w:hanging="991" w:hangingChars="413"/>
        <w:jc w:val="left"/>
        <w:rPr>
          <w:rFonts w:ascii="黑体" w:eastAsia="黑体"/>
          <w:sz w:val="24"/>
        </w:rPr>
      </w:pPr>
      <w:bookmarkStart w:id="447" w:name="_Toc247527782"/>
      <w:bookmarkStart w:id="448" w:name="_Toc247514181"/>
      <w:bookmarkStart w:id="449" w:name="_Toc296602569"/>
      <w:bookmarkStart w:id="450" w:name="_Toc271821896"/>
      <w:r>
        <w:rPr>
          <w:rFonts w:hint="eastAsia" w:ascii="黑体" w:eastAsia="黑体"/>
          <w:sz w:val="24"/>
        </w:rPr>
        <w:t>14.1</w:t>
      </w:r>
      <w:r>
        <w:rPr>
          <w:rFonts w:hint="eastAsia" w:ascii="黑体" w:eastAsia="黑体"/>
          <w:sz w:val="24"/>
        </w:rPr>
        <w:tab/>
      </w:r>
      <w:r>
        <w:rPr>
          <w:rFonts w:hint="eastAsia" w:ascii="黑体" w:eastAsia="黑体"/>
          <w:sz w:val="24"/>
        </w:rPr>
        <w:t>不可抗力的确认</w:t>
      </w:r>
      <w:bookmarkEnd w:id="447"/>
      <w:bookmarkEnd w:id="448"/>
      <w:bookmarkEnd w:id="449"/>
      <w:bookmarkEnd w:id="450"/>
    </w:p>
    <w:p>
      <w:pPr>
        <w:snapToGrid w:val="0"/>
        <w:spacing w:beforeLines="50"/>
        <w:ind w:left="991" w:hanging="991" w:hangingChars="413"/>
        <w:jc w:val="left"/>
        <w:rPr>
          <w:rFonts w:ascii="宋体" w:hAnsi="宋体"/>
          <w:sz w:val="24"/>
        </w:rPr>
      </w:pPr>
      <w:r>
        <w:rPr>
          <w:rFonts w:hint="eastAsia" w:ascii="宋体" w:hAnsi="宋体"/>
          <w:sz w:val="24"/>
        </w:rPr>
        <w:t>14.1.1</w:t>
      </w:r>
      <w:r>
        <w:rPr>
          <w:rFonts w:hint="eastAsia" w:ascii="宋体" w:hAnsi="宋体"/>
          <w:sz w:val="24"/>
        </w:rPr>
        <w:tab/>
      </w:r>
      <w:r>
        <w:rPr>
          <w:rFonts w:hint="eastAsia" w:ascii="宋体" w:hAnsi="宋体"/>
          <w:sz w:val="24"/>
        </w:rPr>
        <w:t>不可抗力是指承包人和发包人在订立合同时不可预见，在履行合同过程中不可避免发生并不能克服的自然灾害和社会性突发事件，如地震、海啸、瘟疫、水灾、骚乱、暴动、战争和专用合同条款约定的其他情形。</w:t>
      </w:r>
    </w:p>
    <w:p>
      <w:pPr>
        <w:snapToGrid w:val="0"/>
        <w:spacing w:beforeLines="50"/>
        <w:ind w:left="991" w:hanging="991" w:hangingChars="413"/>
        <w:jc w:val="left"/>
        <w:rPr>
          <w:rFonts w:ascii="宋体" w:hAnsi="宋体"/>
          <w:sz w:val="24"/>
        </w:rPr>
      </w:pPr>
      <w:r>
        <w:rPr>
          <w:rFonts w:hint="eastAsia" w:ascii="宋体" w:hAnsi="宋体"/>
          <w:sz w:val="24"/>
        </w:rPr>
        <w:t>14.1.2</w:t>
      </w:r>
      <w:r>
        <w:rPr>
          <w:rFonts w:hint="eastAsia" w:ascii="宋体" w:hAnsi="宋体"/>
          <w:sz w:val="24"/>
        </w:rPr>
        <w:tab/>
      </w:r>
      <w:r>
        <w:rPr>
          <w:rFonts w:hint="eastAsia" w:ascii="宋体" w:hAnsi="宋体"/>
          <w:sz w:val="24"/>
        </w:rPr>
        <w:t>不可抗力发生后，发包人和承包人应及时认真统计所造成的损失，收集不可抗力造成损失的证据。合同双方对是否属于不可抗力或其损失的意见不一致的，由监理人按第3.5款商定或确定。发生争议时，按第17条的约定执行。</w:t>
      </w:r>
    </w:p>
    <w:p>
      <w:pPr>
        <w:snapToGrid w:val="0"/>
        <w:spacing w:beforeLines="50"/>
        <w:ind w:left="991" w:hanging="991" w:hangingChars="413"/>
        <w:jc w:val="left"/>
        <w:rPr>
          <w:rFonts w:ascii="黑体" w:eastAsia="黑体"/>
          <w:sz w:val="24"/>
        </w:rPr>
      </w:pPr>
      <w:bookmarkStart w:id="451" w:name="_Toc247527783"/>
      <w:bookmarkStart w:id="452" w:name="_Toc271821897"/>
      <w:bookmarkStart w:id="453" w:name="_Toc247514182"/>
      <w:bookmarkStart w:id="454" w:name="_Toc296602570"/>
      <w:r>
        <w:rPr>
          <w:rFonts w:hint="eastAsia" w:ascii="黑体" w:eastAsia="黑体"/>
          <w:sz w:val="24"/>
        </w:rPr>
        <w:t>14.2</w:t>
      </w:r>
      <w:r>
        <w:rPr>
          <w:rFonts w:hint="eastAsia" w:ascii="黑体" w:eastAsia="黑体"/>
          <w:sz w:val="24"/>
        </w:rPr>
        <w:tab/>
      </w:r>
      <w:r>
        <w:rPr>
          <w:rFonts w:hint="eastAsia" w:ascii="黑体" w:eastAsia="黑体"/>
          <w:sz w:val="24"/>
        </w:rPr>
        <w:t>不可抗力的通知</w:t>
      </w:r>
      <w:bookmarkEnd w:id="451"/>
      <w:bookmarkEnd w:id="452"/>
      <w:bookmarkEnd w:id="453"/>
      <w:bookmarkEnd w:id="454"/>
    </w:p>
    <w:p>
      <w:pPr>
        <w:snapToGrid w:val="0"/>
        <w:spacing w:beforeLines="50"/>
        <w:ind w:left="850" w:leftChars="405"/>
        <w:rPr>
          <w:rFonts w:ascii="宋体" w:hAnsi="宋体"/>
          <w:sz w:val="24"/>
        </w:rPr>
      </w:pPr>
      <w:r>
        <w:rPr>
          <w:rFonts w:hint="eastAsia" w:ascii="宋体" w:hAnsi="宋体"/>
          <w:sz w:val="24"/>
        </w:rPr>
        <w:t>合同一方当事人遇到不可抗力事件，使其履行合同义务受到阻碍时，应立即通知合同另一方当事人和监理人，书面说明不可抗力和受阻碍的详细情况，并提供必要的证明。如不可抗力持续发生，合同一方当事人应及时向合同另一方当事人和监理人提交中间报告，说明不可抗力和履行合同受阻的情况，并于不可抗力事件结束后14天内提交最终报告及有关资料。</w:t>
      </w:r>
    </w:p>
    <w:p>
      <w:pPr>
        <w:snapToGrid w:val="0"/>
        <w:spacing w:beforeLines="50"/>
        <w:ind w:left="991" w:hanging="991" w:hangingChars="413"/>
        <w:jc w:val="left"/>
        <w:rPr>
          <w:rFonts w:ascii="黑体" w:eastAsia="黑体"/>
          <w:sz w:val="24"/>
        </w:rPr>
      </w:pPr>
      <w:bookmarkStart w:id="455" w:name="_Toc247514183"/>
      <w:bookmarkStart w:id="456" w:name="_Toc271821898"/>
      <w:bookmarkStart w:id="457" w:name="_Toc296602571"/>
      <w:bookmarkStart w:id="458" w:name="_Toc247527784"/>
      <w:r>
        <w:rPr>
          <w:rFonts w:hint="eastAsia" w:ascii="黑体" w:eastAsia="黑体"/>
          <w:sz w:val="24"/>
        </w:rPr>
        <w:t>14.3</w:t>
      </w:r>
      <w:r>
        <w:rPr>
          <w:rFonts w:hint="eastAsia" w:ascii="黑体" w:eastAsia="黑体"/>
          <w:sz w:val="24"/>
        </w:rPr>
        <w:tab/>
      </w:r>
      <w:r>
        <w:rPr>
          <w:rFonts w:hint="eastAsia" w:ascii="黑体" w:eastAsia="黑体"/>
          <w:sz w:val="24"/>
        </w:rPr>
        <w:t>不可抗力后果及其处理</w:t>
      </w:r>
      <w:bookmarkEnd w:id="455"/>
      <w:bookmarkEnd w:id="456"/>
      <w:bookmarkEnd w:id="457"/>
      <w:bookmarkEnd w:id="458"/>
    </w:p>
    <w:p>
      <w:pPr>
        <w:snapToGrid w:val="0"/>
        <w:spacing w:beforeLines="50"/>
        <w:ind w:left="991" w:leftChars="472"/>
        <w:rPr>
          <w:rFonts w:ascii="宋体" w:hAnsi="宋体"/>
          <w:sz w:val="24"/>
        </w:rPr>
      </w:pPr>
      <w:r>
        <w:rPr>
          <w:rFonts w:hint="eastAsia" w:ascii="宋体" w:hAnsi="宋体"/>
          <w:sz w:val="24"/>
        </w:rPr>
        <w:t>除专用合同条款另有约定外，不可抗力导致的人员伤亡、财产损失、费用增加和（或）工期延误等后果，由合同双方按以下原则承担：</w:t>
      </w:r>
    </w:p>
    <w:p>
      <w:pPr>
        <w:snapToGrid w:val="0"/>
        <w:spacing w:beforeLines="50"/>
        <w:ind w:left="1591" w:leftChars="472" w:hanging="600" w:hangingChars="250"/>
        <w:rPr>
          <w:rFonts w:ascii="宋体" w:hAnsi="宋体"/>
          <w:sz w:val="24"/>
        </w:rPr>
      </w:pPr>
      <w:r>
        <w:rPr>
          <w:rFonts w:hint="eastAsia" w:ascii="宋体" w:hAnsi="宋体"/>
          <w:sz w:val="24"/>
        </w:rPr>
        <w:t>（1）永久工程，包括已运至施工场地的材料和工程设备的损害，以及因工程损害造成的第三者人员伤亡和财产损失由发包人承担；</w:t>
      </w:r>
    </w:p>
    <w:p>
      <w:pPr>
        <w:snapToGrid w:val="0"/>
        <w:spacing w:beforeLines="50"/>
        <w:ind w:left="1591" w:leftChars="472" w:hanging="600" w:hangingChars="250"/>
        <w:rPr>
          <w:rFonts w:ascii="宋体" w:hAnsi="宋体"/>
          <w:sz w:val="24"/>
        </w:rPr>
      </w:pPr>
      <w:r>
        <w:rPr>
          <w:rFonts w:hint="eastAsia" w:ascii="宋体" w:hAnsi="宋体"/>
          <w:sz w:val="24"/>
        </w:rPr>
        <w:t>（2）承包人设备的损坏由承包人承担；</w:t>
      </w:r>
    </w:p>
    <w:p>
      <w:pPr>
        <w:snapToGrid w:val="0"/>
        <w:spacing w:beforeLines="50"/>
        <w:ind w:left="1591" w:leftChars="472" w:hanging="600" w:hangingChars="250"/>
        <w:rPr>
          <w:rFonts w:ascii="宋体" w:hAnsi="宋体"/>
          <w:sz w:val="24"/>
        </w:rPr>
      </w:pPr>
      <w:r>
        <w:rPr>
          <w:rFonts w:hint="eastAsia" w:ascii="宋体" w:hAnsi="宋体"/>
          <w:sz w:val="24"/>
        </w:rPr>
        <w:t>（3）发包人和承包人各自承担其人员伤亡和其他财产损失及其相关费用；</w:t>
      </w:r>
    </w:p>
    <w:p>
      <w:pPr>
        <w:snapToGrid w:val="0"/>
        <w:spacing w:beforeLines="50"/>
        <w:ind w:left="1591" w:leftChars="472" w:hanging="600" w:hangingChars="250"/>
        <w:rPr>
          <w:rFonts w:ascii="宋体" w:hAnsi="宋体"/>
          <w:sz w:val="24"/>
        </w:rPr>
      </w:pPr>
      <w:r>
        <w:rPr>
          <w:rFonts w:hint="eastAsia" w:ascii="宋体" w:hAnsi="宋体"/>
          <w:sz w:val="24"/>
        </w:rPr>
        <w:t>（4）承包人的停工损失由承包人承担，但停工期间应监理人要求照管工程和清理、修复工程的金额由发包人承担；</w:t>
      </w:r>
    </w:p>
    <w:p>
      <w:pPr>
        <w:snapToGrid w:val="0"/>
        <w:spacing w:beforeLines="50"/>
        <w:ind w:left="1591" w:leftChars="472" w:hanging="600" w:hangingChars="250"/>
        <w:rPr>
          <w:rFonts w:ascii="宋体" w:hAnsi="宋体"/>
          <w:sz w:val="24"/>
        </w:rPr>
      </w:pPr>
      <w:r>
        <w:rPr>
          <w:rFonts w:hint="eastAsia" w:ascii="宋体" w:hAnsi="宋体"/>
          <w:sz w:val="24"/>
        </w:rPr>
        <w:t>（5）不能按期竣工的，应合理延长工期，承包人不需支付逾期竣工违约金。发包人要求赶工的，承包人应采取赶工措施，赶工费用由发包人承担。</w:t>
      </w:r>
    </w:p>
    <w:p>
      <w:pPr>
        <w:snapToGrid w:val="0"/>
        <w:spacing w:beforeLines="50"/>
        <w:ind w:left="991" w:hanging="991" w:hangingChars="413"/>
        <w:jc w:val="left"/>
        <w:outlineLvl w:val="2"/>
        <w:rPr>
          <w:rFonts w:ascii="黑体" w:eastAsia="黑体"/>
          <w:sz w:val="24"/>
        </w:rPr>
      </w:pPr>
      <w:bookmarkStart w:id="459" w:name="_Toc296602572"/>
      <w:bookmarkStart w:id="460" w:name="_Toc1036"/>
      <w:bookmarkStart w:id="461" w:name="_Toc1"/>
      <w:r>
        <w:rPr>
          <w:rFonts w:hint="eastAsia" w:ascii="黑体" w:eastAsia="黑体"/>
          <w:sz w:val="24"/>
        </w:rPr>
        <w:t>15.</w:t>
      </w:r>
      <w:r>
        <w:rPr>
          <w:rFonts w:hint="eastAsia" w:ascii="黑体" w:eastAsia="黑体"/>
          <w:sz w:val="24"/>
        </w:rPr>
        <w:tab/>
      </w:r>
      <w:r>
        <w:rPr>
          <w:rFonts w:hint="eastAsia" w:ascii="黑体" w:eastAsia="黑体"/>
          <w:sz w:val="24"/>
        </w:rPr>
        <w:t>违约</w:t>
      </w:r>
      <w:bookmarkEnd w:id="443"/>
      <w:bookmarkEnd w:id="444"/>
      <w:bookmarkEnd w:id="445"/>
      <w:bookmarkEnd w:id="446"/>
      <w:bookmarkEnd w:id="459"/>
      <w:bookmarkEnd w:id="460"/>
      <w:bookmarkEnd w:id="461"/>
    </w:p>
    <w:p>
      <w:pPr>
        <w:snapToGrid w:val="0"/>
        <w:spacing w:beforeLines="50"/>
        <w:ind w:left="991" w:hanging="991" w:hangingChars="413"/>
        <w:jc w:val="left"/>
        <w:rPr>
          <w:rFonts w:ascii="黑体" w:eastAsia="黑体"/>
          <w:sz w:val="24"/>
        </w:rPr>
      </w:pPr>
      <w:bookmarkStart w:id="462" w:name="_Toc296602573"/>
      <w:bookmarkStart w:id="463" w:name="_Toc246996323"/>
      <w:bookmarkStart w:id="464" w:name="_Toc247085838"/>
      <w:bookmarkStart w:id="465" w:name="_Toc246997066"/>
      <w:r>
        <w:rPr>
          <w:rFonts w:hint="eastAsia" w:ascii="黑体" w:eastAsia="黑体"/>
          <w:sz w:val="24"/>
        </w:rPr>
        <w:t>15.1</w:t>
      </w:r>
      <w:r>
        <w:rPr>
          <w:rFonts w:hint="eastAsia" w:ascii="黑体" w:eastAsia="黑体"/>
          <w:sz w:val="24"/>
        </w:rPr>
        <w:tab/>
      </w:r>
      <w:r>
        <w:rPr>
          <w:rFonts w:hint="eastAsia" w:ascii="黑体" w:eastAsia="黑体"/>
          <w:sz w:val="24"/>
        </w:rPr>
        <w:t>承包人违约</w:t>
      </w:r>
      <w:bookmarkEnd w:id="462"/>
      <w:bookmarkEnd w:id="463"/>
      <w:bookmarkEnd w:id="464"/>
      <w:bookmarkEnd w:id="465"/>
    </w:p>
    <w:p>
      <w:pPr>
        <w:snapToGrid w:val="0"/>
        <w:spacing w:beforeLines="50"/>
        <w:ind w:left="991" w:hanging="991" w:hangingChars="413"/>
        <w:jc w:val="left"/>
        <w:rPr>
          <w:rFonts w:ascii="宋体" w:hAnsi="宋体"/>
          <w:sz w:val="24"/>
        </w:rPr>
      </w:pPr>
      <w:r>
        <w:rPr>
          <w:rFonts w:hint="eastAsia" w:ascii="宋体" w:hAnsi="宋体"/>
          <w:sz w:val="24"/>
        </w:rPr>
        <w:t>15.1.1</w:t>
      </w:r>
      <w:r>
        <w:rPr>
          <w:rFonts w:hint="eastAsia" w:ascii="宋体" w:hAnsi="宋体"/>
          <w:sz w:val="24"/>
        </w:rPr>
        <w:tab/>
      </w:r>
      <w:r>
        <w:rPr>
          <w:rFonts w:ascii="宋体" w:hAnsi="宋体"/>
          <w:sz w:val="24"/>
        </w:rPr>
        <w:t>如果</w:t>
      </w:r>
      <w:r>
        <w:rPr>
          <w:rFonts w:hint="eastAsia" w:ascii="宋体" w:hAnsi="宋体"/>
          <w:sz w:val="24"/>
        </w:rPr>
        <w:t>承包</w:t>
      </w:r>
      <w:r>
        <w:rPr>
          <w:rFonts w:ascii="宋体" w:hAnsi="宋体"/>
          <w:sz w:val="24"/>
        </w:rPr>
        <w:t>人拒绝或未能遵守监理人的指示，或未能按合同进度计划及时完成合同约定的工作，已造成或预期造成工期延误，或违反合同不顾书面警告，监理人可发出通知</w:t>
      </w:r>
      <w:r>
        <w:rPr>
          <w:rFonts w:hint="eastAsia" w:ascii="宋体" w:hAnsi="宋体"/>
          <w:sz w:val="24"/>
        </w:rPr>
        <w:t>，告知</w:t>
      </w:r>
      <w:r>
        <w:rPr>
          <w:rFonts w:ascii="宋体" w:hAnsi="宋体"/>
          <w:sz w:val="24"/>
        </w:rPr>
        <w:t>承包人违约</w:t>
      </w:r>
      <w:r>
        <w:rPr>
          <w:rFonts w:hint="eastAsia" w:ascii="宋体" w:hAnsi="宋体"/>
          <w:sz w:val="24"/>
        </w:rPr>
        <w:t>。</w:t>
      </w:r>
    </w:p>
    <w:p>
      <w:pPr>
        <w:snapToGrid w:val="0"/>
        <w:spacing w:beforeLines="50"/>
        <w:ind w:left="991" w:hanging="991" w:hangingChars="413"/>
        <w:jc w:val="left"/>
        <w:rPr>
          <w:rFonts w:ascii="宋体" w:hAnsi="宋体"/>
          <w:sz w:val="24"/>
        </w:rPr>
      </w:pPr>
      <w:r>
        <w:rPr>
          <w:rFonts w:hint="eastAsia" w:ascii="宋体" w:hAnsi="宋体"/>
          <w:sz w:val="24"/>
        </w:rPr>
        <w:t>15.1.2</w:t>
      </w:r>
      <w:r>
        <w:rPr>
          <w:rFonts w:hint="eastAsia" w:ascii="宋体" w:hAnsi="宋体"/>
          <w:sz w:val="24"/>
        </w:rPr>
        <w:tab/>
      </w:r>
      <w:r>
        <w:rPr>
          <w:rFonts w:ascii="宋体" w:hAnsi="宋体"/>
          <w:sz w:val="24"/>
        </w:rPr>
        <w:t>如果</w:t>
      </w:r>
      <w:r>
        <w:rPr>
          <w:rFonts w:hint="eastAsia" w:ascii="宋体" w:hAnsi="宋体"/>
          <w:sz w:val="24"/>
        </w:rPr>
        <w:t>承包</w:t>
      </w:r>
      <w:r>
        <w:rPr>
          <w:rFonts w:ascii="宋体" w:hAnsi="宋体"/>
          <w:sz w:val="24"/>
        </w:rPr>
        <w:t>人在收到监理人通知后21天内，没有采取可行的措施纠正违约，发包人可向</w:t>
      </w:r>
      <w:r>
        <w:rPr>
          <w:rFonts w:hint="eastAsia" w:ascii="宋体" w:hAnsi="宋体"/>
          <w:sz w:val="24"/>
        </w:rPr>
        <w:t>承包</w:t>
      </w:r>
      <w:r>
        <w:rPr>
          <w:rFonts w:ascii="宋体" w:hAnsi="宋体"/>
          <w:sz w:val="24"/>
        </w:rPr>
        <w:t>人发出解除合同通知。发包人因继续完成该工程的需要，有权扣留使用承包人在现场的材料、设备</w:t>
      </w:r>
      <w:r>
        <w:rPr>
          <w:rFonts w:hint="eastAsia" w:ascii="宋体" w:hAnsi="宋体"/>
          <w:sz w:val="24"/>
        </w:rPr>
        <w:t>和</w:t>
      </w:r>
      <w:r>
        <w:rPr>
          <w:rFonts w:ascii="宋体" w:hAnsi="宋体"/>
          <w:sz w:val="24"/>
        </w:rPr>
        <w:t>临时设施。但发包人的这一行动不免除</w:t>
      </w:r>
      <w:r>
        <w:rPr>
          <w:rFonts w:hint="eastAsia" w:ascii="宋体" w:hAnsi="宋体"/>
          <w:sz w:val="24"/>
        </w:rPr>
        <w:t>承包</w:t>
      </w:r>
      <w:r>
        <w:rPr>
          <w:rFonts w:ascii="宋体" w:hAnsi="宋体"/>
          <w:sz w:val="24"/>
        </w:rPr>
        <w:t>人应承担的违约责任，也不影响发包人根据合同约定享有的索赔权利</w:t>
      </w:r>
      <w:r>
        <w:rPr>
          <w:rFonts w:hint="eastAsia" w:ascii="宋体" w:hAnsi="宋体"/>
          <w:sz w:val="24"/>
        </w:rPr>
        <w:t>。</w:t>
      </w:r>
    </w:p>
    <w:p>
      <w:pPr>
        <w:snapToGrid w:val="0"/>
        <w:spacing w:beforeLines="50"/>
        <w:ind w:left="991" w:hanging="991" w:hangingChars="413"/>
        <w:jc w:val="left"/>
        <w:rPr>
          <w:rFonts w:ascii="黑体" w:eastAsia="黑体"/>
          <w:sz w:val="24"/>
        </w:rPr>
      </w:pPr>
      <w:bookmarkStart w:id="466" w:name="_Toc296602574"/>
      <w:bookmarkStart w:id="467" w:name="_Toc247085839"/>
      <w:bookmarkStart w:id="468" w:name="_Toc246996324"/>
      <w:bookmarkStart w:id="469" w:name="_Toc246997067"/>
      <w:r>
        <w:rPr>
          <w:rFonts w:hint="eastAsia" w:ascii="黑体" w:eastAsia="黑体"/>
          <w:sz w:val="24"/>
        </w:rPr>
        <w:t>15.2</w:t>
      </w:r>
      <w:r>
        <w:rPr>
          <w:rFonts w:hint="eastAsia" w:ascii="黑体" w:eastAsia="黑体"/>
          <w:sz w:val="24"/>
        </w:rPr>
        <w:tab/>
      </w:r>
      <w:r>
        <w:rPr>
          <w:rFonts w:hint="eastAsia" w:ascii="黑体" w:eastAsia="黑体"/>
          <w:sz w:val="24"/>
        </w:rPr>
        <w:t>发包人违约</w:t>
      </w:r>
      <w:bookmarkEnd w:id="466"/>
      <w:bookmarkEnd w:id="467"/>
      <w:bookmarkEnd w:id="468"/>
      <w:bookmarkEnd w:id="469"/>
    </w:p>
    <w:p>
      <w:pPr>
        <w:snapToGrid w:val="0"/>
        <w:spacing w:beforeLines="50"/>
        <w:ind w:left="991" w:hanging="991" w:hangingChars="413"/>
        <w:jc w:val="left"/>
        <w:rPr>
          <w:rFonts w:ascii="宋体" w:hAnsi="宋体"/>
          <w:sz w:val="24"/>
        </w:rPr>
      </w:pPr>
      <w:r>
        <w:rPr>
          <w:rFonts w:hint="eastAsia" w:ascii="宋体" w:hAnsi="宋体"/>
          <w:sz w:val="24"/>
        </w:rPr>
        <w:t>15.2.1</w:t>
      </w:r>
      <w:r>
        <w:rPr>
          <w:rFonts w:hint="eastAsia" w:ascii="宋体" w:hAnsi="宋体"/>
          <w:sz w:val="24"/>
        </w:rPr>
        <w:tab/>
      </w:r>
      <w:r>
        <w:rPr>
          <w:rFonts w:ascii="宋体" w:hAnsi="宋体"/>
          <w:sz w:val="24"/>
        </w:rPr>
        <w:t>如果发包人未能按合同付款，或违反合同不顾书面警告，承包人可发出通知</w:t>
      </w:r>
      <w:r>
        <w:rPr>
          <w:rFonts w:hint="eastAsia" w:ascii="宋体" w:hAnsi="宋体"/>
          <w:sz w:val="24"/>
        </w:rPr>
        <w:t>，告知</w:t>
      </w:r>
      <w:r>
        <w:rPr>
          <w:rFonts w:ascii="宋体" w:hAnsi="宋体"/>
          <w:sz w:val="24"/>
        </w:rPr>
        <w:t>发包人违约。如果发包人在收到该通知后14天内</w:t>
      </w:r>
      <w:r>
        <w:rPr>
          <w:rFonts w:hint="eastAsia" w:ascii="宋体" w:hAnsi="宋体"/>
          <w:sz w:val="24"/>
        </w:rPr>
        <w:t>未</w:t>
      </w:r>
      <w:r>
        <w:rPr>
          <w:rFonts w:ascii="宋体" w:hAnsi="宋体"/>
          <w:sz w:val="24"/>
        </w:rPr>
        <w:t>纠正违约，承包人可暂停工作或放慢工作进度。</w:t>
      </w:r>
    </w:p>
    <w:p>
      <w:pPr>
        <w:snapToGrid w:val="0"/>
        <w:spacing w:beforeLines="50"/>
        <w:ind w:left="991" w:hanging="991" w:hangingChars="413"/>
        <w:jc w:val="left"/>
        <w:rPr>
          <w:rFonts w:ascii="宋体" w:hAnsi="宋体"/>
          <w:sz w:val="24"/>
        </w:rPr>
      </w:pPr>
      <w:r>
        <w:rPr>
          <w:rFonts w:hint="eastAsia" w:ascii="宋体" w:hAnsi="宋体"/>
          <w:sz w:val="24"/>
        </w:rPr>
        <w:t>15.2.2</w:t>
      </w:r>
      <w:r>
        <w:rPr>
          <w:rFonts w:hint="eastAsia" w:ascii="宋体" w:hAnsi="宋体"/>
          <w:sz w:val="24"/>
        </w:rPr>
        <w:tab/>
      </w:r>
      <w:r>
        <w:rPr>
          <w:rFonts w:ascii="宋体" w:hAnsi="宋体"/>
          <w:sz w:val="24"/>
        </w:rPr>
        <w:t>如果发包人收到承包人通知后28内</w:t>
      </w:r>
      <w:r>
        <w:rPr>
          <w:rFonts w:hint="eastAsia" w:ascii="宋体" w:hAnsi="宋体"/>
          <w:sz w:val="24"/>
        </w:rPr>
        <w:t>未</w:t>
      </w:r>
      <w:r>
        <w:rPr>
          <w:rFonts w:ascii="宋体" w:hAnsi="宋体"/>
          <w:sz w:val="24"/>
        </w:rPr>
        <w:t>纠正违约，承包人可向发包人发出解除合同通知。合同解除后，承包人应妥善做好已竣工工程和已购材料、设备的保护和移交工作，按发包人要求将承包人设备和人员撤出施工场地，同时发包人应为承包人</w:t>
      </w:r>
      <w:r>
        <w:rPr>
          <w:rFonts w:hint="eastAsia" w:ascii="宋体" w:hAnsi="宋体"/>
          <w:sz w:val="24"/>
        </w:rPr>
        <w:t>的</w:t>
      </w:r>
      <w:r>
        <w:rPr>
          <w:rFonts w:ascii="宋体" w:hAnsi="宋体"/>
          <w:sz w:val="24"/>
        </w:rPr>
        <w:t>撤出提供必要条件</w:t>
      </w:r>
      <w:r>
        <w:rPr>
          <w:rFonts w:hint="eastAsia" w:ascii="宋体" w:hAnsi="宋体"/>
          <w:sz w:val="24"/>
        </w:rPr>
        <w:t>，</w:t>
      </w:r>
      <w:r>
        <w:rPr>
          <w:rFonts w:ascii="宋体" w:hAnsi="宋体"/>
          <w:sz w:val="24"/>
        </w:rPr>
        <w:t>但承包人的</w:t>
      </w:r>
      <w:r>
        <w:rPr>
          <w:rFonts w:hint="eastAsia" w:ascii="宋体" w:hAnsi="宋体"/>
          <w:sz w:val="24"/>
        </w:rPr>
        <w:t>这一</w:t>
      </w:r>
      <w:r>
        <w:rPr>
          <w:rFonts w:ascii="宋体" w:hAnsi="宋体"/>
          <w:sz w:val="24"/>
        </w:rPr>
        <w:t>行动不免除发包人应承担的违约责任，也不影响承包人根据合同约定享有的索赔权利</w:t>
      </w:r>
      <w:r>
        <w:rPr>
          <w:rFonts w:hint="eastAsia" w:ascii="宋体" w:hAnsi="宋体"/>
          <w:sz w:val="24"/>
        </w:rPr>
        <w:t>。</w:t>
      </w:r>
    </w:p>
    <w:p>
      <w:pPr>
        <w:snapToGrid w:val="0"/>
        <w:spacing w:beforeLines="50"/>
        <w:ind w:left="991" w:hanging="991" w:hangingChars="413"/>
        <w:jc w:val="left"/>
        <w:outlineLvl w:val="2"/>
        <w:rPr>
          <w:rFonts w:ascii="黑体" w:eastAsia="黑体"/>
          <w:sz w:val="24"/>
        </w:rPr>
      </w:pPr>
      <w:bookmarkStart w:id="470" w:name="_Toc184635120"/>
      <w:bookmarkStart w:id="471" w:name="_Toc246996326"/>
      <w:bookmarkStart w:id="472" w:name="_Toc296602575"/>
      <w:bookmarkStart w:id="473" w:name="_Toc246997069"/>
      <w:bookmarkStart w:id="474" w:name="_Toc247085841"/>
      <w:bookmarkStart w:id="475" w:name="_Toc12216"/>
      <w:bookmarkStart w:id="476" w:name="_Toc11826"/>
      <w:r>
        <w:rPr>
          <w:rFonts w:hint="eastAsia" w:ascii="黑体" w:eastAsia="黑体"/>
          <w:sz w:val="24"/>
        </w:rPr>
        <w:t>16.</w:t>
      </w:r>
      <w:r>
        <w:rPr>
          <w:rFonts w:hint="eastAsia" w:ascii="黑体" w:eastAsia="黑体"/>
          <w:sz w:val="24"/>
        </w:rPr>
        <w:tab/>
      </w:r>
      <w:r>
        <w:rPr>
          <w:rFonts w:hint="eastAsia" w:ascii="黑体" w:eastAsia="黑体"/>
          <w:sz w:val="24"/>
        </w:rPr>
        <w:t>索赔</w:t>
      </w:r>
      <w:bookmarkEnd w:id="470"/>
      <w:bookmarkEnd w:id="471"/>
      <w:bookmarkEnd w:id="472"/>
      <w:bookmarkEnd w:id="473"/>
      <w:bookmarkEnd w:id="474"/>
      <w:bookmarkEnd w:id="475"/>
      <w:bookmarkEnd w:id="476"/>
    </w:p>
    <w:p>
      <w:pPr>
        <w:snapToGrid w:val="0"/>
        <w:spacing w:beforeLines="50"/>
        <w:ind w:left="991" w:hanging="991" w:hangingChars="413"/>
        <w:jc w:val="left"/>
        <w:rPr>
          <w:rFonts w:ascii="黑体" w:eastAsia="黑体"/>
          <w:sz w:val="24"/>
        </w:rPr>
      </w:pPr>
      <w:bookmarkStart w:id="477" w:name="_Toc246996327"/>
      <w:bookmarkStart w:id="478" w:name="_Toc246997070"/>
      <w:bookmarkStart w:id="479" w:name="_Toc247085842"/>
      <w:bookmarkStart w:id="480" w:name="_Toc296602576"/>
      <w:r>
        <w:rPr>
          <w:rFonts w:hint="eastAsia" w:ascii="黑体" w:eastAsia="黑体"/>
          <w:sz w:val="24"/>
        </w:rPr>
        <w:t>16.1</w:t>
      </w:r>
      <w:r>
        <w:rPr>
          <w:rFonts w:hint="eastAsia" w:ascii="黑体" w:eastAsia="黑体"/>
          <w:sz w:val="24"/>
        </w:rPr>
        <w:tab/>
      </w:r>
      <w:r>
        <w:rPr>
          <w:rFonts w:hint="eastAsia" w:ascii="黑体" w:eastAsia="黑体"/>
          <w:sz w:val="24"/>
        </w:rPr>
        <w:t>承包人索赔的提出</w:t>
      </w:r>
      <w:bookmarkEnd w:id="477"/>
      <w:bookmarkEnd w:id="478"/>
      <w:bookmarkEnd w:id="479"/>
      <w:bookmarkEnd w:id="480"/>
    </w:p>
    <w:p>
      <w:pPr>
        <w:snapToGrid w:val="0"/>
        <w:spacing w:beforeLines="50"/>
        <w:ind w:left="991" w:leftChars="472"/>
        <w:rPr>
          <w:rFonts w:ascii="宋体" w:hAnsi="宋体"/>
          <w:sz w:val="24"/>
        </w:rPr>
      </w:pPr>
      <w:r>
        <w:rPr>
          <w:rFonts w:hint="eastAsia" w:ascii="宋体" w:hAnsi="宋体"/>
          <w:sz w:val="24"/>
        </w:rPr>
        <w:t>根据合同约定，承包人认为有权得到追加付款和（或）延长工期的，应按以下程序向发包人提出索赔：</w:t>
      </w:r>
    </w:p>
    <w:p>
      <w:pPr>
        <w:snapToGrid w:val="0"/>
        <w:spacing w:beforeLines="50"/>
        <w:ind w:left="1699" w:leftChars="472" w:hanging="708" w:hangingChars="295"/>
        <w:rPr>
          <w:rFonts w:ascii="宋体" w:hAnsi="宋体"/>
          <w:sz w:val="24"/>
        </w:rPr>
      </w:pPr>
      <w:r>
        <w:rPr>
          <w:rFonts w:hint="eastAsia" w:ascii="宋体" w:hAnsi="宋体"/>
          <w:sz w:val="24"/>
        </w:rPr>
        <w:t>（l）</w:t>
      </w:r>
      <w:r>
        <w:rPr>
          <w:rFonts w:hint="eastAsia" w:ascii="宋体" w:hAnsi="宋体"/>
          <w:sz w:val="24"/>
        </w:rPr>
        <w:tab/>
      </w:r>
      <w:r>
        <w:rPr>
          <w:rFonts w:hint="eastAsia" w:ascii="宋体" w:hAnsi="宋体"/>
          <w:sz w:val="24"/>
        </w:rPr>
        <w:t>承包人应在知道或应当知道索赔事件发生后14天内，向监理人递交索赔通知书。索赔通知书应详细说明索赔理由以及要求追加的付款金额和（或）延长的工期，并附必要的记录和证明材料；</w:t>
      </w:r>
    </w:p>
    <w:p>
      <w:pPr>
        <w:snapToGrid w:val="0"/>
        <w:spacing w:beforeLines="50"/>
        <w:ind w:left="1699" w:leftChars="472" w:hanging="708" w:hangingChars="295"/>
        <w:rPr>
          <w:rFonts w:ascii="宋体" w:hAnsi="宋体"/>
          <w:sz w:val="24"/>
        </w:rPr>
      </w:pPr>
      <w:r>
        <w:rPr>
          <w:rFonts w:hint="eastAsia" w:ascii="宋体" w:hAnsi="宋体"/>
          <w:sz w:val="24"/>
        </w:rPr>
        <w:t>（2）</w:t>
      </w:r>
      <w:r>
        <w:rPr>
          <w:rFonts w:hint="eastAsia" w:ascii="宋体" w:hAnsi="宋体"/>
          <w:sz w:val="24"/>
        </w:rPr>
        <w:tab/>
      </w:r>
      <w:r>
        <w:rPr>
          <w:rFonts w:hint="eastAsia" w:ascii="宋体" w:hAnsi="宋体"/>
          <w:sz w:val="24"/>
        </w:rPr>
        <w:t>索赔事件具有连续影响的，承包人应在索赔事件影响结束后的14天内，向监理人递交最终索赔通知书，说明最终要求索赔的追加付款金额和延长的工期，并附必要的记录和证明材料；</w:t>
      </w:r>
    </w:p>
    <w:p>
      <w:pPr>
        <w:snapToGrid w:val="0"/>
        <w:spacing w:beforeLines="50"/>
        <w:ind w:left="1699" w:leftChars="472" w:hanging="708" w:hangingChars="295"/>
        <w:rPr>
          <w:rFonts w:ascii="宋体" w:hAnsi="宋体"/>
          <w:sz w:val="24"/>
        </w:rPr>
      </w:pPr>
      <w:r>
        <w:rPr>
          <w:rFonts w:hint="eastAsia" w:ascii="宋体" w:hAnsi="宋体"/>
          <w:sz w:val="24"/>
        </w:rPr>
        <w:t>（3）</w:t>
      </w:r>
      <w:r>
        <w:rPr>
          <w:rFonts w:hint="eastAsia" w:ascii="宋体" w:hAnsi="宋体"/>
          <w:sz w:val="24"/>
        </w:rPr>
        <w:tab/>
      </w:r>
      <w:r>
        <w:rPr>
          <w:rFonts w:hint="eastAsia" w:ascii="宋体" w:hAnsi="宋体"/>
          <w:sz w:val="24"/>
        </w:rPr>
        <w:t>承包人未在前述14天内递交索赔通知书的，丧失要求追加付款和（或）延长工期的权利。</w:t>
      </w:r>
    </w:p>
    <w:p>
      <w:pPr>
        <w:snapToGrid w:val="0"/>
        <w:spacing w:beforeLines="50"/>
        <w:ind w:left="991" w:hanging="991" w:hangingChars="413"/>
        <w:jc w:val="left"/>
        <w:rPr>
          <w:rFonts w:ascii="黑体" w:eastAsia="黑体"/>
          <w:sz w:val="24"/>
        </w:rPr>
      </w:pPr>
      <w:bookmarkStart w:id="481" w:name="_Toc246997071"/>
      <w:bookmarkStart w:id="482" w:name="_Toc246996328"/>
      <w:bookmarkStart w:id="483" w:name="_Toc247085843"/>
      <w:bookmarkStart w:id="484" w:name="_Toc296602577"/>
      <w:r>
        <w:rPr>
          <w:rFonts w:hint="eastAsia" w:ascii="黑体" w:eastAsia="黑体"/>
          <w:sz w:val="24"/>
        </w:rPr>
        <w:t>16.2</w:t>
      </w:r>
      <w:r>
        <w:rPr>
          <w:rFonts w:hint="eastAsia" w:ascii="黑体" w:eastAsia="黑体"/>
          <w:sz w:val="24"/>
        </w:rPr>
        <w:tab/>
      </w:r>
      <w:r>
        <w:rPr>
          <w:rFonts w:hint="eastAsia" w:ascii="黑体" w:eastAsia="黑体"/>
          <w:sz w:val="24"/>
        </w:rPr>
        <w:t>承包人索赔处理程序</w:t>
      </w:r>
      <w:bookmarkEnd w:id="481"/>
      <w:bookmarkEnd w:id="482"/>
      <w:bookmarkEnd w:id="483"/>
      <w:bookmarkEnd w:id="484"/>
    </w:p>
    <w:p>
      <w:pPr>
        <w:snapToGrid w:val="0"/>
        <w:spacing w:beforeLines="50"/>
        <w:ind w:left="1699" w:leftChars="472" w:hanging="708" w:hangingChars="295"/>
        <w:rPr>
          <w:rFonts w:ascii="宋体" w:hAnsi="宋体"/>
          <w:sz w:val="24"/>
        </w:rPr>
      </w:pPr>
      <w:r>
        <w:rPr>
          <w:rFonts w:hint="eastAsia" w:ascii="宋体" w:hAnsi="宋体"/>
          <w:sz w:val="24"/>
        </w:rPr>
        <w:t>（1）</w:t>
      </w:r>
      <w:r>
        <w:rPr>
          <w:rFonts w:hint="eastAsia" w:ascii="宋体" w:hAnsi="宋体"/>
          <w:sz w:val="24"/>
        </w:rPr>
        <w:tab/>
      </w:r>
      <w:r>
        <w:rPr>
          <w:rFonts w:hint="eastAsia" w:ascii="宋体" w:hAnsi="宋体"/>
          <w:sz w:val="24"/>
        </w:rPr>
        <w:t>监理人收到承包人提交的索赔通知书后，应按第3.5款商定或确定追加的付款和（或）延长的工期，并在收到上述索赔通知书或有关索赔的进一步证明材料后的14天内，将索赔处理结果答复承包人。</w:t>
      </w:r>
    </w:p>
    <w:p>
      <w:pPr>
        <w:snapToGrid w:val="0"/>
        <w:spacing w:beforeLines="50"/>
        <w:ind w:left="1699" w:leftChars="472" w:hanging="708" w:hangingChars="295"/>
        <w:rPr>
          <w:rFonts w:ascii="宋体" w:hAnsi="宋体"/>
          <w:sz w:val="24"/>
        </w:rPr>
      </w:pPr>
      <w:r>
        <w:rPr>
          <w:rFonts w:hint="eastAsia" w:ascii="宋体" w:hAnsi="宋体"/>
          <w:sz w:val="24"/>
        </w:rPr>
        <w:t>（2）</w:t>
      </w:r>
      <w:r>
        <w:rPr>
          <w:rFonts w:hint="eastAsia" w:ascii="宋体" w:hAnsi="宋体"/>
          <w:sz w:val="24"/>
        </w:rPr>
        <w:tab/>
      </w:r>
      <w:r>
        <w:rPr>
          <w:rFonts w:hint="eastAsia" w:ascii="宋体" w:hAnsi="宋体"/>
          <w:sz w:val="24"/>
        </w:rPr>
        <w:t>承包人接受索赔处理结果的，发包人应在作出索赔处理结果答复后14天内完成赔付。承包人不接受索赔处理结果的，按第17条的约定执行。</w:t>
      </w:r>
    </w:p>
    <w:p>
      <w:pPr>
        <w:snapToGrid w:val="0"/>
        <w:spacing w:beforeLines="50"/>
        <w:ind w:left="991" w:hanging="991" w:hangingChars="413"/>
        <w:jc w:val="left"/>
        <w:rPr>
          <w:rFonts w:ascii="黑体" w:eastAsia="黑体"/>
          <w:sz w:val="24"/>
        </w:rPr>
      </w:pPr>
      <w:bookmarkStart w:id="485" w:name="_Toc246997072"/>
      <w:bookmarkStart w:id="486" w:name="_Toc296602578"/>
      <w:bookmarkStart w:id="487" w:name="_Toc246996329"/>
      <w:bookmarkStart w:id="488" w:name="_Toc247085844"/>
      <w:r>
        <w:rPr>
          <w:rFonts w:hint="eastAsia" w:ascii="黑体" w:eastAsia="黑体"/>
          <w:sz w:val="24"/>
        </w:rPr>
        <w:t>16.3</w:t>
      </w:r>
      <w:r>
        <w:rPr>
          <w:rFonts w:hint="eastAsia" w:ascii="黑体" w:eastAsia="黑体"/>
          <w:sz w:val="24"/>
        </w:rPr>
        <w:tab/>
      </w:r>
      <w:r>
        <w:rPr>
          <w:rFonts w:hint="eastAsia" w:ascii="黑体" w:eastAsia="黑体"/>
          <w:sz w:val="24"/>
        </w:rPr>
        <w:t>承包人提出索赔的期限</w:t>
      </w:r>
      <w:bookmarkEnd w:id="485"/>
      <w:bookmarkEnd w:id="486"/>
      <w:bookmarkEnd w:id="487"/>
      <w:bookmarkEnd w:id="488"/>
    </w:p>
    <w:p>
      <w:pPr>
        <w:snapToGrid w:val="0"/>
        <w:spacing w:beforeLines="50"/>
        <w:ind w:left="991" w:leftChars="472"/>
        <w:rPr>
          <w:rFonts w:ascii="宋体" w:hAnsi="宋体"/>
          <w:sz w:val="24"/>
        </w:rPr>
      </w:pPr>
      <w:r>
        <w:rPr>
          <w:rFonts w:hint="eastAsia" w:ascii="宋体" w:hAnsi="宋体"/>
          <w:sz w:val="24"/>
        </w:rPr>
        <w:t>承包人按第10.5款的约定接受了竣工付款证书后，应被认为已无权再提出在合同工程接收证书颁发前所发生的任何索赔。</w:t>
      </w:r>
    </w:p>
    <w:p>
      <w:pPr>
        <w:snapToGrid w:val="0"/>
        <w:spacing w:beforeLines="50"/>
        <w:ind w:left="991" w:hanging="991" w:hangingChars="413"/>
        <w:jc w:val="left"/>
        <w:rPr>
          <w:rFonts w:ascii="黑体" w:eastAsia="黑体"/>
          <w:sz w:val="24"/>
        </w:rPr>
      </w:pPr>
      <w:bookmarkStart w:id="489" w:name="_Toc296602579"/>
      <w:r>
        <w:rPr>
          <w:rFonts w:hint="eastAsia" w:ascii="黑体" w:eastAsia="黑体"/>
          <w:sz w:val="24"/>
        </w:rPr>
        <w:t>16.4</w:t>
      </w:r>
      <w:r>
        <w:rPr>
          <w:rFonts w:hint="eastAsia" w:ascii="黑体" w:eastAsia="黑体"/>
          <w:sz w:val="24"/>
        </w:rPr>
        <w:tab/>
      </w:r>
      <w:r>
        <w:rPr>
          <w:rFonts w:hint="eastAsia" w:ascii="黑体" w:eastAsia="黑体"/>
          <w:sz w:val="24"/>
        </w:rPr>
        <w:t>发包人索赔的提出</w:t>
      </w:r>
      <w:bookmarkEnd w:id="489"/>
    </w:p>
    <w:p>
      <w:pPr>
        <w:snapToGrid w:val="0"/>
        <w:spacing w:beforeLines="50"/>
        <w:ind w:left="991" w:leftChars="472"/>
        <w:rPr>
          <w:rFonts w:ascii="宋体" w:hAnsi="宋体"/>
          <w:sz w:val="24"/>
        </w:rPr>
      </w:pPr>
      <w:r>
        <w:rPr>
          <w:rFonts w:hint="eastAsia" w:ascii="宋体" w:hAnsi="宋体"/>
          <w:sz w:val="24"/>
        </w:rPr>
        <w:t>根据合同约定，发包人认为有权得到追加付款和（或）延长工期的，应按以下程序向承包人提出索赔：</w:t>
      </w:r>
    </w:p>
    <w:p>
      <w:pPr>
        <w:snapToGrid w:val="0"/>
        <w:spacing w:beforeLines="50"/>
        <w:ind w:left="1699" w:leftChars="472" w:hanging="708" w:hangingChars="295"/>
        <w:rPr>
          <w:rFonts w:ascii="宋体" w:hAnsi="宋体"/>
          <w:sz w:val="24"/>
        </w:rPr>
      </w:pPr>
      <w:r>
        <w:rPr>
          <w:rFonts w:hint="eastAsia" w:ascii="宋体" w:hAnsi="宋体"/>
          <w:sz w:val="24"/>
        </w:rPr>
        <w:t>（l）</w:t>
      </w:r>
      <w:r>
        <w:rPr>
          <w:rFonts w:hint="eastAsia" w:ascii="宋体" w:hAnsi="宋体"/>
          <w:sz w:val="24"/>
        </w:rPr>
        <w:tab/>
      </w:r>
      <w:r>
        <w:rPr>
          <w:rFonts w:hint="eastAsia" w:ascii="宋体" w:hAnsi="宋体"/>
          <w:sz w:val="24"/>
        </w:rPr>
        <w:t>监理人应在知道或应当知道索赔事件发生后14天内，向承包人递交索赔通知书。索赔通知书应详细说明索赔理由以及要求追加的付款金额和（或）延长的工期，并附必要的记录和证明材料；</w:t>
      </w:r>
    </w:p>
    <w:p>
      <w:pPr>
        <w:snapToGrid w:val="0"/>
        <w:spacing w:beforeLines="50"/>
        <w:ind w:left="1699" w:leftChars="472" w:hanging="708" w:hangingChars="295"/>
        <w:rPr>
          <w:rFonts w:ascii="宋体" w:hAnsi="宋体"/>
          <w:sz w:val="24"/>
        </w:rPr>
      </w:pPr>
      <w:r>
        <w:rPr>
          <w:rFonts w:hint="eastAsia" w:ascii="宋体" w:hAnsi="宋体"/>
          <w:sz w:val="24"/>
        </w:rPr>
        <w:t>（2）</w:t>
      </w:r>
      <w:r>
        <w:rPr>
          <w:rFonts w:hint="eastAsia" w:ascii="宋体" w:hAnsi="宋体"/>
          <w:sz w:val="24"/>
        </w:rPr>
        <w:tab/>
      </w:r>
      <w:r>
        <w:rPr>
          <w:rFonts w:hint="eastAsia" w:ascii="宋体" w:hAnsi="宋体"/>
          <w:sz w:val="24"/>
        </w:rPr>
        <w:t>索赔事件具有连续影响的，监理人应在索赔事件影响结束后的14天内，向承包人递交最终索赔通知书，说明最终要求索赔的追加付款金额和延长的工期，并附必要的记录和证明材料。</w:t>
      </w:r>
    </w:p>
    <w:p>
      <w:pPr>
        <w:snapToGrid w:val="0"/>
        <w:spacing w:beforeLines="50"/>
        <w:ind w:left="991" w:hanging="991" w:hangingChars="413"/>
        <w:jc w:val="left"/>
        <w:rPr>
          <w:rFonts w:ascii="黑体" w:eastAsia="黑体"/>
          <w:sz w:val="24"/>
        </w:rPr>
      </w:pPr>
      <w:bookmarkStart w:id="490" w:name="_Toc296602580"/>
      <w:r>
        <w:rPr>
          <w:rFonts w:hint="eastAsia" w:ascii="黑体" w:eastAsia="黑体"/>
          <w:sz w:val="24"/>
        </w:rPr>
        <w:t>16.5</w:t>
      </w:r>
      <w:r>
        <w:rPr>
          <w:rFonts w:hint="eastAsia" w:ascii="黑体" w:eastAsia="黑体"/>
          <w:sz w:val="24"/>
        </w:rPr>
        <w:tab/>
      </w:r>
      <w:r>
        <w:rPr>
          <w:rFonts w:hint="eastAsia" w:ascii="黑体" w:eastAsia="黑体"/>
          <w:sz w:val="24"/>
        </w:rPr>
        <w:t>发包人索赔处理程序</w:t>
      </w:r>
      <w:bookmarkEnd w:id="490"/>
    </w:p>
    <w:p>
      <w:pPr>
        <w:snapToGrid w:val="0"/>
        <w:spacing w:beforeLines="50"/>
        <w:ind w:left="1699" w:leftChars="472" w:hanging="708" w:hangingChars="295"/>
        <w:rPr>
          <w:rFonts w:ascii="宋体" w:hAnsi="宋体"/>
          <w:sz w:val="24"/>
        </w:rPr>
      </w:pPr>
      <w:r>
        <w:rPr>
          <w:rFonts w:hint="eastAsia" w:ascii="宋体" w:hAnsi="宋体"/>
          <w:sz w:val="24"/>
        </w:rPr>
        <w:t>（1）</w:t>
      </w:r>
      <w:r>
        <w:rPr>
          <w:rFonts w:hint="eastAsia" w:ascii="宋体" w:hAnsi="宋体"/>
          <w:sz w:val="24"/>
        </w:rPr>
        <w:tab/>
      </w:r>
      <w:r>
        <w:rPr>
          <w:rFonts w:hint="eastAsia" w:ascii="宋体" w:hAnsi="宋体"/>
          <w:sz w:val="24"/>
        </w:rPr>
        <w:t>承包人收到监理人提交的索赔通知书后，应按第3.5款商定或确定追加的付款和（或）延长的工期，并在收到上述索赔通知书或有关索赔的进一步证明材料后的14天内，将索赔处理结果答复监理人。</w:t>
      </w:r>
    </w:p>
    <w:p>
      <w:pPr>
        <w:snapToGrid w:val="0"/>
        <w:spacing w:beforeLines="50"/>
        <w:ind w:left="1699" w:leftChars="472" w:hanging="708" w:hangingChars="295"/>
        <w:rPr>
          <w:rFonts w:ascii="宋体" w:hAnsi="宋体"/>
          <w:sz w:val="24"/>
        </w:rPr>
      </w:pPr>
      <w:r>
        <w:rPr>
          <w:rFonts w:hint="eastAsia" w:ascii="宋体" w:hAnsi="宋体"/>
          <w:sz w:val="24"/>
        </w:rPr>
        <w:t>（2）</w:t>
      </w:r>
      <w:r>
        <w:rPr>
          <w:rFonts w:hint="eastAsia" w:ascii="宋体" w:hAnsi="宋体"/>
          <w:sz w:val="24"/>
        </w:rPr>
        <w:tab/>
      </w:r>
      <w:r>
        <w:rPr>
          <w:rFonts w:hint="eastAsia" w:ascii="宋体" w:hAnsi="宋体"/>
          <w:sz w:val="24"/>
        </w:rPr>
        <w:t>监理人接受索赔处理结果的，承包人应在作出索赔处理结果答复后14天内完成赔付。监理人不接受索赔处理结果的，按第17条的约定执行。</w:t>
      </w:r>
    </w:p>
    <w:p>
      <w:pPr>
        <w:snapToGrid w:val="0"/>
        <w:spacing w:beforeLines="50"/>
        <w:ind w:left="991" w:hanging="991" w:hangingChars="413"/>
        <w:jc w:val="left"/>
        <w:outlineLvl w:val="2"/>
        <w:rPr>
          <w:rFonts w:ascii="黑体" w:eastAsia="黑体"/>
          <w:sz w:val="24"/>
        </w:rPr>
      </w:pPr>
      <w:bookmarkStart w:id="491" w:name="_Toc246997074"/>
      <w:bookmarkStart w:id="492" w:name="_Toc247085846"/>
      <w:bookmarkStart w:id="493" w:name="_Toc184635121"/>
      <w:bookmarkStart w:id="494" w:name="_Toc246996331"/>
      <w:bookmarkStart w:id="495" w:name="_Toc296602581"/>
      <w:bookmarkStart w:id="496" w:name="_Toc20766"/>
      <w:bookmarkStart w:id="497" w:name="_Toc3523"/>
      <w:r>
        <w:rPr>
          <w:rFonts w:hint="eastAsia" w:ascii="黑体" w:eastAsia="黑体"/>
          <w:sz w:val="24"/>
        </w:rPr>
        <w:t>17.</w:t>
      </w:r>
      <w:r>
        <w:rPr>
          <w:rFonts w:hint="eastAsia" w:ascii="黑体" w:eastAsia="黑体"/>
          <w:sz w:val="24"/>
        </w:rPr>
        <w:tab/>
      </w:r>
      <w:r>
        <w:rPr>
          <w:rFonts w:hint="eastAsia" w:ascii="黑体" w:eastAsia="黑体"/>
          <w:sz w:val="24"/>
        </w:rPr>
        <w:t>争议的解决</w:t>
      </w:r>
      <w:bookmarkEnd w:id="491"/>
      <w:bookmarkEnd w:id="492"/>
      <w:bookmarkEnd w:id="493"/>
      <w:bookmarkEnd w:id="494"/>
      <w:bookmarkEnd w:id="495"/>
      <w:bookmarkEnd w:id="496"/>
      <w:bookmarkEnd w:id="497"/>
    </w:p>
    <w:p>
      <w:pPr>
        <w:snapToGrid w:val="0"/>
        <w:spacing w:beforeLines="50"/>
        <w:ind w:left="991" w:hanging="991" w:hangingChars="413"/>
        <w:jc w:val="left"/>
        <w:rPr>
          <w:rFonts w:ascii="黑体" w:eastAsia="黑体"/>
          <w:sz w:val="24"/>
        </w:rPr>
      </w:pPr>
      <w:bookmarkStart w:id="498" w:name="_Toc247085847"/>
      <w:bookmarkStart w:id="499" w:name="_Toc296602582"/>
      <w:bookmarkStart w:id="500" w:name="_Toc246996332"/>
      <w:bookmarkStart w:id="501" w:name="_Toc246997075"/>
      <w:r>
        <w:rPr>
          <w:rFonts w:hint="eastAsia" w:ascii="黑体" w:eastAsia="黑体"/>
          <w:sz w:val="24"/>
        </w:rPr>
        <w:t>17.1</w:t>
      </w:r>
      <w:r>
        <w:rPr>
          <w:rFonts w:hint="eastAsia" w:ascii="黑体" w:eastAsia="黑体"/>
          <w:sz w:val="24"/>
        </w:rPr>
        <w:tab/>
      </w:r>
      <w:r>
        <w:rPr>
          <w:rFonts w:hint="eastAsia" w:ascii="黑体" w:eastAsia="黑体"/>
          <w:sz w:val="24"/>
        </w:rPr>
        <w:t>争议的解决方式</w:t>
      </w:r>
      <w:bookmarkEnd w:id="498"/>
      <w:bookmarkEnd w:id="499"/>
      <w:bookmarkEnd w:id="500"/>
      <w:bookmarkEnd w:id="501"/>
    </w:p>
    <w:p>
      <w:pPr>
        <w:snapToGrid w:val="0"/>
        <w:spacing w:beforeLines="50"/>
        <w:ind w:left="991" w:leftChars="472"/>
        <w:rPr>
          <w:rFonts w:ascii="宋体" w:hAnsi="宋体"/>
          <w:sz w:val="24"/>
        </w:rPr>
      </w:pPr>
      <w:r>
        <w:rPr>
          <w:rFonts w:hint="eastAsia" w:ascii="宋体" w:hAnsi="宋体"/>
          <w:sz w:val="24"/>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snapToGrid w:val="0"/>
        <w:spacing w:beforeLines="50"/>
        <w:ind w:left="991" w:leftChars="472"/>
        <w:rPr>
          <w:rFonts w:ascii="宋体" w:hAnsi="宋体"/>
          <w:sz w:val="24"/>
        </w:rPr>
      </w:pPr>
      <w:r>
        <w:rPr>
          <w:rFonts w:hint="eastAsia" w:ascii="宋体" w:hAnsi="宋体"/>
          <w:sz w:val="24"/>
        </w:rPr>
        <w:t>（l）向约定的仲裁委员会申请仲裁；</w:t>
      </w:r>
    </w:p>
    <w:p>
      <w:pPr>
        <w:snapToGrid w:val="0"/>
        <w:spacing w:beforeLines="50"/>
        <w:ind w:left="991" w:leftChars="472"/>
        <w:rPr>
          <w:rFonts w:ascii="宋体" w:hAnsi="宋体"/>
          <w:sz w:val="24"/>
        </w:rPr>
      </w:pPr>
      <w:r>
        <w:rPr>
          <w:rFonts w:hint="eastAsia" w:ascii="宋体" w:hAnsi="宋体"/>
          <w:sz w:val="24"/>
        </w:rPr>
        <w:t>（2）向有管辖权的人民法院提起诉讼。</w:t>
      </w:r>
    </w:p>
    <w:p>
      <w:pPr>
        <w:snapToGrid w:val="0"/>
        <w:spacing w:beforeLines="50"/>
        <w:ind w:left="991" w:hanging="991" w:hangingChars="413"/>
        <w:jc w:val="left"/>
        <w:rPr>
          <w:rFonts w:ascii="黑体" w:eastAsia="黑体"/>
          <w:sz w:val="24"/>
        </w:rPr>
      </w:pPr>
      <w:bookmarkStart w:id="502" w:name="_Toc296602583"/>
      <w:bookmarkStart w:id="503" w:name="_Toc246996333"/>
      <w:bookmarkStart w:id="504" w:name="_Toc246997076"/>
      <w:bookmarkStart w:id="505" w:name="_Toc247085848"/>
      <w:r>
        <w:rPr>
          <w:rFonts w:hint="eastAsia" w:ascii="黑体" w:eastAsia="黑体"/>
          <w:sz w:val="24"/>
        </w:rPr>
        <w:t>17.2</w:t>
      </w:r>
      <w:r>
        <w:rPr>
          <w:rFonts w:hint="eastAsia" w:ascii="黑体" w:eastAsia="黑体"/>
          <w:sz w:val="24"/>
        </w:rPr>
        <w:tab/>
      </w:r>
      <w:r>
        <w:rPr>
          <w:rFonts w:hint="eastAsia" w:ascii="黑体" w:eastAsia="黑体"/>
          <w:sz w:val="24"/>
        </w:rPr>
        <w:t>友好解决</w:t>
      </w:r>
      <w:bookmarkEnd w:id="502"/>
      <w:bookmarkEnd w:id="503"/>
      <w:bookmarkEnd w:id="504"/>
      <w:bookmarkEnd w:id="505"/>
    </w:p>
    <w:p>
      <w:pPr>
        <w:snapToGrid w:val="0"/>
        <w:spacing w:beforeLines="50"/>
        <w:ind w:left="991" w:leftChars="472"/>
        <w:rPr>
          <w:rFonts w:ascii="宋体" w:hAnsi="宋体"/>
          <w:sz w:val="24"/>
        </w:rPr>
      </w:pPr>
      <w:r>
        <w:rPr>
          <w:rFonts w:hint="eastAsia" w:ascii="宋体" w:hAnsi="宋体"/>
          <w:sz w:val="24"/>
        </w:rPr>
        <w:t>在提请争议评审、仲裁或者诉讼前，以及在争议评审、仲裁或诉讼过程中，发包人和承包人均可共同努力友好协商解决争议。</w:t>
      </w:r>
    </w:p>
    <w:p>
      <w:pPr>
        <w:snapToGrid w:val="0"/>
        <w:spacing w:beforeLines="50"/>
        <w:ind w:left="991" w:hanging="991" w:hangingChars="413"/>
        <w:jc w:val="left"/>
        <w:rPr>
          <w:rFonts w:ascii="黑体" w:eastAsia="黑体"/>
          <w:sz w:val="24"/>
        </w:rPr>
      </w:pPr>
      <w:bookmarkStart w:id="506" w:name="_Toc246996334"/>
      <w:bookmarkStart w:id="507" w:name="_Toc246997077"/>
      <w:bookmarkStart w:id="508" w:name="_Toc247085849"/>
      <w:bookmarkStart w:id="509" w:name="_Toc296602584"/>
      <w:r>
        <w:rPr>
          <w:rFonts w:hint="eastAsia" w:ascii="黑体" w:eastAsia="黑体"/>
          <w:sz w:val="24"/>
        </w:rPr>
        <w:t>17.3</w:t>
      </w:r>
      <w:r>
        <w:rPr>
          <w:rFonts w:hint="eastAsia" w:ascii="黑体" w:eastAsia="黑体"/>
          <w:sz w:val="24"/>
        </w:rPr>
        <w:tab/>
      </w:r>
      <w:r>
        <w:rPr>
          <w:rFonts w:hint="eastAsia" w:ascii="黑体" w:eastAsia="黑体"/>
          <w:sz w:val="24"/>
        </w:rPr>
        <w:t>争议评审</w:t>
      </w:r>
      <w:bookmarkEnd w:id="506"/>
      <w:bookmarkEnd w:id="507"/>
      <w:bookmarkEnd w:id="508"/>
      <w:bookmarkEnd w:id="509"/>
    </w:p>
    <w:p>
      <w:pPr>
        <w:snapToGrid w:val="0"/>
        <w:spacing w:beforeLines="50"/>
        <w:ind w:left="991" w:hanging="991" w:hangingChars="413"/>
        <w:jc w:val="left"/>
        <w:rPr>
          <w:rFonts w:ascii="宋体" w:hAnsi="宋体"/>
          <w:sz w:val="24"/>
        </w:rPr>
      </w:pPr>
      <w:r>
        <w:rPr>
          <w:rFonts w:hint="eastAsia" w:ascii="宋体" w:hAnsi="宋体"/>
          <w:sz w:val="24"/>
        </w:rPr>
        <w:t>17.3.1</w:t>
      </w:r>
      <w:r>
        <w:rPr>
          <w:rFonts w:hint="eastAsia" w:ascii="宋体" w:hAnsi="宋体"/>
          <w:sz w:val="24"/>
        </w:rPr>
        <w:tab/>
      </w:r>
      <w:r>
        <w:rPr>
          <w:rFonts w:hint="eastAsia" w:ascii="宋体" w:hAnsi="宋体"/>
          <w:sz w:val="24"/>
        </w:rPr>
        <w:t>采用争议评审的，发包人和承包人应当在专用合同条款中约定争议评审的程序和规则，并在开工日后的28天内或在争议发生后，协商成立争议评审组。</w:t>
      </w:r>
    </w:p>
    <w:p>
      <w:pPr>
        <w:snapToGrid w:val="0"/>
        <w:spacing w:beforeLines="50"/>
        <w:ind w:left="991" w:hanging="991" w:hangingChars="413"/>
        <w:jc w:val="left"/>
        <w:rPr>
          <w:rFonts w:ascii="宋体" w:hAnsi="宋体"/>
          <w:sz w:val="24"/>
        </w:rPr>
      </w:pPr>
      <w:r>
        <w:rPr>
          <w:rFonts w:hint="eastAsia" w:ascii="宋体" w:hAnsi="宋体"/>
          <w:sz w:val="24"/>
        </w:rPr>
        <w:t>17.3.2</w:t>
      </w:r>
      <w:r>
        <w:rPr>
          <w:rFonts w:hint="eastAsia" w:ascii="宋体" w:hAnsi="宋体"/>
          <w:sz w:val="24"/>
        </w:rPr>
        <w:tab/>
      </w:r>
      <w:r>
        <w:rPr>
          <w:rFonts w:hint="eastAsia" w:ascii="宋体" w:hAnsi="宋体"/>
          <w:sz w:val="24"/>
        </w:rPr>
        <w:t>发包人和承包人接受评审意见的，由监理人根据评审意见拟定执行协议，经争议双方签字后作为合同的补充文件，并遵照执行。</w:t>
      </w:r>
    </w:p>
    <w:p>
      <w:pPr>
        <w:snapToGrid w:val="0"/>
        <w:spacing w:beforeLines="50"/>
        <w:ind w:left="991" w:hanging="991" w:hangingChars="413"/>
        <w:jc w:val="left"/>
        <w:rPr>
          <w:rFonts w:ascii="宋体" w:hAnsi="宋体"/>
          <w:sz w:val="24"/>
        </w:rPr>
      </w:pPr>
      <w:r>
        <w:rPr>
          <w:rFonts w:hint="eastAsia" w:ascii="宋体" w:hAnsi="宋体"/>
          <w:sz w:val="24"/>
        </w:rPr>
        <w:t>17.3.3</w:t>
      </w:r>
      <w:r>
        <w:rPr>
          <w:rFonts w:hint="eastAsia" w:ascii="宋体" w:hAnsi="宋体"/>
          <w:sz w:val="24"/>
        </w:rPr>
        <w:tab/>
      </w:r>
      <w:r>
        <w:rPr>
          <w:rFonts w:hint="eastAsia" w:ascii="宋体" w:hAnsi="宋体"/>
          <w:sz w:val="24"/>
        </w:rPr>
        <w:t>发包人或承包人不接受评审意见，并要求提交仲裁或提起诉讼的，应在收到评审意见后的14天内将仲裁或起诉意向书面通知另一方，并抄送监理人，但在仲裁或诉讼结束前应暂按总监理工程师的确定执行。</w:t>
      </w:r>
    </w:p>
    <w:p>
      <w:pPr>
        <w:spacing w:line="360" w:lineRule="auto"/>
        <w:ind w:firstLine="420" w:firstLineChars="200"/>
      </w:pPr>
      <w:r>
        <w:br w:type="page"/>
      </w:r>
    </w:p>
    <w:p>
      <w:pPr>
        <w:jc w:val="center"/>
        <w:outlineLvl w:val="1"/>
        <w:rPr>
          <w:sz w:val="30"/>
          <w:szCs w:val="30"/>
        </w:rPr>
      </w:pPr>
      <w:bookmarkStart w:id="510" w:name="_Toc246996335"/>
      <w:bookmarkStart w:id="511" w:name="_Toc246997078"/>
      <w:bookmarkStart w:id="512" w:name="_Toc247085850"/>
      <w:bookmarkStart w:id="513" w:name="_Toc296602585"/>
      <w:bookmarkStart w:id="514" w:name="_Toc19221"/>
      <w:r>
        <w:rPr>
          <w:rFonts w:hint="eastAsia"/>
          <w:sz w:val="30"/>
          <w:szCs w:val="30"/>
        </w:rPr>
        <w:t xml:space="preserve">第二节 </w:t>
      </w:r>
      <w:r>
        <w:rPr>
          <w:rFonts w:hint="eastAsia"/>
          <w:sz w:val="30"/>
          <w:szCs w:val="30"/>
          <w:lang w:val="en-US" w:eastAsia="zh-CN"/>
        </w:rPr>
        <w:t xml:space="preserve"> </w:t>
      </w:r>
      <w:r>
        <w:rPr>
          <w:rFonts w:hint="eastAsia"/>
          <w:sz w:val="30"/>
          <w:szCs w:val="30"/>
        </w:rPr>
        <w:t>专用合同条款</w:t>
      </w:r>
      <w:bookmarkEnd w:id="510"/>
      <w:bookmarkEnd w:id="511"/>
      <w:bookmarkEnd w:id="512"/>
      <w:bookmarkEnd w:id="513"/>
      <w:bookmarkEnd w:id="514"/>
    </w:p>
    <w:p>
      <w:pPr>
        <w:snapToGrid w:val="0"/>
        <w:spacing w:beforeLines="50"/>
        <w:ind w:left="991" w:hanging="991" w:hangingChars="413"/>
        <w:jc w:val="left"/>
        <w:outlineLvl w:val="2"/>
        <w:rPr>
          <w:rFonts w:ascii="黑体" w:eastAsia="黑体"/>
          <w:sz w:val="24"/>
        </w:rPr>
      </w:pPr>
      <w:bookmarkStart w:id="515" w:name="_Toc17448"/>
      <w:bookmarkStart w:id="516" w:name="_Toc28607"/>
      <w:r>
        <w:rPr>
          <w:rFonts w:hint="eastAsia" w:ascii="黑体" w:eastAsia="黑体"/>
          <w:sz w:val="24"/>
        </w:rPr>
        <w:t>1.</w:t>
      </w:r>
      <w:r>
        <w:rPr>
          <w:rFonts w:hint="eastAsia" w:ascii="黑体" w:eastAsia="黑体"/>
          <w:sz w:val="24"/>
        </w:rPr>
        <w:tab/>
      </w:r>
      <w:r>
        <w:rPr>
          <w:rFonts w:hint="eastAsia" w:ascii="黑体" w:eastAsia="黑体"/>
          <w:sz w:val="24"/>
        </w:rPr>
        <w:t>一般约定</w:t>
      </w:r>
      <w:bookmarkEnd w:id="515"/>
      <w:bookmarkEnd w:id="516"/>
    </w:p>
    <w:p>
      <w:pPr>
        <w:snapToGrid w:val="0"/>
        <w:spacing w:beforeLines="50"/>
        <w:ind w:left="991" w:hanging="991" w:hangingChars="413"/>
        <w:jc w:val="left"/>
        <w:rPr>
          <w:rFonts w:ascii="黑体" w:eastAsia="黑体"/>
          <w:sz w:val="24"/>
        </w:rPr>
      </w:pPr>
      <w:r>
        <w:rPr>
          <w:rFonts w:hint="eastAsia" w:ascii="黑体" w:eastAsia="黑体"/>
          <w:sz w:val="24"/>
        </w:rPr>
        <w:t>1.1</w:t>
      </w:r>
      <w:r>
        <w:rPr>
          <w:rFonts w:hint="eastAsia" w:ascii="黑体" w:eastAsia="黑体"/>
          <w:sz w:val="24"/>
        </w:rPr>
        <w:tab/>
      </w:r>
      <w:r>
        <w:rPr>
          <w:rFonts w:hint="eastAsia" w:ascii="黑体" w:eastAsia="黑体"/>
          <w:sz w:val="24"/>
        </w:rPr>
        <w:t>词语定义</w:t>
      </w:r>
    </w:p>
    <w:p>
      <w:pPr>
        <w:snapToGrid w:val="0"/>
        <w:spacing w:beforeLines="50"/>
        <w:ind w:left="991" w:hanging="991" w:hangingChars="413"/>
        <w:jc w:val="left"/>
        <w:rPr>
          <w:rFonts w:ascii="宋体" w:hAnsi="宋体"/>
          <w:sz w:val="24"/>
        </w:rPr>
      </w:pPr>
      <w:r>
        <w:rPr>
          <w:rFonts w:hint="eastAsia" w:ascii="宋体" w:hAnsi="宋体"/>
          <w:sz w:val="24"/>
        </w:rPr>
        <w:t>1.1.2</w:t>
      </w:r>
      <w:r>
        <w:rPr>
          <w:rFonts w:hint="eastAsia" w:ascii="宋体" w:hAnsi="宋体"/>
          <w:sz w:val="24"/>
        </w:rPr>
        <w:tab/>
      </w:r>
      <w:r>
        <w:rPr>
          <w:rFonts w:hint="eastAsia" w:ascii="宋体" w:hAnsi="宋体"/>
          <w:sz w:val="24"/>
        </w:rPr>
        <w:t>合同当事人和人员</w:t>
      </w:r>
    </w:p>
    <w:p>
      <w:pPr>
        <w:snapToGrid w:val="0"/>
        <w:spacing w:beforeLines="50"/>
        <w:ind w:left="991" w:hanging="991" w:hangingChars="413"/>
        <w:jc w:val="left"/>
        <w:rPr>
          <w:rFonts w:ascii="宋体" w:hAnsi="宋体"/>
          <w:sz w:val="24"/>
        </w:rPr>
      </w:pPr>
      <w:r>
        <w:rPr>
          <w:rFonts w:hint="eastAsia" w:ascii="宋体" w:hAnsi="宋体"/>
          <w:sz w:val="24"/>
        </w:rPr>
        <w:t>1.1.2.2</w:t>
      </w:r>
      <w:r>
        <w:rPr>
          <w:rFonts w:hint="eastAsia" w:ascii="宋体" w:hAnsi="宋体"/>
          <w:sz w:val="24"/>
        </w:rPr>
        <w:tab/>
      </w:r>
      <w:r>
        <w:rPr>
          <w:rFonts w:hint="eastAsia" w:ascii="宋体" w:hAnsi="宋体"/>
          <w:sz w:val="24"/>
        </w:rPr>
        <w:t xml:space="preserve">发包人：。 </w:t>
      </w:r>
    </w:p>
    <w:p>
      <w:pPr>
        <w:snapToGrid w:val="0"/>
        <w:spacing w:beforeLines="50"/>
        <w:ind w:left="991" w:hanging="991" w:hangingChars="413"/>
        <w:jc w:val="left"/>
        <w:rPr>
          <w:rFonts w:ascii="宋体" w:hAnsi="宋体"/>
          <w:sz w:val="24"/>
        </w:rPr>
      </w:pPr>
      <w:r>
        <w:rPr>
          <w:rFonts w:hint="eastAsia" w:ascii="宋体" w:hAnsi="宋体"/>
          <w:sz w:val="24"/>
        </w:rPr>
        <w:t>1.1.2.3</w:t>
      </w:r>
      <w:r>
        <w:rPr>
          <w:rFonts w:hint="eastAsia" w:ascii="宋体" w:hAnsi="宋体"/>
          <w:sz w:val="24"/>
        </w:rPr>
        <w:tab/>
      </w:r>
      <w:r>
        <w:rPr>
          <w:rFonts w:hint="eastAsia" w:ascii="宋体" w:hAnsi="宋体"/>
          <w:sz w:val="24"/>
        </w:rPr>
        <w:t>承包人：。</w:t>
      </w:r>
    </w:p>
    <w:p>
      <w:pPr>
        <w:snapToGrid w:val="0"/>
        <w:spacing w:beforeLines="50"/>
        <w:ind w:left="991" w:hanging="991" w:hangingChars="413"/>
        <w:jc w:val="left"/>
        <w:rPr>
          <w:rFonts w:ascii="宋体" w:hAnsi="宋体"/>
          <w:sz w:val="24"/>
        </w:rPr>
      </w:pPr>
      <w:r>
        <w:rPr>
          <w:rFonts w:hint="eastAsia" w:ascii="宋体" w:hAnsi="宋体"/>
          <w:sz w:val="24"/>
        </w:rPr>
        <w:t>1.1.2.4</w:t>
      </w:r>
      <w:r>
        <w:rPr>
          <w:rFonts w:hint="eastAsia" w:ascii="宋体" w:hAnsi="宋体"/>
          <w:sz w:val="24"/>
        </w:rPr>
        <w:tab/>
      </w:r>
      <w:r>
        <w:rPr>
          <w:rFonts w:hint="eastAsia" w:ascii="宋体" w:hAnsi="宋体"/>
          <w:sz w:val="24"/>
        </w:rPr>
        <w:t>承包人项目经理：</w:t>
      </w:r>
    </w:p>
    <w:p>
      <w:pPr>
        <w:snapToGrid w:val="0"/>
        <w:spacing w:beforeLines="50"/>
        <w:ind w:left="989" w:leftChars="471" w:firstLine="141" w:firstLineChars="59"/>
        <w:jc w:val="left"/>
        <w:rPr>
          <w:rFonts w:ascii="宋体" w:hAnsi="宋体"/>
          <w:sz w:val="24"/>
        </w:rPr>
      </w:pPr>
      <w:r>
        <w:rPr>
          <w:rFonts w:hint="eastAsia" w:ascii="宋体" w:hAnsi="宋体"/>
          <w:sz w:val="24"/>
        </w:rPr>
        <w:t>姓      名：</w:t>
      </w:r>
    </w:p>
    <w:p>
      <w:pPr>
        <w:snapToGrid w:val="0"/>
        <w:spacing w:beforeLines="50"/>
        <w:ind w:left="989" w:leftChars="471" w:firstLine="141" w:firstLineChars="59"/>
        <w:jc w:val="left"/>
        <w:rPr>
          <w:rFonts w:ascii="宋体" w:hAnsi="宋体"/>
          <w:sz w:val="24"/>
        </w:rPr>
      </w:pPr>
      <w:r>
        <w:rPr>
          <w:rFonts w:hint="eastAsia" w:ascii="宋体" w:hAnsi="宋体"/>
          <w:sz w:val="24"/>
        </w:rPr>
        <w:t>执业资格证书编号：</w:t>
      </w:r>
    </w:p>
    <w:p>
      <w:pPr>
        <w:snapToGrid w:val="0"/>
        <w:spacing w:beforeLines="50"/>
        <w:ind w:left="989" w:leftChars="471" w:firstLine="141" w:firstLineChars="59"/>
        <w:jc w:val="left"/>
        <w:rPr>
          <w:rFonts w:ascii="宋体" w:hAnsi="宋体"/>
          <w:sz w:val="24"/>
        </w:rPr>
      </w:pPr>
      <w:r>
        <w:rPr>
          <w:rFonts w:hint="eastAsia" w:ascii="宋体" w:hAnsi="宋体"/>
          <w:sz w:val="24"/>
        </w:rPr>
        <w:t>注册证书编号：</w:t>
      </w:r>
    </w:p>
    <w:p>
      <w:pPr>
        <w:snapToGrid w:val="0"/>
        <w:spacing w:beforeLines="50"/>
        <w:ind w:left="991" w:hanging="991" w:hangingChars="413"/>
        <w:jc w:val="left"/>
        <w:rPr>
          <w:rFonts w:ascii="宋体" w:hAnsi="宋体"/>
          <w:sz w:val="24"/>
        </w:rPr>
      </w:pPr>
      <w:r>
        <w:rPr>
          <w:rFonts w:hint="eastAsia" w:ascii="宋体" w:hAnsi="宋体"/>
          <w:sz w:val="24"/>
        </w:rPr>
        <w:t>1.1.2.5</w:t>
      </w:r>
      <w:r>
        <w:rPr>
          <w:rFonts w:hint="eastAsia" w:ascii="宋体" w:hAnsi="宋体"/>
          <w:sz w:val="24"/>
        </w:rPr>
        <w:tab/>
      </w:r>
      <w:r>
        <w:rPr>
          <w:rFonts w:hint="eastAsia" w:ascii="宋体" w:hAnsi="宋体"/>
          <w:sz w:val="24"/>
        </w:rPr>
        <w:t>监理人：。</w:t>
      </w:r>
    </w:p>
    <w:p>
      <w:pPr>
        <w:snapToGrid w:val="0"/>
        <w:spacing w:beforeLines="50"/>
        <w:ind w:left="991" w:hanging="991" w:hangingChars="413"/>
        <w:jc w:val="left"/>
        <w:rPr>
          <w:rFonts w:ascii="宋体" w:hAnsi="宋体"/>
          <w:sz w:val="24"/>
        </w:rPr>
      </w:pPr>
      <w:r>
        <w:rPr>
          <w:rFonts w:hint="eastAsia" w:ascii="宋体" w:hAnsi="宋体"/>
          <w:sz w:val="24"/>
        </w:rPr>
        <w:t>1.1.4</w:t>
      </w:r>
      <w:r>
        <w:rPr>
          <w:rFonts w:hint="eastAsia" w:ascii="宋体" w:hAnsi="宋体"/>
          <w:sz w:val="24"/>
        </w:rPr>
        <w:tab/>
      </w:r>
      <w:r>
        <w:rPr>
          <w:rFonts w:hint="eastAsia" w:ascii="宋体" w:hAnsi="宋体"/>
          <w:sz w:val="24"/>
        </w:rPr>
        <w:t>日期</w:t>
      </w:r>
    </w:p>
    <w:p>
      <w:pPr>
        <w:snapToGrid w:val="0"/>
        <w:spacing w:beforeLines="50"/>
        <w:ind w:left="991" w:hanging="991" w:hangingChars="413"/>
        <w:jc w:val="left"/>
        <w:rPr>
          <w:rFonts w:ascii="宋体" w:hAnsi="宋体"/>
          <w:sz w:val="24"/>
        </w:rPr>
      </w:pPr>
      <w:r>
        <w:rPr>
          <w:rFonts w:hint="eastAsia" w:ascii="宋体" w:hAnsi="宋体"/>
          <w:sz w:val="24"/>
        </w:rPr>
        <w:t>1.1.4.5</w:t>
      </w:r>
      <w:r>
        <w:rPr>
          <w:rFonts w:hint="eastAsia" w:ascii="宋体" w:hAnsi="宋体"/>
          <w:sz w:val="24"/>
        </w:rPr>
        <w:tab/>
      </w:r>
      <w:r>
        <w:rPr>
          <w:rFonts w:hint="eastAsia" w:ascii="宋体" w:hAnsi="宋体"/>
          <w:sz w:val="24"/>
        </w:rPr>
        <w:t>缺陷责任期：</w:t>
      </w:r>
      <w:r>
        <w:rPr>
          <w:rFonts w:ascii="宋体" w:hAnsi="宋体"/>
          <w:sz w:val="24"/>
          <w:highlight w:val="yellow"/>
          <w:u w:val="single"/>
        </w:rPr>
        <w:t xml:space="preserve"> 12  </w:t>
      </w:r>
      <w:r>
        <w:rPr>
          <w:rFonts w:hint="eastAsia" w:ascii="宋体" w:hAnsi="宋体"/>
          <w:sz w:val="24"/>
          <w:u w:val="single"/>
        </w:rPr>
        <w:t>个</w:t>
      </w:r>
      <w:r>
        <w:rPr>
          <w:rFonts w:hint="eastAsia" w:ascii="宋体" w:hAnsi="宋体"/>
          <w:sz w:val="24"/>
        </w:rPr>
        <w:t>月。</w:t>
      </w:r>
    </w:p>
    <w:p>
      <w:pPr>
        <w:snapToGrid w:val="0"/>
        <w:spacing w:beforeLines="50"/>
        <w:ind w:left="991" w:hanging="991" w:hangingChars="413"/>
        <w:jc w:val="left"/>
        <w:rPr>
          <w:rFonts w:ascii="黑体" w:eastAsia="黑体"/>
          <w:sz w:val="24"/>
        </w:rPr>
      </w:pPr>
      <w:r>
        <w:rPr>
          <w:rFonts w:hint="eastAsia" w:ascii="黑体" w:eastAsia="黑体"/>
          <w:sz w:val="24"/>
        </w:rPr>
        <w:t>1.4</w:t>
      </w:r>
      <w:r>
        <w:rPr>
          <w:rFonts w:hint="eastAsia" w:ascii="黑体" w:eastAsia="黑体"/>
          <w:sz w:val="24"/>
        </w:rPr>
        <w:tab/>
      </w:r>
      <w:r>
        <w:rPr>
          <w:rFonts w:hint="eastAsia" w:ascii="黑体" w:eastAsia="黑体"/>
          <w:sz w:val="24"/>
        </w:rPr>
        <w:t>合同文件的优先顺序</w:t>
      </w:r>
    </w:p>
    <w:p>
      <w:pPr>
        <w:snapToGrid w:val="0"/>
        <w:spacing w:beforeLines="50"/>
        <w:ind w:left="991" w:leftChars="472"/>
        <w:rPr>
          <w:rFonts w:ascii="宋体" w:hAnsi="宋体"/>
          <w:sz w:val="24"/>
        </w:rPr>
      </w:pPr>
      <w:r>
        <w:rPr>
          <w:rFonts w:hint="eastAsia" w:ascii="宋体" w:hAnsi="宋体"/>
          <w:sz w:val="24"/>
        </w:rPr>
        <w:t xml:space="preserve">解释合同文件的优先顺序: </w:t>
      </w:r>
      <w:r>
        <w:rPr>
          <w:rFonts w:hint="eastAsia" w:ascii="宋体" w:hAnsi="宋体"/>
          <w:sz w:val="24"/>
          <w:u w:val="single"/>
        </w:rPr>
        <w:t xml:space="preserve"> 同通用合同条款，无另外约定 </w:t>
      </w:r>
      <w:r>
        <w:rPr>
          <w:rFonts w:hint="eastAsia" w:ascii="宋体" w:hAnsi="宋体"/>
          <w:sz w:val="24"/>
        </w:rPr>
        <w:t xml:space="preserve"> 。</w:t>
      </w:r>
    </w:p>
    <w:p>
      <w:pPr>
        <w:snapToGrid w:val="0"/>
        <w:spacing w:beforeLines="50"/>
        <w:ind w:left="991" w:leftChars="472"/>
        <w:rPr>
          <w:rFonts w:ascii="宋体" w:hAnsi="宋体"/>
          <w:sz w:val="24"/>
        </w:rPr>
      </w:pPr>
      <w:r>
        <w:rPr>
          <w:rFonts w:hint="eastAsia" w:ascii="宋体" w:hAnsi="宋体"/>
          <w:sz w:val="24"/>
        </w:rPr>
        <w:t>合同协议书中约定采用总价合同形式的，已标价工程量清单中的各项工程量对合同双方不具合同约束力。</w:t>
      </w:r>
    </w:p>
    <w:p>
      <w:pPr>
        <w:snapToGrid w:val="0"/>
        <w:spacing w:beforeLines="50"/>
        <w:ind w:left="991" w:leftChars="472"/>
        <w:rPr>
          <w:rFonts w:ascii="宋体" w:hAnsi="宋体"/>
          <w:sz w:val="24"/>
        </w:rPr>
      </w:pPr>
      <w:r>
        <w:rPr>
          <w:rFonts w:hint="eastAsia" w:ascii="宋体" w:hAnsi="宋体"/>
          <w:sz w:val="24"/>
        </w:rPr>
        <w:t>图纸与技术标准和要求之间有矛盾或者不一致的，以其中要求较严格的标准为准。</w:t>
      </w:r>
    </w:p>
    <w:p>
      <w:pPr>
        <w:snapToGrid w:val="0"/>
        <w:spacing w:beforeLines="50"/>
        <w:ind w:left="991" w:leftChars="472"/>
        <w:rPr>
          <w:rFonts w:ascii="宋体" w:hAnsi="宋体"/>
          <w:sz w:val="24"/>
        </w:rPr>
      </w:pPr>
      <w:r>
        <w:rPr>
          <w:rFonts w:hint="eastAsia" w:ascii="宋体" w:hAnsi="宋体"/>
          <w:sz w:val="24"/>
        </w:rPr>
        <w:t>合同双方在合同履行过程中签订的补充协议亦构成合同文件的组成部分，其解释顺序视其内容与其他合同文件的相互关系而定。</w:t>
      </w:r>
    </w:p>
    <w:p>
      <w:pPr>
        <w:snapToGrid w:val="0"/>
        <w:spacing w:beforeLines="50"/>
        <w:ind w:left="991" w:hanging="991" w:hangingChars="413"/>
        <w:jc w:val="left"/>
        <w:rPr>
          <w:rFonts w:ascii="黑体" w:eastAsia="黑体"/>
          <w:sz w:val="24"/>
        </w:rPr>
      </w:pPr>
      <w:r>
        <w:rPr>
          <w:rFonts w:hint="eastAsia" w:ascii="黑体" w:eastAsia="黑体"/>
          <w:sz w:val="24"/>
        </w:rPr>
        <w:t>1.6</w:t>
      </w:r>
      <w:r>
        <w:rPr>
          <w:rFonts w:hint="eastAsia" w:ascii="黑体" w:eastAsia="黑体"/>
          <w:sz w:val="24"/>
        </w:rPr>
        <w:tab/>
      </w:r>
      <w:r>
        <w:rPr>
          <w:rFonts w:hint="eastAsia" w:ascii="黑体" w:eastAsia="黑体"/>
          <w:sz w:val="24"/>
        </w:rPr>
        <w:t>图纸和承包人文件</w:t>
      </w:r>
    </w:p>
    <w:p>
      <w:pPr>
        <w:snapToGrid w:val="0"/>
        <w:spacing w:beforeLines="50"/>
        <w:ind w:left="991" w:hanging="991" w:hangingChars="413"/>
        <w:jc w:val="left"/>
        <w:rPr>
          <w:rFonts w:ascii="宋体" w:hAnsi="宋体"/>
          <w:sz w:val="24"/>
        </w:rPr>
      </w:pPr>
      <w:r>
        <w:rPr>
          <w:rFonts w:hint="eastAsia" w:ascii="宋体" w:hAnsi="宋体"/>
          <w:sz w:val="24"/>
        </w:rPr>
        <w:t>1.6.1</w:t>
      </w:r>
      <w:r>
        <w:rPr>
          <w:rFonts w:hint="eastAsia" w:ascii="宋体" w:hAnsi="宋体"/>
          <w:sz w:val="24"/>
        </w:rPr>
        <w:tab/>
      </w:r>
      <w:r>
        <w:rPr>
          <w:rFonts w:hint="eastAsia" w:ascii="宋体" w:hAnsi="宋体"/>
          <w:sz w:val="24"/>
        </w:rPr>
        <w:t>发包人提供的图纸</w:t>
      </w:r>
    </w:p>
    <w:p>
      <w:pPr>
        <w:snapToGrid w:val="0"/>
        <w:spacing w:beforeLines="50"/>
        <w:ind w:left="991" w:leftChars="472"/>
        <w:rPr>
          <w:rFonts w:ascii="宋体" w:hAnsi="宋体"/>
          <w:sz w:val="24"/>
        </w:rPr>
      </w:pPr>
      <w:r>
        <w:rPr>
          <w:rFonts w:hint="eastAsia" w:ascii="宋体" w:hAnsi="宋体"/>
          <w:sz w:val="24"/>
        </w:rPr>
        <w:t>发包人提供图纸时间：</w:t>
      </w:r>
      <w:r>
        <w:rPr>
          <w:rFonts w:hint="eastAsia" w:ascii="宋体" w:hAnsi="宋体"/>
          <w:sz w:val="24"/>
          <w:u w:val="single"/>
        </w:rPr>
        <w:t xml:space="preserve"> 开工通知中载明的开工日期前14天 </w:t>
      </w:r>
      <w:r>
        <w:rPr>
          <w:rFonts w:hint="eastAsia" w:ascii="宋体" w:hAnsi="宋体"/>
          <w:sz w:val="24"/>
        </w:rPr>
        <w:t>。</w:t>
      </w:r>
    </w:p>
    <w:p>
      <w:pPr>
        <w:snapToGrid w:val="0"/>
        <w:spacing w:beforeLines="50"/>
        <w:ind w:left="991" w:leftChars="472"/>
        <w:rPr>
          <w:rFonts w:ascii="宋体" w:hAnsi="宋体"/>
          <w:sz w:val="24"/>
        </w:rPr>
      </w:pPr>
      <w:r>
        <w:rPr>
          <w:rFonts w:hint="eastAsia" w:ascii="宋体" w:hAnsi="宋体"/>
          <w:sz w:val="24"/>
        </w:rPr>
        <w:t>发包人提供图纸份数：</w:t>
      </w:r>
      <w:r>
        <w:rPr>
          <w:rFonts w:ascii="宋体" w:hAnsi="宋体"/>
          <w:sz w:val="24"/>
          <w:highlight w:val="yellow"/>
          <w:u w:val="single"/>
        </w:rPr>
        <w:t xml:space="preserve">  4 份 </w:t>
      </w:r>
      <w:r>
        <w:rPr>
          <w:rFonts w:hint="eastAsia" w:ascii="宋体" w:hAnsi="宋体"/>
          <w:sz w:val="24"/>
          <w:u w:val="single"/>
        </w:rPr>
        <w:t>。</w:t>
      </w:r>
    </w:p>
    <w:p>
      <w:pPr>
        <w:snapToGrid w:val="0"/>
        <w:spacing w:beforeLines="50"/>
        <w:ind w:left="991" w:hanging="991" w:hangingChars="413"/>
        <w:jc w:val="left"/>
        <w:rPr>
          <w:rFonts w:ascii="宋体" w:hAnsi="宋体"/>
          <w:sz w:val="24"/>
        </w:rPr>
      </w:pPr>
      <w:r>
        <w:rPr>
          <w:rFonts w:hint="eastAsia" w:ascii="宋体" w:hAnsi="宋体"/>
          <w:sz w:val="24"/>
        </w:rPr>
        <w:t>1.6.2</w:t>
      </w:r>
      <w:r>
        <w:rPr>
          <w:rFonts w:hint="eastAsia" w:ascii="宋体" w:hAnsi="宋体"/>
          <w:sz w:val="24"/>
        </w:rPr>
        <w:tab/>
      </w:r>
      <w:r>
        <w:rPr>
          <w:rFonts w:hint="eastAsia" w:ascii="宋体" w:hAnsi="宋体"/>
          <w:sz w:val="24"/>
        </w:rPr>
        <w:t>承包人提供的文件</w:t>
      </w:r>
    </w:p>
    <w:p>
      <w:pPr>
        <w:snapToGrid w:val="0"/>
        <w:spacing w:beforeLines="50"/>
        <w:ind w:left="1619" w:leftChars="473" w:hanging="626" w:hangingChars="261"/>
        <w:rPr>
          <w:rFonts w:ascii="宋体" w:hAnsi="宋体"/>
          <w:sz w:val="24"/>
        </w:rPr>
      </w:pPr>
      <w:r>
        <w:rPr>
          <w:rFonts w:hint="eastAsia" w:ascii="宋体" w:hAnsi="宋体"/>
          <w:sz w:val="24"/>
        </w:rPr>
        <w:t>(1)由承包人提供的文件范围：。</w:t>
      </w:r>
    </w:p>
    <w:p>
      <w:pPr>
        <w:snapToGrid w:val="0"/>
        <w:spacing w:beforeLines="50"/>
        <w:ind w:left="1619" w:leftChars="473" w:hanging="626" w:hangingChars="261"/>
        <w:rPr>
          <w:rFonts w:ascii="宋体" w:hAnsi="宋体"/>
          <w:sz w:val="24"/>
        </w:rPr>
      </w:pPr>
      <w:r>
        <w:rPr>
          <w:rFonts w:hint="eastAsia" w:ascii="宋体" w:hAnsi="宋体"/>
          <w:sz w:val="24"/>
        </w:rPr>
        <w:t>(2)承包人提供文件的期限：。</w:t>
      </w:r>
    </w:p>
    <w:p>
      <w:pPr>
        <w:snapToGrid w:val="0"/>
        <w:spacing w:beforeLines="50"/>
        <w:ind w:left="1619" w:leftChars="473" w:hanging="626" w:hangingChars="261"/>
        <w:rPr>
          <w:rFonts w:ascii="宋体" w:hAnsi="宋体"/>
          <w:sz w:val="24"/>
        </w:rPr>
      </w:pPr>
      <w:r>
        <w:rPr>
          <w:rFonts w:hint="eastAsia" w:ascii="宋体" w:hAnsi="宋体"/>
          <w:sz w:val="24"/>
        </w:rPr>
        <w:t>(3)承包人提供文件的数量：。</w:t>
      </w:r>
    </w:p>
    <w:p>
      <w:pPr>
        <w:snapToGrid w:val="0"/>
        <w:spacing w:beforeLines="50"/>
        <w:ind w:left="1619" w:leftChars="473" w:hanging="626" w:hangingChars="261"/>
        <w:rPr>
          <w:rFonts w:ascii="宋体" w:hAnsi="宋体"/>
          <w:sz w:val="24"/>
        </w:rPr>
      </w:pPr>
      <w:r>
        <w:rPr>
          <w:rFonts w:hint="eastAsia" w:ascii="宋体" w:hAnsi="宋体"/>
          <w:sz w:val="24"/>
        </w:rPr>
        <w:t>(4)监理人批复承包人提供文件的期限：。</w:t>
      </w:r>
    </w:p>
    <w:p>
      <w:pPr>
        <w:snapToGrid w:val="0"/>
        <w:spacing w:beforeLines="50"/>
        <w:ind w:left="1619" w:leftChars="473" w:hanging="626" w:hangingChars="261"/>
        <w:rPr>
          <w:rFonts w:ascii="宋体" w:hAnsi="宋体"/>
          <w:sz w:val="24"/>
        </w:rPr>
      </w:pPr>
      <w:r>
        <w:rPr>
          <w:rFonts w:hint="eastAsia" w:ascii="宋体" w:hAnsi="宋体"/>
          <w:sz w:val="24"/>
        </w:rPr>
        <w:t>(5)其他约定：。</w:t>
      </w:r>
    </w:p>
    <w:p>
      <w:pPr>
        <w:snapToGrid w:val="0"/>
        <w:spacing w:beforeLines="50"/>
        <w:ind w:left="991" w:leftChars="472"/>
        <w:rPr>
          <w:rFonts w:ascii="宋体" w:hAnsi="宋体"/>
          <w:sz w:val="24"/>
        </w:rPr>
      </w:pPr>
    </w:p>
    <w:p>
      <w:pPr>
        <w:snapToGrid w:val="0"/>
        <w:spacing w:beforeLines="50"/>
        <w:ind w:left="991" w:hanging="991" w:hangingChars="413"/>
        <w:jc w:val="left"/>
        <w:rPr>
          <w:rFonts w:ascii="黑体" w:eastAsia="黑体"/>
          <w:sz w:val="24"/>
        </w:rPr>
      </w:pPr>
      <w:r>
        <w:rPr>
          <w:rFonts w:hint="eastAsia" w:ascii="黑体" w:eastAsia="黑体"/>
          <w:sz w:val="24"/>
        </w:rPr>
        <w:t>2.3</w:t>
      </w:r>
      <w:r>
        <w:rPr>
          <w:rFonts w:hint="eastAsia" w:ascii="黑体" w:eastAsia="黑体"/>
          <w:sz w:val="24"/>
        </w:rPr>
        <w:tab/>
      </w:r>
      <w:r>
        <w:rPr>
          <w:rFonts w:hint="eastAsia" w:ascii="黑体" w:eastAsia="黑体"/>
          <w:sz w:val="24"/>
        </w:rPr>
        <w:t>提供施工场地</w:t>
      </w:r>
    </w:p>
    <w:p>
      <w:pPr>
        <w:snapToGrid w:val="0"/>
        <w:spacing w:beforeLines="50"/>
        <w:ind w:left="991" w:leftChars="472"/>
        <w:rPr>
          <w:rFonts w:ascii="宋体" w:hAnsi="宋体"/>
          <w:sz w:val="24"/>
        </w:rPr>
      </w:pPr>
      <w:r>
        <w:rPr>
          <w:rFonts w:hint="eastAsia" w:ascii="宋体" w:hAnsi="宋体"/>
          <w:sz w:val="24"/>
        </w:rPr>
        <w:t>发包人提供施工场地时间：</w:t>
      </w:r>
      <w:r>
        <w:rPr>
          <w:rFonts w:hint="eastAsia" w:ascii="宋体" w:hAnsi="宋体"/>
          <w:sz w:val="24"/>
          <w:u w:val="single"/>
        </w:rPr>
        <w:t xml:space="preserve"> 开工通知中载明的开工日期前7天 </w:t>
      </w:r>
      <w:r>
        <w:rPr>
          <w:rFonts w:hint="eastAsia" w:ascii="宋体" w:hAnsi="宋体"/>
          <w:sz w:val="24"/>
        </w:rPr>
        <w:t>。</w:t>
      </w:r>
    </w:p>
    <w:p>
      <w:pPr>
        <w:snapToGrid w:val="0"/>
        <w:spacing w:beforeLines="50"/>
        <w:ind w:left="991" w:hanging="991" w:hangingChars="413"/>
        <w:jc w:val="left"/>
        <w:outlineLvl w:val="2"/>
        <w:rPr>
          <w:rFonts w:ascii="黑体" w:eastAsia="黑体"/>
          <w:sz w:val="24"/>
        </w:rPr>
      </w:pPr>
      <w:bookmarkStart w:id="517" w:name="_Toc4048"/>
      <w:bookmarkStart w:id="518" w:name="_Toc22985"/>
      <w:r>
        <w:rPr>
          <w:rFonts w:hint="eastAsia" w:ascii="黑体" w:eastAsia="黑体"/>
          <w:sz w:val="24"/>
        </w:rPr>
        <w:t>3.</w:t>
      </w:r>
      <w:r>
        <w:rPr>
          <w:rFonts w:hint="eastAsia" w:ascii="黑体" w:eastAsia="黑体"/>
          <w:sz w:val="24"/>
        </w:rPr>
        <w:tab/>
      </w:r>
      <w:r>
        <w:rPr>
          <w:rFonts w:hint="eastAsia" w:ascii="黑体" w:eastAsia="黑体"/>
          <w:sz w:val="24"/>
        </w:rPr>
        <w:t>监理人</w:t>
      </w:r>
      <w:bookmarkEnd w:id="517"/>
      <w:bookmarkEnd w:id="518"/>
    </w:p>
    <w:p>
      <w:pPr>
        <w:snapToGrid w:val="0"/>
        <w:spacing w:beforeLines="50"/>
        <w:ind w:left="991" w:hanging="991" w:hangingChars="413"/>
        <w:jc w:val="left"/>
        <w:rPr>
          <w:rFonts w:ascii="黑体" w:eastAsia="黑体"/>
          <w:sz w:val="24"/>
        </w:rPr>
      </w:pPr>
      <w:r>
        <w:rPr>
          <w:rFonts w:hint="eastAsia" w:ascii="黑体" w:eastAsia="黑体"/>
          <w:sz w:val="24"/>
        </w:rPr>
        <w:t>3.1</w:t>
      </w:r>
      <w:r>
        <w:rPr>
          <w:rFonts w:hint="eastAsia" w:ascii="黑体" w:eastAsia="黑体"/>
          <w:sz w:val="24"/>
        </w:rPr>
        <w:tab/>
      </w:r>
      <w:r>
        <w:rPr>
          <w:rFonts w:hint="eastAsia" w:ascii="黑体" w:eastAsia="黑体"/>
          <w:sz w:val="24"/>
        </w:rPr>
        <w:t>监理人的职责和权力</w:t>
      </w:r>
    </w:p>
    <w:p>
      <w:pPr>
        <w:snapToGrid w:val="0"/>
        <w:spacing w:beforeLines="50"/>
        <w:ind w:left="991" w:hanging="991" w:hangingChars="413"/>
        <w:jc w:val="left"/>
        <w:rPr>
          <w:rFonts w:ascii="宋体" w:hAnsi="宋体"/>
          <w:sz w:val="24"/>
        </w:rPr>
      </w:pPr>
      <w:r>
        <w:rPr>
          <w:rFonts w:hint="eastAsia" w:ascii="宋体" w:hAnsi="宋体"/>
          <w:sz w:val="24"/>
        </w:rPr>
        <w:t>3.1.1</w:t>
      </w:r>
      <w:r>
        <w:rPr>
          <w:rFonts w:hint="eastAsia" w:ascii="宋体" w:hAnsi="宋体"/>
          <w:sz w:val="24"/>
        </w:rPr>
        <w:tab/>
      </w:r>
      <w:r>
        <w:rPr>
          <w:rFonts w:hint="eastAsia" w:ascii="宋体" w:hAnsi="宋体"/>
          <w:sz w:val="24"/>
        </w:rPr>
        <w:t>须经发包人批准行使的权力：</w:t>
      </w:r>
      <w:r>
        <w:rPr>
          <w:rFonts w:hint="eastAsia" w:ascii="宋体" w:hAnsi="宋体"/>
          <w:sz w:val="24"/>
          <w:u w:val="single"/>
        </w:rPr>
        <w:t xml:space="preserve"> 见GB/T 50319-2013  </w:t>
      </w:r>
      <w:r>
        <w:rPr>
          <w:rFonts w:hint="eastAsia" w:ascii="宋体" w:hAnsi="宋体"/>
          <w:sz w:val="24"/>
        </w:rPr>
        <w:t>。</w:t>
      </w:r>
    </w:p>
    <w:p>
      <w:pPr>
        <w:snapToGrid w:val="0"/>
        <w:spacing w:beforeLines="50"/>
        <w:ind w:left="991" w:hanging="991" w:hangingChars="413"/>
        <w:jc w:val="left"/>
        <w:rPr>
          <w:rFonts w:ascii="黑体" w:eastAsia="黑体"/>
          <w:sz w:val="24"/>
        </w:rPr>
      </w:pPr>
      <w:r>
        <w:rPr>
          <w:rFonts w:hint="eastAsia" w:ascii="黑体" w:eastAsia="黑体"/>
          <w:sz w:val="24"/>
        </w:rPr>
        <w:t>3.3</w:t>
      </w:r>
      <w:r>
        <w:rPr>
          <w:rFonts w:hint="eastAsia" w:ascii="黑体" w:eastAsia="黑体"/>
          <w:sz w:val="24"/>
        </w:rPr>
        <w:tab/>
      </w:r>
      <w:r>
        <w:rPr>
          <w:rFonts w:hint="eastAsia" w:ascii="黑体" w:eastAsia="黑体"/>
          <w:sz w:val="24"/>
        </w:rPr>
        <w:t>监理人员</w:t>
      </w:r>
    </w:p>
    <w:p>
      <w:pPr>
        <w:snapToGrid w:val="0"/>
        <w:spacing w:beforeLines="50"/>
        <w:ind w:left="991" w:hanging="991" w:hangingChars="413"/>
        <w:jc w:val="left"/>
        <w:rPr>
          <w:rFonts w:ascii="宋体" w:hAnsi="宋体"/>
          <w:sz w:val="24"/>
        </w:rPr>
      </w:pPr>
      <w:r>
        <w:rPr>
          <w:rFonts w:hint="eastAsia" w:ascii="宋体" w:hAnsi="宋体"/>
          <w:sz w:val="24"/>
        </w:rPr>
        <w:t>3.3.4</w:t>
      </w:r>
      <w:r>
        <w:rPr>
          <w:rFonts w:hint="eastAsia" w:ascii="宋体" w:hAnsi="宋体"/>
          <w:sz w:val="24"/>
        </w:rPr>
        <w:tab/>
      </w:r>
      <w:r>
        <w:rPr>
          <w:rFonts w:hint="eastAsia" w:ascii="宋体" w:hAnsi="宋体"/>
          <w:sz w:val="24"/>
        </w:rPr>
        <w:t>总监理工程师不应将第3.5款约定应由总监理工程师作出确定的权力授权或委托给其他监理人员。</w:t>
      </w:r>
    </w:p>
    <w:p>
      <w:pPr>
        <w:snapToGrid w:val="0"/>
        <w:spacing w:beforeLines="50"/>
        <w:ind w:left="991" w:hanging="991" w:hangingChars="413"/>
        <w:jc w:val="left"/>
        <w:outlineLvl w:val="2"/>
        <w:rPr>
          <w:rFonts w:ascii="黑体" w:eastAsia="黑体"/>
          <w:sz w:val="24"/>
        </w:rPr>
      </w:pPr>
      <w:bookmarkStart w:id="519" w:name="_Toc1232"/>
      <w:bookmarkStart w:id="520" w:name="_Toc2500"/>
      <w:r>
        <w:rPr>
          <w:rFonts w:hint="eastAsia" w:ascii="黑体" w:eastAsia="黑体"/>
          <w:sz w:val="24"/>
        </w:rPr>
        <w:t>4.</w:t>
      </w:r>
      <w:r>
        <w:rPr>
          <w:rFonts w:hint="eastAsia" w:ascii="黑体" w:eastAsia="黑体"/>
          <w:sz w:val="24"/>
        </w:rPr>
        <w:tab/>
      </w:r>
      <w:r>
        <w:rPr>
          <w:rFonts w:hint="eastAsia" w:ascii="黑体" w:eastAsia="黑体"/>
          <w:sz w:val="24"/>
        </w:rPr>
        <w:t>承包人</w:t>
      </w:r>
      <w:bookmarkEnd w:id="519"/>
      <w:bookmarkEnd w:id="520"/>
    </w:p>
    <w:p>
      <w:pPr>
        <w:snapToGrid w:val="0"/>
        <w:spacing w:beforeLines="50"/>
        <w:ind w:left="991" w:hanging="991" w:hangingChars="413"/>
        <w:jc w:val="left"/>
        <w:rPr>
          <w:rFonts w:ascii="黑体" w:eastAsia="黑体"/>
          <w:sz w:val="24"/>
        </w:rPr>
      </w:pPr>
      <w:r>
        <w:rPr>
          <w:rFonts w:hint="eastAsia" w:ascii="黑体" w:eastAsia="黑体"/>
          <w:sz w:val="24"/>
        </w:rPr>
        <w:t>4.1</w:t>
      </w:r>
      <w:r>
        <w:rPr>
          <w:rFonts w:hint="eastAsia" w:ascii="黑体" w:eastAsia="黑体"/>
          <w:sz w:val="24"/>
        </w:rPr>
        <w:tab/>
      </w:r>
      <w:r>
        <w:rPr>
          <w:rFonts w:hint="eastAsia" w:ascii="黑体" w:eastAsia="黑体"/>
          <w:sz w:val="24"/>
        </w:rPr>
        <w:t>承包人的一般义务</w:t>
      </w:r>
    </w:p>
    <w:p>
      <w:pPr>
        <w:snapToGrid w:val="0"/>
        <w:spacing w:beforeLines="50"/>
        <w:ind w:left="991" w:hanging="991" w:hangingChars="413"/>
        <w:jc w:val="left"/>
        <w:rPr>
          <w:rFonts w:ascii="宋体" w:hAnsi="宋体"/>
          <w:sz w:val="24"/>
        </w:rPr>
      </w:pPr>
      <w:r>
        <w:rPr>
          <w:rFonts w:hint="eastAsia" w:ascii="宋体" w:hAnsi="宋体"/>
          <w:sz w:val="24"/>
        </w:rPr>
        <w:t>4.1.6</w:t>
      </w:r>
      <w:r>
        <w:rPr>
          <w:rFonts w:hint="eastAsia" w:ascii="宋体" w:hAnsi="宋体"/>
          <w:sz w:val="24"/>
        </w:rPr>
        <w:tab/>
      </w:r>
      <w:r>
        <w:rPr>
          <w:rFonts w:hint="eastAsia" w:ascii="宋体" w:hAnsi="宋体"/>
          <w:sz w:val="24"/>
        </w:rPr>
        <w:t>承包人应履行合同约定的其他义务。</w:t>
      </w:r>
    </w:p>
    <w:p>
      <w:pPr>
        <w:snapToGrid w:val="0"/>
        <w:spacing w:beforeLines="50"/>
        <w:ind w:left="991" w:hanging="991" w:hangingChars="413"/>
        <w:jc w:val="left"/>
        <w:rPr>
          <w:rFonts w:ascii="黑体" w:eastAsia="黑体"/>
          <w:sz w:val="24"/>
        </w:rPr>
      </w:pPr>
      <w:r>
        <w:rPr>
          <w:rFonts w:hint="eastAsia" w:ascii="黑体" w:eastAsia="黑体"/>
          <w:sz w:val="24"/>
        </w:rPr>
        <w:t>4.3</w:t>
      </w:r>
      <w:r>
        <w:rPr>
          <w:rFonts w:hint="eastAsia" w:ascii="黑体" w:eastAsia="黑体"/>
          <w:sz w:val="24"/>
        </w:rPr>
        <w:tab/>
      </w:r>
      <w:r>
        <w:rPr>
          <w:rFonts w:hint="eastAsia" w:ascii="黑体" w:eastAsia="黑体"/>
          <w:sz w:val="24"/>
        </w:rPr>
        <w:t>承包人项目经理</w:t>
      </w:r>
    </w:p>
    <w:p>
      <w:pPr>
        <w:snapToGrid w:val="0"/>
        <w:spacing w:beforeLines="50"/>
        <w:ind w:left="991" w:leftChars="472"/>
        <w:rPr>
          <w:rFonts w:ascii="宋体" w:hAnsi="宋体"/>
          <w:sz w:val="24"/>
        </w:rPr>
      </w:pPr>
      <w:r>
        <w:rPr>
          <w:rFonts w:hint="eastAsia" w:ascii="宋体" w:hAnsi="宋体"/>
          <w:sz w:val="24"/>
        </w:rPr>
        <w:t>承包人指派的项目经理，应在接到发</w:t>
      </w:r>
      <w:r>
        <w:rPr>
          <w:rFonts w:hint="eastAsia" w:ascii="宋体" w:hAnsi="宋体"/>
          <w:sz w:val="24"/>
          <w:highlight w:val="yellow"/>
        </w:rPr>
        <w:t>包人通知后</w:t>
      </w:r>
      <w:r>
        <w:rPr>
          <w:rFonts w:ascii="宋体" w:hAnsi="宋体"/>
          <w:sz w:val="24"/>
          <w:highlight w:val="yellow"/>
          <w:u w:val="single"/>
        </w:rPr>
        <w:t xml:space="preserve"> </w:t>
      </w:r>
      <w:r>
        <w:rPr>
          <w:rFonts w:hint="eastAsia" w:ascii="宋体" w:hAnsi="宋体"/>
          <w:sz w:val="24"/>
          <w:highlight w:val="yellow"/>
          <w:u w:val="single"/>
          <w:lang w:val="en-US" w:eastAsia="zh-CN"/>
        </w:rPr>
        <w:t xml:space="preserve"> </w:t>
      </w:r>
      <w:r>
        <w:rPr>
          <w:rFonts w:ascii="宋体" w:hAnsi="宋体"/>
          <w:sz w:val="24"/>
          <w:highlight w:val="yellow"/>
          <w:u w:val="single"/>
        </w:rPr>
        <w:t>7</w:t>
      </w:r>
      <w:r>
        <w:rPr>
          <w:rFonts w:hint="eastAsia" w:ascii="宋体" w:hAnsi="宋体"/>
          <w:sz w:val="24"/>
          <w:highlight w:val="yellow"/>
          <w:u w:val="single"/>
          <w:lang w:val="en-US" w:eastAsia="zh-CN"/>
        </w:rPr>
        <w:t xml:space="preserve"> </w:t>
      </w:r>
      <w:r>
        <w:rPr>
          <w:rFonts w:ascii="宋体" w:hAnsi="宋体"/>
          <w:sz w:val="24"/>
          <w:highlight w:val="yellow"/>
          <w:u w:val="single"/>
        </w:rPr>
        <w:t xml:space="preserve"> </w:t>
      </w:r>
      <w:r>
        <w:rPr>
          <w:rFonts w:hint="eastAsia" w:ascii="宋体" w:hAnsi="宋体"/>
          <w:sz w:val="24"/>
        </w:rPr>
        <w:t>日内到职。</w:t>
      </w:r>
    </w:p>
    <w:p>
      <w:pPr>
        <w:snapToGrid w:val="0"/>
        <w:spacing w:beforeLines="50"/>
        <w:ind w:left="991" w:leftChars="472"/>
        <w:rPr>
          <w:rFonts w:ascii="宋体" w:hAnsi="宋体"/>
          <w:sz w:val="24"/>
        </w:rPr>
      </w:pPr>
      <w:r>
        <w:rPr>
          <w:rFonts w:hint="eastAsia" w:ascii="宋体" w:hAnsi="宋体"/>
          <w:sz w:val="24"/>
        </w:rPr>
        <w:t>承包人项目经理应按合同约定以及监理人按第3.4款作出的指示，负责组织合同工程的实施。承包人为履行合同发出的一切函件均应盖有承包人授权的施工场地管理机构章，并由承包人项目经理或其授权代表签字。</w:t>
      </w:r>
    </w:p>
    <w:p>
      <w:pPr>
        <w:snapToGrid w:val="0"/>
        <w:spacing w:beforeLines="50"/>
        <w:ind w:left="991" w:hanging="991" w:hangingChars="413"/>
        <w:jc w:val="left"/>
        <w:rPr>
          <w:rFonts w:ascii="黑体" w:eastAsia="黑体"/>
          <w:sz w:val="24"/>
        </w:rPr>
      </w:pPr>
      <w:r>
        <w:rPr>
          <w:rFonts w:hint="eastAsia" w:ascii="黑体" w:eastAsia="黑体"/>
          <w:sz w:val="24"/>
        </w:rPr>
        <w:t>4.5</w:t>
      </w:r>
      <w:r>
        <w:rPr>
          <w:rFonts w:hint="eastAsia" w:ascii="黑体" w:eastAsia="黑体"/>
          <w:sz w:val="24"/>
        </w:rPr>
        <w:tab/>
      </w:r>
      <w:r>
        <w:rPr>
          <w:rFonts w:hint="eastAsia" w:ascii="黑体" w:eastAsia="黑体"/>
          <w:sz w:val="24"/>
        </w:rPr>
        <w:t>不利物质条件</w:t>
      </w:r>
    </w:p>
    <w:p>
      <w:pPr>
        <w:snapToGrid w:val="0"/>
        <w:spacing w:beforeLines="50"/>
        <w:ind w:left="991" w:hanging="991" w:hangingChars="413"/>
        <w:jc w:val="left"/>
        <w:rPr>
          <w:rFonts w:ascii="宋体" w:hAnsi="宋体"/>
          <w:sz w:val="24"/>
        </w:rPr>
      </w:pPr>
      <w:r>
        <w:rPr>
          <w:rFonts w:hint="eastAsia" w:ascii="宋体" w:hAnsi="宋体"/>
          <w:sz w:val="24"/>
        </w:rPr>
        <w:t>4.5.1</w:t>
      </w:r>
      <w:r>
        <w:rPr>
          <w:rFonts w:hint="eastAsia" w:ascii="宋体" w:hAnsi="宋体"/>
          <w:sz w:val="24"/>
        </w:rPr>
        <w:tab/>
      </w:r>
      <w:r>
        <w:rPr>
          <w:rFonts w:hint="eastAsia" w:ascii="宋体" w:hAnsi="宋体"/>
          <w:sz w:val="24"/>
        </w:rPr>
        <w:t>不利物质条件的范围：</w:t>
      </w:r>
      <w:r>
        <w:rPr>
          <w:rFonts w:hint="eastAsia" w:ascii="宋体" w:hAnsi="宋体"/>
          <w:sz w:val="24"/>
          <w:u w:val="single"/>
        </w:rPr>
        <w:t xml:space="preserve"> 未探明的高度超过3m的溶洞、大于5立方米孤石、废弃的建（构）筑物以及超过国家标准的幅射物 </w:t>
      </w:r>
      <w:r>
        <w:rPr>
          <w:rFonts w:hint="eastAsia" w:ascii="宋体" w:hAnsi="宋体"/>
          <w:sz w:val="24"/>
        </w:rPr>
        <w:t>。</w:t>
      </w:r>
    </w:p>
    <w:p>
      <w:pPr>
        <w:snapToGrid w:val="0"/>
        <w:spacing w:beforeLines="50"/>
        <w:ind w:left="991" w:hanging="991" w:hangingChars="413"/>
        <w:jc w:val="left"/>
        <w:outlineLvl w:val="2"/>
        <w:rPr>
          <w:rFonts w:ascii="黑体" w:eastAsia="黑体"/>
          <w:sz w:val="24"/>
        </w:rPr>
      </w:pPr>
      <w:bookmarkStart w:id="521" w:name="_Toc8152"/>
      <w:bookmarkStart w:id="522" w:name="_Toc3323"/>
      <w:r>
        <w:rPr>
          <w:rFonts w:hint="eastAsia" w:ascii="黑体" w:eastAsia="黑体"/>
          <w:sz w:val="24"/>
        </w:rPr>
        <w:t>5.</w:t>
      </w:r>
      <w:r>
        <w:rPr>
          <w:rFonts w:hint="eastAsia" w:ascii="黑体" w:eastAsia="黑体"/>
          <w:sz w:val="24"/>
        </w:rPr>
        <w:tab/>
      </w:r>
      <w:r>
        <w:rPr>
          <w:rFonts w:hint="eastAsia" w:ascii="黑体" w:eastAsia="黑体"/>
          <w:sz w:val="24"/>
        </w:rPr>
        <w:t>施工控制网</w:t>
      </w:r>
      <w:bookmarkEnd w:id="521"/>
      <w:bookmarkEnd w:id="522"/>
    </w:p>
    <w:p>
      <w:pPr>
        <w:snapToGrid w:val="0"/>
        <w:spacing w:beforeLines="50"/>
        <w:ind w:left="991" w:hanging="991" w:hangingChars="413"/>
        <w:jc w:val="left"/>
        <w:rPr>
          <w:rFonts w:ascii="宋体" w:hAnsi="宋体"/>
          <w:sz w:val="24"/>
        </w:rPr>
      </w:pPr>
      <w:r>
        <w:rPr>
          <w:rFonts w:hint="eastAsia" w:ascii="宋体" w:hAnsi="宋体"/>
          <w:sz w:val="24"/>
        </w:rPr>
        <w:t>5.1</w:t>
      </w:r>
      <w:r>
        <w:rPr>
          <w:rFonts w:hint="eastAsia" w:ascii="宋体" w:hAnsi="宋体"/>
          <w:sz w:val="24"/>
        </w:rPr>
        <w:tab/>
      </w:r>
      <w:r>
        <w:rPr>
          <w:rFonts w:hint="eastAsia" w:ascii="宋体" w:hAnsi="宋体"/>
          <w:sz w:val="24"/>
        </w:rPr>
        <w:t xml:space="preserve">发包人向承包人提供测量基准点、基准线和水准点及其书面资料时间： </w:t>
      </w:r>
      <w:r>
        <w:rPr>
          <w:rFonts w:hint="eastAsia" w:ascii="宋体" w:hAnsi="宋体"/>
          <w:sz w:val="24"/>
          <w:u w:val="single"/>
        </w:rPr>
        <w:t xml:space="preserve">开工通知中载明的开工日期前14天 </w:t>
      </w:r>
      <w:r>
        <w:rPr>
          <w:rFonts w:hint="eastAsia" w:ascii="宋体" w:hAnsi="宋体"/>
          <w:sz w:val="24"/>
        </w:rPr>
        <w:t>。</w:t>
      </w:r>
    </w:p>
    <w:p>
      <w:pPr>
        <w:snapToGrid w:val="0"/>
        <w:spacing w:beforeLines="50"/>
        <w:ind w:left="989" w:leftChars="471" w:firstLine="2"/>
        <w:jc w:val="left"/>
        <w:rPr>
          <w:rFonts w:ascii="宋体" w:hAnsi="宋体"/>
          <w:sz w:val="24"/>
        </w:rPr>
      </w:pPr>
      <w:r>
        <w:rPr>
          <w:rFonts w:hint="eastAsia" w:ascii="宋体" w:hAnsi="宋体"/>
          <w:sz w:val="24"/>
        </w:rPr>
        <w:t xml:space="preserve">承包人向监理人报送施工控制网的时间： </w:t>
      </w:r>
      <w:r>
        <w:rPr>
          <w:rFonts w:hint="eastAsia" w:ascii="宋体" w:hAnsi="宋体"/>
          <w:sz w:val="24"/>
          <w:u w:val="single"/>
        </w:rPr>
        <w:t xml:space="preserve">开工通知中载明的开工日期前7天 </w:t>
      </w:r>
      <w:r>
        <w:rPr>
          <w:rFonts w:hint="eastAsia" w:ascii="宋体" w:hAnsi="宋体"/>
          <w:sz w:val="24"/>
        </w:rPr>
        <w:t>。</w:t>
      </w:r>
    </w:p>
    <w:p>
      <w:pPr>
        <w:snapToGrid w:val="0"/>
        <w:spacing w:beforeLines="50"/>
        <w:ind w:left="991" w:hanging="991" w:hangingChars="413"/>
        <w:jc w:val="left"/>
        <w:outlineLvl w:val="2"/>
        <w:rPr>
          <w:rFonts w:ascii="黑体" w:eastAsia="黑体"/>
          <w:sz w:val="24"/>
        </w:rPr>
      </w:pPr>
      <w:bookmarkStart w:id="523" w:name="_Toc6871"/>
      <w:bookmarkStart w:id="524" w:name="_Toc29075"/>
      <w:r>
        <w:rPr>
          <w:rFonts w:hint="eastAsia" w:ascii="黑体" w:eastAsia="黑体"/>
          <w:sz w:val="24"/>
        </w:rPr>
        <w:t>6.</w:t>
      </w:r>
      <w:r>
        <w:rPr>
          <w:rFonts w:hint="eastAsia" w:ascii="黑体" w:eastAsia="黑体"/>
          <w:sz w:val="24"/>
        </w:rPr>
        <w:tab/>
      </w:r>
      <w:r>
        <w:rPr>
          <w:rFonts w:hint="eastAsia" w:ascii="黑体" w:eastAsia="黑体"/>
          <w:sz w:val="24"/>
        </w:rPr>
        <w:t>工期</w:t>
      </w:r>
      <w:bookmarkEnd w:id="523"/>
      <w:bookmarkEnd w:id="524"/>
    </w:p>
    <w:p>
      <w:pPr>
        <w:snapToGrid w:val="0"/>
        <w:spacing w:beforeLines="50"/>
        <w:ind w:left="991" w:hanging="991" w:hangingChars="413"/>
        <w:jc w:val="left"/>
        <w:rPr>
          <w:rFonts w:ascii="黑体" w:eastAsia="黑体"/>
          <w:sz w:val="24"/>
        </w:rPr>
      </w:pPr>
      <w:r>
        <w:rPr>
          <w:rFonts w:hint="eastAsia" w:ascii="黑体" w:eastAsia="黑体"/>
          <w:sz w:val="24"/>
        </w:rPr>
        <w:t>6.1</w:t>
      </w:r>
      <w:r>
        <w:rPr>
          <w:rFonts w:hint="eastAsia" w:ascii="黑体" w:eastAsia="黑体"/>
          <w:sz w:val="24"/>
        </w:rPr>
        <w:tab/>
      </w:r>
      <w:r>
        <w:rPr>
          <w:rFonts w:hint="eastAsia" w:ascii="黑体" w:eastAsia="黑体"/>
          <w:sz w:val="24"/>
        </w:rPr>
        <w:t>进度计划</w:t>
      </w:r>
    </w:p>
    <w:p>
      <w:pPr>
        <w:snapToGrid w:val="0"/>
        <w:spacing w:beforeLines="50"/>
        <w:ind w:left="991" w:leftChars="472"/>
        <w:rPr>
          <w:rFonts w:ascii="宋体" w:hAnsi="宋体"/>
          <w:sz w:val="24"/>
        </w:rPr>
      </w:pPr>
      <w:r>
        <w:rPr>
          <w:rFonts w:hint="eastAsia" w:ascii="宋体" w:hAnsi="宋体"/>
          <w:sz w:val="24"/>
        </w:rPr>
        <w:t>承包</w:t>
      </w:r>
      <w:r>
        <w:rPr>
          <w:rFonts w:ascii="宋体" w:hAnsi="宋体"/>
          <w:sz w:val="24"/>
        </w:rPr>
        <w:t>人向监理人提交</w:t>
      </w:r>
      <w:r>
        <w:rPr>
          <w:rFonts w:hint="eastAsia" w:ascii="宋体" w:hAnsi="宋体"/>
          <w:sz w:val="24"/>
        </w:rPr>
        <w:t>详细的施工进度计划和施工方案说明的</w:t>
      </w:r>
      <w:r>
        <w:rPr>
          <w:rFonts w:ascii="宋体" w:hAnsi="宋体"/>
          <w:sz w:val="24"/>
        </w:rPr>
        <w:t>时间：</w:t>
      </w:r>
      <w:r>
        <w:rPr>
          <w:rFonts w:hint="eastAsia" w:ascii="宋体" w:hAnsi="宋体"/>
          <w:sz w:val="24"/>
          <w:u w:val="single"/>
        </w:rPr>
        <w:t>开工通知中载明的开工日期前7天</w:t>
      </w:r>
      <w:r>
        <w:rPr>
          <w:rFonts w:ascii="宋体" w:hAnsi="宋体"/>
          <w:sz w:val="24"/>
        </w:rPr>
        <w:t>。</w:t>
      </w:r>
    </w:p>
    <w:p>
      <w:pPr>
        <w:spacing w:beforeLines="50"/>
        <w:ind w:left="1415" w:leftChars="472" w:hanging="424" w:hangingChars="177"/>
        <w:rPr>
          <w:rFonts w:ascii="宋体" w:hAnsi="宋体"/>
          <w:sz w:val="24"/>
        </w:rPr>
      </w:pPr>
      <w:r>
        <w:rPr>
          <w:rFonts w:hint="eastAsia" w:ascii="宋体" w:hAnsi="宋体"/>
          <w:sz w:val="24"/>
        </w:rPr>
        <w:t>(1)承包人报送修订合同进度计划申请报告和相关资料的期限：</w:t>
      </w:r>
      <w:r>
        <w:rPr>
          <w:rFonts w:hint="eastAsia" w:ascii="宋体" w:hAnsi="宋体"/>
          <w:sz w:val="24"/>
          <w:u w:val="single"/>
        </w:rPr>
        <w:t xml:space="preserve"> 当发生工程实际进度与经监理人批准的合同进度计划情况后7天内</w:t>
      </w:r>
      <w:r>
        <w:rPr>
          <w:rFonts w:hint="eastAsia" w:ascii="宋体" w:hAnsi="宋体"/>
          <w:sz w:val="24"/>
        </w:rPr>
        <w:t xml:space="preserve"> 。</w:t>
      </w:r>
    </w:p>
    <w:p>
      <w:pPr>
        <w:spacing w:beforeLines="50"/>
        <w:ind w:left="1415" w:leftChars="472" w:hanging="424" w:hangingChars="177"/>
        <w:rPr>
          <w:rFonts w:ascii="宋体" w:hAnsi="宋体"/>
          <w:sz w:val="24"/>
        </w:rPr>
      </w:pPr>
      <w:r>
        <w:rPr>
          <w:rFonts w:hint="eastAsia" w:ascii="宋体" w:hAnsi="宋体"/>
          <w:sz w:val="24"/>
        </w:rPr>
        <w:t>(2)监理人批复修订合同进度计划的期限：</w:t>
      </w:r>
      <w:r>
        <w:rPr>
          <w:rFonts w:hint="eastAsia" w:ascii="宋体" w:hAnsi="宋体"/>
          <w:sz w:val="24"/>
          <w:u w:val="single"/>
        </w:rPr>
        <w:t xml:space="preserve"> 7天  </w:t>
      </w:r>
      <w:r>
        <w:rPr>
          <w:rFonts w:hint="eastAsia" w:ascii="宋体" w:hAnsi="宋体"/>
          <w:sz w:val="24"/>
        </w:rPr>
        <w:t>。</w:t>
      </w:r>
    </w:p>
    <w:p>
      <w:pPr>
        <w:snapToGrid w:val="0"/>
        <w:spacing w:beforeLines="50"/>
        <w:ind w:left="991" w:hanging="991" w:hangingChars="413"/>
        <w:jc w:val="left"/>
        <w:rPr>
          <w:rFonts w:ascii="黑体" w:eastAsia="黑体"/>
          <w:sz w:val="24"/>
        </w:rPr>
      </w:pPr>
      <w:r>
        <w:rPr>
          <w:rFonts w:hint="eastAsia" w:ascii="黑体" w:eastAsia="黑体"/>
          <w:sz w:val="24"/>
        </w:rPr>
        <w:t>6.4</w:t>
      </w:r>
      <w:r>
        <w:rPr>
          <w:rFonts w:hint="eastAsia" w:ascii="黑体" w:eastAsia="黑体"/>
          <w:sz w:val="24"/>
        </w:rPr>
        <w:tab/>
      </w:r>
      <w:r>
        <w:rPr>
          <w:rFonts w:hint="eastAsia" w:ascii="黑体" w:eastAsia="黑体"/>
          <w:sz w:val="24"/>
        </w:rPr>
        <w:t>异常恶劣的气候条件</w:t>
      </w:r>
    </w:p>
    <w:p>
      <w:pPr>
        <w:snapToGrid w:val="0"/>
        <w:spacing w:beforeLines="50"/>
        <w:ind w:left="991" w:leftChars="472"/>
        <w:rPr>
          <w:rFonts w:ascii="宋体" w:hAnsi="宋体"/>
          <w:sz w:val="24"/>
        </w:rPr>
      </w:pPr>
      <w:r>
        <w:rPr>
          <w:rFonts w:hint="eastAsia" w:ascii="宋体" w:hAnsi="宋体"/>
          <w:sz w:val="24"/>
        </w:rPr>
        <w:t>异常恶劣气候指：</w:t>
      </w:r>
      <w:r>
        <w:rPr>
          <w:rFonts w:hint="eastAsia" w:ascii="宋体" w:hAnsi="宋体"/>
          <w:sz w:val="24"/>
          <w:u w:val="single"/>
        </w:rPr>
        <w:t xml:space="preserve"> 持续 3天的大雨（降雨量＞25mm/d</w:t>
      </w:r>
      <w:r>
        <w:rPr>
          <w:rFonts w:ascii="宋体" w:hAnsi="宋体"/>
          <w:sz w:val="24"/>
          <w:u w:val="single"/>
        </w:rPr>
        <w:t>）</w:t>
      </w:r>
      <w:r>
        <w:rPr>
          <w:rFonts w:hint="eastAsia" w:ascii="宋体" w:hAnsi="宋体"/>
          <w:sz w:val="24"/>
          <w:u w:val="single"/>
        </w:rPr>
        <w:t xml:space="preserve">；台风 </w:t>
      </w:r>
      <w:r>
        <w:rPr>
          <w:rFonts w:hint="eastAsia" w:ascii="宋体" w:hAnsi="宋体"/>
          <w:sz w:val="24"/>
        </w:rPr>
        <w:t>。</w:t>
      </w:r>
    </w:p>
    <w:p>
      <w:pPr>
        <w:snapToGrid w:val="0"/>
        <w:spacing w:beforeLines="50"/>
        <w:ind w:left="991" w:hanging="991" w:hangingChars="413"/>
        <w:jc w:val="left"/>
        <w:rPr>
          <w:rFonts w:ascii="黑体" w:eastAsia="黑体"/>
          <w:sz w:val="24"/>
        </w:rPr>
      </w:pPr>
      <w:r>
        <w:rPr>
          <w:rFonts w:hint="eastAsia" w:ascii="黑体" w:eastAsia="黑体"/>
          <w:sz w:val="24"/>
        </w:rPr>
        <w:t>6.5</w:t>
      </w:r>
      <w:r>
        <w:rPr>
          <w:rFonts w:hint="eastAsia" w:ascii="黑体" w:eastAsia="黑体"/>
          <w:sz w:val="24"/>
        </w:rPr>
        <w:tab/>
      </w:r>
      <w:r>
        <w:rPr>
          <w:rFonts w:hint="eastAsia" w:ascii="黑体" w:eastAsia="黑体"/>
          <w:sz w:val="24"/>
        </w:rPr>
        <w:t>承包人引起的工期延误</w:t>
      </w:r>
    </w:p>
    <w:p>
      <w:pPr>
        <w:snapToGrid w:val="0"/>
        <w:spacing w:beforeLines="50"/>
        <w:ind w:left="991" w:leftChars="472"/>
        <w:rPr>
          <w:rFonts w:asciiTheme="minorEastAsia" w:hAnsiTheme="minorEastAsia" w:eastAsiaTheme="minorEastAsia"/>
          <w:sz w:val="24"/>
        </w:rPr>
      </w:pPr>
      <w:r>
        <w:rPr>
          <w:rFonts w:hint="eastAsia" w:asciiTheme="minorEastAsia" w:hAnsiTheme="minorEastAsia" w:eastAsiaTheme="minorEastAsia"/>
          <w:sz w:val="24"/>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w:t>
      </w:r>
    </w:p>
    <w:p>
      <w:pPr>
        <w:snapToGrid w:val="0"/>
        <w:spacing w:beforeLines="50"/>
        <w:ind w:left="991" w:leftChars="472"/>
        <w:rPr>
          <w:rFonts w:ascii="宋体" w:hAnsi="宋体"/>
          <w:sz w:val="24"/>
        </w:rPr>
      </w:pPr>
      <w:r>
        <w:rPr>
          <w:rFonts w:ascii="宋体" w:hAnsi="宋体"/>
          <w:sz w:val="24"/>
        </w:rPr>
        <w:t>逾期竣工违约金：</w:t>
      </w:r>
      <w:r>
        <w:rPr>
          <w:rFonts w:hint="eastAsia" w:ascii="宋体" w:hAnsi="宋体"/>
          <w:sz w:val="24"/>
          <w:u w:val="single"/>
        </w:rPr>
        <w:t xml:space="preserve"> 最高限额为合同价款的10% </w:t>
      </w:r>
      <w:r>
        <w:rPr>
          <w:rFonts w:hint="eastAsia" w:ascii="宋体" w:hAnsi="宋体"/>
          <w:sz w:val="24"/>
        </w:rPr>
        <w:t>。</w:t>
      </w:r>
    </w:p>
    <w:p>
      <w:pPr>
        <w:snapToGrid w:val="0"/>
        <w:spacing w:beforeLines="50"/>
        <w:ind w:left="991" w:hanging="991" w:hangingChars="413"/>
        <w:jc w:val="left"/>
        <w:outlineLvl w:val="2"/>
        <w:rPr>
          <w:rFonts w:ascii="黑体" w:eastAsia="黑体"/>
          <w:sz w:val="24"/>
        </w:rPr>
      </w:pPr>
      <w:bookmarkStart w:id="525" w:name="_Toc22280"/>
      <w:bookmarkStart w:id="526" w:name="_Toc16898"/>
      <w:r>
        <w:rPr>
          <w:rFonts w:hint="eastAsia" w:ascii="黑体" w:eastAsia="黑体"/>
          <w:sz w:val="24"/>
        </w:rPr>
        <w:t>7.</w:t>
      </w:r>
      <w:r>
        <w:rPr>
          <w:rFonts w:hint="eastAsia" w:ascii="黑体" w:eastAsia="黑体"/>
          <w:sz w:val="24"/>
        </w:rPr>
        <w:tab/>
      </w:r>
      <w:r>
        <w:rPr>
          <w:rFonts w:hint="eastAsia" w:ascii="黑体" w:eastAsia="黑体"/>
          <w:sz w:val="24"/>
        </w:rPr>
        <w:t>工程质量</w:t>
      </w:r>
      <w:bookmarkEnd w:id="525"/>
      <w:bookmarkEnd w:id="526"/>
    </w:p>
    <w:p>
      <w:pPr>
        <w:snapToGrid w:val="0"/>
        <w:spacing w:beforeLines="50"/>
        <w:ind w:left="991" w:hanging="991" w:hangingChars="413"/>
        <w:jc w:val="left"/>
        <w:rPr>
          <w:rFonts w:ascii="黑体" w:eastAsia="黑体"/>
          <w:sz w:val="24"/>
        </w:rPr>
      </w:pPr>
      <w:r>
        <w:rPr>
          <w:rFonts w:hint="eastAsia" w:ascii="黑体" w:eastAsia="黑体"/>
          <w:sz w:val="24"/>
        </w:rPr>
        <w:t>7.3</w:t>
      </w:r>
      <w:r>
        <w:rPr>
          <w:rFonts w:hint="eastAsia" w:ascii="黑体" w:eastAsia="黑体"/>
          <w:sz w:val="24"/>
        </w:rPr>
        <w:tab/>
      </w:r>
      <w:r>
        <w:rPr>
          <w:rFonts w:hint="eastAsia" w:ascii="黑体" w:eastAsia="黑体"/>
          <w:sz w:val="24"/>
        </w:rPr>
        <w:t>工程隐蔽部位覆盖前的检查</w:t>
      </w:r>
    </w:p>
    <w:p>
      <w:pPr>
        <w:snapToGrid w:val="0"/>
        <w:spacing w:beforeLines="50"/>
        <w:ind w:left="991" w:leftChars="472"/>
        <w:rPr>
          <w:rFonts w:ascii="宋体" w:hAnsi="宋体"/>
          <w:sz w:val="24"/>
        </w:rPr>
      </w:pPr>
      <w:r>
        <w:rPr>
          <w:rFonts w:hint="eastAsia" w:ascii="宋体" w:hAnsi="宋体"/>
          <w:sz w:val="24"/>
        </w:rPr>
        <w:t>承包人自检确认的工程隐蔽部位具备覆盖条件后，承包人应提前48小时通知监理人进行检查。</w:t>
      </w:r>
    </w:p>
    <w:p>
      <w:pPr>
        <w:snapToGrid w:val="0"/>
        <w:spacing w:beforeLines="50"/>
        <w:ind w:left="991" w:hanging="991" w:hangingChars="413"/>
        <w:jc w:val="left"/>
        <w:outlineLvl w:val="2"/>
        <w:rPr>
          <w:rFonts w:ascii="黑体" w:eastAsia="黑体"/>
          <w:sz w:val="24"/>
        </w:rPr>
      </w:pPr>
      <w:bookmarkStart w:id="527" w:name="_Toc9879"/>
      <w:bookmarkStart w:id="528" w:name="_Toc15167"/>
      <w:r>
        <w:rPr>
          <w:rFonts w:hint="eastAsia" w:ascii="黑体" w:eastAsia="黑体"/>
          <w:sz w:val="24"/>
        </w:rPr>
        <w:t>9.</w:t>
      </w:r>
      <w:r>
        <w:rPr>
          <w:rFonts w:hint="eastAsia" w:ascii="黑体" w:eastAsia="黑体"/>
          <w:sz w:val="24"/>
        </w:rPr>
        <w:tab/>
      </w:r>
      <w:r>
        <w:rPr>
          <w:rFonts w:hint="eastAsia" w:ascii="黑体" w:eastAsia="黑体"/>
          <w:sz w:val="24"/>
        </w:rPr>
        <w:t>变更</w:t>
      </w:r>
      <w:bookmarkEnd w:id="527"/>
      <w:bookmarkEnd w:id="528"/>
    </w:p>
    <w:p>
      <w:pPr>
        <w:snapToGrid w:val="0"/>
        <w:spacing w:beforeLines="50"/>
        <w:ind w:left="991" w:hanging="991" w:hangingChars="413"/>
        <w:jc w:val="left"/>
        <w:rPr>
          <w:rFonts w:ascii="黑体" w:eastAsia="黑体"/>
          <w:sz w:val="24"/>
        </w:rPr>
      </w:pPr>
      <w:r>
        <w:rPr>
          <w:rFonts w:hint="eastAsia" w:ascii="黑体" w:eastAsia="黑体"/>
          <w:sz w:val="24"/>
        </w:rPr>
        <w:t>9.3</w:t>
      </w:r>
      <w:r>
        <w:rPr>
          <w:rFonts w:hint="eastAsia" w:ascii="黑体" w:eastAsia="黑体"/>
          <w:sz w:val="24"/>
        </w:rPr>
        <w:tab/>
      </w:r>
      <w:r>
        <w:rPr>
          <w:rFonts w:hint="eastAsia" w:ascii="黑体" w:eastAsia="黑体"/>
          <w:sz w:val="24"/>
        </w:rPr>
        <w:t>变更的估价原则</w:t>
      </w:r>
    </w:p>
    <w:p>
      <w:pPr>
        <w:snapToGrid w:val="0"/>
        <w:spacing w:beforeLines="50"/>
        <w:ind w:left="991" w:leftChars="472"/>
        <w:rPr>
          <w:rFonts w:ascii="宋体" w:hAnsi="宋体"/>
          <w:sz w:val="24"/>
        </w:rPr>
      </w:pPr>
      <w:r>
        <w:rPr>
          <w:rFonts w:hint="eastAsia" w:ascii="宋体" w:hAnsi="宋体"/>
          <w:sz w:val="24"/>
        </w:rPr>
        <w:t>因</w:t>
      </w:r>
      <w:r>
        <w:rPr>
          <w:rFonts w:ascii="宋体" w:hAnsi="宋体"/>
          <w:sz w:val="24"/>
        </w:rPr>
        <w:t>变更</w:t>
      </w:r>
      <w:r>
        <w:rPr>
          <w:rFonts w:hint="eastAsia" w:ascii="宋体" w:hAnsi="宋体"/>
          <w:sz w:val="24"/>
        </w:rPr>
        <w:t>引起的价格调整</w:t>
      </w:r>
      <w:r>
        <w:rPr>
          <w:rFonts w:ascii="宋体" w:hAnsi="宋体"/>
          <w:sz w:val="24"/>
        </w:rPr>
        <w:t>：</w:t>
      </w:r>
      <w:r>
        <w:rPr>
          <w:rFonts w:ascii="宋体" w:hAnsi="宋体"/>
          <w:sz w:val="24"/>
          <w:u w:val="single"/>
        </w:rPr>
        <w:t>同通用条款，无另外约定</w:t>
      </w:r>
      <w:r>
        <w:rPr>
          <w:rFonts w:hint="eastAsia" w:ascii="宋体" w:hAnsi="宋体"/>
          <w:sz w:val="24"/>
        </w:rPr>
        <w:t>。</w:t>
      </w:r>
    </w:p>
    <w:p>
      <w:pPr>
        <w:snapToGrid w:val="0"/>
        <w:spacing w:beforeLines="50"/>
        <w:ind w:left="991" w:hanging="991" w:hangingChars="413"/>
        <w:jc w:val="left"/>
        <w:outlineLvl w:val="2"/>
        <w:rPr>
          <w:rFonts w:ascii="黑体" w:eastAsia="黑体"/>
          <w:sz w:val="24"/>
        </w:rPr>
      </w:pPr>
      <w:bookmarkStart w:id="529" w:name="_Toc18548"/>
      <w:bookmarkStart w:id="530" w:name="_Toc8285"/>
      <w:r>
        <w:rPr>
          <w:rFonts w:hint="eastAsia" w:ascii="黑体" w:eastAsia="黑体"/>
          <w:sz w:val="24"/>
        </w:rPr>
        <w:t>10.</w:t>
      </w:r>
      <w:r>
        <w:rPr>
          <w:rFonts w:hint="eastAsia" w:ascii="黑体" w:eastAsia="黑体"/>
          <w:sz w:val="24"/>
        </w:rPr>
        <w:tab/>
      </w:r>
      <w:r>
        <w:rPr>
          <w:rFonts w:hint="eastAsia" w:ascii="黑体" w:eastAsia="黑体"/>
          <w:sz w:val="24"/>
        </w:rPr>
        <w:t>计量与支付</w:t>
      </w:r>
      <w:bookmarkEnd w:id="529"/>
      <w:bookmarkEnd w:id="530"/>
    </w:p>
    <w:p>
      <w:pPr>
        <w:snapToGrid w:val="0"/>
        <w:spacing w:beforeLines="50"/>
        <w:ind w:left="991" w:hanging="991" w:hangingChars="413"/>
        <w:jc w:val="left"/>
        <w:rPr>
          <w:rFonts w:ascii="黑体" w:eastAsia="黑体"/>
          <w:sz w:val="24"/>
          <w:highlight w:val="yellow"/>
        </w:rPr>
      </w:pPr>
      <w:r>
        <w:rPr>
          <w:rFonts w:hint="eastAsia" w:ascii="黑体" w:eastAsia="黑体"/>
          <w:sz w:val="24"/>
        </w:rPr>
        <w:t>10.1</w:t>
      </w:r>
      <w:r>
        <w:rPr>
          <w:rFonts w:hint="eastAsia" w:ascii="黑体" w:eastAsia="黑体"/>
          <w:sz w:val="24"/>
        </w:rPr>
        <w:tab/>
      </w:r>
      <w:r>
        <w:rPr>
          <w:rFonts w:hint="eastAsia" w:ascii="黑体" w:eastAsia="黑体"/>
          <w:sz w:val="24"/>
        </w:rPr>
        <w:t>计量</w:t>
      </w:r>
    </w:p>
    <w:p>
      <w:pPr>
        <w:snapToGrid w:val="0"/>
        <w:spacing w:beforeLines="50"/>
        <w:ind w:left="2267" w:leftChars="472" w:hanging="1276" w:hangingChars="532"/>
        <w:rPr>
          <w:rFonts w:ascii="宋体" w:hAnsi="宋体"/>
          <w:sz w:val="24"/>
        </w:rPr>
      </w:pPr>
      <w:r>
        <w:rPr>
          <w:rFonts w:hint="eastAsia" w:ascii="宋体" w:hAnsi="宋体"/>
          <w:sz w:val="24"/>
        </w:rPr>
        <w:t xml:space="preserve">计量方法： </w:t>
      </w:r>
      <w:r>
        <w:rPr>
          <w:rFonts w:hint="eastAsia" w:ascii="宋体" w:hAnsi="宋体"/>
          <w:sz w:val="24"/>
          <w:u w:val="single"/>
        </w:rPr>
        <w:t>本项目在合同工程竣工验收合格后进行工程计量与结算，施工过程中不计量。</w:t>
      </w:r>
    </w:p>
    <w:p>
      <w:pPr>
        <w:snapToGrid w:val="0"/>
        <w:spacing w:beforeLines="50"/>
        <w:ind w:left="2267" w:leftChars="472" w:hanging="1276" w:hangingChars="532"/>
        <w:rPr>
          <w:rFonts w:ascii="宋体" w:hAnsi="宋体"/>
          <w:sz w:val="24"/>
        </w:rPr>
      </w:pPr>
      <w:r>
        <w:rPr>
          <w:rFonts w:hint="eastAsia" w:ascii="宋体" w:hAnsi="宋体"/>
          <w:sz w:val="24"/>
        </w:rPr>
        <w:t xml:space="preserve">计量周期： </w:t>
      </w:r>
      <w:r>
        <w:rPr>
          <w:rFonts w:hint="eastAsia" w:ascii="宋体" w:hAnsi="宋体"/>
          <w:sz w:val="24"/>
          <w:u w:val="single"/>
        </w:rPr>
        <w:t xml:space="preserve">    /    </w:t>
      </w:r>
      <w:r>
        <w:rPr>
          <w:rFonts w:hint="eastAsia" w:ascii="宋体" w:hAnsi="宋体"/>
          <w:sz w:val="24"/>
        </w:rPr>
        <w:t>。</w:t>
      </w:r>
    </w:p>
    <w:p>
      <w:pPr>
        <w:snapToGrid w:val="0"/>
        <w:spacing w:beforeLines="50"/>
        <w:ind w:left="2267" w:leftChars="472" w:hanging="1276" w:hangingChars="532"/>
        <w:rPr>
          <w:rFonts w:ascii="宋体" w:hAnsi="宋体"/>
          <w:sz w:val="24"/>
        </w:rPr>
      </w:pPr>
    </w:p>
    <w:p>
      <w:pPr>
        <w:snapToGrid w:val="0"/>
        <w:spacing w:beforeLines="50"/>
        <w:ind w:left="991" w:hanging="991" w:hangingChars="413"/>
        <w:jc w:val="left"/>
        <w:rPr>
          <w:rFonts w:ascii="黑体" w:eastAsia="黑体"/>
          <w:sz w:val="24"/>
        </w:rPr>
      </w:pPr>
      <w:r>
        <w:rPr>
          <w:rFonts w:hint="eastAsia" w:ascii="黑体" w:eastAsia="黑体"/>
          <w:sz w:val="24"/>
        </w:rPr>
        <w:t>10.2</w:t>
      </w:r>
      <w:r>
        <w:rPr>
          <w:rFonts w:hint="eastAsia" w:ascii="黑体" w:eastAsia="黑体"/>
          <w:sz w:val="24"/>
        </w:rPr>
        <w:tab/>
      </w:r>
      <w:r>
        <w:rPr>
          <w:rFonts w:hint="eastAsia" w:ascii="黑体" w:eastAsia="黑体"/>
          <w:sz w:val="24"/>
        </w:rPr>
        <w:t>预付款</w:t>
      </w:r>
    </w:p>
    <w:p>
      <w:pPr>
        <w:snapToGrid w:val="0"/>
        <w:spacing w:beforeLines="50"/>
        <w:ind w:left="991" w:leftChars="472"/>
        <w:rPr>
          <w:rFonts w:ascii="宋体" w:hAnsi="宋体"/>
          <w:sz w:val="24"/>
        </w:rPr>
      </w:pPr>
      <w:r>
        <w:rPr>
          <w:rFonts w:hint="eastAsia" w:ascii="宋体" w:hAnsi="宋体"/>
          <w:sz w:val="24"/>
        </w:rPr>
        <w:t>预付款的额度：</w:t>
      </w:r>
      <w:r>
        <w:rPr>
          <w:rFonts w:hint="eastAsia" w:ascii="宋体" w:hAnsi="宋体"/>
          <w:sz w:val="24"/>
          <w:highlight w:val="yellow"/>
          <w:u w:val="single"/>
        </w:rPr>
        <w:t>签约合同价的</w:t>
      </w:r>
      <w:r>
        <w:rPr>
          <w:rFonts w:ascii="宋体" w:hAnsi="宋体"/>
          <w:sz w:val="24"/>
          <w:highlight w:val="yellow"/>
          <w:u w:val="single"/>
        </w:rPr>
        <w:t xml:space="preserve"> 30 %</w:t>
      </w:r>
      <w:r>
        <w:rPr>
          <w:rFonts w:hint="eastAsia" w:ascii="宋体" w:hAnsi="宋体"/>
          <w:sz w:val="24"/>
        </w:rPr>
        <w:t>。</w:t>
      </w:r>
    </w:p>
    <w:p>
      <w:pPr>
        <w:snapToGrid w:val="0"/>
        <w:spacing w:beforeLines="50"/>
        <w:ind w:left="2267" w:leftChars="472" w:hanging="1276" w:hangingChars="532"/>
        <w:rPr>
          <w:rFonts w:ascii="宋体" w:hAnsi="宋体"/>
          <w:sz w:val="24"/>
        </w:rPr>
      </w:pPr>
      <w:r>
        <w:rPr>
          <w:rFonts w:hint="eastAsia" w:ascii="宋体" w:hAnsi="宋体"/>
          <w:sz w:val="24"/>
        </w:rPr>
        <w:t>预付办法：</w:t>
      </w:r>
      <w:r>
        <w:rPr>
          <w:rFonts w:hint="eastAsia" w:ascii="宋体" w:hAnsi="宋体"/>
          <w:sz w:val="24"/>
          <w:u w:val="single"/>
        </w:rPr>
        <w:t xml:space="preserve"> 承包人提交了等额的</w:t>
      </w:r>
      <w:r>
        <w:rPr>
          <w:rFonts w:hint="eastAsia" w:ascii="宋体" w:hAnsi="宋体"/>
          <w:sz w:val="24"/>
        </w:rPr>
        <w:t>预付款</w:t>
      </w:r>
      <w:r>
        <w:rPr>
          <w:rFonts w:hint="eastAsia" w:ascii="宋体" w:hAnsi="宋体"/>
          <w:sz w:val="24"/>
          <w:u w:val="single"/>
        </w:rPr>
        <w:t xml:space="preserve">增值税专用发票后7日内 </w:t>
      </w:r>
      <w:r>
        <w:rPr>
          <w:rFonts w:hint="eastAsia" w:ascii="宋体" w:hAnsi="宋体"/>
          <w:sz w:val="24"/>
        </w:rPr>
        <w:t>。</w:t>
      </w:r>
    </w:p>
    <w:p>
      <w:pPr>
        <w:snapToGrid w:val="0"/>
        <w:spacing w:beforeLines="50"/>
        <w:ind w:left="991" w:leftChars="472"/>
        <w:rPr>
          <w:rFonts w:ascii="宋体" w:hAnsi="宋体"/>
          <w:sz w:val="24"/>
        </w:rPr>
      </w:pPr>
      <w:r>
        <w:rPr>
          <w:rFonts w:hint="eastAsia" w:ascii="宋体" w:hAnsi="宋体"/>
          <w:sz w:val="24"/>
        </w:rPr>
        <w:t>预付款扣回：</w:t>
      </w:r>
      <w:r>
        <w:rPr>
          <w:rFonts w:hint="eastAsia" w:ascii="宋体" w:hAnsi="宋体"/>
          <w:sz w:val="24"/>
          <w:u w:val="single"/>
        </w:rPr>
        <w:t>工程结算时扣回预付款。</w:t>
      </w:r>
    </w:p>
    <w:p>
      <w:pPr>
        <w:snapToGrid w:val="0"/>
        <w:spacing w:beforeLines="50"/>
        <w:ind w:left="991" w:hanging="991" w:hangingChars="413"/>
        <w:jc w:val="left"/>
        <w:rPr>
          <w:rFonts w:ascii="黑体" w:eastAsia="黑体"/>
          <w:sz w:val="24"/>
        </w:rPr>
      </w:pPr>
      <w:r>
        <w:rPr>
          <w:rFonts w:hint="eastAsia" w:ascii="黑体" w:eastAsia="黑体"/>
          <w:sz w:val="24"/>
        </w:rPr>
        <w:t>10.3</w:t>
      </w:r>
      <w:r>
        <w:rPr>
          <w:rFonts w:hint="eastAsia" w:ascii="黑体" w:eastAsia="黑体"/>
          <w:sz w:val="24"/>
        </w:rPr>
        <w:tab/>
      </w:r>
      <w:r>
        <w:rPr>
          <w:rFonts w:hint="eastAsia" w:ascii="黑体" w:eastAsia="黑体"/>
          <w:sz w:val="24"/>
        </w:rPr>
        <w:t>工程进度付款</w:t>
      </w:r>
    </w:p>
    <w:p>
      <w:pPr>
        <w:snapToGrid w:val="0"/>
        <w:spacing w:beforeLines="50"/>
        <w:ind w:left="991" w:leftChars="472"/>
        <w:rPr>
          <w:rFonts w:ascii="宋体" w:hAnsi="宋体"/>
          <w:sz w:val="24"/>
        </w:rPr>
      </w:pPr>
      <w:r>
        <w:rPr>
          <w:rFonts w:hint="eastAsia" w:ascii="宋体" w:hAnsi="宋体"/>
          <w:sz w:val="24"/>
        </w:rPr>
        <w:t>进度付款申请单的份数：</w:t>
      </w:r>
      <w:r>
        <w:rPr>
          <w:rFonts w:hint="eastAsia" w:ascii="宋体" w:hAnsi="宋体"/>
          <w:sz w:val="24"/>
          <w:u w:val="single"/>
        </w:rPr>
        <w:t xml:space="preserve">  /  </w:t>
      </w:r>
      <w:r>
        <w:rPr>
          <w:rFonts w:hint="eastAsia" w:ascii="宋体" w:hAnsi="宋体"/>
          <w:sz w:val="24"/>
        </w:rPr>
        <w:t>。</w:t>
      </w:r>
    </w:p>
    <w:p>
      <w:pPr>
        <w:snapToGrid w:val="0"/>
        <w:spacing w:beforeLines="50"/>
        <w:ind w:left="991" w:leftChars="472"/>
        <w:rPr>
          <w:rFonts w:ascii="宋体" w:hAnsi="宋体"/>
          <w:sz w:val="24"/>
        </w:rPr>
      </w:pPr>
      <w:r>
        <w:rPr>
          <w:rFonts w:hint="eastAsia" w:ascii="宋体" w:hAnsi="宋体"/>
          <w:sz w:val="24"/>
        </w:rPr>
        <w:t>进度付款申请单的内容：</w:t>
      </w:r>
      <w:r>
        <w:rPr>
          <w:rFonts w:hint="eastAsia" w:ascii="宋体" w:hAnsi="宋体"/>
          <w:sz w:val="24"/>
          <w:u w:val="single"/>
        </w:rPr>
        <w:t xml:space="preserve">  /   </w:t>
      </w:r>
      <w:r>
        <w:rPr>
          <w:rFonts w:hint="eastAsia" w:ascii="宋体" w:hAnsi="宋体"/>
          <w:sz w:val="24"/>
        </w:rPr>
        <w:t>。</w:t>
      </w:r>
    </w:p>
    <w:p>
      <w:pPr>
        <w:snapToGrid w:val="0"/>
        <w:spacing w:beforeLines="50"/>
        <w:ind w:left="991" w:leftChars="472"/>
        <w:rPr>
          <w:rFonts w:ascii="宋体" w:hAnsi="宋体"/>
          <w:sz w:val="24"/>
        </w:rPr>
      </w:pPr>
      <w:r>
        <w:rPr>
          <w:rFonts w:hint="eastAsia" w:ascii="宋体" w:hAnsi="宋体"/>
          <w:sz w:val="24"/>
        </w:rPr>
        <w:t>涉及政府投资资金的：</w:t>
      </w:r>
      <w:r>
        <w:rPr>
          <w:rFonts w:hint="eastAsia" w:ascii="宋体" w:hAnsi="宋体"/>
          <w:sz w:val="24"/>
          <w:u w:val="single"/>
        </w:rPr>
        <w:t xml:space="preserve">    /    </w:t>
      </w:r>
      <w:r>
        <w:rPr>
          <w:rFonts w:hint="eastAsia" w:ascii="宋体" w:hAnsi="宋体"/>
          <w:sz w:val="24"/>
        </w:rPr>
        <w:t>。</w:t>
      </w:r>
    </w:p>
    <w:p>
      <w:pPr>
        <w:snapToGrid w:val="0"/>
        <w:spacing w:beforeLines="50"/>
        <w:ind w:left="991" w:hanging="991" w:hangingChars="413"/>
        <w:jc w:val="left"/>
        <w:rPr>
          <w:rFonts w:ascii="黑体" w:eastAsia="黑体"/>
          <w:sz w:val="24"/>
        </w:rPr>
      </w:pPr>
      <w:r>
        <w:rPr>
          <w:rFonts w:hint="eastAsia" w:ascii="黑体" w:eastAsia="黑体"/>
          <w:sz w:val="24"/>
        </w:rPr>
        <w:t>10.4</w:t>
      </w:r>
      <w:r>
        <w:rPr>
          <w:rFonts w:hint="eastAsia" w:ascii="黑体" w:eastAsia="黑体"/>
          <w:sz w:val="24"/>
        </w:rPr>
        <w:tab/>
      </w:r>
      <w:r>
        <w:rPr>
          <w:rFonts w:hint="eastAsia" w:ascii="黑体" w:eastAsia="黑体"/>
          <w:sz w:val="24"/>
        </w:rPr>
        <w:t>质量保证金</w:t>
      </w:r>
    </w:p>
    <w:p>
      <w:pPr>
        <w:snapToGrid w:val="0"/>
        <w:spacing w:beforeLines="50"/>
        <w:ind w:left="991" w:leftChars="472"/>
        <w:rPr>
          <w:rFonts w:ascii="宋体" w:hAnsi="宋体"/>
          <w:sz w:val="24"/>
        </w:rPr>
      </w:pPr>
      <w:r>
        <w:rPr>
          <w:rFonts w:hint="eastAsia" w:ascii="宋体" w:hAnsi="宋体"/>
          <w:sz w:val="24"/>
        </w:rPr>
        <w:t>质量保证金额度：</w:t>
      </w:r>
      <w:r>
        <w:rPr>
          <w:rFonts w:hint="eastAsia" w:ascii="宋体" w:hAnsi="宋体"/>
          <w:sz w:val="24"/>
          <w:u w:val="single"/>
        </w:rPr>
        <w:t xml:space="preserve"> 合同价款的3% </w:t>
      </w:r>
      <w:r>
        <w:rPr>
          <w:rFonts w:hint="eastAsia" w:ascii="宋体" w:hAnsi="宋体"/>
          <w:sz w:val="24"/>
        </w:rPr>
        <w:t>。</w:t>
      </w:r>
    </w:p>
    <w:p>
      <w:pPr>
        <w:snapToGrid w:val="0"/>
        <w:spacing w:beforeLines="50"/>
        <w:ind w:left="991" w:leftChars="472"/>
        <w:rPr>
          <w:rFonts w:ascii="宋体" w:hAnsi="宋体"/>
          <w:sz w:val="24"/>
        </w:rPr>
      </w:pPr>
      <w:r>
        <w:rPr>
          <w:rFonts w:hint="eastAsia" w:ascii="宋体" w:hAnsi="宋体"/>
          <w:sz w:val="24"/>
        </w:rPr>
        <w:t>质量保证金提供方式：工程结算时承包人须提供发包人认可的质量保证金保函。</w:t>
      </w:r>
    </w:p>
    <w:p>
      <w:pPr>
        <w:snapToGrid w:val="0"/>
        <w:spacing w:beforeLines="50"/>
        <w:ind w:left="991" w:hanging="991" w:hangingChars="413"/>
        <w:jc w:val="left"/>
        <w:rPr>
          <w:rFonts w:ascii="黑体" w:eastAsia="黑体"/>
          <w:sz w:val="24"/>
        </w:rPr>
      </w:pPr>
      <w:r>
        <w:rPr>
          <w:rFonts w:hint="eastAsia" w:ascii="黑体" w:eastAsia="黑体"/>
          <w:sz w:val="24"/>
        </w:rPr>
        <w:t>10.5</w:t>
      </w:r>
      <w:r>
        <w:rPr>
          <w:rFonts w:hint="eastAsia" w:ascii="黑体" w:eastAsia="黑体"/>
          <w:sz w:val="24"/>
        </w:rPr>
        <w:tab/>
      </w:r>
      <w:r>
        <w:rPr>
          <w:rFonts w:hint="eastAsia" w:ascii="黑体" w:eastAsia="黑体"/>
          <w:sz w:val="24"/>
        </w:rPr>
        <w:t>竣工结算</w:t>
      </w:r>
    </w:p>
    <w:p>
      <w:pPr>
        <w:snapToGrid w:val="0"/>
        <w:spacing w:beforeLines="50"/>
        <w:ind w:left="991" w:hanging="991" w:hangingChars="413"/>
        <w:jc w:val="left"/>
        <w:rPr>
          <w:rFonts w:ascii="宋体" w:hAnsi="宋体"/>
          <w:sz w:val="24"/>
        </w:rPr>
      </w:pPr>
      <w:r>
        <w:rPr>
          <w:rFonts w:hint="eastAsia" w:ascii="宋体" w:hAnsi="宋体"/>
          <w:sz w:val="24"/>
        </w:rPr>
        <w:t>10.5.1</w:t>
      </w:r>
      <w:r>
        <w:rPr>
          <w:rFonts w:hint="eastAsia" w:ascii="宋体" w:hAnsi="宋体"/>
          <w:sz w:val="24"/>
        </w:rPr>
        <w:tab/>
      </w:r>
      <w:r>
        <w:rPr>
          <w:rFonts w:hint="eastAsia" w:ascii="宋体" w:hAnsi="宋体"/>
          <w:sz w:val="24"/>
        </w:rPr>
        <w:t>竣工结算价格调整：</w:t>
      </w:r>
      <w:r>
        <w:rPr>
          <w:rFonts w:hint="eastAsia" w:ascii="宋体" w:hAnsi="宋体"/>
          <w:sz w:val="24"/>
          <w:u w:val="single"/>
        </w:rPr>
        <w:t xml:space="preserve"> 同通用条款，无另外约定 </w:t>
      </w:r>
      <w:r>
        <w:rPr>
          <w:rFonts w:hint="eastAsia" w:ascii="宋体" w:hAnsi="宋体"/>
          <w:sz w:val="24"/>
        </w:rPr>
        <w:t>。</w:t>
      </w:r>
    </w:p>
    <w:p>
      <w:pPr>
        <w:snapToGrid w:val="0"/>
        <w:spacing w:beforeLines="50"/>
        <w:ind w:left="991" w:hanging="991" w:hangingChars="413"/>
        <w:jc w:val="left"/>
        <w:rPr>
          <w:rFonts w:ascii="宋体" w:hAnsi="宋体"/>
          <w:sz w:val="24"/>
        </w:rPr>
      </w:pPr>
      <w:r>
        <w:rPr>
          <w:rFonts w:hint="eastAsia" w:ascii="宋体" w:hAnsi="宋体"/>
          <w:sz w:val="24"/>
        </w:rPr>
        <w:t>10.5.2</w:t>
      </w:r>
      <w:r>
        <w:rPr>
          <w:rFonts w:hint="eastAsia" w:ascii="宋体" w:hAnsi="宋体"/>
          <w:sz w:val="24"/>
        </w:rPr>
        <w:tab/>
      </w:r>
      <w:r>
        <w:rPr>
          <w:rFonts w:hint="eastAsia" w:ascii="宋体" w:hAnsi="宋体"/>
          <w:sz w:val="24"/>
        </w:rPr>
        <w:t>竣工付款申请单</w:t>
      </w:r>
    </w:p>
    <w:p>
      <w:pPr>
        <w:snapToGrid w:val="0"/>
        <w:spacing w:beforeLines="50"/>
        <w:ind w:left="989" w:leftChars="471" w:firstLine="2"/>
        <w:jc w:val="left"/>
        <w:rPr>
          <w:rFonts w:ascii="宋体" w:hAnsi="宋体"/>
          <w:sz w:val="24"/>
        </w:rPr>
      </w:pPr>
      <w:r>
        <w:rPr>
          <w:rFonts w:hint="eastAsia" w:ascii="宋体" w:hAnsi="宋体"/>
          <w:sz w:val="24"/>
        </w:rPr>
        <w:t>交竣工付款申请单的份数：</w:t>
      </w:r>
      <w:r>
        <w:rPr>
          <w:rFonts w:hint="eastAsia" w:ascii="宋体" w:hAnsi="宋体"/>
          <w:sz w:val="24"/>
          <w:u w:val="single"/>
        </w:rPr>
        <w:t xml:space="preserve">  4   </w:t>
      </w:r>
      <w:r>
        <w:rPr>
          <w:rFonts w:hint="eastAsia" w:ascii="宋体" w:hAnsi="宋体"/>
          <w:sz w:val="24"/>
        </w:rPr>
        <w:t>。</w:t>
      </w:r>
    </w:p>
    <w:p>
      <w:pPr>
        <w:snapToGrid w:val="0"/>
        <w:spacing w:beforeLines="50"/>
        <w:ind w:left="989" w:leftChars="471" w:firstLine="2"/>
        <w:jc w:val="left"/>
        <w:rPr>
          <w:rFonts w:ascii="宋体" w:hAnsi="宋体"/>
          <w:sz w:val="24"/>
        </w:rPr>
      </w:pPr>
      <w:r>
        <w:rPr>
          <w:rFonts w:hint="eastAsia" w:ascii="宋体" w:hAnsi="宋体"/>
          <w:sz w:val="24"/>
        </w:rPr>
        <w:t>承包人提交竣工付款申请单的期限：</w:t>
      </w:r>
      <w:r>
        <w:rPr>
          <w:rFonts w:ascii="宋体" w:hAnsi="宋体"/>
          <w:sz w:val="24"/>
          <w:u w:val="single"/>
        </w:rPr>
        <w:t>工程接收证书颁发后</w:t>
      </w:r>
      <w:r>
        <w:rPr>
          <w:rFonts w:hint="eastAsia" w:ascii="宋体" w:hAnsi="宋体"/>
          <w:sz w:val="24"/>
          <w:u w:val="single"/>
        </w:rPr>
        <w:t xml:space="preserve">28天内 </w:t>
      </w:r>
      <w:r>
        <w:rPr>
          <w:rFonts w:hint="eastAsia" w:ascii="宋体" w:hAnsi="宋体"/>
          <w:sz w:val="24"/>
        </w:rPr>
        <w:t>。</w:t>
      </w:r>
    </w:p>
    <w:p>
      <w:pPr>
        <w:snapToGrid w:val="0"/>
        <w:spacing w:beforeLines="50"/>
        <w:ind w:left="991" w:hanging="991" w:hangingChars="413"/>
        <w:jc w:val="left"/>
        <w:rPr>
          <w:rFonts w:ascii="宋体" w:hAnsi="宋体"/>
          <w:sz w:val="24"/>
        </w:rPr>
      </w:pPr>
      <w:r>
        <w:rPr>
          <w:rFonts w:hint="eastAsia" w:ascii="宋体" w:hAnsi="宋体"/>
          <w:sz w:val="24"/>
        </w:rPr>
        <w:t>10.5.3</w:t>
      </w:r>
      <w:r>
        <w:rPr>
          <w:rFonts w:hint="eastAsia" w:ascii="宋体" w:hAnsi="宋体"/>
          <w:sz w:val="24"/>
        </w:rPr>
        <w:tab/>
      </w:r>
      <w:r>
        <w:rPr>
          <w:rFonts w:hint="eastAsia" w:ascii="宋体" w:hAnsi="宋体"/>
          <w:sz w:val="24"/>
        </w:rPr>
        <w:t>竣工付款涉及政府投资资金的：</w:t>
      </w:r>
      <w:r>
        <w:rPr>
          <w:rFonts w:hint="eastAsia" w:ascii="宋体" w:hAnsi="宋体"/>
          <w:sz w:val="24"/>
          <w:u w:val="single"/>
        </w:rPr>
        <w:t xml:space="preserve">同通用条款，无另外约定 </w:t>
      </w:r>
      <w:r>
        <w:rPr>
          <w:rFonts w:hint="eastAsia" w:ascii="宋体" w:hAnsi="宋体"/>
          <w:sz w:val="24"/>
        </w:rPr>
        <w:t>。</w:t>
      </w:r>
    </w:p>
    <w:p>
      <w:pPr>
        <w:snapToGrid w:val="0"/>
        <w:spacing w:beforeLines="50"/>
        <w:ind w:left="991" w:hanging="991" w:hangingChars="413"/>
        <w:jc w:val="left"/>
        <w:rPr>
          <w:rFonts w:ascii="黑体" w:eastAsia="黑体"/>
          <w:sz w:val="24"/>
        </w:rPr>
      </w:pPr>
      <w:r>
        <w:rPr>
          <w:rFonts w:hint="eastAsia" w:ascii="黑体" w:eastAsia="黑体"/>
          <w:sz w:val="24"/>
        </w:rPr>
        <w:t>10.6</w:t>
      </w:r>
      <w:r>
        <w:rPr>
          <w:rFonts w:hint="eastAsia" w:ascii="黑体" w:eastAsia="黑体"/>
          <w:sz w:val="24"/>
        </w:rPr>
        <w:tab/>
      </w:r>
      <w:r>
        <w:rPr>
          <w:rFonts w:hint="eastAsia" w:ascii="黑体" w:eastAsia="黑体"/>
          <w:sz w:val="24"/>
        </w:rPr>
        <w:t>付款延误</w:t>
      </w:r>
    </w:p>
    <w:p>
      <w:pPr>
        <w:snapToGrid w:val="0"/>
        <w:spacing w:beforeLines="50"/>
        <w:ind w:left="991" w:leftChars="472"/>
        <w:rPr>
          <w:rFonts w:ascii="宋体" w:hAnsi="宋体"/>
          <w:sz w:val="24"/>
        </w:rPr>
      </w:pPr>
      <w:r>
        <w:rPr>
          <w:rFonts w:hint="eastAsia" w:ascii="宋体" w:hAnsi="宋体"/>
          <w:sz w:val="24"/>
        </w:rPr>
        <w:t>发包人逾期付款违约金：</w:t>
      </w:r>
      <w:r>
        <w:rPr>
          <w:rFonts w:hint="eastAsia" w:ascii="宋体" w:hAnsi="宋体"/>
          <w:sz w:val="24"/>
          <w:u w:val="single"/>
        </w:rPr>
        <w:t xml:space="preserve"> 发包人逾期付款超过14天时，按同期中国人民银行发布的贷款基准利率及逾期支付时间（实际逾期天数减14天）支付逾期支付违约金 </w:t>
      </w:r>
      <w:r>
        <w:rPr>
          <w:rFonts w:hint="eastAsia" w:ascii="宋体" w:hAnsi="宋体"/>
          <w:sz w:val="24"/>
        </w:rPr>
        <w:t>。</w:t>
      </w:r>
    </w:p>
    <w:p>
      <w:pPr>
        <w:snapToGrid w:val="0"/>
        <w:spacing w:beforeLines="50"/>
        <w:ind w:left="991" w:hanging="991" w:hangingChars="413"/>
        <w:jc w:val="left"/>
        <w:rPr>
          <w:rFonts w:ascii="黑体" w:eastAsia="黑体"/>
          <w:sz w:val="24"/>
        </w:rPr>
      </w:pPr>
      <w:r>
        <w:rPr>
          <w:rFonts w:hint="eastAsia" w:ascii="黑体" w:eastAsia="黑体"/>
          <w:sz w:val="24"/>
        </w:rPr>
        <w:t>11.3</w:t>
      </w:r>
      <w:r>
        <w:rPr>
          <w:rFonts w:hint="eastAsia" w:ascii="黑体" w:eastAsia="黑体"/>
          <w:sz w:val="24"/>
        </w:rPr>
        <w:tab/>
      </w:r>
      <w:r>
        <w:rPr>
          <w:rFonts w:hint="eastAsia" w:ascii="黑体" w:eastAsia="黑体"/>
          <w:sz w:val="24"/>
        </w:rPr>
        <w:t>竣工和验收</w:t>
      </w:r>
    </w:p>
    <w:p>
      <w:pPr>
        <w:snapToGrid w:val="0"/>
        <w:spacing w:beforeLines="50"/>
        <w:ind w:left="991" w:leftChars="472"/>
        <w:rPr>
          <w:rFonts w:ascii="宋体" w:hAnsi="宋体"/>
          <w:sz w:val="24"/>
        </w:rPr>
      </w:pPr>
      <w:r>
        <w:rPr>
          <w:rFonts w:ascii="宋体" w:hAnsi="宋体"/>
          <w:sz w:val="24"/>
        </w:rPr>
        <w:t>实际竣工日期：</w:t>
      </w:r>
      <w:r>
        <w:rPr>
          <w:rFonts w:hint="eastAsia" w:ascii="宋体" w:hAnsi="宋体"/>
          <w:sz w:val="24"/>
          <w:u w:val="single"/>
        </w:rPr>
        <w:t xml:space="preserve">无另外约定 </w:t>
      </w:r>
      <w:r>
        <w:rPr>
          <w:rFonts w:hint="eastAsia" w:ascii="宋体" w:hAnsi="宋体"/>
          <w:sz w:val="24"/>
        </w:rPr>
        <w:t>。</w:t>
      </w:r>
    </w:p>
    <w:p>
      <w:pPr>
        <w:snapToGrid w:val="0"/>
        <w:spacing w:beforeLines="50"/>
        <w:ind w:left="991" w:hanging="991" w:hangingChars="413"/>
        <w:jc w:val="left"/>
        <w:rPr>
          <w:rFonts w:ascii="黑体" w:eastAsia="黑体"/>
          <w:sz w:val="24"/>
        </w:rPr>
      </w:pPr>
      <w:r>
        <w:rPr>
          <w:rFonts w:hint="eastAsia" w:ascii="黑体" w:eastAsia="黑体"/>
          <w:sz w:val="24"/>
        </w:rPr>
        <w:t>11.4</w:t>
      </w:r>
      <w:r>
        <w:rPr>
          <w:rFonts w:hint="eastAsia" w:ascii="黑体" w:eastAsia="黑体"/>
          <w:sz w:val="24"/>
        </w:rPr>
        <w:tab/>
      </w:r>
      <w:r>
        <w:rPr>
          <w:rFonts w:hint="eastAsia" w:ascii="黑体" w:eastAsia="黑体"/>
          <w:sz w:val="24"/>
        </w:rPr>
        <w:t>试运行</w:t>
      </w:r>
    </w:p>
    <w:p>
      <w:pPr>
        <w:snapToGrid w:val="0"/>
        <w:spacing w:beforeLines="50"/>
        <w:ind w:left="991" w:leftChars="472"/>
        <w:rPr>
          <w:rFonts w:ascii="宋体" w:hAnsi="宋体"/>
          <w:sz w:val="24"/>
        </w:rPr>
      </w:pPr>
      <w:r>
        <w:rPr>
          <w:rFonts w:hint="eastAsia" w:ascii="宋体" w:hAnsi="宋体"/>
          <w:sz w:val="24"/>
        </w:rPr>
        <w:t>工程及工程设备试运行：</w:t>
      </w:r>
      <w:r>
        <w:rPr>
          <w:rFonts w:hint="eastAsia" w:ascii="宋体" w:hAnsi="宋体"/>
          <w:sz w:val="24"/>
          <w:u w:val="single"/>
        </w:rPr>
        <w:t>无另外约定</w:t>
      </w:r>
      <w:r>
        <w:rPr>
          <w:rFonts w:hint="eastAsia" w:ascii="宋体" w:hAnsi="宋体"/>
          <w:sz w:val="24"/>
        </w:rPr>
        <w:t>。</w:t>
      </w:r>
    </w:p>
    <w:p>
      <w:pPr>
        <w:snapToGrid w:val="0"/>
        <w:spacing w:beforeLines="50"/>
        <w:ind w:left="991" w:hanging="991" w:hangingChars="413"/>
        <w:jc w:val="left"/>
        <w:outlineLvl w:val="2"/>
        <w:rPr>
          <w:rFonts w:ascii="黑体" w:eastAsia="黑体"/>
          <w:sz w:val="24"/>
        </w:rPr>
      </w:pPr>
      <w:bookmarkStart w:id="531" w:name="_Toc6772"/>
      <w:bookmarkStart w:id="532" w:name="_Toc3381"/>
      <w:r>
        <w:rPr>
          <w:rFonts w:hint="eastAsia" w:ascii="黑体" w:eastAsia="黑体"/>
          <w:sz w:val="24"/>
        </w:rPr>
        <w:t>12.</w:t>
      </w:r>
      <w:r>
        <w:rPr>
          <w:rFonts w:hint="eastAsia" w:ascii="黑体" w:eastAsia="黑体"/>
          <w:sz w:val="24"/>
        </w:rPr>
        <w:tab/>
      </w:r>
      <w:r>
        <w:rPr>
          <w:rFonts w:hint="eastAsia" w:ascii="黑体" w:eastAsia="黑体"/>
          <w:sz w:val="24"/>
        </w:rPr>
        <w:t>缺陷责任与保修责任</w:t>
      </w:r>
      <w:bookmarkEnd w:id="531"/>
      <w:bookmarkEnd w:id="532"/>
    </w:p>
    <w:p>
      <w:pPr>
        <w:snapToGrid w:val="0"/>
        <w:spacing w:beforeLines="50"/>
        <w:ind w:left="991" w:hanging="991" w:hangingChars="413"/>
        <w:jc w:val="left"/>
        <w:rPr>
          <w:rFonts w:ascii="黑体" w:eastAsia="黑体"/>
          <w:sz w:val="24"/>
        </w:rPr>
      </w:pPr>
      <w:r>
        <w:rPr>
          <w:rFonts w:hint="eastAsia" w:ascii="黑体" w:eastAsia="黑体"/>
          <w:sz w:val="24"/>
        </w:rPr>
        <w:t>12.2</w:t>
      </w:r>
      <w:r>
        <w:rPr>
          <w:rFonts w:hint="eastAsia" w:ascii="黑体" w:eastAsia="黑体"/>
          <w:sz w:val="24"/>
        </w:rPr>
        <w:tab/>
      </w:r>
      <w:r>
        <w:rPr>
          <w:rFonts w:hint="eastAsia" w:ascii="黑体" w:eastAsia="黑体"/>
          <w:sz w:val="24"/>
        </w:rPr>
        <w:t>保修责任</w:t>
      </w:r>
    </w:p>
    <w:p>
      <w:pPr>
        <w:spacing w:beforeLines="50"/>
        <w:ind w:left="1416" w:leftChars="503" w:hanging="360" w:hangingChars="150"/>
        <w:rPr>
          <w:rFonts w:ascii="宋体" w:hAnsi="宋体"/>
          <w:sz w:val="24"/>
        </w:rPr>
      </w:pPr>
      <w:r>
        <w:rPr>
          <w:rFonts w:hint="eastAsia" w:ascii="宋体" w:hAnsi="宋体"/>
          <w:sz w:val="24"/>
        </w:rPr>
        <w:t>(1)工程质量保修范围：</w:t>
      </w:r>
      <w:r>
        <w:rPr>
          <w:rFonts w:hint="eastAsia" w:ascii="宋体" w:hAnsi="宋体"/>
          <w:sz w:val="24"/>
          <w:u w:val="single"/>
        </w:rPr>
        <w:t xml:space="preserve"> 承包人实施的全部永久工程 </w:t>
      </w:r>
      <w:r>
        <w:rPr>
          <w:rFonts w:hint="eastAsia" w:ascii="宋体" w:hAnsi="宋体"/>
          <w:sz w:val="24"/>
        </w:rPr>
        <w:t>。</w:t>
      </w:r>
    </w:p>
    <w:p>
      <w:pPr>
        <w:spacing w:beforeLines="50"/>
        <w:ind w:left="1416" w:leftChars="503" w:hanging="360" w:hangingChars="150"/>
        <w:rPr>
          <w:rFonts w:ascii="宋体" w:hAnsi="宋体"/>
          <w:sz w:val="24"/>
        </w:rPr>
      </w:pPr>
      <w:r>
        <w:rPr>
          <w:rFonts w:hint="eastAsia" w:ascii="宋体" w:hAnsi="宋体"/>
          <w:sz w:val="24"/>
        </w:rPr>
        <w:t>(2)工程质量保修期限：</w:t>
      </w:r>
      <w:r>
        <w:rPr>
          <w:rFonts w:hint="eastAsia" w:ascii="宋体" w:hAnsi="宋体"/>
          <w:sz w:val="24"/>
          <w:u w:val="single"/>
        </w:rPr>
        <w:t xml:space="preserve"> 执行国家相关规定。详见合同附件《质量保修书》 </w:t>
      </w:r>
      <w:r>
        <w:rPr>
          <w:rFonts w:hint="eastAsia" w:ascii="宋体" w:hAnsi="宋体"/>
          <w:sz w:val="24"/>
        </w:rPr>
        <w:t>。</w:t>
      </w:r>
    </w:p>
    <w:p>
      <w:pPr>
        <w:snapToGrid w:val="0"/>
        <w:spacing w:beforeLines="50"/>
        <w:ind w:left="991" w:hanging="991" w:hangingChars="413"/>
        <w:jc w:val="left"/>
        <w:outlineLvl w:val="2"/>
        <w:rPr>
          <w:rFonts w:ascii="黑体" w:eastAsia="黑体"/>
          <w:sz w:val="24"/>
        </w:rPr>
      </w:pPr>
      <w:bookmarkStart w:id="533" w:name="_Toc545"/>
      <w:bookmarkStart w:id="534" w:name="_Toc1536"/>
      <w:r>
        <w:rPr>
          <w:rFonts w:hint="eastAsia" w:ascii="黑体" w:eastAsia="黑体"/>
          <w:sz w:val="24"/>
        </w:rPr>
        <w:t>13.</w:t>
      </w:r>
      <w:r>
        <w:rPr>
          <w:rFonts w:hint="eastAsia" w:ascii="黑体" w:eastAsia="黑体"/>
          <w:sz w:val="24"/>
        </w:rPr>
        <w:tab/>
      </w:r>
      <w:r>
        <w:rPr>
          <w:rFonts w:hint="eastAsia" w:ascii="黑体" w:eastAsia="黑体"/>
          <w:sz w:val="24"/>
        </w:rPr>
        <w:t>保险</w:t>
      </w:r>
      <w:bookmarkEnd w:id="533"/>
      <w:bookmarkEnd w:id="534"/>
    </w:p>
    <w:p>
      <w:pPr>
        <w:snapToGrid w:val="0"/>
        <w:spacing w:beforeLines="50"/>
        <w:ind w:left="991" w:hanging="991" w:hangingChars="413"/>
        <w:jc w:val="left"/>
        <w:rPr>
          <w:rFonts w:ascii="黑体" w:eastAsia="黑体"/>
          <w:sz w:val="24"/>
        </w:rPr>
      </w:pPr>
      <w:r>
        <w:rPr>
          <w:rFonts w:hint="eastAsia" w:ascii="黑体" w:eastAsia="黑体"/>
          <w:sz w:val="24"/>
        </w:rPr>
        <w:t>13.1</w:t>
      </w:r>
      <w:r>
        <w:rPr>
          <w:rFonts w:hint="eastAsia" w:ascii="黑体" w:eastAsia="黑体"/>
          <w:sz w:val="24"/>
        </w:rPr>
        <w:tab/>
      </w:r>
      <w:r>
        <w:rPr>
          <w:rFonts w:hint="eastAsia" w:ascii="黑体" w:eastAsia="黑体"/>
          <w:sz w:val="24"/>
        </w:rPr>
        <w:t>保险范围</w:t>
      </w:r>
    </w:p>
    <w:p>
      <w:pPr>
        <w:snapToGrid w:val="0"/>
        <w:spacing w:beforeLines="50"/>
        <w:ind w:left="991" w:hanging="991" w:hangingChars="413"/>
        <w:jc w:val="left"/>
        <w:rPr>
          <w:rFonts w:ascii="宋体" w:hAnsi="宋体"/>
          <w:sz w:val="24"/>
        </w:rPr>
      </w:pPr>
      <w:r>
        <w:rPr>
          <w:rFonts w:hint="eastAsia" w:ascii="宋体" w:hAnsi="宋体"/>
          <w:sz w:val="24"/>
        </w:rPr>
        <w:t>13.1.1</w:t>
      </w:r>
      <w:r>
        <w:rPr>
          <w:rFonts w:hint="eastAsia" w:ascii="宋体" w:hAnsi="宋体"/>
          <w:sz w:val="24"/>
        </w:rPr>
        <w:tab/>
      </w:r>
      <w:r>
        <w:rPr>
          <w:rFonts w:hint="eastAsia" w:ascii="宋体" w:hAnsi="宋体"/>
          <w:sz w:val="24"/>
        </w:rPr>
        <w:t>本工程</w:t>
      </w:r>
      <w:r>
        <w:rPr>
          <w:rFonts w:hint="eastAsia" w:ascii="宋体" w:hAnsi="宋体"/>
          <w:sz w:val="24"/>
          <w:u w:val="single"/>
        </w:rPr>
        <w:t xml:space="preserve">  投保</w:t>
      </w:r>
      <w:r>
        <w:rPr>
          <w:rFonts w:hint="eastAsia" w:ascii="宋体" w:hAnsi="宋体"/>
          <w:sz w:val="24"/>
          <w:u w:val="single"/>
          <w:lang w:val="en-US" w:eastAsia="zh-CN"/>
        </w:rPr>
        <w:t xml:space="preserve">  </w:t>
      </w:r>
      <w:r>
        <w:rPr>
          <w:rFonts w:hint="eastAsia" w:ascii="宋体" w:hAnsi="宋体"/>
          <w:sz w:val="24"/>
        </w:rPr>
        <w:t>工程保险。投保工程保险时，险种为：</w:t>
      </w:r>
      <w:r>
        <w:rPr>
          <w:rFonts w:hint="eastAsia" w:ascii="宋体" w:hAnsi="宋体"/>
          <w:sz w:val="24"/>
          <w:u w:val="single"/>
        </w:rPr>
        <w:t xml:space="preserve"> 建筑工程一切险及第三者责任险</w:t>
      </w:r>
      <w:r>
        <w:rPr>
          <w:rFonts w:hint="eastAsia" w:ascii="宋体" w:hAnsi="宋体"/>
          <w:sz w:val="24"/>
        </w:rPr>
        <w:t>，并符合以下约定。</w:t>
      </w:r>
    </w:p>
    <w:p>
      <w:pPr>
        <w:spacing w:beforeLines="50"/>
        <w:ind w:left="1351" w:leftChars="472" w:hanging="360" w:hangingChars="150"/>
        <w:rPr>
          <w:rFonts w:ascii="宋体" w:hAnsi="宋体"/>
          <w:sz w:val="24"/>
        </w:rPr>
      </w:pPr>
      <w:r>
        <w:rPr>
          <w:rFonts w:hint="eastAsia" w:ascii="宋体" w:hAnsi="宋体"/>
          <w:sz w:val="24"/>
        </w:rPr>
        <w:t>(1)投保人：</w:t>
      </w:r>
      <w:r>
        <w:rPr>
          <w:rFonts w:hint="eastAsia" w:ascii="宋体" w:hAnsi="宋体"/>
          <w:sz w:val="24"/>
          <w:u w:val="single"/>
        </w:rPr>
        <w:t xml:space="preserve">   承包人   </w:t>
      </w:r>
      <w:r>
        <w:rPr>
          <w:rFonts w:hint="eastAsia" w:ascii="宋体" w:hAnsi="宋体"/>
          <w:sz w:val="24"/>
        </w:rPr>
        <w:t>。</w:t>
      </w:r>
    </w:p>
    <w:p>
      <w:pPr>
        <w:spacing w:beforeLines="50"/>
        <w:ind w:left="1351" w:leftChars="472" w:hanging="360" w:hangingChars="150"/>
        <w:rPr>
          <w:rFonts w:ascii="宋体" w:hAnsi="宋体"/>
          <w:sz w:val="24"/>
        </w:rPr>
      </w:pPr>
      <w:r>
        <w:rPr>
          <w:rFonts w:hint="eastAsia" w:ascii="宋体" w:hAnsi="宋体"/>
          <w:sz w:val="24"/>
        </w:rPr>
        <w:t>(2)投保内容：</w:t>
      </w:r>
      <w:r>
        <w:rPr>
          <w:rFonts w:hint="eastAsia" w:ascii="宋体" w:hAnsi="宋体"/>
          <w:sz w:val="24"/>
          <w:u w:val="single"/>
        </w:rPr>
        <w:t xml:space="preserve"> 永久工程、工程设备、本项目第三者 </w:t>
      </w:r>
      <w:r>
        <w:rPr>
          <w:rFonts w:hint="eastAsia" w:ascii="宋体" w:hAnsi="宋体"/>
          <w:sz w:val="24"/>
        </w:rPr>
        <w:t>。</w:t>
      </w:r>
    </w:p>
    <w:p>
      <w:pPr>
        <w:spacing w:beforeLines="50"/>
        <w:ind w:left="1351" w:leftChars="472" w:hanging="360" w:hangingChars="150"/>
        <w:rPr>
          <w:rFonts w:ascii="宋体" w:hAnsi="宋体"/>
          <w:sz w:val="24"/>
        </w:rPr>
      </w:pPr>
      <w:r>
        <w:rPr>
          <w:rFonts w:hint="eastAsia" w:ascii="宋体" w:hAnsi="宋体"/>
          <w:sz w:val="24"/>
        </w:rPr>
        <w:t>(3)保险费率：由投保人与合同双方同意的保险人商定。</w:t>
      </w:r>
    </w:p>
    <w:p>
      <w:pPr>
        <w:spacing w:beforeLines="50"/>
        <w:ind w:left="1351" w:leftChars="472" w:hanging="360" w:hangingChars="150"/>
        <w:rPr>
          <w:rFonts w:ascii="宋体" w:hAnsi="宋体"/>
          <w:sz w:val="24"/>
        </w:rPr>
      </w:pPr>
      <w:r>
        <w:rPr>
          <w:rFonts w:hint="eastAsia" w:ascii="宋体" w:hAnsi="宋体"/>
          <w:sz w:val="24"/>
        </w:rPr>
        <w:t>(4)保险期限：</w:t>
      </w:r>
      <w:r>
        <w:rPr>
          <w:rFonts w:hint="eastAsia" w:ascii="宋体" w:hAnsi="宋体"/>
          <w:sz w:val="24"/>
          <w:u w:val="single"/>
        </w:rPr>
        <w:t xml:space="preserve"> 自项目开工日起至竣工验收合格日止 </w:t>
      </w:r>
      <w:r>
        <w:rPr>
          <w:rFonts w:hint="eastAsia" w:ascii="宋体" w:hAnsi="宋体"/>
          <w:sz w:val="24"/>
        </w:rPr>
        <w:t>。</w:t>
      </w:r>
    </w:p>
    <w:p>
      <w:pPr>
        <w:snapToGrid w:val="0"/>
        <w:spacing w:beforeLines="50"/>
        <w:ind w:left="991" w:hanging="991" w:hangingChars="413"/>
        <w:jc w:val="left"/>
        <w:outlineLvl w:val="2"/>
        <w:rPr>
          <w:rFonts w:ascii="黑体" w:eastAsia="黑体"/>
          <w:sz w:val="24"/>
        </w:rPr>
      </w:pPr>
      <w:bookmarkStart w:id="535" w:name="_Toc25794"/>
      <w:bookmarkStart w:id="536" w:name="_Toc25047"/>
      <w:r>
        <w:rPr>
          <w:rFonts w:hint="eastAsia" w:ascii="黑体" w:eastAsia="黑体"/>
          <w:sz w:val="24"/>
        </w:rPr>
        <w:t>14.</w:t>
      </w:r>
      <w:r>
        <w:rPr>
          <w:rFonts w:hint="eastAsia" w:ascii="黑体" w:eastAsia="黑体"/>
          <w:sz w:val="24"/>
        </w:rPr>
        <w:tab/>
      </w:r>
      <w:r>
        <w:rPr>
          <w:rFonts w:hint="eastAsia" w:ascii="黑体" w:eastAsia="黑体"/>
          <w:sz w:val="24"/>
        </w:rPr>
        <w:t>不可抗力</w:t>
      </w:r>
      <w:bookmarkEnd w:id="535"/>
      <w:bookmarkEnd w:id="536"/>
    </w:p>
    <w:p>
      <w:pPr>
        <w:snapToGrid w:val="0"/>
        <w:spacing w:beforeLines="50"/>
        <w:ind w:left="991" w:hanging="991" w:hangingChars="413"/>
        <w:jc w:val="left"/>
        <w:rPr>
          <w:rFonts w:ascii="黑体" w:eastAsia="黑体"/>
          <w:sz w:val="24"/>
        </w:rPr>
      </w:pPr>
      <w:r>
        <w:rPr>
          <w:rFonts w:hint="eastAsia" w:ascii="黑体" w:eastAsia="黑体"/>
          <w:sz w:val="24"/>
        </w:rPr>
        <w:t>14.1</w:t>
      </w:r>
      <w:r>
        <w:rPr>
          <w:rFonts w:hint="eastAsia" w:ascii="黑体" w:eastAsia="黑体"/>
          <w:sz w:val="24"/>
        </w:rPr>
        <w:tab/>
      </w:r>
      <w:r>
        <w:rPr>
          <w:rFonts w:hint="eastAsia" w:ascii="黑体" w:eastAsia="黑体"/>
          <w:sz w:val="24"/>
        </w:rPr>
        <w:t>不可抗力的确认</w:t>
      </w:r>
    </w:p>
    <w:p>
      <w:pPr>
        <w:snapToGrid w:val="0"/>
        <w:spacing w:beforeLines="50"/>
        <w:ind w:left="991" w:hanging="991" w:hangingChars="413"/>
        <w:jc w:val="left"/>
        <w:rPr>
          <w:rFonts w:ascii="宋体" w:hAnsi="宋体"/>
          <w:sz w:val="24"/>
        </w:rPr>
      </w:pPr>
      <w:r>
        <w:rPr>
          <w:rFonts w:hint="eastAsia" w:ascii="宋体" w:hAnsi="宋体"/>
          <w:sz w:val="24"/>
        </w:rPr>
        <w:t>14.1.1</w:t>
      </w:r>
      <w:r>
        <w:rPr>
          <w:rFonts w:hint="eastAsia" w:ascii="宋体" w:hAnsi="宋体"/>
          <w:sz w:val="24"/>
        </w:rPr>
        <w:tab/>
      </w:r>
      <w:r>
        <w:rPr>
          <w:rFonts w:hint="eastAsia" w:ascii="宋体" w:hAnsi="宋体"/>
          <w:sz w:val="24"/>
        </w:rPr>
        <w:t>不可抗力</w:t>
      </w:r>
    </w:p>
    <w:p>
      <w:pPr>
        <w:snapToGrid w:val="0"/>
        <w:spacing w:beforeLines="50"/>
        <w:ind w:left="989" w:leftChars="471" w:firstLine="2"/>
        <w:jc w:val="left"/>
        <w:rPr>
          <w:rFonts w:ascii="宋体" w:hAnsi="宋体"/>
          <w:sz w:val="24"/>
        </w:rPr>
      </w:pPr>
      <w:r>
        <w:rPr>
          <w:rFonts w:hint="eastAsia" w:ascii="宋体" w:hAnsi="宋体"/>
          <w:sz w:val="24"/>
        </w:rPr>
        <w:t>其他不可抗力：</w:t>
      </w:r>
      <w:r>
        <w:rPr>
          <w:rFonts w:hint="eastAsia" w:ascii="宋体" w:hAnsi="宋体"/>
          <w:sz w:val="24"/>
          <w:u w:val="single"/>
        </w:rPr>
        <w:t xml:space="preserve"> 无  </w:t>
      </w:r>
      <w:r>
        <w:rPr>
          <w:rFonts w:hint="eastAsia" w:ascii="宋体" w:hAnsi="宋体"/>
          <w:sz w:val="24"/>
        </w:rPr>
        <w:t>。</w:t>
      </w:r>
    </w:p>
    <w:p>
      <w:pPr>
        <w:snapToGrid w:val="0"/>
        <w:spacing w:beforeLines="50"/>
        <w:ind w:left="991" w:hanging="991" w:hangingChars="413"/>
        <w:jc w:val="left"/>
        <w:rPr>
          <w:rFonts w:ascii="黑体" w:eastAsia="黑体"/>
          <w:sz w:val="24"/>
        </w:rPr>
      </w:pPr>
      <w:r>
        <w:rPr>
          <w:rFonts w:hint="eastAsia" w:ascii="黑体" w:eastAsia="黑体"/>
          <w:sz w:val="24"/>
        </w:rPr>
        <w:t>14.3</w:t>
      </w:r>
      <w:r>
        <w:rPr>
          <w:rFonts w:hint="eastAsia" w:ascii="黑体" w:eastAsia="黑体"/>
          <w:sz w:val="24"/>
        </w:rPr>
        <w:tab/>
      </w:r>
      <w:r>
        <w:rPr>
          <w:rFonts w:hint="eastAsia" w:ascii="黑体" w:eastAsia="黑体"/>
          <w:sz w:val="24"/>
        </w:rPr>
        <w:t>不可抗力后果及其处理</w:t>
      </w:r>
    </w:p>
    <w:p>
      <w:pPr>
        <w:snapToGrid w:val="0"/>
        <w:spacing w:beforeLines="50"/>
        <w:ind w:left="991" w:leftChars="472"/>
        <w:rPr>
          <w:rFonts w:ascii="宋体" w:hAnsi="宋体"/>
          <w:sz w:val="24"/>
        </w:rPr>
      </w:pPr>
      <w:r>
        <w:rPr>
          <w:rFonts w:hint="eastAsia" w:ascii="宋体" w:hAnsi="宋体"/>
          <w:sz w:val="24"/>
        </w:rPr>
        <w:t>不可抗力后果及其处理：同通用合同条款，无另外约定。</w:t>
      </w:r>
    </w:p>
    <w:p>
      <w:pPr>
        <w:snapToGrid w:val="0"/>
        <w:spacing w:beforeLines="50"/>
        <w:ind w:left="991" w:hanging="991" w:hangingChars="413"/>
        <w:jc w:val="left"/>
        <w:outlineLvl w:val="2"/>
        <w:rPr>
          <w:rFonts w:ascii="黑体" w:eastAsia="黑体"/>
          <w:sz w:val="24"/>
        </w:rPr>
      </w:pPr>
      <w:bookmarkStart w:id="537" w:name="_Toc6100"/>
      <w:bookmarkStart w:id="538" w:name="_Toc12064"/>
      <w:r>
        <w:rPr>
          <w:rFonts w:hint="eastAsia" w:ascii="黑体" w:eastAsia="黑体"/>
          <w:sz w:val="24"/>
        </w:rPr>
        <w:t>17.</w:t>
      </w:r>
      <w:r>
        <w:rPr>
          <w:rFonts w:hint="eastAsia" w:ascii="黑体" w:eastAsia="黑体"/>
          <w:sz w:val="24"/>
        </w:rPr>
        <w:tab/>
      </w:r>
      <w:r>
        <w:rPr>
          <w:rFonts w:hint="eastAsia" w:ascii="黑体" w:eastAsia="黑体"/>
          <w:sz w:val="24"/>
        </w:rPr>
        <w:t>争议的解决</w:t>
      </w:r>
      <w:bookmarkEnd w:id="537"/>
      <w:bookmarkEnd w:id="538"/>
    </w:p>
    <w:p>
      <w:pPr>
        <w:snapToGrid w:val="0"/>
        <w:spacing w:beforeLines="50"/>
        <w:ind w:left="991" w:hanging="991" w:hangingChars="413"/>
        <w:jc w:val="left"/>
        <w:rPr>
          <w:rFonts w:ascii="黑体" w:eastAsia="黑体"/>
          <w:sz w:val="24"/>
        </w:rPr>
      </w:pPr>
      <w:r>
        <w:rPr>
          <w:rFonts w:hint="eastAsia" w:ascii="黑体" w:eastAsia="黑体"/>
          <w:sz w:val="24"/>
        </w:rPr>
        <w:t>17.1</w:t>
      </w:r>
      <w:r>
        <w:rPr>
          <w:rFonts w:hint="eastAsia" w:ascii="黑体" w:eastAsia="黑体"/>
          <w:sz w:val="24"/>
        </w:rPr>
        <w:tab/>
      </w:r>
      <w:r>
        <w:rPr>
          <w:rFonts w:hint="eastAsia" w:ascii="黑体" w:eastAsia="黑体"/>
          <w:sz w:val="24"/>
        </w:rPr>
        <w:t>争议的解决方式</w:t>
      </w:r>
    </w:p>
    <w:p>
      <w:pPr>
        <w:snapToGrid w:val="0"/>
        <w:spacing w:beforeLines="50"/>
        <w:ind w:left="991" w:leftChars="472"/>
        <w:rPr>
          <w:rFonts w:ascii="宋体" w:hAnsi="宋体"/>
          <w:sz w:val="24"/>
        </w:rPr>
      </w:pPr>
      <w:r>
        <w:rPr>
          <w:rFonts w:hint="eastAsia" w:ascii="宋体" w:hAnsi="宋体"/>
          <w:sz w:val="24"/>
        </w:rPr>
        <w:t>合同当事人友好协商解决不成、不愿提请争议评审或者不接受争议评审组意见的，选择下</w:t>
      </w:r>
      <w:r>
        <w:rPr>
          <w:rFonts w:hint="eastAsia" w:ascii="宋体" w:hAnsi="宋体"/>
          <w:sz w:val="24"/>
          <w:highlight w:val="none"/>
        </w:rPr>
        <w:t>列第</w:t>
      </w:r>
      <w:r>
        <w:rPr>
          <w:rFonts w:hint="eastAsia" w:ascii="宋体" w:hAnsi="宋体"/>
          <w:sz w:val="24"/>
          <w:highlight w:val="none"/>
          <w:lang w:eastAsia="zh-CN"/>
        </w:rPr>
        <w:t>2</w:t>
      </w:r>
      <w:r>
        <w:rPr>
          <w:rFonts w:ascii="宋体" w:hAnsi="宋体"/>
          <w:sz w:val="24"/>
          <w:highlight w:val="none"/>
        </w:rPr>
        <w:t xml:space="preserve"> </w:t>
      </w:r>
      <w:r>
        <w:rPr>
          <w:rFonts w:hint="eastAsia" w:ascii="宋体" w:hAnsi="宋体"/>
          <w:sz w:val="24"/>
          <w:highlight w:val="none"/>
        </w:rPr>
        <w:t>种</w:t>
      </w:r>
      <w:r>
        <w:rPr>
          <w:rFonts w:hint="eastAsia" w:ascii="宋体" w:hAnsi="宋体"/>
          <w:sz w:val="24"/>
        </w:rPr>
        <w:t>方式解决：</w:t>
      </w:r>
    </w:p>
    <w:p>
      <w:pPr>
        <w:snapToGrid w:val="0"/>
        <w:spacing w:beforeLines="50"/>
        <w:ind w:left="991" w:leftChars="472"/>
        <w:rPr>
          <w:rFonts w:ascii="宋体" w:hAnsi="宋体"/>
          <w:sz w:val="24"/>
        </w:rPr>
      </w:pPr>
      <w:r>
        <w:rPr>
          <w:rFonts w:hint="eastAsia" w:ascii="宋体" w:hAnsi="宋体"/>
          <w:sz w:val="24"/>
        </w:rPr>
        <w:t>（l）向仲裁委员会申请仲裁；</w:t>
      </w:r>
    </w:p>
    <w:p>
      <w:pPr>
        <w:snapToGrid w:val="0"/>
        <w:spacing w:beforeLines="50"/>
        <w:ind w:left="991" w:leftChars="472"/>
        <w:rPr>
          <w:rFonts w:ascii="宋体" w:hAnsi="宋体"/>
          <w:sz w:val="24"/>
        </w:rPr>
      </w:pPr>
      <w:r>
        <w:rPr>
          <w:rFonts w:hint="eastAsia" w:ascii="宋体" w:hAnsi="宋体"/>
          <w:sz w:val="24"/>
        </w:rPr>
        <w:t>（2）向</w:t>
      </w:r>
      <w:r>
        <w:rPr>
          <w:rFonts w:hint="eastAsia" w:ascii="宋体" w:hAnsi="宋体"/>
          <w:sz w:val="24"/>
          <w:u w:val="single"/>
        </w:rPr>
        <w:t xml:space="preserve"> 工程所在地 </w:t>
      </w:r>
      <w:r>
        <w:rPr>
          <w:rFonts w:hint="eastAsia" w:ascii="宋体" w:hAnsi="宋体"/>
          <w:sz w:val="24"/>
        </w:rPr>
        <w:t>的人民法院提起诉讼。</w:t>
      </w:r>
    </w:p>
    <w:p>
      <w:pPr>
        <w:snapToGrid w:val="0"/>
        <w:spacing w:beforeLines="50"/>
        <w:ind w:left="991" w:hanging="991" w:hangingChars="413"/>
        <w:jc w:val="left"/>
        <w:rPr>
          <w:rFonts w:ascii="黑体" w:eastAsia="黑体"/>
          <w:sz w:val="24"/>
        </w:rPr>
      </w:pPr>
      <w:r>
        <w:rPr>
          <w:rFonts w:hint="eastAsia" w:ascii="黑体" w:eastAsia="黑体"/>
          <w:sz w:val="24"/>
        </w:rPr>
        <w:t>17.3</w:t>
      </w:r>
      <w:r>
        <w:rPr>
          <w:rFonts w:hint="eastAsia" w:ascii="黑体" w:eastAsia="黑体"/>
          <w:sz w:val="24"/>
        </w:rPr>
        <w:tab/>
      </w:r>
      <w:r>
        <w:rPr>
          <w:rFonts w:hint="eastAsia" w:ascii="黑体" w:eastAsia="黑体"/>
          <w:sz w:val="24"/>
        </w:rPr>
        <w:t>争议评审</w:t>
      </w:r>
    </w:p>
    <w:p>
      <w:pPr>
        <w:snapToGrid w:val="0"/>
        <w:spacing w:beforeLines="50"/>
        <w:ind w:left="991" w:hanging="991" w:hangingChars="413"/>
        <w:jc w:val="left"/>
        <w:rPr>
          <w:rFonts w:ascii="宋体" w:hAnsi="宋体"/>
          <w:sz w:val="24"/>
        </w:rPr>
      </w:pPr>
      <w:r>
        <w:rPr>
          <w:rFonts w:hint="eastAsia" w:ascii="宋体" w:hAnsi="宋体"/>
          <w:sz w:val="24"/>
        </w:rPr>
        <w:t>17.3.1</w:t>
      </w:r>
      <w:r>
        <w:rPr>
          <w:rFonts w:hint="eastAsia" w:ascii="宋体" w:hAnsi="宋体"/>
          <w:sz w:val="24"/>
        </w:rPr>
        <w:tab/>
      </w:r>
      <w:r>
        <w:rPr>
          <w:rFonts w:hint="eastAsia" w:ascii="宋体" w:hAnsi="宋体"/>
          <w:sz w:val="24"/>
        </w:rPr>
        <w:t>争议评审：</w:t>
      </w:r>
      <w:r>
        <w:rPr>
          <w:rFonts w:hint="eastAsia" w:ascii="宋体" w:hAnsi="宋体"/>
          <w:sz w:val="24"/>
          <w:u w:val="single"/>
        </w:rPr>
        <w:t xml:space="preserve"> 本项目不采用争议评审 </w:t>
      </w:r>
      <w:r>
        <w:rPr>
          <w:rFonts w:hint="eastAsia" w:ascii="宋体" w:hAnsi="宋体"/>
          <w:sz w:val="24"/>
        </w:rPr>
        <w:t>。</w:t>
      </w:r>
    </w:p>
    <w:p>
      <w:pPr>
        <w:pStyle w:val="41"/>
        <w:snapToGrid w:val="0"/>
        <w:spacing w:afterLines="50"/>
        <w:outlineLvl w:val="1"/>
        <w:rPr>
          <w:rFonts w:hAnsi="宋体" w:cs="宋体"/>
          <w:sz w:val="24"/>
          <w:szCs w:val="24"/>
        </w:rPr>
      </w:pPr>
      <w:r>
        <w:rPr>
          <w:rFonts w:hAnsi="宋体" w:cs="宋体"/>
          <w:sz w:val="24"/>
          <w:szCs w:val="24"/>
        </w:rPr>
        <w:br w:type="page"/>
      </w:r>
      <w:bookmarkStart w:id="539" w:name="_Toc19082"/>
      <w:r>
        <w:rPr>
          <w:rFonts w:hint="eastAsia" w:hAnsi="宋体" w:cs="宋体"/>
          <w:sz w:val="24"/>
          <w:szCs w:val="24"/>
        </w:rPr>
        <w:t>第三节</w:t>
      </w:r>
      <w:r>
        <w:rPr>
          <w:rFonts w:hint="eastAsia" w:hAnsi="宋体" w:cs="宋体"/>
          <w:sz w:val="24"/>
          <w:szCs w:val="24"/>
          <w:lang w:val="en-US" w:eastAsia="zh-CN"/>
        </w:rPr>
        <w:t xml:space="preserve">  </w:t>
      </w:r>
      <w:r>
        <w:rPr>
          <w:rFonts w:hint="eastAsia" w:hAnsi="宋体" w:cs="宋体"/>
          <w:sz w:val="24"/>
          <w:szCs w:val="24"/>
        </w:rPr>
        <w:t>合同附件格式</w:t>
      </w:r>
      <w:bookmarkEnd w:id="539"/>
    </w:p>
    <w:p>
      <w:pPr>
        <w:pStyle w:val="4"/>
        <w:spacing w:line="413" w:lineRule="auto"/>
        <w:jc w:val="center"/>
        <w:outlineLvl w:val="2"/>
        <w:rPr>
          <w:rFonts w:hint="eastAsia" w:eastAsia="黑体"/>
          <w:lang w:eastAsia="zh-CN"/>
        </w:rPr>
      </w:pPr>
      <w:bookmarkStart w:id="540" w:name="_Toc15720"/>
      <w:bookmarkStart w:id="541" w:name="_Toc7441"/>
      <w:r>
        <w:rPr>
          <w:rFonts w:hint="eastAsia"/>
        </w:rPr>
        <w:t>合同协议书</w:t>
      </w:r>
      <w:r>
        <w:rPr>
          <w:rFonts w:hint="eastAsia"/>
          <w:lang w:eastAsia="zh-CN"/>
        </w:rPr>
        <w:t>（格式）</w:t>
      </w:r>
      <w:bookmarkEnd w:id="540"/>
    </w:p>
    <w:p>
      <w:pPr>
        <w:spacing w:line="360" w:lineRule="auto"/>
        <w:rPr>
          <w:rFonts w:ascii="仿宋" w:hAnsi="仿宋" w:eastAsia="仿宋" w:cs="仿宋"/>
          <w:b/>
          <w:color w:val="000000"/>
          <w:sz w:val="24"/>
          <w:u w:val="single"/>
        </w:rPr>
      </w:pPr>
      <w:r>
        <w:rPr>
          <w:rFonts w:hint="eastAsia" w:ascii="仿宋" w:hAnsi="仿宋" w:eastAsia="仿宋" w:cs="仿宋"/>
          <w:b/>
          <w:color w:val="000000"/>
          <w:sz w:val="24"/>
        </w:rPr>
        <w:t>发包人（全称）：</w:t>
      </w:r>
      <w:r>
        <w:rPr>
          <w:rFonts w:hint="eastAsia" w:ascii="仿宋" w:hAnsi="仿宋" w:eastAsia="仿宋" w:cs="仿宋"/>
          <w:b/>
          <w:color w:val="000000"/>
          <w:sz w:val="24"/>
          <w:u w:val="single"/>
        </w:rPr>
        <w:t>                       </w:t>
      </w:r>
    </w:p>
    <w:p>
      <w:pPr>
        <w:spacing w:line="360" w:lineRule="auto"/>
        <w:rPr>
          <w:rFonts w:ascii="仿宋" w:hAnsi="仿宋" w:eastAsia="仿宋" w:cs="仿宋"/>
          <w:b/>
          <w:color w:val="000000"/>
          <w:sz w:val="24"/>
          <w:u w:val="single"/>
        </w:rPr>
      </w:pPr>
      <w:r>
        <w:rPr>
          <w:rFonts w:hint="eastAsia" w:ascii="仿宋" w:hAnsi="仿宋" w:eastAsia="仿宋" w:cs="仿宋"/>
          <w:b/>
          <w:color w:val="000000"/>
          <w:sz w:val="24"/>
        </w:rPr>
        <w:t>承包人（全称）：</w:t>
      </w:r>
      <w:r>
        <w:rPr>
          <w:rFonts w:hint="eastAsia" w:ascii="仿宋" w:hAnsi="仿宋" w:eastAsia="仿宋" w:cs="仿宋"/>
          <w:b/>
          <w:color w:val="000000"/>
          <w:sz w:val="24"/>
          <w:u w:val="single"/>
        </w:rPr>
        <w:t>                      </w:t>
      </w:r>
    </w:p>
    <w:p>
      <w:pPr>
        <w:spacing w:line="360" w:lineRule="auto"/>
        <w:ind w:firstLine="480" w:firstLineChars="200"/>
        <w:rPr>
          <w:rFonts w:eastAsia="仿宋_GB2312"/>
          <w:color w:val="000000"/>
          <w:sz w:val="24"/>
        </w:rPr>
      </w:pPr>
      <w:r>
        <w:rPr>
          <w:rFonts w:eastAsia="仿宋_GB2312"/>
          <w:color w:val="000000"/>
          <w:sz w:val="24"/>
        </w:rPr>
        <w:t>根据《中华人民共和国合同法》、《中华人民共和国建筑法》及有关法律规定，遵循平等、自愿、公平和诚实信用的原则，双方就</w:t>
      </w:r>
      <w:r>
        <w:rPr>
          <w:rFonts w:eastAsia="仿宋_GB2312"/>
          <w:color w:val="000000"/>
          <w:sz w:val="24"/>
          <w:u w:val="single"/>
        </w:rPr>
        <w:t xml:space="preserve">                       </w:t>
      </w:r>
      <w:r>
        <w:rPr>
          <w:rFonts w:eastAsia="仿宋_GB2312"/>
          <w:color w:val="000000"/>
          <w:sz w:val="24"/>
        </w:rPr>
        <w:t>工程施工及有关事项协商一致</w:t>
      </w:r>
      <w:r>
        <w:rPr>
          <w:rFonts w:hint="eastAsia" w:eastAsia="仿宋_GB2312"/>
          <w:color w:val="000000"/>
          <w:sz w:val="24"/>
        </w:rPr>
        <w:t>，</w:t>
      </w:r>
      <w:r>
        <w:rPr>
          <w:rFonts w:eastAsia="仿宋_GB2312"/>
          <w:color w:val="000000"/>
          <w:sz w:val="24"/>
        </w:rPr>
        <w:t>共同达成如下协议：</w:t>
      </w:r>
    </w:p>
    <w:p>
      <w:pPr>
        <w:pStyle w:val="5"/>
        <w:spacing w:line="416" w:lineRule="auto"/>
        <w:outlineLvl w:val="3"/>
        <w:rPr>
          <w:sz w:val="24"/>
          <w:szCs w:val="24"/>
        </w:rPr>
      </w:pPr>
      <w:bookmarkStart w:id="542" w:name="_Toc351203481"/>
      <w:r>
        <w:rPr>
          <w:rFonts w:hint="eastAsia"/>
          <w:sz w:val="24"/>
          <w:szCs w:val="24"/>
        </w:rPr>
        <w:t>一、工程概况</w:t>
      </w:r>
      <w:bookmarkEnd w:id="542"/>
    </w:p>
    <w:p>
      <w:pPr>
        <w:spacing w:line="360" w:lineRule="auto"/>
        <w:ind w:firstLine="470" w:firstLineChars="196"/>
        <w:rPr>
          <w:rFonts w:ascii="仿宋" w:hAnsi="仿宋" w:eastAsia="仿宋" w:cs="仿宋"/>
          <w:color w:val="000000"/>
          <w:sz w:val="24"/>
          <w:u w:val="single"/>
        </w:rPr>
      </w:pPr>
      <w:r>
        <w:rPr>
          <w:rFonts w:hint="eastAsia" w:ascii="仿宋" w:hAnsi="仿宋" w:eastAsia="仿宋" w:cs="仿宋"/>
          <w:bCs/>
          <w:color w:val="000000"/>
          <w:sz w:val="24"/>
        </w:rPr>
        <w:t>1.工程名称</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 </w:t>
      </w:r>
      <w:r>
        <w:rPr>
          <w:rFonts w:hint="eastAsia" w:ascii="仿宋" w:hAnsi="仿宋" w:eastAsia="仿宋" w:cs="仿宋"/>
          <w:color w:val="000000"/>
          <w:sz w:val="24"/>
        </w:rPr>
        <w:t>。</w:t>
      </w:r>
    </w:p>
    <w:p>
      <w:pPr>
        <w:spacing w:line="360" w:lineRule="auto"/>
        <w:ind w:firstLine="470" w:firstLineChars="196"/>
        <w:rPr>
          <w:rFonts w:ascii="仿宋" w:hAnsi="仿宋" w:eastAsia="仿宋" w:cs="仿宋"/>
          <w:bCs/>
          <w:color w:val="000000"/>
          <w:sz w:val="24"/>
        </w:rPr>
      </w:pPr>
      <w:r>
        <w:rPr>
          <w:rFonts w:hint="eastAsia" w:ascii="仿宋" w:hAnsi="仿宋" w:eastAsia="仿宋" w:cs="仿宋"/>
          <w:bCs/>
          <w:color w:val="000000"/>
          <w:sz w:val="24"/>
        </w:rPr>
        <w:t>2.工程地点：</w:t>
      </w:r>
      <w:r>
        <w:rPr>
          <w:rFonts w:hint="eastAsia" w:ascii="仿宋" w:hAnsi="仿宋" w:eastAsia="仿宋" w:cs="仿宋"/>
          <w:color w:val="000000"/>
          <w:sz w:val="24"/>
          <w:u w:val="single"/>
        </w:rPr>
        <w:t xml:space="preserve">       </w:t>
      </w:r>
      <w:r>
        <w:rPr>
          <w:rFonts w:hint="eastAsia" w:ascii="仿宋" w:hAnsi="仿宋" w:eastAsia="仿宋" w:cs="仿宋"/>
          <w:color w:val="000000"/>
          <w:sz w:val="24"/>
        </w:rPr>
        <w:t>。</w:t>
      </w:r>
    </w:p>
    <w:p>
      <w:pPr>
        <w:spacing w:line="360" w:lineRule="auto"/>
        <w:ind w:firstLine="470" w:firstLineChars="196"/>
        <w:rPr>
          <w:rFonts w:ascii="仿宋" w:hAnsi="仿宋" w:eastAsia="仿宋" w:cs="仿宋"/>
          <w:bCs/>
          <w:color w:val="000000"/>
          <w:sz w:val="24"/>
        </w:rPr>
      </w:pPr>
      <w:r>
        <w:rPr>
          <w:rFonts w:hint="eastAsia" w:ascii="仿宋" w:hAnsi="仿宋" w:eastAsia="仿宋" w:cs="仿宋"/>
          <w:bCs/>
          <w:color w:val="000000"/>
          <w:sz w:val="24"/>
        </w:rPr>
        <w:t>3.工程立项批准文号：</w:t>
      </w:r>
      <w:r>
        <w:rPr>
          <w:rFonts w:hint="eastAsia" w:ascii="仿宋" w:hAnsi="仿宋" w:eastAsia="仿宋" w:cs="仿宋"/>
          <w:color w:val="000000"/>
          <w:sz w:val="24"/>
          <w:u w:val="single"/>
        </w:rPr>
        <w:t xml:space="preserve">       </w:t>
      </w:r>
      <w:r>
        <w:rPr>
          <w:rFonts w:hint="eastAsia" w:ascii="仿宋" w:hAnsi="仿宋" w:eastAsia="仿宋" w:cs="仿宋"/>
          <w:bCs/>
          <w:color w:val="000000"/>
          <w:sz w:val="24"/>
        </w:rPr>
        <w:t>。</w:t>
      </w:r>
    </w:p>
    <w:p>
      <w:pPr>
        <w:spacing w:line="360" w:lineRule="auto"/>
        <w:ind w:firstLine="470" w:firstLineChars="196"/>
        <w:rPr>
          <w:rFonts w:ascii="仿宋" w:hAnsi="仿宋" w:eastAsia="仿宋" w:cs="仿宋"/>
          <w:bCs/>
          <w:color w:val="000000"/>
          <w:sz w:val="24"/>
        </w:rPr>
      </w:pPr>
      <w:r>
        <w:rPr>
          <w:rFonts w:hint="eastAsia" w:ascii="仿宋" w:hAnsi="仿宋" w:eastAsia="仿宋" w:cs="仿宋"/>
          <w:bCs/>
          <w:color w:val="000000"/>
          <w:sz w:val="24"/>
        </w:rPr>
        <w:t>4.资金来源：</w:t>
      </w:r>
      <w:r>
        <w:rPr>
          <w:rFonts w:hint="eastAsia" w:ascii="仿宋" w:hAnsi="仿宋" w:eastAsia="仿宋" w:cs="仿宋"/>
          <w:color w:val="000000"/>
          <w:sz w:val="24"/>
          <w:u w:val="single"/>
        </w:rPr>
        <w:t xml:space="preserve">       </w:t>
      </w:r>
      <w:r>
        <w:rPr>
          <w:rFonts w:hint="eastAsia" w:ascii="仿宋" w:hAnsi="仿宋" w:eastAsia="仿宋" w:cs="仿宋"/>
          <w:bCs/>
          <w:color w:val="000000"/>
          <w:sz w:val="24"/>
        </w:rPr>
        <w:t>。</w:t>
      </w:r>
    </w:p>
    <w:p>
      <w:pPr>
        <w:spacing w:line="360" w:lineRule="auto"/>
        <w:ind w:firstLine="470" w:firstLineChars="196"/>
        <w:rPr>
          <w:rFonts w:ascii="仿宋" w:hAnsi="仿宋" w:eastAsia="仿宋" w:cs="仿宋"/>
          <w:bCs/>
          <w:color w:val="000000"/>
          <w:sz w:val="24"/>
        </w:rPr>
      </w:pPr>
      <w:r>
        <w:rPr>
          <w:rFonts w:hint="eastAsia" w:ascii="仿宋" w:hAnsi="仿宋" w:eastAsia="仿宋" w:cs="仿宋"/>
          <w:bCs/>
          <w:color w:val="000000"/>
          <w:sz w:val="24"/>
        </w:rPr>
        <w:t>5.工程内容：</w:t>
      </w:r>
      <w:r>
        <w:rPr>
          <w:rFonts w:hint="eastAsia" w:ascii="仿宋" w:hAnsi="仿宋" w:eastAsia="仿宋" w:cs="仿宋"/>
          <w:color w:val="000000"/>
          <w:sz w:val="24"/>
          <w:u w:val="single"/>
        </w:rPr>
        <w:t xml:space="preserve">       </w:t>
      </w:r>
      <w:r>
        <w:rPr>
          <w:rFonts w:hint="eastAsia" w:ascii="仿宋" w:hAnsi="仿宋" w:eastAsia="仿宋" w:cs="仿宋"/>
          <w:bCs/>
          <w:color w:val="000000"/>
          <w:sz w:val="24"/>
        </w:rPr>
        <w:t>。</w:t>
      </w:r>
    </w:p>
    <w:p>
      <w:pPr>
        <w:spacing w:line="360" w:lineRule="auto"/>
        <w:ind w:firstLine="470" w:firstLineChars="196"/>
        <w:rPr>
          <w:rFonts w:ascii="仿宋" w:hAnsi="仿宋" w:eastAsia="仿宋" w:cs="仿宋"/>
          <w:bCs/>
          <w:color w:val="000000"/>
          <w:sz w:val="24"/>
        </w:rPr>
      </w:pPr>
      <w:r>
        <w:rPr>
          <w:rFonts w:hint="eastAsia" w:ascii="仿宋" w:hAnsi="仿宋" w:eastAsia="仿宋" w:cs="仿宋"/>
          <w:color w:val="000000"/>
          <w:sz w:val="24"/>
        </w:rPr>
        <w:t>群体工程应附《承包人承揽工程项目一览表》（附件1）。</w:t>
      </w:r>
    </w:p>
    <w:p>
      <w:pPr>
        <w:spacing w:line="360" w:lineRule="auto"/>
        <w:ind w:firstLine="470" w:firstLineChars="196"/>
        <w:rPr>
          <w:rFonts w:ascii="仿宋" w:hAnsi="仿宋" w:eastAsia="仿宋" w:cs="仿宋"/>
          <w:bCs/>
          <w:color w:val="000000"/>
          <w:sz w:val="24"/>
        </w:rPr>
      </w:pPr>
      <w:r>
        <w:rPr>
          <w:rFonts w:hint="eastAsia" w:ascii="仿宋" w:hAnsi="仿宋" w:eastAsia="仿宋" w:cs="仿宋"/>
          <w:bCs/>
          <w:color w:val="000000"/>
          <w:sz w:val="24"/>
        </w:rPr>
        <w:t>6.工程承包范围：</w:t>
      </w:r>
    </w:p>
    <w:p>
      <w:pPr>
        <w:spacing w:line="360" w:lineRule="auto"/>
        <w:ind w:firstLine="463" w:firstLineChars="193"/>
        <w:rPr>
          <w:rFonts w:ascii="仿宋" w:hAnsi="仿宋" w:eastAsia="仿宋" w:cs="仿宋"/>
          <w:color w:val="000000"/>
          <w:sz w:val="24"/>
        </w:rPr>
      </w:pPr>
      <w:r>
        <w:rPr>
          <w:rFonts w:hint="eastAsia" w:ascii="仿宋" w:hAnsi="仿宋" w:eastAsia="仿宋" w:cs="仿宋"/>
          <w:color w:val="000000"/>
          <w:sz w:val="24"/>
          <w:u w:val="single"/>
        </w:rPr>
        <w:t>   </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u w:val="single"/>
        </w:rPr>
        <w:t> </w:t>
      </w:r>
      <w:r>
        <w:rPr>
          <w:rFonts w:hint="eastAsia" w:ascii="仿宋" w:hAnsi="仿宋" w:eastAsia="仿宋" w:cs="仿宋"/>
          <w:color w:val="000000"/>
          <w:sz w:val="24"/>
        </w:rPr>
        <w:t>。</w:t>
      </w:r>
    </w:p>
    <w:p>
      <w:pPr>
        <w:pStyle w:val="5"/>
        <w:outlineLvl w:val="3"/>
        <w:rPr>
          <w:sz w:val="24"/>
          <w:szCs w:val="24"/>
        </w:rPr>
      </w:pPr>
      <w:bookmarkStart w:id="543" w:name="_Toc351203482"/>
      <w:r>
        <w:rPr>
          <w:rFonts w:hint="eastAsia"/>
          <w:sz w:val="24"/>
          <w:szCs w:val="24"/>
        </w:rPr>
        <w:t>二、合同工期</w:t>
      </w:r>
      <w:bookmarkEnd w:id="543"/>
    </w:p>
    <w:p>
      <w:pPr>
        <w:spacing w:line="360" w:lineRule="auto"/>
        <w:ind w:firstLine="459"/>
        <w:rPr>
          <w:rFonts w:ascii="仿宋" w:hAnsi="仿宋" w:eastAsia="仿宋" w:cs="仿宋"/>
          <w:color w:val="000000"/>
          <w:sz w:val="24"/>
        </w:rPr>
      </w:pPr>
      <w:r>
        <w:rPr>
          <w:rFonts w:hint="eastAsia" w:ascii="仿宋" w:hAnsi="仿宋" w:eastAsia="仿宋" w:cs="仿宋"/>
          <w:color w:val="000000"/>
          <w:sz w:val="24"/>
        </w:rPr>
        <w:t>计划开工日期：</w:t>
      </w:r>
      <w:r>
        <w:rPr>
          <w:rFonts w:hint="eastAsia" w:ascii="仿宋" w:hAnsi="仿宋" w:eastAsia="仿宋" w:cs="仿宋"/>
          <w:color w:val="000000"/>
          <w:sz w:val="24"/>
          <w:u w:val="single"/>
        </w:rPr>
        <w:t></w:t>
      </w:r>
      <w:r>
        <w:rPr>
          <w:rFonts w:hint="eastAsia" w:ascii="仿宋" w:hAnsi="仿宋" w:eastAsia="仿宋" w:cs="仿宋"/>
          <w:color w:val="000000"/>
          <w:sz w:val="24"/>
        </w:rPr>
        <w:t>年</w:t>
      </w:r>
      <w:r>
        <w:rPr>
          <w:rFonts w:hint="eastAsia" w:ascii="仿宋" w:hAnsi="仿宋" w:eastAsia="仿宋" w:cs="仿宋"/>
          <w:color w:val="000000"/>
          <w:sz w:val="24"/>
          <w:u w:val="single"/>
        </w:rPr>
        <w:t></w:t>
      </w:r>
      <w:r>
        <w:rPr>
          <w:rFonts w:hint="eastAsia" w:ascii="仿宋" w:hAnsi="仿宋" w:eastAsia="仿宋" w:cs="仿宋"/>
          <w:color w:val="000000"/>
          <w:sz w:val="24"/>
        </w:rPr>
        <w:t>月</w:t>
      </w:r>
      <w:r>
        <w:rPr>
          <w:rFonts w:hint="eastAsia" w:ascii="仿宋" w:hAnsi="仿宋" w:eastAsia="仿宋" w:cs="仿宋"/>
          <w:color w:val="000000"/>
          <w:sz w:val="24"/>
          <w:u w:val="single"/>
        </w:rPr>
        <w:t></w:t>
      </w:r>
      <w:r>
        <w:rPr>
          <w:rFonts w:hint="eastAsia" w:ascii="仿宋" w:hAnsi="仿宋" w:eastAsia="仿宋" w:cs="仿宋"/>
          <w:color w:val="000000"/>
          <w:sz w:val="24"/>
        </w:rPr>
        <w:t>日。</w:t>
      </w:r>
    </w:p>
    <w:p>
      <w:pPr>
        <w:spacing w:line="360" w:lineRule="auto"/>
        <w:ind w:firstLine="459"/>
        <w:rPr>
          <w:rFonts w:ascii="仿宋" w:hAnsi="仿宋" w:eastAsia="仿宋" w:cs="仿宋"/>
          <w:color w:val="000000"/>
          <w:sz w:val="24"/>
        </w:rPr>
      </w:pPr>
      <w:r>
        <w:rPr>
          <w:rFonts w:hint="eastAsia" w:ascii="仿宋" w:hAnsi="仿宋" w:eastAsia="仿宋" w:cs="仿宋"/>
          <w:color w:val="000000"/>
          <w:sz w:val="24"/>
        </w:rPr>
        <w:t>计划竣工日期：</w:t>
      </w:r>
      <w:r>
        <w:rPr>
          <w:rFonts w:hint="eastAsia" w:ascii="仿宋" w:hAnsi="仿宋" w:eastAsia="仿宋" w:cs="仿宋"/>
          <w:color w:val="000000"/>
          <w:sz w:val="24"/>
          <w:u w:val="single"/>
        </w:rPr>
        <w:t></w:t>
      </w:r>
      <w:r>
        <w:rPr>
          <w:rFonts w:hint="eastAsia" w:ascii="仿宋" w:hAnsi="仿宋" w:eastAsia="仿宋" w:cs="仿宋"/>
          <w:color w:val="000000"/>
          <w:sz w:val="24"/>
        </w:rPr>
        <w:t>年</w:t>
      </w:r>
      <w:r>
        <w:rPr>
          <w:rFonts w:hint="eastAsia" w:ascii="仿宋" w:hAnsi="仿宋" w:eastAsia="仿宋" w:cs="仿宋"/>
          <w:color w:val="000000"/>
          <w:sz w:val="24"/>
          <w:u w:val="single"/>
        </w:rPr>
        <w:t></w:t>
      </w:r>
      <w:r>
        <w:rPr>
          <w:rFonts w:hint="eastAsia" w:ascii="仿宋" w:hAnsi="仿宋" w:eastAsia="仿宋" w:cs="仿宋"/>
          <w:color w:val="000000"/>
          <w:sz w:val="24"/>
        </w:rPr>
        <w:t>月</w:t>
      </w:r>
      <w:r>
        <w:rPr>
          <w:rFonts w:hint="eastAsia" w:ascii="仿宋" w:hAnsi="仿宋" w:eastAsia="仿宋" w:cs="仿宋"/>
          <w:color w:val="000000"/>
          <w:sz w:val="24"/>
          <w:u w:val="single"/>
        </w:rPr>
        <w:t></w:t>
      </w:r>
      <w:r>
        <w:rPr>
          <w:rFonts w:hint="eastAsia" w:ascii="仿宋" w:hAnsi="仿宋" w:eastAsia="仿宋" w:cs="仿宋"/>
          <w:color w:val="000000"/>
          <w:sz w:val="24"/>
        </w:rPr>
        <w:t>日。</w:t>
      </w:r>
    </w:p>
    <w:p>
      <w:pPr>
        <w:spacing w:line="360" w:lineRule="auto"/>
        <w:ind w:firstLine="459"/>
        <w:rPr>
          <w:rFonts w:ascii="仿宋" w:hAnsi="仿宋" w:eastAsia="仿宋" w:cs="仿宋"/>
          <w:color w:val="000000"/>
          <w:sz w:val="24"/>
        </w:rPr>
      </w:pPr>
      <w:r>
        <w:rPr>
          <w:rFonts w:hint="eastAsia" w:ascii="仿宋" w:hAnsi="仿宋" w:eastAsia="仿宋" w:cs="仿宋"/>
          <w:color w:val="000000"/>
          <w:sz w:val="24"/>
        </w:rPr>
        <w:t>工期总日历天数：</w:t>
      </w:r>
      <w:r>
        <w:rPr>
          <w:rFonts w:hint="eastAsia" w:ascii="仿宋" w:hAnsi="仿宋" w:eastAsia="仿宋" w:cs="仿宋"/>
          <w:color w:val="000000"/>
          <w:sz w:val="24"/>
          <w:u w:val="single"/>
        </w:rPr>
        <w:t></w:t>
      </w:r>
      <w:r>
        <w:rPr>
          <w:rFonts w:hint="eastAsia" w:ascii="仿宋" w:hAnsi="仿宋" w:eastAsia="仿宋" w:cs="仿宋"/>
          <w:color w:val="000000"/>
          <w:sz w:val="24"/>
        </w:rPr>
        <w:t>天。工期总日历天数与根据前述计划开竣工日期计算的工期天数不一致的，以工期总日历天数为准。</w:t>
      </w:r>
    </w:p>
    <w:p>
      <w:pPr>
        <w:pStyle w:val="5"/>
        <w:outlineLvl w:val="3"/>
        <w:rPr>
          <w:sz w:val="24"/>
          <w:szCs w:val="24"/>
        </w:rPr>
      </w:pPr>
      <w:bookmarkStart w:id="544" w:name="_Toc351203483"/>
      <w:r>
        <w:rPr>
          <w:rFonts w:hint="eastAsia"/>
          <w:sz w:val="24"/>
          <w:szCs w:val="24"/>
        </w:rPr>
        <w:t>三、质量标准</w:t>
      </w:r>
      <w:bookmarkEnd w:id="544"/>
    </w:p>
    <w:p>
      <w:pPr>
        <w:spacing w:line="360" w:lineRule="auto"/>
        <w:ind w:firstLine="459"/>
        <w:rPr>
          <w:rFonts w:ascii="仿宋" w:hAnsi="仿宋" w:eastAsia="仿宋" w:cs="仿宋"/>
          <w:color w:val="000000"/>
          <w:sz w:val="24"/>
        </w:rPr>
      </w:pPr>
      <w:r>
        <w:rPr>
          <w:rFonts w:hint="eastAsia" w:ascii="仿宋" w:hAnsi="仿宋" w:eastAsia="仿宋" w:cs="仿宋"/>
          <w:color w:val="000000"/>
          <w:sz w:val="24"/>
        </w:rPr>
        <w:t>工程质量符合</w:t>
      </w:r>
      <w:r>
        <w:rPr>
          <w:rFonts w:hint="eastAsia" w:ascii="仿宋" w:hAnsi="仿宋" w:eastAsia="仿宋" w:cs="仿宋"/>
          <w:color w:val="000000"/>
          <w:sz w:val="24"/>
          <w:u w:val="single"/>
        </w:rPr>
        <w:t></w:t>
      </w:r>
      <w:r>
        <w:rPr>
          <w:rFonts w:hint="eastAsia" w:ascii="仿宋" w:hAnsi="仿宋" w:eastAsia="仿宋" w:cs="仿宋"/>
          <w:color w:val="000000"/>
          <w:sz w:val="24"/>
        </w:rPr>
        <w:t>标准。</w:t>
      </w:r>
    </w:p>
    <w:p>
      <w:pPr>
        <w:pStyle w:val="5"/>
        <w:outlineLvl w:val="3"/>
        <w:rPr>
          <w:rFonts w:hint="eastAsia" w:ascii="Cambria" w:hAnsi="Cambria" w:eastAsia="宋体" w:cs="Times New Roman"/>
          <w:bCs/>
          <w:sz w:val="24"/>
          <w:szCs w:val="24"/>
        </w:rPr>
      </w:pPr>
      <w:bookmarkStart w:id="545" w:name="_Toc351203484"/>
      <w:r>
        <w:rPr>
          <w:rFonts w:hint="eastAsia" w:ascii="Cambria" w:hAnsi="Cambria" w:eastAsia="宋体" w:cs="Times New Roman"/>
          <w:b/>
          <w:bCs/>
          <w:sz w:val="24"/>
          <w:szCs w:val="24"/>
        </w:rPr>
        <w:t>四、签约合同价与合同价格形式</w:t>
      </w:r>
      <w:bookmarkEnd w:id="545"/>
      <w:r>
        <w:rPr>
          <w:rFonts w:hint="eastAsia" w:ascii="Cambria" w:hAnsi="Cambria" w:eastAsia="宋体" w:cs="Times New Roman"/>
          <w:sz w:val="24"/>
          <w:szCs w:val="24"/>
        </w:rPr>
        <w:tab/>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1.签约合同价为：</w:t>
      </w:r>
    </w:p>
    <w:p>
      <w:pPr>
        <w:spacing w:line="360" w:lineRule="auto"/>
        <w:ind w:firstLine="600" w:firstLineChars="250"/>
        <w:rPr>
          <w:rFonts w:ascii="仿宋" w:hAnsi="仿宋" w:eastAsia="仿宋" w:cs="仿宋"/>
          <w:color w:val="000000"/>
          <w:sz w:val="24"/>
        </w:rPr>
      </w:pPr>
      <w:r>
        <w:rPr>
          <w:rFonts w:hint="eastAsia" w:ascii="仿宋" w:hAnsi="仿宋" w:eastAsia="仿宋" w:cs="仿宋"/>
          <w:color w:val="000000"/>
          <w:sz w:val="24"/>
        </w:rPr>
        <w:t>人民币（大写）</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其中：</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（1）安全文明施工费：</w:t>
      </w:r>
    </w:p>
    <w:p>
      <w:pPr>
        <w:spacing w:line="360" w:lineRule="auto"/>
        <w:ind w:firstLine="1080" w:firstLineChars="450"/>
        <w:rPr>
          <w:rFonts w:ascii="仿宋" w:hAnsi="仿宋" w:eastAsia="仿宋" w:cs="仿宋"/>
          <w:color w:val="000000"/>
          <w:sz w:val="24"/>
        </w:rPr>
      </w:pPr>
      <w:r>
        <w:rPr>
          <w:rFonts w:hint="eastAsia" w:ascii="仿宋" w:hAnsi="仿宋" w:eastAsia="仿宋" w:cs="仿宋"/>
          <w:color w:val="000000"/>
          <w:sz w:val="24"/>
        </w:rPr>
        <w:t>人民币（大写）</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（2）材料和工程设备暂估价金额：</w:t>
      </w:r>
    </w:p>
    <w:p>
      <w:pPr>
        <w:spacing w:line="360" w:lineRule="auto"/>
        <w:ind w:firstLine="1080" w:firstLineChars="450"/>
        <w:rPr>
          <w:rFonts w:ascii="仿宋" w:hAnsi="仿宋" w:eastAsia="仿宋" w:cs="仿宋"/>
          <w:color w:val="000000"/>
          <w:sz w:val="24"/>
        </w:rPr>
      </w:pPr>
      <w:r>
        <w:rPr>
          <w:rFonts w:hint="eastAsia" w:ascii="仿宋" w:hAnsi="仿宋" w:eastAsia="仿宋" w:cs="仿宋"/>
          <w:color w:val="000000"/>
          <w:sz w:val="24"/>
        </w:rPr>
        <w:t>人民币（大写）</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（3）专业工程暂估价金额：</w:t>
      </w:r>
    </w:p>
    <w:p>
      <w:pPr>
        <w:spacing w:line="360" w:lineRule="auto"/>
        <w:ind w:firstLine="1080" w:firstLineChars="450"/>
        <w:rPr>
          <w:rFonts w:ascii="仿宋" w:hAnsi="仿宋" w:eastAsia="仿宋" w:cs="仿宋"/>
          <w:color w:val="000000"/>
          <w:sz w:val="24"/>
        </w:rPr>
      </w:pPr>
      <w:r>
        <w:rPr>
          <w:rFonts w:hint="eastAsia" w:ascii="仿宋" w:hAnsi="仿宋" w:eastAsia="仿宋" w:cs="仿宋"/>
          <w:color w:val="000000"/>
          <w:sz w:val="24"/>
        </w:rPr>
        <w:t>人民币（大写）</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（4）暂列金额：</w:t>
      </w:r>
    </w:p>
    <w:p>
      <w:pPr>
        <w:spacing w:line="360" w:lineRule="auto"/>
        <w:ind w:firstLine="1080" w:firstLineChars="450"/>
        <w:rPr>
          <w:rFonts w:ascii="仿宋" w:hAnsi="仿宋" w:eastAsia="仿宋" w:cs="仿宋"/>
          <w:color w:val="000000"/>
          <w:sz w:val="24"/>
        </w:rPr>
      </w:pPr>
      <w:r>
        <w:rPr>
          <w:rFonts w:hint="eastAsia" w:ascii="仿宋" w:hAnsi="仿宋" w:eastAsia="仿宋" w:cs="仿宋"/>
          <w:color w:val="000000"/>
          <w:sz w:val="24"/>
        </w:rPr>
        <w:t>人民币（大写）</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2.合同价格形式：</w:t>
      </w:r>
      <w:r>
        <w:rPr>
          <w:rFonts w:hint="eastAsia" w:ascii="仿宋" w:hAnsi="仿宋" w:eastAsia="仿宋" w:cs="仿宋"/>
          <w:color w:val="000000"/>
          <w:sz w:val="24"/>
          <w:u w:val="single"/>
        </w:rPr>
        <w:t>                      </w:t>
      </w:r>
      <w:r>
        <w:rPr>
          <w:rFonts w:hint="eastAsia" w:ascii="仿宋" w:hAnsi="仿宋" w:eastAsia="仿宋" w:cs="仿宋"/>
          <w:color w:val="000000"/>
          <w:sz w:val="24"/>
        </w:rPr>
        <w:t>。</w:t>
      </w:r>
    </w:p>
    <w:p>
      <w:pPr>
        <w:pStyle w:val="5"/>
        <w:outlineLvl w:val="3"/>
        <w:rPr>
          <w:rFonts w:hint="eastAsia"/>
          <w:sz w:val="24"/>
          <w:szCs w:val="24"/>
        </w:rPr>
      </w:pPr>
      <w:bookmarkStart w:id="546" w:name="_Toc351203485"/>
      <w:r>
        <w:rPr>
          <w:rFonts w:hint="eastAsia"/>
          <w:sz w:val="24"/>
          <w:szCs w:val="24"/>
        </w:rPr>
        <w:t>五、</w:t>
      </w:r>
      <w:bookmarkEnd w:id="546"/>
      <w:r>
        <w:rPr>
          <w:rFonts w:hint="eastAsia"/>
          <w:sz w:val="24"/>
          <w:szCs w:val="24"/>
        </w:rPr>
        <w:t>项目经理</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承包人项目经理：</w:t>
      </w:r>
      <w:r>
        <w:rPr>
          <w:rFonts w:hint="eastAsia" w:ascii="仿宋" w:hAnsi="仿宋" w:eastAsia="仿宋" w:cs="仿宋"/>
          <w:color w:val="000000"/>
          <w:sz w:val="24"/>
          <w:u w:val="single"/>
        </w:rPr>
        <w:t>                     </w:t>
      </w:r>
      <w:r>
        <w:rPr>
          <w:rFonts w:hint="eastAsia" w:ascii="仿宋" w:hAnsi="仿宋" w:eastAsia="仿宋" w:cs="仿宋"/>
          <w:color w:val="000000"/>
          <w:sz w:val="24"/>
        </w:rPr>
        <w:t>。</w:t>
      </w:r>
    </w:p>
    <w:p>
      <w:pPr>
        <w:pStyle w:val="5"/>
        <w:outlineLvl w:val="3"/>
        <w:rPr>
          <w:sz w:val="24"/>
          <w:szCs w:val="24"/>
        </w:rPr>
      </w:pPr>
      <w:bookmarkStart w:id="547" w:name="_Toc351203486"/>
      <w:r>
        <w:rPr>
          <w:rFonts w:hint="eastAsia"/>
          <w:sz w:val="24"/>
          <w:szCs w:val="24"/>
        </w:rPr>
        <w:t>六、合同文件构成</w:t>
      </w:r>
      <w:bookmarkEnd w:id="547"/>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本协议书与下列文件一起构成合同文件：</w:t>
      </w:r>
    </w:p>
    <w:p>
      <w:pPr>
        <w:autoSpaceDE w:val="0"/>
        <w:autoSpaceDN w:val="0"/>
        <w:adjustRightIn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（1）中标通知书（如果有）；</w:t>
      </w:r>
    </w:p>
    <w:p>
      <w:pPr>
        <w:autoSpaceDE w:val="0"/>
        <w:autoSpaceDN w:val="0"/>
        <w:adjustRightIn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 xml:space="preserve">（2）投标函及其附录（如果有）； </w:t>
      </w:r>
    </w:p>
    <w:p>
      <w:pPr>
        <w:autoSpaceDE w:val="0"/>
        <w:autoSpaceDN w:val="0"/>
        <w:adjustRightIn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（3）专用合同条款及其附件；</w:t>
      </w:r>
    </w:p>
    <w:p>
      <w:pPr>
        <w:autoSpaceDE w:val="0"/>
        <w:autoSpaceDN w:val="0"/>
        <w:adjustRightIn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（4）通用合同条款；</w:t>
      </w:r>
    </w:p>
    <w:p>
      <w:pPr>
        <w:autoSpaceDE w:val="0"/>
        <w:autoSpaceDN w:val="0"/>
        <w:adjustRightIn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（5）技术标准和要求；</w:t>
      </w:r>
    </w:p>
    <w:p>
      <w:pPr>
        <w:autoSpaceDE w:val="0"/>
        <w:autoSpaceDN w:val="0"/>
        <w:adjustRightIn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（6）图纸；</w:t>
      </w:r>
    </w:p>
    <w:p>
      <w:pPr>
        <w:autoSpaceDE w:val="0"/>
        <w:autoSpaceDN w:val="0"/>
        <w:adjustRightIn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（7）已标价工程量清单或预算书；</w:t>
      </w:r>
    </w:p>
    <w:p>
      <w:pPr>
        <w:autoSpaceDE w:val="0"/>
        <w:autoSpaceDN w:val="0"/>
        <w:adjustRightIn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（8）其他合同文件。</w:t>
      </w:r>
    </w:p>
    <w:p>
      <w:pPr>
        <w:autoSpaceDE w:val="0"/>
        <w:autoSpaceDN w:val="0"/>
        <w:adjustRightIn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上述各项合同文件包括合同当事人就该项合同文件所作出的补充和修改，属于同一类内容的文件，应以最新签署的为准。专用合同条款及其附件须经合同当事人签字或盖章。</w:t>
      </w:r>
    </w:p>
    <w:p>
      <w:pPr>
        <w:pStyle w:val="5"/>
        <w:outlineLvl w:val="3"/>
        <w:rPr>
          <w:sz w:val="24"/>
          <w:szCs w:val="24"/>
        </w:rPr>
      </w:pPr>
      <w:bookmarkStart w:id="548" w:name="_Toc351203487"/>
      <w:r>
        <w:rPr>
          <w:rFonts w:hint="eastAsia"/>
          <w:sz w:val="24"/>
          <w:szCs w:val="24"/>
        </w:rPr>
        <w:t>七、承诺</w:t>
      </w:r>
      <w:bookmarkEnd w:id="548"/>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1.发包人承诺按照法律规定履行项目审批手续、筹集工程建设资金并按照合同约定的期限和方式支付合同价款。</w:t>
      </w:r>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3.发包人和承包人通过招投标形式签订合同的，双方理解并承诺不再就同一工程另行签订与合同实质性内容相背离的协议。</w:t>
      </w:r>
    </w:p>
    <w:p>
      <w:pPr>
        <w:pStyle w:val="5"/>
        <w:outlineLvl w:val="3"/>
        <w:rPr>
          <w:sz w:val="24"/>
          <w:szCs w:val="24"/>
        </w:rPr>
      </w:pPr>
      <w:bookmarkStart w:id="549" w:name="_Toc351203488"/>
      <w:r>
        <w:rPr>
          <w:rFonts w:hint="eastAsia"/>
          <w:sz w:val="24"/>
          <w:szCs w:val="24"/>
        </w:rPr>
        <w:t>八、词语含义</w:t>
      </w:r>
      <w:bookmarkEnd w:id="549"/>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本协议书中词语含义与第二部分通用合同条款中赋予的含义相同。</w:t>
      </w:r>
    </w:p>
    <w:p>
      <w:pPr>
        <w:pStyle w:val="5"/>
        <w:outlineLvl w:val="3"/>
        <w:rPr>
          <w:sz w:val="24"/>
          <w:szCs w:val="24"/>
        </w:rPr>
      </w:pPr>
      <w:bookmarkStart w:id="550" w:name="_Toc351203489"/>
      <w:r>
        <w:rPr>
          <w:rFonts w:hint="eastAsia"/>
          <w:sz w:val="24"/>
          <w:szCs w:val="24"/>
        </w:rPr>
        <w:t>九、签订时间</w:t>
      </w:r>
      <w:bookmarkEnd w:id="550"/>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本合同于</w:t>
      </w:r>
      <w:r>
        <w:rPr>
          <w:rFonts w:hint="eastAsia" w:ascii="仿宋" w:hAnsi="仿宋" w:eastAsia="仿宋" w:cs="仿宋"/>
          <w:bCs/>
          <w:color w:val="000000"/>
          <w:sz w:val="24"/>
          <w:u w:val="single"/>
        </w:rPr>
        <w:t xml:space="preserve">    </w:t>
      </w:r>
      <w:r>
        <w:rPr>
          <w:rFonts w:hint="eastAsia" w:ascii="仿宋" w:hAnsi="仿宋" w:eastAsia="仿宋" w:cs="仿宋"/>
          <w:bCs/>
          <w:color w:val="000000"/>
          <w:sz w:val="24"/>
        </w:rPr>
        <w:t>年</w:t>
      </w:r>
      <w:r>
        <w:rPr>
          <w:rFonts w:hint="eastAsia" w:ascii="仿宋" w:hAnsi="仿宋" w:eastAsia="仿宋" w:cs="仿宋"/>
          <w:bCs/>
          <w:color w:val="000000"/>
          <w:sz w:val="24"/>
          <w:u w:val="single"/>
        </w:rPr>
        <w:t xml:space="preserve">    </w:t>
      </w:r>
      <w:r>
        <w:rPr>
          <w:rFonts w:hint="eastAsia" w:ascii="仿宋" w:hAnsi="仿宋" w:eastAsia="仿宋" w:cs="仿宋"/>
          <w:bCs/>
          <w:color w:val="000000"/>
          <w:sz w:val="24"/>
        </w:rPr>
        <w:t>月</w:t>
      </w:r>
      <w:r>
        <w:rPr>
          <w:rFonts w:hint="eastAsia" w:ascii="仿宋" w:hAnsi="仿宋" w:eastAsia="仿宋" w:cs="仿宋"/>
          <w:bCs/>
          <w:color w:val="000000"/>
          <w:sz w:val="24"/>
          <w:u w:val="single"/>
        </w:rPr>
        <w:t xml:space="preserve">    </w:t>
      </w:r>
      <w:r>
        <w:rPr>
          <w:rFonts w:hint="eastAsia" w:ascii="仿宋" w:hAnsi="仿宋" w:eastAsia="仿宋" w:cs="仿宋"/>
          <w:bCs/>
          <w:color w:val="000000"/>
          <w:sz w:val="24"/>
        </w:rPr>
        <w:t>日签订。</w:t>
      </w:r>
    </w:p>
    <w:p>
      <w:pPr>
        <w:pStyle w:val="5"/>
        <w:outlineLvl w:val="3"/>
        <w:rPr>
          <w:sz w:val="24"/>
          <w:szCs w:val="24"/>
        </w:rPr>
      </w:pPr>
      <w:bookmarkStart w:id="551" w:name="_Toc351203490"/>
      <w:r>
        <w:rPr>
          <w:rFonts w:hint="eastAsia"/>
          <w:sz w:val="24"/>
          <w:szCs w:val="24"/>
        </w:rPr>
        <w:t>十、签订地点</w:t>
      </w:r>
      <w:bookmarkEnd w:id="551"/>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本合同在</w:t>
      </w:r>
      <w:r>
        <w:rPr>
          <w:rFonts w:hint="eastAsia" w:ascii="仿宋" w:hAnsi="仿宋" w:eastAsia="仿宋" w:cs="仿宋"/>
          <w:bCs/>
          <w:color w:val="000000"/>
          <w:sz w:val="24"/>
          <w:u w:val="single"/>
        </w:rPr>
        <w:t xml:space="preserve">                                    </w:t>
      </w:r>
      <w:r>
        <w:rPr>
          <w:rFonts w:hint="eastAsia" w:ascii="仿宋" w:hAnsi="仿宋" w:eastAsia="仿宋" w:cs="仿宋"/>
          <w:bCs/>
          <w:color w:val="000000"/>
          <w:sz w:val="24"/>
        </w:rPr>
        <w:t>签订。</w:t>
      </w:r>
    </w:p>
    <w:p>
      <w:pPr>
        <w:pStyle w:val="5"/>
        <w:outlineLvl w:val="3"/>
        <w:rPr>
          <w:sz w:val="24"/>
          <w:szCs w:val="24"/>
        </w:rPr>
      </w:pPr>
      <w:bookmarkStart w:id="552" w:name="_Toc351203491"/>
      <w:r>
        <w:rPr>
          <w:rFonts w:hint="eastAsia"/>
          <w:sz w:val="24"/>
          <w:szCs w:val="24"/>
        </w:rPr>
        <w:t>十一、补充协议</w:t>
      </w:r>
      <w:bookmarkEnd w:id="552"/>
    </w:p>
    <w:p>
      <w:pPr>
        <w:spacing w:line="360" w:lineRule="auto"/>
        <w:ind w:firstLine="480" w:firstLineChars="200"/>
        <w:rPr>
          <w:rFonts w:ascii="仿宋" w:hAnsi="仿宋" w:eastAsia="仿宋" w:cs="仿宋"/>
          <w:b/>
          <w:bCs/>
          <w:color w:val="000000"/>
          <w:sz w:val="24"/>
        </w:rPr>
      </w:pPr>
      <w:r>
        <w:rPr>
          <w:rFonts w:hint="eastAsia" w:ascii="仿宋" w:hAnsi="仿宋" w:eastAsia="仿宋" w:cs="仿宋"/>
          <w:bCs/>
          <w:color w:val="000000"/>
          <w:sz w:val="24"/>
        </w:rPr>
        <w:t>合同未尽事宜，合同当事人另行签订补充协议，补充协议是合同的组成部分。</w:t>
      </w:r>
    </w:p>
    <w:p>
      <w:pPr>
        <w:pStyle w:val="5"/>
        <w:outlineLvl w:val="3"/>
        <w:rPr>
          <w:sz w:val="24"/>
          <w:szCs w:val="24"/>
        </w:rPr>
      </w:pPr>
      <w:bookmarkStart w:id="553" w:name="_Toc351203492"/>
      <w:r>
        <w:rPr>
          <w:rFonts w:hint="eastAsia"/>
          <w:sz w:val="24"/>
          <w:szCs w:val="24"/>
        </w:rPr>
        <w:t>十二、合同生效</w:t>
      </w:r>
      <w:bookmarkEnd w:id="553"/>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本合同自</w:t>
      </w:r>
      <w:r>
        <w:rPr>
          <w:rFonts w:hint="eastAsia" w:ascii="仿宋" w:hAnsi="仿宋" w:eastAsia="仿宋" w:cs="仿宋"/>
          <w:bCs/>
          <w:color w:val="000000"/>
          <w:sz w:val="24"/>
          <w:u w:val="single"/>
        </w:rPr>
        <w:t xml:space="preserve">                                   </w:t>
      </w:r>
      <w:r>
        <w:rPr>
          <w:rFonts w:hint="eastAsia" w:ascii="仿宋" w:hAnsi="仿宋" w:eastAsia="仿宋" w:cs="仿宋"/>
          <w:bCs/>
          <w:color w:val="000000"/>
          <w:sz w:val="24"/>
        </w:rPr>
        <w:t>生效。</w:t>
      </w:r>
    </w:p>
    <w:p>
      <w:pPr>
        <w:pStyle w:val="5"/>
        <w:outlineLvl w:val="3"/>
        <w:rPr>
          <w:sz w:val="24"/>
          <w:szCs w:val="24"/>
        </w:rPr>
      </w:pPr>
      <w:bookmarkStart w:id="554" w:name="_Toc351203493"/>
      <w:r>
        <w:rPr>
          <w:rFonts w:hint="eastAsia"/>
          <w:sz w:val="24"/>
          <w:szCs w:val="24"/>
        </w:rPr>
        <w:t>十三、合同份数</w:t>
      </w:r>
      <w:bookmarkEnd w:id="554"/>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本合同一式</w:t>
      </w:r>
      <w:r>
        <w:rPr>
          <w:rFonts w:hint="eastAsia" w:ascii="仿宋" w:hAnsi="仿宋" w:eastAsia="仿宋" w:cs="仿宋"/>
          <w:bCs/>
          <w:color w:val="000000"/>
          <w:sz w:val="24"/>
          <w:u w:val="single"/>
        </w:rPr>
        <w:t xml:space="preserve">    </w:t>
      </w:r>
      <w:r>
        <w:rPr>
          <w:rFonts w:hint="eastAsia" w:ascii="仿宋" w:hAnsi="仿宋" w:eastAsia="仿宋" w:cs="仿宋"/>
          <w:bCs/>
          <w:color w:val="000000"/>
          <w:sz w:val="24"/>
        </w:rPr>
        <w:t>份，均具有同等法律效力，发包人执</w:t>
      </w:r>
      <w:r>
        <w:rPr>
          <w:rFonts w:hint="eastAsia" w:ascii="仿宋" w:hAnsi="仿宋" w:eastAsia="仿宋" w:cs="仿宋"/>
          <w:bCs/>
          <w:color w:val="000000"/>
          <w:sz w:val="24"/>
          <w:u w:val="single"/>
        </w:rPr>
        <w:t xml:space="preserve">    </w:t>
      </w:r>
      <w:r>
        <w:rPr>
          <w:rFonts w:hint="eastAsia" w:ascii="仿宋" w:hAnsi="仿宋" w:eastAsia="仿宋" w:cs="仿宋"/>
          <w:bCs/>
          <w:color w:val="000000"/>
          <w:sz w:val="24"/>
        </w:rPr>
        <w:t>份，承包人执</w:t>
      </w:r>
      <w:r>
        <w:rPr>
          <w:rFonts w:hint="eastAsia" w:ascii="仿宋" w:hAnsi="仿宋" w:eastAsia="仿宋" w:cs="仿宋"/>
          <w:bCs/>
          <w:color w:val="000000"/>
          <w:sz w:val="24"/>
          <w:u w:val="single"/>
        </w:rPr>
        <w:t xml:space="preserve">    </w:t>
      </w:r>
      <w:r>
        <w:rPr>
          <w:rFonts w:hint="eastAsia" w:ascii="仿宋" w:hAnsi="仿宋" w:eastAsia="仿宋" w:cs="仿宋"/>
          <w:bCs/>
          <w:color w:val="000000"/>
          <w:sz w:val="24"/>
        </w:rPr>
        <w:t>份。</w:t>
      </w:r>
    </w:p>
    <w:p>
      <w:pPr>
        <w:spacing w:line="360" w:lineRule="auto"/>
        <w:rPr>
          <w:rFonts w:ascii="仿宋" w:hAnsi="仿宋" w:eastAsia="仿宋" w:cs="仿宋"/>
          <w:color w:val="000000"/>
          <w:sz w:val="24"/>
        </w:rPr>
      </w:pPr>
    </w:p>
    <w:p>
      <w:pPr>
        <w:spacing w:line="360" w:lineRule="auto"/>
        <w:rPr>
          <w:rFonts w:ascii="仿宋" w:hAnsi="仿宋" w:eastAsia="仿宋" w:cs="仿宋"/>
          <w:color w:val="000000"/>
          <w:sz w:val="24"/>
        </w:rPr>
      </w:pPr>
    </w:p>
    <w:p>
      <w:pPr>
        <w:spacing w:line="360" w:lineRule="auto"/>
        <w:rPr>
          <w:rFonts w:ascii="仿宋" w:hAnsi="仿宋" w:eastAsia="仿宋" w:cs="仿宋"/>
          <w:color w:val="000000"/>
          <w:sz w:val="24"/>
        </w:rPr>
      </w:pPr>
    </w:p>
    <w:p>
      <w:pPr>
        <w:spacing w:line="360" w:lineRule="auto"/>
        <w:rPr>
          <w:rFonts w:ascii="仿宋" w:hAnsi="仿宋" w:eastAsia="仿宋" w:cs="仿宋"/>
          <w:color w:val="000000"/>
          <w:sz w:val="24"/>
        </w:rPr>
      </w:pPr>
    </w:p>
    <w:p>
      <w:pPr>
        <w:spacing w:line="360" w:lineRule="auto"/>
        <w:rPr>
          <w:rFonts w:ascii="仿宋" w:hAnsi="仿宋" w:eastAsia="仿宋" w:cs="仿宋"/>
          <w:color w:val="000000"/>
          <w:sz w:val="24"/>
        </w:rPr>
      </w:pPr>
      <w:r>
        <w:rPr>
          <w:rFonts w:hint="eastAsia" w:ascii="仿宋" w:hAnsi="仿宋" w:eastAsia="仿宋" w:cs="仿宋"/>
          <w:color w:val="000000"/>
          <w:sz w:val="24"/>
        </w:rPr>
        <w:t>发包人：  (公章)                        承包人：  (公章)</w:t>
      </w:r>
    </w:p>
    <w:p>
      <w:pPr>
        <w:spacing w:line="360" w:lineRule="auto"/>
        <w:rPr>
          <w:rFonts w:ascii="仿宋" w:hAnsi="仿宋" w:eastAsia="仿宋" w:cs="仿宋"/>
          <w:color w:val="000000"/>
          <w:sz w:val="24"/>
          <w:u w:val="single"/>
        </w:rPr>
      </w:pPr>
      <w:r>
        <w:rPr>
          <w:rFonts w:hint="eastAsia" w:ascii="仿宋" w:hAnsi="仿宋" w:eastAsia="仿宋" w:cs="仿宋"/>
          <w:color w:val="000000"/>
          <w:sz w:val="24"/>
        </w:rPr>
        <w:t xml:space="preserve">                                 </w:t>
      </w:r>
    </w:p>
    <w:p>
      <w:pPr>
        <w:spacing w:line="360" w:lineRule="auto"/>
        <w:rPr>
          <w:rFonts w:ascii="仿宋" w:hAnsi="仿宋" w:eastAsia="仿宋" w:cs="仿宋"/>
          <w:color w:val="000000"/>
          <w:sz w:val="24"/>
        </w:rPr>
      </w:pPr>
      <w:r>
        <w:rPr>
          <w:rFonts w:hint="eastAsia" w:ascii="仿宋" w:hAnsi="仿宋" w:eastAsia="仿宋" w:cs="仿宋"/>
          <w:color w:val="000000"/>
          <w:sz w:val="24"/>
        </w:rPr>
        <w:t>法定代表人或其委托代理人：              法定代表人或其委托代理人：</w:t>
      </w:r>
    </w:p>
    <w:p>
      <w:pPr>
        <w:spacing w:line="360" w:lineRule="auto"/>
        <w:rPr>
          <w:rFonts w:ascii="仿宋" w:hAnsi="仿宋" w:eastAsia="仿宋" w:cs="仿宋"/>
          <w:color w:val="000000"/>
          <w:sz w:val="24"/>
        </w:rPr>
      </w:pPr>
      <w:r>
        <w:rPr>
          <w:rFonts w:hint="eastAsia" w:ascii="仿宋" w:hAnsi="仿宋" w:eastAsia="仿宋" w:cs="仿宋"/>
          <w:color w:val="000000"/>
          <w:sz w:val="24"/>
        </w:rPr>
        <w:t>（签字）                               （签字）</w:t>
      </w:r>
    </w:p>
    <w:p>
      <w:pPr>
        <w:spacing w:line="360" w:lineRule="auto"/>
        <w:rPr>
          <w:rFonts w:ascii="仿宋" w:hAnsi="仿宋" w:eastAsia="仿宋" w:cs="仿宋"/>
          <w:color w:val="000000"/>
          <w:sz w:val="24"/>
          <w:u w:val="single"/>
        </w:rPr>
      </w:pPr>
    </w:p>
    <w:p>
      <w:pPr>
        <w:tabs>
          <w:tab w:val="left" w:pos="4410"/>
        </w:tabs>
        <w:spacing w:line="360" w:lineRule="auto"/>
        <w:rPr>
          <w:rFonts w:ascii="仿宋" w:hAnsi="仿宋" w:eastAsia="仿宋" w:cs="仿宋"/>
          <w:color w:val="000000"/>
          <w:sz w:val="24"/>
        </w:rPr>
      </w:pPr>
      <w:r>
        <w:rPr>
          <w:rFonts w:hint="eastAsia" w:ascii="仿宋" w:hAnsi="仿宋" w:eastAsia="仿宋" w:cs="仿宋"/>
          <w:color w:val="000000"/>
          <w:sz w:val="24"/>
        </w:rPr>
        <w:t>组织机构代码：</w:t>
      </w:r>
      <w:r>
        <w:rPr>
          <w:rFonts w:hint="eastAsia" w:ascii="仿宋" w:hAnsi="仿宋" w:eastAsia="仿宋" w:cs="仿宋"/>
          <w:color w:val="000000"/>
          <w:sz w:val="24"/>
          <w:u w:val="single"/>
        </w:rPr>
        <w:t xml:space="preserve">       </w:t>
      </w:r>
      <w:r>
        <w:rPr>
          <w:rFonts w:hint="eastAsia" w:ascii="仿宋" w:hAnsi="仿宋" w:eastAsia="仿宋" w:cs="仿宋"/>
          <w:color w:val="000000"/>
          <w:sz w:val="24"/>
        </w:rPr>
        <w:t xml:space="preserve">             组织机构代码：</w:t>
      </w:r>
      <w:r>
        <w:rPr>
          <w:rFonts w:hint="eastAsia" w:ascii="仿宋" w:hAnsi="仿宋" w:eastAsia="仿宋" w:cs="仿宋"/>
          <w:color w:val="000000"/>
          <w:sz w:val="24"/>
          <w:u w:val="single"/>
        </w:rPr>
        <w:t xml:space="preserve">          </w:t>
      </w:r>
      <w:r>
        <w:rPr>
          <w:rFonts w:hint="eastAsia" w:ascii="仿宋" w:hAnsi="仿宋" w:eastAsia="仿宋" w:cs="仿宋"/>
          <w:color w:val="000000"/>
          <w:sz w:val="24"/>
        </w:rPr>
        <w:t xml:space="preserve"> </w:t>
      </w:r>
    </w:p>
    <w:p>
      <w:pPr>
        <w:spacing w:line="360" w:lineRule="auto"/>
        <w:rPr>
          <w:rFonts w:ascii="仿宋" w:hAnsi="仿宋" w:eastAsia="仿宋" w:cs="仿宋"/>
          <w:color w:val="000000"/>
          <w:sz w:val="24"/>
        </w:rPr>
      </w:pPr>
      <w:r>
        <w:rPr>
          <w:rFonts w:hint="eastAsia" w:ascii="仿宋" w:hAnsi="仿宋" w:eastAsia="仿宋" w:cs="仿宋"/>
          <w:color w:val="000000"/>
          <w:sz w:val="24"/>
        </w:rPr>
        <w:t>地  址：</w:t>
      </w:r>
      <w:r>
        <w:rPr>
          <w:rFonts w:hint="eastAsia" w:ascii="仿宋" w:hAnsi="仿宋" w:eastAsia="仿宋" w:cs="仿宋"/>
          <w:color w:val="000000"/>
          <w:sz w:val="24"/>
          <w:u w:val="single"/>
        </w:rPr>
        <w:t xml:space="preserve">     </w:t>
      </w:r>
      <w:r>
        <w:rPr>
          <w:rFonts w:hint="eastAsia" w:ascii="仿宋" w:hAnsi="仿宋" w:eastAsia="仿宋" w:cs="仿宋"/>
          <w:color w:val="000000"/>
          <w:sz w:val="24"/>
        </w:rPr>
        <w:t xml:space="preserve">             地  址：</w:t>
      </w:r>
      <w:r>
        <w:rPr>
          <w:rFonts w:hint="eastAsia" w:ascii="仿宋" w:hAnsi="仿宋" w:eastAsia="仿宋" w:cs="仿宋"/>
          <w:color w:val="000000"/>
          <w:sz w:val="24"/>
          <w:u w:val="single"/>
        </w:rPr>
        <w:t xml:space="preserve">        </w:t>
      </w:r>
    </w:p>
    <w:p>
      <w:pPr>
        <w:spacing w:line="360" w:lineRule="auto"/>
        <w:rPr>
          <w:rFonts w:ascii="仿宋" w:hAnsi="仿宋" w:eastAsia="仿宋" w:cs="仿宋"/>
          <w:color w:val="000000"/>
          <w:sz w:val="24"/>
        </w:rPr>
      </w:pPr>
      <w:r>
        <w:rPr>
          <w:rFonts w:hint="eastAsia" w:ascii="仿宋" w:hAnsi="仿宋" w:eastAsia="仿宋" w:cs="仿宋"/>
          <w:color w:val="000000"/>
          <w:sz w:val="24"/>
        </w:rPr>
        <w:t>邮政编码：</w:t>
      </w:r>
      <w:r>
        <w:rPr>
          <w:rFonts w:hint="eastAsia" w:ascii="仿宋" w:hAnsi="仿宋" w:eastAsia="仿宋" w:cs="仿宋"/>
          <w:color w:val="000000"/>
          <w:sz w:val="24"/>
          <w:u w:val="single"/>
        </w:rPr>
        <w:t xml:space="preserve">      </w:t>
      </w:r>
      <w:r>
        <w:rPr>
          <w:rFonts w:hint="eastAsia" w:ascii="仿宋" w:hAnsi="仿宋" w:eastAsia="仿宋" w:cs="仿宋"/>
          <w:color w:val="000000"/>
          <w:sz w:val="24"/>
        </w:rPr>
        <w:t xml:space="preserve">            邮政编码：</w:t>
      </w:r>
      <w:r>
        <w:rPr>
          <w:rFonts w:hint="eastAsia" w:ascii="仿宋" w:hAnsi="仿宋" w:eastAsia="仿宋" w:cs="仿宋"/>
          <w:color w:val="000000"/>
          <w:sz w:val="24"/>
          <w:u w:val="single"/>
        </w:rPr>
        <w:t xml:space="preserve">   </w:t>
      </w:r>
    </w:p>
    <w:p>
      <w:pPr>
        <w:spacing w:line="360" w:lineRule="auto"/>
        <w:rPr>
          <w:rFonts w:ascii="仿宋" w:hAnsi="仿宋" w:eastAsia="仿宋" w:cs="仿宋"/>
          <w:color w:val="000000"/>
          <w:sz w:val="24"/>
        </w:rPr>
      </w:pPr>
      <w:r>
        <w:rPr>
          <w:rFonts w:hint="eastAsia" w:ascii="仿宋" w:hAnsi="仿宋" w:eastAsia="仿宋" w:cs="仿宋"/>
          <w:color w:val="000000"/>
          <w:sz w:val="24"/>
        </w:rPr>
        <w:t>法定代表人：</w:t>
      </w:r>
      <w:r>
        <w:rPr>
          <w:rFonts w:hint="eastAsia" w:ascii="仿宋" w:hAnsi="仿宋" w:eastAsia="仿宋" w:cs="仿宋"/>
          <w:color w:val="000000"/>
          <w:sz w:val="24"/>
          <w:u w:val="single"/>
        </w:rPr>
        <w:t xml:space="preserve">           </w:t>
      </w:r>
      <w:r>
        <w:rPr>
          <w:rFonts w:hint="eastAsia" w:ascii="仿宋" w:hAnsi="仿宋" w:eastAsia="仿宋" w:cs="仿宋"/>
          <w:color w:val="000000"/>
          <w:sz w:val="24"/>
        </w:rPr>
        <w:t xml:space="preserve">             法定代表人：</w:t>
      </w:r>
      <w:r>
        <w:rPr>
          <w:rFonts w:hint="eastAsia" w:ascii="仿宋" w:hAnsi="仿宋" w:eastAsia="仿宋" w:cs="仿宋"/>
          <w:color w:val="000000"/>
          <w:sz w:val="24"/>
          <w:u w:val="single"/>
        </w:rPr>
        <w:t xml:space="preserve">             </w:t>
      </w:r>
    </w:p>
    <w:p>
      <w:pPr>
        <w:spacing w:line="360" w:lineRule="auto"/>
        <w:rPr>
          <w:rFonts w:ascii="仿宋" w:hAnsi="仿宋" w:eastAsia="仿宋" w:cs="仿宋"/>
          <w:color w:val="000000"/>
          <w:sz w:val="24"/>
        </w:rPr>
      </w:pPr>
      <w:r>
        <w:rPr>
          <w:rFonts w:hint="eastAsia" w:ascii="仿宋" w:hAnsi="仿宋" w:eastAsia="仿宋" w:cs="仿宋"/>
          <w:color w:val="000000"/>
          <w:sz w:val="24"/>
        </w:rPr>
        <w:t>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委托代理人：</w:t>
      </w:r>
      <w:r>
        <w:rPr>
          <w:rFonts w:hint="eastAsia" w:ascii="仿宋" w:hAnsi="仿宋" w:eastAsia="仿宋" w:cs="仿宋"/>
          <w:color w:val="000000"/>
          <w:sz w:val="24"/>
          <w:u w:val="single"/>
        </w:rPr>
        <w:t xml:space="preserve">             </w:t>
      </w:r>
    </w:p>
    <w:p>
      <w:pPr>
        <w:spacing w:line="360" w:lineRule="auto"/>
        <w:rPr>
          <w:rFonts w:ascii="仿宋" w:hAnsi="仿宋" w:eastAsia="仿宋" w:cs="仿宋"/>
          <w:color w:val="000000"/>
          <w:sz w:val="24"/>
        </w:rPr>
      </w:pPr>
      <w:r>
        <w:rPr>
          <w:rFonts w:hint="eastAsia" w:ascii="仿宋" w:hAnsi="仿宋" w:eastAsia="仿宋" w:cs="仿宋"/>
          <w:color w:val="000000"/>
          <w:sz w:val="24"/>
        </w:rPr>
        <w:t>电  话：</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电  话：</w:t>
      </w:r>
      <w:r>
        <w:rPr>
          <w:rFonts w:hint="eastAsia" w:ascii="仿宋" w:hAnsi="仿宋" w:eastAsia="仿宋" w:cs="仿宋"/>
          <w:color w:val="000000"/>
          <w:sz w:val="24"/>
          <w:u w:val="single"/>
        </w:rPr>
        <w:t xml:space="preserve">     </w:t>
      </w:r>
    </w:p>
    <w:p>
      <w:pPr>
        <w:spacing w:line="360" w:lineRule="auto"/>
        <w:rPr>
          <w:rFonts w:ascii="仿宋" w:hAnsi="仿宋" w:eastAsia="仿宋" w:cs="仿宋"/>
          <w:color w:val="000000"/>
          <w:sz w:val="24"/>
        </w:rPr>
      </w:pPr>
      <w:r>
        <w:rPr>
          <w:rFonts w:hint="eastAsia" w:ascii="仿宋" w:hAnsi="仿宋" w:eastAsia="仿宋" w:cs="仿宋"/>
          <w:color w:val="000000"/>
          <w:sz w:val="24"/>
        </w:rPr>
        <w:t>传  真：</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传  真：</w:t>
      </w:r>
      <w:r>
        <w:rPr>
          <w:rFonts w:hint="eastAsia" w:ascii="仿宋" w:hAnsi="仿宋" w:eastAsia="仿宋" w:cs="仿宋"/>
          <w:color w:val="000000"/>
          <w:sz w:val="24"/>
          <w:u w:val="single"/>
        </w:rPr>
        <w:t xml:space="preserve">     </w:t>
      </w:r>
    </w:p>
    <w:p>
      <w:pPr>
        <w:spacing w:line="360" w:lineRule="auto"/>
        <w:rPr>
          <w:rFonts w:ascii="仿宋" w:hAnsi="仿宋" w:eastAsia="仿宋" w:cs="仿宋"/>
          <w:color w:val="000000"/>
          <w:sz w:val="24"/>
        </w:rPr>
      </w:pPr>
      <w:r>
        <w:rPr>
          <w:rFonts w:hint="eastAsia" w:ascii="仿宋" w:hAnsi="仿宋" w:eastAsia="仿宋" w:cs="仿宋"/>
          <w:color w:val="000000"/>
          <w:sz w:val="24"/>
        </w:rPr>
        <w:t>电子信箱：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电子信箱：</w:t>
      </w:r>
      <w:r>
        <w:rPr>
          <w:rFonts w:hint="eastAsia" w:ascii="仿宋" w:hAnsi="仿宋" w:eastAsia="仿宋" w:cs="仿宋"/>
          <w:color w:val="000000"/>
          <w:sz w:val="24"/>
          <w:u w:val="single"/>
        </w:rPr>
        <w:t xml:space="preserve">   </w:t>
      </w:r>
    </w:p>
    <w:p>
      <w:pPr>
        <w:spacing w:line="360" w:lineRule="auto"/>
        <w:rPr>
          <w:rFonts w:ascii="仿宋" w:hAnsi="仿宋" w:eastAsia="仿宋" w:cs="仿宋"/>
          <w:color w:val="000000"/>
          <w:sz w:val="24"/>
        </w:rPr>
      </w:pPr>
      <w:r>
        <w:rPr>
          <w:rFonts w:hint="eastAsia" w:ascii="仿宋" w:hAnsi="仿宋" w:eastAsia="仿宋" w:cs="仿宋"/>
          <w:color w:val="000000"/>
          <w:sz w:val="24"/>
        </w:rPr>
        <w:t>开户银行：</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开户银行：</w:t>
      </w:r>
      <w:r>
        <w:rPr>
          <w:rFonts w:hint="eastAsia" w:ascii="仿宋" w:hAnsi="仿宋" w:eastAsia="仿宋" w:cs="仿宋"/>
          <w:color w:val="000000"/>
          <w:sz w:val="24"/>
          <w:u w:val="single"/>
        </w:rPr>
        <w:t xml:space="preserve">   </w:t>
      </w:r>
    </w:p>
    <w:p>
      <w:pPr>
        <w:spacing w:line="240" w:lineRule="auto"/>
        <w:jc w:val="left"/>
        <w:outlineLvl w:val="9"/>
        <w:rPr>
          <w:rFonts w:hint="eastAsia"/>
          <w:sz w:val="24"/>
        </w:rPr>
      </w:pPr>
      <w:r>
        <w:rPr>
          <w:rFonts w:hint="eastAsia" w:ascii="仿宋" w:hAnsi="仿宋" w:eastAsia="仿宋" w:cs="仿宋"/>
          <w:color w:val="000000"/>
          <w:sz w:val="24"/>
        </w:rPr>
        <w:t>账  号：</w:t>
      </w:r>
      <w:r>
        <w:rPr>
          <w:rFonts w:hint="eastAsia" w:ascii="仿宋" w:hAnsi="仿宋" w:eastAsia="仿宋" w:cs="仿宋"/>
          <w:color w:val="000000"/>
          <w:sz w:val="24"/>
          <w:u w:val="single"/>
        </w:rPr>
        <w:t xml:space="preserve">       </w:t>
      </w:r>
      <w:r>
        <w:rPr>
          <w:rFonts w:hint="eastAsia" w:ascii="仿宋" w:hAnsi="仿宋" w:eastAsia="仿宋" w:cs="仿宋"/>
          <w:color w:val="000000"/>
          <w:sz w:val="24"/>
        </w:rPr>
        <w:t xml:space="preserve">             账  号：</w:t>
      </w:r>
      <w:r>
        <w:rPr>
          <w:rFonts w:hint="eastAsia" w:ascii="仿宋" w:hAnsi="仿宋" w:eastAsia="仿宋" w:cs="仿宋"/>
          <w:color w:val="000000"/>
          <w:sz w:val="24"/>
          <w:u w:val="single"/>
        </w:rPr>
        <w:t xml:space="preserve">  </w:t>
      </w:r>
    </w:p>
    <w:p>
      <w:pPr>
        <w:spacing w:line="240" w:lineRule="auto"/>
        <w:jc w:val="left"/>
        <w:outlineLvl w:val="9"/>
        <w:rPr>
          <w:rFonts w:hint="eastAsia"/>
        </w:rPr>
      </w:pPr>
    </w:p>
    <w:p>
      <w:pPr>
        <w:spacing w:line="240" w:lineRule="auto"/>
        <w:jc w:val="left"/>
        <w:outlineLvl w:val="9"/>
        <w:rPr>
          <w:rFonts w:hint="eastAsia"/>
        </w:rPr>
      </w:pPr>
      <w:r>
        <w:rPr>
          <w:rFonts w:hint="eastAsia"/>
        </w:rPr>
        <w:br w:type="page"/>
      </w:r>
    </w:p>
    <w:p>
      <w:pPr>
        <w:spacing w:line="240" w:lineRule="auto"/>
        <w:jc w:val="left"/>
        <w:outlineLvl w:val="9"/>
        <w:rPr>
          <w:rFonts w:hint="eastAsia"/>
        </w:rPr>
      </w:pPr>
    </w:p>
    <w:p>
      <w:pPr>
        <w:spacing w:line="360" w:lineRule="auto"/>
        <w:jc w:val="center"/>
        <w:outlineLvl w:val="2"/>
        <w:rPr>
          <w:rFonts w:ascii="仿宋_GB2312" w:hAnsi="仿宋_GB2312" w:eastAsia="仿宋_GB2312" w:cs="宋体"/>
          <w:kern w:val="0"/>
        </w:rPr>
      </w:pPr>
      <w:bookmarkStart w:id="555" w:name="_Toc26796"/>
      <w:r>
        <w:rPr>
          <w:rFonts w:hint="eastAsia" w:ascii="仿宋_GB2312" w:hAnsi="仿宋_GB2312" w:eastAsia="仿宋_GB2312" w:cs="宋体"/>
          <w:kern w:val="0"/>
        </w:rPr>
        <w:t>履约保证金保函（格式）</w:t>
      </w:r>
      <w:bookmarkEnd w:id="541"/>
      <w:bookmarkEnd w:id="555"/>
    </w:p>
    <w:p>
      <w:pPr>
        <w:spacing w:line="360" w:lineRule="auto"/>
        <w:rPr>
          <w:rFonts w:ascii="仿宋_GB2312" w:hAnsi="仿宋_GB2312" w:eastAsia="仿宋_GB2312" w:cs="宋体"/>
          <w:b/>
          <w:kern w:val="0"/>
        </w:rPr>
      </w:pPr>
      <w:r>
        <w:rPr>
          <w:rFonts w:hint="eastAsia" w:ascii="仿宋_GB2312" w:hAnsi="仿宋_GB2312" w:eastAsia="仿宋_GB2312" w:cs="宋体"/>
          <w:kern w:val="0"/>
        </w:rPr>
        <w:t>编号：</w:t>
      </w:r>
    </w:p>
    <w:p>
      <w:pPr>
        <w:spacing w:beforeLines="50" w:line="360" w:lineRule="auto"/>
        <w:rPr>
          <w:rFonts w:ascii="仿宋_GB2312" w:hAnsi="仿宋_GB2312" w:eastAsia="仿宋_GB2312" w:cs="宋体"/>
          <w:kern w:val="0"/>
          <w:sz w:val="24"/>
          <w:szCs w:val="28"/>
        </w:rPr>
      </w:pPr>
      <w:r>
        <w:rPr>
          <w:rFonts w:hint="eastAsia" w:ascii="仿宋_GB2312" w:hAnsi="仿宋_GB2312" w:eastAsia="仿宋_GB2312" w:cs="宋体"/>
          <w:kern w:val="0"/>
          <w:sz w:val="24"/>
          <w:szCs w:val="28"/>
        </w:rPr>
        <w:t xml:space="preserve">（采购人）： </w:t>
      </w:r>
    </w:p>
    <w:p>
      <w:pPr>
        <w:spacing w:beforeLines="50"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鉴于你方与（以下简称供应商）于年月日签定编号为的《</w:t>
      </w:r>
      <w:r>
        <w:rPr>
          <w:rFonts w:hint="eastAsia" w:ascii="仿宋_GB2312" w:hAnsi="仿宋_GB2312" w:eastAsia="仿宋_GB2312" w:cs="宋体"/>
          <w:kern w:val="0"/>
          <w:sz w:val="24"/>
          <w:szCs w:val="28"/>
          <w:u w:val="single"/>
        </w:rPr>
        <w:t xml:space="preserve">      政府采购</w:t>
      </w:r>
      <w:r>
        <w:rPr>
          <w:rFonts w:hint="eastAsia" w:ascii="仿宋_GB2312" w:hAnsi="仿宋_GB2312" w:eastAsia="仿宋_GB2312" w:cs="宋体"/>
          <w:kern w:val="0"/>
          <w:sz w:val="24"/>
          <w:szCs w:val="28"/>
        </w:rPr>
        <w:t>合同》（以下简称主合同），且依据该合同的约定，供应商应在年月日前向你方交纳履约保证金，且可以履约保证金函的形式交纳履约保证金。应供应商的申请，我方以保证的方式向你方提供如下履约保证金担保：</w:t>
      </w:r>
    </w:p>
    <w:p>
      <w:pPr>
        <w:spacing w:line="360" w:lineRule="auto"/>
        <w:ind w:firstLine="482" w:firstLineChars="200"/>
        <w:rPr>
          <w:rFonts w:ascii="仿宋_GB2312" w:hAnsi="仿宋_GB2312" w:eastAsia="仿宋_GB2312" w:cs="宋体"/>
          <w:b/>
          <w:kern w:val="0"/>
          <w:sz w:val="24"/>
          <w:szCs w:val="28"/>
        </w:rPr>
      </w:pPr>
      <w:r>
        <w:rPr>
          <w:rFonts w:hint="eastAsia" w:ascii="仿宋_GB2312" w:hAnsi="仿宋_GB2312" w:eastAsia="仿宋_GB2312" w:cs="宋体"/>
          <w:b/>
          <w:kern w:val="0"/>
          <w:sz w:val="24"/>
          <w:szCs w:val="28"/>
        </w:rPr>
        <w:t>一、保证责任的情形及保证金额</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（一）在供应商出现下列情形之一时，我方承担保证责任：</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1．将成交项目转让给他人，或者在响应文件中未说明，且未经采购人同意，将成交项目分包给他人的；</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 xml:space="preserve">2．主合同约定的应当缴纳履约保证金的情形: </w:t>
      </w:r>
    </w:p>
    <w:p>
      <w:pPr>
        <w:spacing w:line="360" w:lineRule="auto"/>
        <w:ind w:firstLine="480" w:firstLineChars="200"/>
        <w:rPr>
          <w:rFonts w:ascii="仿宋_GB2312" w:hAnsi="仿宋_GB2312" w:eastAsia="仿宋_GB2312" w:cs="宋体"/>
          <w:b/>
          <w:kern w:val="0"/>
          <w:sz w:val="24"/>
          <w:szCs w:val="28"/>
        </w:rPr>
      </w:pPr>
      <w:r>
        <w:rPr>
          <w:rFonts w:hint="eastAsia" w:ascii="仿宋_GB2312" w:hAnsi="仿宋_GB2312" w:eastAsia="仿宋_GB2312" w:cs="宋体"/>
          <w:kern w:val="0"/>
          <w:sz w:val="24"/>
          <w:szCs w:val="28"/>
        </w:rPr>
        <w:t xml:space="preserve">（1）未按主合同约定的质量、数量和期限完成工程的； </w:t>
      </w:r>
    </w:p>
    <w:p>
      <w:pPr>
        <w:spacing w:line="360" w:lineRule="auto"/>
        <w:ind w:firstLine="480" w:firstLineChars="200"/>
        <w:rPr>
          <w:rFonts w:ascii="仿宋_GB2312" w:hAnsi="仿宋_GB2312" w:eastAsia="仿宋_GB2312" w:cs="宋体"/>
          <w:kern w:val="0"/>
          <w:sz w:val="24"/>
          <w:szCs w:val="28"/>
          <w:u w:val="single"/>
        </w:rPr>
      </w:pPr>
      <w:r>
        <w:rPr>
          <w:rFonts w:hint="eastAsia" w:ascii="仿宋_GB2312" w:hAnsi="仿宋_GB2312" w:eastAsia="仿宋_GB2312" w:cs="宋体"/>
          <w:kern w:val="0"/>
          <w:sz w:val="24"/>
          <w:szCs w:val="28"/>
        </w:rPr>
        <w:t>（2）。</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（二）我方的保证范围是主合同约定的合同价款总额的%数额为元（大写），币种为。（即主合同履约保证金金额）</w:t>
      </w:r>
    </w:p>
    <w:p>
      <w:pPr>
        <w:spacing w:line="360" w:lineRule="auto"/>
        <w:ind w:firstLine="482" w:firstLineChars="200"/>
        <w:rPr>
          <w:rFonts w:ascii="仿宋_GB2312" w:hAnsi="仿宋_GB2312" w:eastAsia="仿宋_GB2312" w:cs="宋体"/>
          <w:b/>
          <w:kern w:val="0"/>
          <w:sz w:val="24"/>
          <w:szCs w:val="28"/>
        </w:rPr>
      </w:pPr>
      <w:r>
        <w:rPr>
          <w:rFonts w:hint="eastAsia" w:ascii="仿宋_GB2312" w:hAnsi="仿宋_GB2312" w:eastAsia="仿宋_GB2312" w:cs="宋体"/>
          <w:b/>
          <w:kern w:val="0"/>
          <w:sz w:val="24"/>
          <w:szCs w:val="28"/>
        </w:rPr>
        <w:t xml:space="preserve">二、保证的方式及保证期间 </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 xml:space="preserve">我方保证的方式为：连带责任保证。 </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我方保证的期间为：自本合同生效之日起至供应商按照主合同约定的供货/完工期限届满后日内。</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 xml:space="preserve">如果供应商未按主合同约定向贵方完成工程的，由我方在保证金额内向你方支付上述款项。 </w:t>
      </w:r>
    </w:p>
    <w:p>
      <w:pPr>
        <w:spacing w:line="360" w:lineRule="auto"/>
        <w:ind w:firstLine="482" w:firstLineChars="200"/>
        <w:rPr>
          <w:rFonts w:ascii="仿宋_GB2312" w:hAnsi="仿宋_GB2312" w:eastAsia="仿宋_GB2312" w:cs="宋体"/>
          <w:b/>
          <w:kern w:val="0"/>
          <w:sz w:val="24"/>
          <w:szCs w:val="28"/>
        </w:rPr>
      </w:pPr>
      <w:r>
        <w:rPr>
          <w:rFonts w:hint="eastAsia" w:ascii="仿宋_GB2312" w:hAnsi="仿宋_GB2312" w:eastAsia="仿宋_GB2312" w:cs="宋体"/>
          <w:b/>
          <w:kern w:val="0"/>
          <w:sz w:val="24"/>
          <w:szCs w:val="28"/>
        </w:rPr>
        <w:t>三、承担保证责任的程序</w:t>
      </w:r>
    </w:p>
    <w:p>
      <w:pPr>
        <w:spacing w:line="360" w:lineRule="auto"/>
        <w:ind w:firstLine="480" w:firstLineChars="200"/>
        <w:rPr>
          <w:rFonts w:ascii="仿宋_GB2312" w:hAnsi="仿宋_GB2312" w:eastAsia="仿宋_GB2312" w:cs="宋体"/>
          <w:b/>
          <w:kern w:val="0"/>
          <w:sz w:val="24"/>
          <w:szCs w:val="28"/>
        </w:rPr>
      </w:pPr>
      <w:r>
        <w:rPr>
          <w:rFonts w:hint="eastAsia" w:ascii="仿宋_GB2312" w:hAnsi="仿宋_GB2312" w:eastAsia="仿宋_GB2312" w:cs="宋体"/>
          <w:kern w:val="0"/>
          <w:sz w:val="24"/>
          <w:szCs w:val="28"/>
        </w:rPr>
        <w:t xml:space="preserve">1．你方要求我方承担保证责任的，应在本保函保证期间内向我方发出书面索赔通知。索赔通知应写明要求索赔的金额，支付款项应到达的帐号。并附有证明供应商违约事实的证明材料。 </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如果你方与供应商因货物质量问题产生争议，你方还需同时提供部门出具的质量检测报告，或经诉讼（仲裁）程序裁决后的裁决书、调解书，本保证人即按照检测结果或裁决书、调解书决定是否承担保证责任。</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2．我方收到你方的书面索赔通知及相应证明材料，在工作日内进行核定后按照本保函的承诺承担保证责任。</w:t>
      </w:r>
    </w:p>
    <w:p>
      <w:pPr>
        <w:spacing w:line="360" w:lineRule="auto"/>
        <w:ind w:firstLine="482" w:firstLineChars="200"/>
        <w:rPr>
          <w:rFonts w:ascii="仿宋_GB2312" w:hAnsi="仿宋_GB2312" w:eastAsia="仿宋_GB2312" w:cs="宋体"/>
          <w:b/>
          <w:kern w:val="0"/>
          <w:sz w:val="24"/>
          <w:szCs w:val="28"/>
        </w:rPr>
      </w:pPr>
      <w:r>
        <w:rPr>
          <w:rFonts w:hint="eastAsia" w:ascii="仿宋_GB2312" w:hAnsi="仿宋_GB2312" w:eastAsia="仿宋_GB2312" w:cs="宋体"/>
          <w:b/>
          <w:kern w:val="0"/>
          <w:sz w:val="24"/>
          <w:szCs w:val="28"/>
        </w:rPr>
        <w:t>四、保证责任的终止</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1．保证期间届满你方未向我方书面主张保证责任的，自保证期间届满次日起，我方保证责任自动终止。保证期间届满前，主合同约定的工程全部验收合格的，自验收合格日起，我方保证责任自动终止。</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2．我方按照本保函向你方履行了保证责任后，自我方向你方支付款项（支付款项从我方账户划出）之日起，保证责任即终止。</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3．按照法律法规的规定或出现应终止我方保证责任的其它情形的，我方在本保函项下的保证责任亦终止。</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line="360" w:lineRule="auto"/>
        <w:ind w:firstLine="482" w:firstLineChars="200"/>
        <w:rPr>
          <w:rFonts w:ascii="仿宋_GB2312" w:hAnsi="仿宋_GB2312" w:eastAsia="仿宋_GB2312" w:cs="宋体"/>
          <w:b/>
          <w:kern w:val="0"/>
          <w:sz w:val="24"/>
          <w:szCs w:val="28"/>
        </w:rPr>
      </w:pPr>
      <w:r>
        <w:rPr>
          <w:rFonts w:hint="eastAsia" w:ascii="仿宋_GB2312" w:hAnsi="仿宋_GB2312" w:eastAsia="仿宋_GB2312" w:cs="宋体"/>
          <w:b/>
          <w:kern w:val="0"/>
          <w:sz w:val="24"/>
          <w:szCs w:val="28"/>
        </w:rPr>
        <w:t>五、免责条款</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1．因你方违反主合同约定致使供应商不能履行义务的，我方不承担保证责任。</w:t>
      </w:r>
    </w:p>
    <w:p>
      <w:pPr>
        <w:spacing w:line="360" w:lineRule="auto"/>
        <w:ind w:firstLine="480" w:firstLineChars="200"/>
        <w:rPr>
          <w:rFonts w:ascii="仿宋_GB2312" w:hAnsi="仿宋_GB2312" w:eastAsia="仿宋_GB2312" w:cs="宋体"/>
          <w:b/>
          <w:kern w:val="0"/>
          <w:sz w:val="24"/>
          <w:szCs w:val="28"/>
        </w:rPr>
      </w:pPr>
      <w:r>
        <w:rPr>
          <w:rFonts w:hint="eastAsia" w:ascii="仿宋_GB2312" w:hAnsi="仿宋_GB2312" w:eastAsia="仿宋_GB2312" w:cs="宋体"/>
          <w:kern w:val="0"/>
          <w:sz w:val="24"/>
          <w:szCs w:val="28"/>
        </w:rPr>
        <w:t>2．依照法律法规的规定或你方与供应商的另行约定，全部或者部分免除供应商应缴纳的保证金义务的，我方亦免除相应的保证责任。</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3．因不可抗力造成供应商不能履行供货义务的，我方不承担保证责任。</w:t>
      </w:r>
    </w:p>
    <w:p>
      <w:pPr>
        <w:spacing w:line="360" w:lineRule="auto"/>
        <w:ind w:firstLine="482" w:firstLineChars="200"/>
        <w:rPr>
          <w:rFonts w:ascii="仿宋_GB2312" w:hAnsi="仿宋_GB2312" w:eastAsia="仿宋_GB2312" w:cs="宋体"/>
          <w:b/>
          <w:kern w:val="0"/>
          <w:sz w:val="24"/>
          <w:szCs w:val="28"/>
        </w:rPr>
      </w:pPr>
      <w:r>
        <w:rPr>
          <w:rFonts w:hint="eastAsia" w:ascii="仿宋_GB2312" w:hAnsi="仿宋_GB2312" w:eastAsia="仿宋_GB2312" w:cs="宋体"/>
          <w:b/>
          <w:kern w:val="0"/>
          <w:sz w:val="24"/>
          <w:szCs w:val="28"/>
        </w:rPr>
        <w:t>六、争议的解决</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因本保函发生的纠纷，由你我双方协商解决，协商不成的，通过诉讼程序解决，诉讼管辖地法院为法院。</w:t>
      </w:r>
    </w:p>
    <w:p>
      <w:pPr>
        <w:spacing w:line="360" w:lineRule="auto"/>
        <w:ind w:firstLine="482" w:firstLineChars="200"/>
        <w:rPr>
          <w:rFonts w:ascii="仿宋_GB2312" w:hAnsi="仿宋_GB2312" w:eastAsia="仿宋_GB2312" w:cs="宋体"/>
          <w:b/>
          <w:kern w:val="0"/>
          <w:sz w:val="24"/>
          <w:szCs w:val="28"/>
        </w:rPr>
      </w:pPr>
      <w:r>
        <w:rPr>
          <w:rFonts w:hint="eastAsia" w:ascii="仿宋_GB2312" w:hAnsi="仿宋_GB2312" w:eastAsia="仿宋_GB2312" w:cs="宋体"/>
          <w:b/>
          <w:kern w:val="0"/>
          <w:sz w:val="24"/>
          <w:szCs w:val="28"/>
        </w:rPr>
        <w:t xml:space="preserve">七、保函的生效 </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 xml:space="preserve">本保函自我方加盖公章之日起生效。 </w:t>
      </w:r>
    </w:p>
    <w:p>
      <w:pPr>
        <w:spacing w:line="360" w:lineRule="auto"/>
        <w:rPr>
          <w:rFonts w:ascii="仿宋_GB2312" w:hAnsi="仿宋_GB2312" w:eastAsia="仿宋_GB2312" w:cs="宋体"/>
          <w:kern w:val="0"/>
          <w:sz w:val="24"/>
          <w:szCs w:val="28"/>
        </w:rPr>
      </w:pPr>
      <w:r>
        <w:rPr>
          <w:rFonts w:hint="eastAsia" w:ascii="仿宋_GB2312" w:hAnsi="仿宋_GB2312" w:eastAsia="仿宋_GB2312" w:cs="宋体"/>
          <w:kern w:val="0"/>
          <w:sz w:val="24"/>
          <w:szCs w:val="28"/>
        </w:rPr>
        <w:t xml:space="preserve">                                   保证人：（公章）                     </w:t>
      </w:r>
    </w:p>
    <w:p>
      <w:pPr>
        <w:spacing w:line="360" w:lineRule="auto"/>
        <w:rPr>
          <w:rFonts w:ascii="仿宋_GB2312" w:hAnsi="仿宋_GB2312" w:eastAsia="仿宋_GB2312" w:cs="宋体"/>
          <w:kern w:val="0"/>
          <w:sz w:val="24"/>
          <w:szCs w:val="28"/>
        </w:rPr>
      </w:pPr>
      <w:r>
        <w:rPr>
          <w:rFonts w:hint="eastAsia" w:ascii="仿宋_GB2312" w:hAnsi="仿宋_GB2312" w:eastAsia="仿宋_GB2312" w:cs="宋体"/>
          <w:kern w:val="0"/>
          <w:sz w:val="24"/>
          <w:szCs w:val="28"/>
        </w:rPr>
        <w:t xml:space="preserve">                                    年   月   日</w:t>
      </w:r>
    </w:p>
    <w:p>
      <w:pPr>
        <w:widowControl/>
        <w:jc w:val="left"/>
        <w:rPr>
          <w:rFonts w:ascii="宋体" w:hAnsi="宋体" w:cs="宋体"/>
          <w:sz w:val="24"/>
        </w:rPr>
      </w:pPr>
      <w:r>
        <w:rPr>
          <w:rFonts w:ascii="宋体" w:hAnsi="宋体" w:cs="宋体"/>
          <w:sz w:val="24"/>
        </w:rPr>
        <w:br w:type="page"/>
      </w:r>
    </w:p>
    <w:p>
      <w:pPr>
        <w:widowControl/>
        <w:jc w:val="left"/>
        <w:rPr>
          <w:rFonts w:ascii="宋体" w:hAnsi="宋体" w:cs="宋体"/>
          <w:sz w:val="24"/>
        </w:rPr>
      </w:pPr>
    </w:p>
    <w:p>
      <w:pPr>
        <w:widowControl/>
        <w:jc w:val="left"/>
        <w:rPr>
          <w:rFonts w:ascii="宋体" w:hAnsi="宋体" w:cs="宋体"/>
          <w:sz w:val="24"/>
        </w:rPr>
      </w:pPr>
    </w:p>
    <w:p>
      <w:pPr>
        <w:widowControl/>
        <w:jc w:val="left"/>
        <w:rPr>
          <w:rFonts w:ascii="宋体" w:hAnsi="宋体" w:cs="宋体"/>
          <w:sz w:val="24"/>
        </w:rPr>
      </w:pPr>
    </w:p>
    <w:p>
      <w:pPr>
        <w:widowControl/>
        <w:jc w:val="left"/>
        <w:rPr>
          <w:rFonts w:ascii="宋体" w:hAnsi="宋体" w:cs="宋体"/>
          <w:sz w:val="24"/>
        </w:rPr>
      </w:pPr>
      <w:r>
        <w:rPr>
          <w:rFonts w:ascii="宋体" w:hAnsi="宋体" w:cs="宋体"/>
          <w:sz w:val="24"/>
        </w:rPr>
        <w:br w:type="page"/>
      </w:r>
    </w:p>
    <w:p>
      <w:pPr>
        <w:widowControl/>
        <w:jc w:val="center"/>
        <w:outlineLvl w:val="0"/>
        <w:rPr>
          <w:rFonts w:ascii="宋体" w:hAnsi="宋体" w:cs="宋体"/>
          <w:sz w:val="32"/>
          <w:szCs w:val="32"/>
        </w:rPr>
      </w:pPr>
      <w:bookmarkStart w:id="556" w:name="_Toc8628"/>
      <w:r>
        <w:rPr>
          <w:rFonts w:ascii="宋体" w:hAnsi="宋体" w:cs="宋体"/>
          <w:sz w:val="32"/>
          <w:szCs w:val="32"/>
        </w:rPr>
        <w:t>第五章</w:t>
      </w:r>
      <w:r>
        <w:rPr>
          <w:rFonts w:hint="eastAsia" w:ascii="宋体" w:hAnsi="宋体" w:cs="宋体"/>
          <w:sz w:val="32"/>
          <w:szCs w:val="32"/>
          <w:lang w:val="en-US" w:eastAsia="zh-CN"/>
        </w:rPr>
        <w:t xml:space="preserve">  </w:t>
      </w:r>
      <w:r>
        <w:rPr>
          <w:rFonts w:hint="eastAsia" w:ascii="宋体" w:hAnsi="宋体" w:cs="宋体"/>
          <w:sz w:val="32"/>
          <w:szCs w:val="32"/>
        </w:rPr>
        <w:t>工程量清单（综合单价）</w:t>
      </w:r>
      <w:bookmarkEnd w:id="556"/>
    </w:p>
    <w:p>
      <w:pPr>
        <w:snapToGrid w:val="0"/>
        <w:spacing w:beforeLines="50"/>
        <w:ind w:left="850" w:hanging="849" w:hangingChars="354"/>
        <w:outlineLvl w:val="1"/>
        <w:rPr>
          <w:rFonts w:ascii="黑体" w:hAnsi="宋体" w:eastAsia="黑体"/>
          <w:sz w:val="24"/>
        </w:rPr>
      </w:pPr>
      <w:bookmarkStart w:id="557" w:name="_Toc13010"/>
      <w:bookmarkStart w:id="558" w:name="_Toc20552"/>
      <w:r>
        <w:rPr>
          <w:rFonts w:hint="eastAsia" w:ascii="黑体" w:hAnsi="宋体" w:eastAsia="黑体"/>
          <w:sz w:val="24"/>
        </w:rPr>
        <w:t>1</w:t>
      </w:r>
      <w:r>
        <w:rPr>
          <w:rFonts w:hint="eastAsia" w:ascii="黑体" w:eastAsia="黑体"/>
          <w:sz w:val="24"/>
        </w:rPr>
        <w:tab/>
      </w:r>
      <w:r>
        <w:rPr>
          <w:rFonts w:hint="eastAsia" w:ascii="黑体" w:hAnsi="宋体" w:eastAsia="黑体"/>
          <w:sz w:val="24"/>
        </w:rPr>
        <w:t>工程量清单说明</w:t>
      </w:r>
      <w:bookmarkEnd w:id="557"/>
      <w:bookmarkEnd w:id="558"/>
    </w:p>
    <w:p>
      <w:pPr>
        <w:snapToGrid w:val="0"/>
        <w:spacing w:beforeLines="50"/>
        <w:ind w:left="878" w:hanging="878" w:hangingChars="366"/>
        <w:rPr>
          <w:rFonts w:ascii="宋体" w:hAnsi="宋体"/>
          <w:sz w:val="24"/>
        </w:rPr>
      </w:pPr>
      <w:r>
        <w:rPr>
          <w:rFonts w:hint="eastAsia" w:ascii="黑体" w:hAnsi="宋体" w:eastAsia="黑体"/>
          <w:sz w:val="24"/>
        </w:rPr>
        <w:t>1.1</w:t>
      </w:r>
      <w:r>
        <w:rPr>
          <w:rFonts w:hint="eastAsia" w:ascii="黑体" w:eastAsia="黑体"/>
          <w:sz w:val="24"/>
        </w:rPr>
        <w:tab/>
      </w:r>
      <w:r>
        <w:rPr>
          <w:rFonts w:hint="eastAsia" w:ascii="宋体" w:hAnsi="宋体"/>
          <w:sz w:val="24"/>
        </w:rPr>
        <w:t>本工程量清单是依据中华人民共和国国家标准《建设工程工程量清单计价规范》(以下简称“计价规范”)以及谈判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napToGrid w:val="0"/>
        <w:spacing w:beforeLines="50"/>
        <w:ind w:left="864" w:hanging="864" w:hangingChars="360"/>
        <w:rPr>
          <w:rFonts w:ascii="宋体" w:hAnsi="宋体"/>
          <w:sz w:val="24"/>
        </w:rPr>
      </w:pPr>
      <w:r>
        <w:rPr>
          <w:rFonts w:hint="eastAsia" w:ascii="黑体" w:hAnsi="宋体" w:eastAsia="黑体"/>
          <w:sz w:val="24"/>
        </w:rPr>
        <w:t>1.2</w:t>
      </w:r>
      <w:r>
        <w:rPr>
          <w:rFonts w:hint="eastAsia" w:ascii="黑体" w:eastAsia="黑体"/>
          <w:sz w:val="24"/>
        </w:rPr>
        <w:tab/>
      </w:r>
      <w:r>
        <w:rPr>
          <w:rFonts w:hint="eastAsia" w:ascii="宋体" w:hAnsi="宋体"/>
          <w:sz w:val="24"/>
        </w:rPr>
        <w:t>本工程量清单应与谈判文件中的供应商须知、通用合同条款、专用合同条款、技术标准和要求及图纸等章节内容一起阅读和理解。</w:t>
      </w:r>
    </w:p>
    <w:p>
      <w:pPr>
        <w:snapToGrid w:val="0"/>
        <w:spacing w:beforeLines="50"/>
        <w:ind w:left="847" w:hanging="847" w:hangingChars="353"/>
        <w:rPr>
          <w:rFonts w:ascii="宋体" w:hAnsi="宋体"/>
          <w:sz w:val="24"/>
        </w:rPr>
      </w:pPr>
      <w:r>
        <w:rPr>
          <w:rFonts w:hint="eastAsia" w:ascii="黑体" w:hAnsi="宋体" w:eastAsia="黑体"/>
          <w:sz w:val="24"/>
        </w:rPr>
        <w:t>1.3</w:t>
      </w:r>
      <w:r>
        <w:rPr>
          <w:rFonts w:hint="eastAsia" w:ascii="黑体" w:eastAsia="黑体"/>
          <w:sz w:val="24"/>
        </w:rPr>
        <w:tab/>
      </w:r>
      <w:r>
        <w:rPr>
          <w:rFonts w:hint="eastAsia" w:ascii="宋体" w:hAnsi="宋体"/>
          <w:sz w:val="24"/>
        </w:rPr>
        <w:t>本工程量清单仅是报价的共同基础，竣工结算的工程量按合同约定确定。合同价格的确定以及价款支付应遵循合同条款(包括通用合同条款和专用合同条款)、技术标准和要求以及本章的有关约定。</w:t>
      </w:r>
    </w:p>
    <w:p>
      <w:pPr>
        <w:snapToGrid w:val="0"/>
        <w:spacing w:beforeLines="50"/>
        <w:ind w:left="847" w:hanging="847" w:hangingChars="353"/>
        <w:rPr>
          <w:rFonts w:ascii="宋体" w:hAnsi="宋体"/>
          <w:sz w:val="24"/>
        </w:rPr>
      </w:pPr>
      <w:r>
        <w:rPr>
          <w:rFonts w:hint="eastAsia" w:ascii="黑体" w:hAnsi="宋体" w:eastAsia="黑体"/>
          <w:sz w:val="24"/>
        </w:rPr>
        <w:t>1.4</w:t>
      </w:r>
      <w:r>
        <w:rPr>
          <w:rFonts w:hint="eastAsia" w:ascii="黑体" w:eastAsia="黑体"/>
          <w:sz w:val="24"/>
        </w:rPr>
        <w:tab/>
      </w:r>
      <w:r>
        <w:rPr>
          <w:rFonts w:hint="eastAsia" w:ascii="宋体" w:hAnsi="宋体"/>
          <w:sz w:val="24"/>
        </w:rPr>
        <w:t>补充子目的子目特征、计量单位、工程量计算规则及工作内容说明如下：</w:t>
      </w:r>
    </w:p>
    <w:p>
      <w:pPr>
        <w:snapToGrid w:val="0"/>
        <w:spacing w:beforeLines="50"/>
        <w:ind w:left="846" w:leftChars="403" w:firstLine="2" w:firstLineChars="1"/>
        <w:rPr>
          <w:rFonts w:ascii="宋体" w:hAnsi="宋体"/>
          <w:sz w:val="24"/>
        </w:rPr>
      </w:pPr>
      <w:r>
        <w:rPr>
          <w:rFonts w:hint="eastAsia" w:ascii="宋体" w:hAnsi="宋体"/>
          <w:sz w:val="24"/>
          <w:u w:val="single"/>
        </w:rPr>
        <w:t>/</w:t>
      </w:r>
      <w:r>
        <w:rPr>
          <w:rFonts w:hint="eastAsia" w:ascii="宋体" w:hAnsi="宋体"/>
          <w:sz w:val="24"/>
        </w:rPr>
        <w:t>。</w:t>
      </w:r>
    </w:p>
    <w:p>
      <w:pPr>
        <w:snapToGrid w:val="0"/>
        <w:spacing w:beforeLines="50"/>
        <w:ind w:left="783" w:hanging="895" w:hangingChars="373"/>
        <w:rPr>
          <w:rFonts w:ascii="宋体" w:hAnsi="宋体"/>
          <w:sz w:val="24"/>
        </w:rPr>
      </w:pPr>
      <w:r>
        <w:rPr>
          <w:rFonts w:hint="eastAsia" w:ascii="黑体" w:hAnsi="宋体" w:eastAsia="黑体"/>
          <w:sz w:val="24"/>
        </w:rPr>
        <w:t>1.5</w:t>
      </w:r>
      <w:r>
        <w:rPr>
          <w:rFonts w:hint="eastAsia" w:ascii="黑体" w:eastAsia="黑体"/>
          <w:sz w:val="24"/>
        </w:rPr>
        <w:tab/>
      </w:r>
      <w:r>
        <w:rPr>
          <w:rFonts w:hint="eastAsia" w:ascii="宋体" w:hAnsi="宋体"/>
          <w:sz w:val="24"/>
        </w:rPr>
        <w:t>本条第1.1款中约定的计量和计价规则适用于合同履约过程中工程量计量与价款支付、工程变更、索赔和工程结算。</w:t>
      </w:r>
    </w:p>
    <w:p>
      <w:pPr>
        <w:snapToGrid w:val="0"/>
        <w:spacing w:beforeLines="50"/>
        <w:ind w:left="878" w:hanging="878" w:hangingChars="366"/>
        <w:rPr>
          <w:rFonts w:ascii="宋体" w:hAnsi="宋体"/>
          <w:sz w:val="24"/>
        </w:rPr>
      </w:pPr>
      <w:r>
        <w:rPr>
          <w:rFonts w:hint="eastAsia" w:ascii="黑体" w:hAnsi="宋体" w:eastAsia="黑体"/>
          <w:sz w:val="24"/>
        </w:rPr>
        <w:t>1.6</w:t>
      </w:r>
      <w:r>
        <w:rPr>
          <w:rFonts w:hint="eastAsia" w:ascii="黑体" w:eastAsia="黑体"/>
          <w:sz w:val="24"/>
        </w:rPr>
        <w:tab/>
      </w:r>
      <w:r>
        <w:rPr>
          <w:rFonts w:hint="eastAsia" w:ascii="宋体" w:hAnsi="宋体"/>
          <w:sz w:val="24"/>
        </w:rPr>
        <w:t>本条与下述第2条和第3条的说明内容是构成合同文件的已标价工程量清单的组成部分。</w:t>
      </w:r>
    </w:p>
    <w:p>
      <w:pPr>
        <w:snapToGrid w:val="0"/>
        <w:spacing w:beforeLines="50"/>
        <w:ind w:left="850" w:hanging="849" w:hangingChars="354"/>
        <w:outlineLvl w:val="1"/>
        <w:rPr>
          <w:rFonts w:ascii="黑体" w:hAnsi="宋体" w:eastAsia="黑体"/>
          <w:sz w:val="24"/>
        </w:rPr>
      </w:pPr>
      <w:bookmarkStart w:id="559" w:name="_Toc17517"/>
      <w:bookmarkStart w:id="560" w:name="_Toc17606"/>
      <w:r>
        <w:rPr>
          <w:rFonts w:hint="eastAsia" w:ascii="黑体" w:hAnsi="宋体" w:eastAsia="黑体"/>
          <w:sz w:val="24"/>
        </w:rPr>
        <w:t>2</w:t>
      </w:r>
      <w:r>
        <w:rPr>
          <w:rFonts w:hint="eastAsia" w:ascii="黑体" w:hAnsi="宋体" w:eastAsia="黑体"/>
          <w:sz w:val="24"/>
        </w:rPr>
        <w:tab/>
      </w:r>
      <w:r>
        <w:rPr>
          <w:rFonts w:hint="eastAsia" w:ascii="黑体" w:hAnsi="宋体" w:eastAsia="黑体"/>
          <w:sz w:val="24"/>
        </w:rPr>
        <w:t>报价说明</w:t>
      </w:r>
      <w:bookmarkEnd w:id="559"/>
      <w:bookmarkEnd w:id="560"/>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2.1</w:t>
      </w:r>
      <w:r>
        <w:rPr>
          <w:rFonts w:hint="eastAsia" w:asciiTheme="minorEastAsia" w:hAnsiTheme="minorEastAsia" w:eastAsiaTheme="minorEastAsia"/>
          <w:sz w:val="24"/>
        </w:rPr>
        <w:tab/>
      </w:r>
      <w:r>
        <w:rPr>
          <w:rFonts w:hint="eastAsia" w:asciiTheme="minorEastAsia" w:hAnsiTheme="minorEastAsia" w:eastAsiaTheme="minorEastAsia"/>
          <w:sz w:val="24"/>
        </w:rPr>
        <w:t>报价应根据谈判文件中的有关计价要求，并按照下列依据自主报价。</w:t>
      </w:r>
    </w:p>
    <w:p>
      <w:pPr>
        <w:snapToGrid w:val="0"/>
        <w:spacing w:beforeLines="50"/>
        <w:ind w:firstLine="830" w:firstLineChars="346"/>
        <w:rPr>
          <w:rFonts w:ascii="宋体" w:hAnsi="宋体"/>
          <w:sz w:val="24"/>
        </w:rPr>
      </w:pPr>
      <w:r>
        <w:rPr>
          <w:rFonts w:hint="eastAsia" w:ascii="黑体" w:hAnsi="宋体" w:eastAsia="黑体"/>
          <w:sz w:val="24"/>
        </w:rPr>
        <w:t>(1)</w:t>
      </w:r>
      <w:r>
        <w:rPr>
          <w:rFonts w:hint="eastAsia" w:ascii="宋体" w:hAnsi="宋体"/>
          <w:sz w:val="24"/>
        </w:rPr>
        <w:t xml:space="preserve">  本谈判文件；</w:t>
      </w:r>
    </w:p>
    <w:p>
      <w:pPr>
        <w:snapToGrid w:val="0"/>
        <w:spacing w:beforeLines="50"/>
        <w:ind w:firstLine="830" w:firstLineChars="346"/>
        <w:rPr>
          <w:rFonts w:ascii="宋体" w:hAnsi="宋体"/>
          <w:sz w:val="24"/>
        </w:rPr>
      </w:pPr>
      <w:r>
        <w:rPr>
          <w:rFonts w:hint="eastAsia" w:ascii="黑体" w:hAnsi="宋体" w:eastAsia="黑体"/>
          <w:sz w:val="24"/>
        </w:rPr>
        <w:t>(2)</w:t>
      </w:r>
      <w:r>
        <w:rPr>
          <w:rFonts w:hint="eastAsia" w:ascii="宋体" w:hAnsi="宋体"/>
          <w:sz w:val="24"/>
        </w:rPr>
        <w:t xml:space="preserve">  《建设工程工程量清单计价规范》；</w:t>
      </w:r>
    </w:p>
    <w:p>
      <w:pPr>
        <w:snapToGrid w:val="0"/>
        <w:spacing w:beforeLines="50"/>
        <w:ind w:firstLine="830" w:firstLineChars="346"/>
        <w:rPr>
          <w:rFonts w:ascii="宋体" w:hAnsi="宋体"/>
          <w:sz w:val="24"/>
        </w:rPr>
      </w:pPr>
      <w:r>
        <w:rPr>
          <w:rFonts w:hint="eastAsia" w:ascii="黑体" w:hAnsi="宋体" w:eastAsia="黑体"/>
          <w:sz w:val="24"/>
        </w:rPr>
        <w:t>(3)</w:t>
      </w:r>
      <w:r>
        <w:rPr>
          <w:rFonts w:hint="eastAsia" w:ascii="宋体" w:hAnsi="宋体"/>
          <w:sz w:val="24"/>
        </w:rPr>
        <w:t xml:space="preserve">  国家或省级、行业建设主管部门颁发的计价办法；</w:t>
      </w:r>
    </w:p>
    <w:p>
      <w:pPr>
        <w:snapToGrid w:val="0"/>
        <w:spacing w:beforeLines="50"/>
        <w:ind w:firstLine="830" w:firstLineChars="346"/>
        <w:rPr>
          <w:rFonts w:ascii="宋体" w:hAnsi="宋体"/>
          <w:sz w:val="24"/>
        </w:rPr>
      </w:pPr>
      <w:r>
        <w:rPr>
          <w:rFonts w:hint="eastAsia" w:ascii="黑体" w:hAnsi="宋体" w:eastAsia="黑体"/>
          <w:sz w:val="24"/>
        </w:rPr>
        <w:t>(4)</w:t>
      </w:r>
      <w:r>
        <w:rPr>
          <w:rFonts w:hint="eastAsia" w:ascii="宋体" w:hAnsi="宋体"/>
          <w:sz w:val="24"/>
        </w:rPr>
        <w:t xml:space="preserve">  企业定额，国家或省级、行业建设主管部门颁发的计价定额；</w:t>
      </w:r>
    </w:p>
    <w:p>
      <w:pPr>
        <w:snapToGrid w:val="0"/>
        <w:spacing w:beforeLines="50"/>
        <w:ind w:firstLine="830" w:firstLineChars="346"/>
        <w:rPr>
          <w:rFonts w:ascii="宋体" w:hAnsi="宋体"/>
          <w:sz w:val="24"/>
        </w:rPr>
      </w:pPr>
      <w:r>
        <w:rPr>
          <w:rFonts w:hint="eastAsia" w:ascii="黑体" w:hAnsi="宋体" w:eastAsia="黑体"/>
          <w:sz w:val="24"/>
        </w:rPr>
        <w:t>(5)</w:t>
      </w:r>
      <w:r>
        <w:rPr>
          <w:rFonts w:hint="eastAsia" w:ascii="宋体" w:hAnsi="宋体"/>
          <w:sz w:val="24"/>
        </w:rPr>
        <w:t xml:space="preserve">  谈判文件(包括工程量清单)的澄清、补充和修改文件；</w:t>
      </w:r>
    </w:p>
    <w:p>
      <w:pPr>
        <w:snapToGrid w:val="0"/>
        <w:spacing w:beforeLines="50"/>
        <w:ind w:firstLine="830" w:firstLineChars="346"/>
        <w:rPr>
          <w:rFonts w:ascii="宋体" w:hAnsi="宋体"/>
          <w:sz w:val="24"/>
        </w:rPr>
      </w:pPr>
      <w:r>
        <w:rPr>
          <w:rFonts w:hint="eastAsia" w:ascii="黑体" w:hAnsi="宋体" w:eastAsia="黑体"/>
          <w:sz w:val="24"/>
        </w:rPr>
        <w:t>(6)</w:t>
      </w:r>
      <w:r>
        <w:rPr>
          <w:rFonts w:hint="eastAsia" w:ascii="宋体" w:hAnsi="宋体"/>
          <w:sz w:val="24"/>
        </w:rPr>
        <w:t xml:space="preserve">  建设工程设计文件及相关资料；</w:t>
      </w:r>
    </w:p>
    <w:p>
      <w:pPr>
        <w:snapToGrid w:val="0"/>
        <w:spacing w:beforeLines="50"/>
        <w:ind w:firstLine="830" w:firstLineChars="346"/>
        <w:rPr>
          <w:rFonts w:ascii="宋体" w:hAnsi="宋体"/>
          <w:sz w:val="24"/>
        </w:rPr>
      </w:pPr>
      <w:r>
        <w:rPr>
          <w:rFonts w:hint="eastAsia" w:ascii="黑体" w:hAnsi="宋体" w:eastAsia="黑体"/>
          <w:sz w:val="24"/>
        </w:rPr>
        <w:t>(7)</w:t>
      </w:r>
      <w:r>
        <w:rPr>
          <w:rFonts w:hint="eastAsia" w:ascii="宋体" w:hAnsi="宋体"/>
          <w:sz w:val="24"/>
        </w:rPr>
        <w:t xml:space="preserve">  施工现场情况、工程特点及拟定的施工组织设计或施工方案；</w:t>
      </w:r>
    </w:p>
    <w:p>
      <w:pPr>
        <w:snapToGrid w:val="0"/>
        <w:spacing w:beforeLines="50"/>
        <w:ind w:firstLine="830" w:firstLineChars="346"/>
        <w:rPr>
          <w:sz w:val="24"/>
        </w:rPr>
      </w:pPr>
      <w:r>
        <w:rPr>
          <w:rFonts w:hint="eastAsia" w:ascii="黑体" w:eastAsia="黑体"/>
          <w:sz w:val="24"/>
        </w:rPr>
        <w:t>(8)</w:t>
      </w:r>
      <w:r>
        <w:rPr>
          <w:rFonts w:hint="eastAsia"/>
          <w:sz w:val="24"/>
        </w:rPr>
        <w:t xml:space="preserve">  与建设项目相关的标准、规定等技术资料；</w:t>
      </w:r>
    </w:p>
    <w:p>
      <w:pPr>
        <w:snapToGrid w:val="0"/>
        <w:spacing w:beforeLines="50"/>
        <w:ind w:firstLine="830" w:firstLineChars="346"/>
        <w:rPr>
          <w:sz w:val="24"/>
        </w:rPr>
      </w:pPr>
      <w:r>
        <w:rPr>
          <w:rFonts w:hint="eastAsia" w:ascii="黑体" w:eastAsia="黑体"/>
          <w:sz w:val="24"/>
        </w:rPr>
        <w:t>(9)</w:t>
      </w:r>
      <w:r>
        <w:rPr>
          <w:rFonts w:hint="eastAsia"/>
          <w:sz w:val="24"/>
        </w:rPr>
        <w:t xml:space="preserve">  市场价格信息或工程造价管理机构发布的工程造价信息；</w:t>
      </w:r>
    </w:p>
    <w:p>
      <w:pPr>
        <w:snapToGrid w:val="0"/>
        <w:spacing w:beforeLines="50"/>
        <w:ind w:firstLine="830" w:firstLineChars="346"/>
        <w:rPr>
          <w:sz w:val="24"/>
        </w:rPr>
      </w:pPr>
      <w:r>
        <w:rPr>
          <w:rFonts w:hint="eastAsia" w:ascii="黑体" w:eastAsia="黑体"/>
          <w:sz w:val="24"/>
        </w:rPr>
        <w:t xml:space="preserve">(10) </w:t>
      </w:r>
      <w:r>
        <w:rPr>
          <w:rFonts w:hint="eastAsia"/>
          <w:sz w:val="24"/>
        </w:rPr>
        <w:t>其他的相关资料。</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2.2</w:t>
      </w:r>
      <w:r>
        <w:rPr>
          <w:rFonts w:hint="eastAsia" w:asciiTheme="minorEastAsia" w:hAnsiTheme="minorEastAsia" w:eastAsiaTheme="minorEastAsia"/>
          <w:sz w:val="24"/>
        </w:rPr>
        <w:tab/>
      </w:r>
      <w:r>
        <w:rPr>
          <w:rFonts w:hint="eastAsia" w:asciiTheme="minorEastAsia" w:hAnsiTheme="minorEastAsia" w:eastAsiaTheme="minorEastAsia"/>
          <w:sz w:val="24"/>
        </w:rPr>
        <w:t>工程量清单中的每一子目须填入单价或价格，且只允许有一个报价。</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2.3</w:t>
      </w:r>
      <w:r>
        <w:rPr>
          <w:rFonts w:hint="eastAsia" w:asciiTheme="minorEastAsia" w:hAnsiTheme="minorEastAsia" w:eastAsiaTheme="minorEastAsia"/>
          <w:sz w:val="24"/>
        </w:rPr>
        <w:tab/>
      </w:r>
      <w:r>
        <w:rPr>
          <w:rFonts w:hint="eastAsia" w:asciiTheme="minorEastAsia" w:hAnsiTheme="minorEastAsia" w:eastAsiaTheme="minorEastAsia"/>
          <w:sz w:val="24"/>
        </w:rPr>
        <w:t>工程量清单中标价的单价或金额，应包括所需人工费、材料费、施工机械使用费和管理费及利润，以及一定范围内的风险费用。所谓“一定范围内的风险”是指合同约定的风险。</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2.4</w:t>
      </w:r>
      <w:r>
        <w:rPr>
          <w:rFonts w:hint="eastAsia" w:asciiTheme="minorEastAsia" w:hAnsiTheme="minorEastAsia" w:eastAsiaTheme="minorEastAsia"/>
          <w:sz w:val="24"/>
        </w:rPr>
        <w:tab/>
      </w:r>
      <w:r>
        <w:rPr>
          <w:rFonts w:hint="eastAsia" w:asciiTheme="minorEastAsia" w:hAnsiTheme="minorEastAsia" w:eastAsiaTheme="minorEastAsia"/>
          <w:sz w:val="24"/>
        </w:rPr>
        <w:t>已标价工程量清单中供应商没有填入单价或价格的子目，其费用视为已分摊在工程量清单中其他已标价的相关子目的单价或价格之中。</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2.5</w:t>
      </w:r>
      <w:r>
        <w:rPr>
          <w:rFonts w:hint="eastAsia" w:asciiTheme="minorEastAsia" w:hAnsiTheme="minorEastAsia" w:eastAsiaTheme="minorEastAsia"/>
          <w:sz w:val="24"/>
        </w:rPr>
        <w:tab/>
      </w:r>
      <w:r>
        <w:rPr>
          <w:rFonts w:hint="eastAsia" w:asciiTheme="minorEastAsia" w:hAnsiTheme="minorEastAsia" w:eastAsiaTheme="minorEastAsia"/>
          <w:sz w:val="24"/>
        </w:rPr>
        <w:t>“报价汇总表”中的总价由分部分项工程费、措施项目费、其他项目费、规费和税金组成，并且“报价汇总表”中的总价应当与构成已标价工程量清单的分部分项工程费、措施项目费、其他项目费、规费、税金的合计金额一致。</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2.6</w:t>
      </w:r>
      <w:r>
        <w:rPr>
          <w:rFonts w:hint="eastAsia" w:asciiTheme="minorEastAsia" w:hAnsiTheme="minorEastAsia" w:eastAsiaTheme="minorEastAsia"/>
          <w:sz w:val="24"/>
        </w:rPr>
        <w:tab/>
      </w:r>
      <w:r>
        <w:rPr>
          <w:rFonts w:hint="eastAsia" w:asciiTheme="minorEastAsia" w:hAnsiTheme="minorEastAsia" w:eastAsiaTheme="minorEastAsia"/>
          <w:sz w:val="24"/>
        </w:rPr>
        <w:t>分部分项工程项目按下列要求报价：</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2.6.1</w:t>
      </w:r>
      <w:r>
        <w:rPr>
          <w:rFonts w:hint="eastAsia" w:asciiTheme="minorEastAsia" w:hAnsiTheme="minorEastAsia" w:eastAsiaTheme="minorEastAsia"/>
          <w:sz w:val="24"/>
        </w:rPr>
        <w:tab/>
      </w:r>
      <w:r>
        <w:rPr>
          <w:rFonts w:hint="eastAsia" w:asciiTheme="minorEastAsia" w:hAnsiTheme="minorEastAsia" w:eastAsiaTheme="minorEastAsia"/>
          <w:sz w:val="24"/>
        </w:rPr>
        <w:t>分部分项工程量清单计价应依据计价规范中关于综合单价的组成内容确定报价。</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2.6.2</w:t>
      </w:r>
      <w:r>
        <w:rPr>
          <w:rFonts w:hint="eastAsia" w:asciiTheme="minorEastAsia" w:hAnsiTheme="minorEastAsia" w:eastAsiaTheme="minorEastAsia"/>
          <w:sz w:val="24"/>
        </w:rPr>
        <w:tab/>
      </w:r>
      <w:r>
        <w:rPr>
          <w:rFonts w:hint="eastAsia" w:asciiTheme="minorEastAsia" w:hAnsiTheme="minorEastAsia" w:eastAsiaTheme="minorEastAsia"/>
          <w:sz w:val="24"/>
        </w:rPr>
        <w:t>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2.6.3</w:t>
      </w:r>
      <w:r>
        <w:rPr>
          <w:rFonts w:hint="eastAsia" w:asciiTheme="minorEastAsia" w:hAnsiTheme="minorEastAsia" w:eastAsiaTheme="minorEastAsia"/>
          <w:sz w:val="24"/>
        </w:rPr>
        <w:tab/>
      </w:r>
      <w:r>
        <w:rPr>
          <w:rFonts w:hint="eastAsia" w:asciiTheme="minorEastAsia" w:hAnsiTheme="minorEastAsia" w:eastAsiaTheme="minorEastAsia"/>
          <w:sz w:val="24"/>
        </w:rPr>
        <w:t>如果分部分项工程量清单中涉及“发包人提供的材料和工程设备一览表”中列出的材料和工程设备，则该类材料和工程设备供应至现场指定位置的采购供应价本身不计入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2.6.4</w:t>
      </w:r>
      <w:r>
        <w:rPr>
          <w:rFonts w:hint="eastAsia" w:asciiTheme="minorEastAsia" w:hAnsiTheme="minorEastAsia" w:eastAsiaTheme="minorEastAsia"/>
          <w:sz w:val="24"/>
        </w:rPr>
        <w:tab/>
      </w:r>
      <w:r>
        <w:rPr>
          <w:rFonts w:hint="eastAsia" w:asciiTheme="minorEastAsia" w:hAnsiTheme="minorEastAsia" w:eastAsiaTheme="minorEastAsia"/>
          <w:sz w:val="24"/>
        </w:rPr>
        <w:t>“</w:t>
      </w:r>
      <w:r>
        <w:rPr>
          <w:rFonts w:hint="eastAsia" w:ascii="黑体" w:eastAsia="黑体"/>
          <w:sz w:val="24"/>
        </w:rPr>
        <w:t>分部分项工程和措施项目</w:t>
      </w:r>
      <w:r>
        <w:rPr>
          <w:rFonts w:hint="eastAsia" w:asciiTheme="minorEastAsia" w:hAnsiTheme="minorEastAsia" w:eastAsiaTheme="minorEastAsia"/>
          <w:sz w:val="24"/>
        </w:rPr>
        <w:t>清单与计价表”所列各子目的综合单价组成中，各子目的人工、材料和机械台班消耗量由供应商按照其自身情况做充分的、竞争性考虑。材料消耗量包括损耗量。</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2.6.5</w:t>
      </w:r>
      <w:r>
        <w:rPr>
          <w:rFonts w:hint="eastAsia" w:asciiTheme="minorEastAsia" w:hAnsiTheme="minorEastAsia" w:eastAsiaTheme="minorEastAsia"/>
          <w:sz w:val="24"/>
        </w:rPr>
        <w:tab/>
      </w:r>
      <w:r>
        <w:rPr>
          <w:rFonts w:hint="eastAsia" w:asciiTheme="minorEastAsia" w:hAnsiTheme="minorEastAsia" w:eastAsiaTheme="minorEastAsia"/>
          <w:sz w:val="24"/>
        </w:rPr>
        <w:t>供应商在响应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报价中考虑。</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2.7</w:t>
      </w:r>
      <w:r>
        <w:rPr>
          <w:rFonts w:hint="eastAsia" w:asciiTheme="minorEastAsia" w:hAnsiTheme="minorEastAsia" w:eastAsiaTheme="minorEastAsia"/>
          <w:sz w:val="24"/>
        </w:rPr>
        <w:tab/>
      </w:r>
      <w:r>
        <w:rPr>
          <w:rFonts w:hint="eastAsia" w:asciiTheme="minorEastAsia" w:hAnsiTheme="minorEastAsia" w:eastAsiaTheme="minorEastAsia"/>
          <w:sz w:val="24"/>
        </w:rPr>
        <w:t>措施项目按下列要求报价：</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2.7.1</w:t>
      </w:r>
      <w:r>
        <w:rPr>
          <w:rFonts w:hint="eastAsia" w:asciiTheme="minorEastAsia" w:hAnsiTheme="minorEastAsia" w:eastAsiaTheme="minorEastAsia"/>
          <w:sz w:val="24"/>
        </w:rPr>
        <w:tab/>
      </w:r>
      <w:r>
        <w:rPr>
          <w:rFonts w:hint="eastAsia" w:asciiTheme="minorEastAsia" w:hAnsiTheme="minorEastAsia" w:eastAsiaTheme="minorEastAsia"/>
          <w:sz w:val="24"/>
        </w:rPr>
        <w:t>措施项目清单计价应根据供应商的施工组织设计进行报价。可以计量工程量的措施项目，应按分部分项工程量清单的方式采用综合单价计价；其余的措施项目可以“项”为单位的方式计价。供应商所填报价格应包括除规费、税金外的全部费用。</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2.7.2</w:t>
      </w:r>
      <w:r>
        <w:rPr>
          <w:rFonts w:hint="eastAsia" w:asciiTheme="minorEastAsia" w:hAnsiTheme="minorEastAsia" w:eastAsiaTheme="minorEastAsia"/>
          <w:sz w:val="24"/>
        </w:rPr>
        <w:tab/>
      </w:r>
      <w:r>
        <w:rPr>
          <w:rFonts w:hint="eastAsia" w:asciiTheme="minorEastAsia" w:hAnsiTheme="minorEastAsia" w:eastAsiaTheme="minorEastAsia"/>
          <w:sz w:val="24"/>
        </w:rPr>
        <w:t>措施项目清单中的安全文明施工费应按国家、省级或行业建设主管部门的规定计价，不得作为竞争性费用。</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2.7.3</w:t>
      </w:r>
      <w:r>
        <w:rPr>
          <w:rFonts w:hint="eastAsia" w:asciiTheme="minorEastAsia" w:hAnsiTheme="minorEastAsia" w:eastAsiaTheme="minorEastAsia"/>
          <w:sz w:val="24"/>
        </w:rPr>
        <w:tab/>
      </w:r>
      <w:r>
        <w:rPr>
          <w:rFonts w:hint="eastAsia" w:asciiTheme="minorEastAsia" w:hAnsiTheme="minorEastAsia" w:eastAsiaTheme="minorEastAsia"/>
          <w:sz w:val="24"/>
        </w:rPr>
        <w:t>采购人提供的措施项目清单中所列项目仅指一般的通用项目，供应商在报价时应充分、全面地阅读和理解谈判文件的相关内容和约定，包括第七章“技术标准和要求”的相关约定，详实了解工程场地及其周围环境，充分考虑本工程特点及拟定的施工方案和施工组织设计，对采购人给出的措施项目清单的内容进行细化或增减。</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2.7.4</w:t>
      </w:r>
      <w:r>
        <w:rPr>
          <w:rFonts w:hint="eastAsia" w:asciiTheme="minorEastAsia" w:hAnsiTheme="minorEastAsia" w:eastAsiaTheme="minorEastAsia"/>
          <w:sz w:val="24"/>
        </w:rPr>
        <w:tab/>
      </w:r>
      <w:r>
        <w:rPr>
          <w:rFonts w:hint="eastAsia" w:asciiTheme="minorEastAsia" w:hAnsiTheme="minorEastAsia" w:eastAsiaTheme="minorEastAsia"/>
          <w:sz w:val="24"/>
        </w:rPr>
        <w:t>“措施项目清单与计价表”中所填写的报价金额，应全面涵盖谈判文件约定的供应商成交后施工、竣工、交付本工程并维修其任何缺陷所需要履行的责任和义务的全部费用。</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2.7.5</w:t>
      </w:r>
      <w:r>
        <w:rPr>
          <w:rFonts w:hint="eastAsia" w:asciiTheme="minorEastAsia" w:hAnsiTheme="minorEastAsia" w:eastAsiaTheme="minorEastAsia"/>
          <w:sz w:val="24"/>
        </w:rPr>
        <w:tab/>
      </w:r>
      <w:r>
        <w:rPr>
          <w:rFonts w:hint="eastAsia" w:asciiTheme="minorEastAsia" w:hAnsiTheme="minorEastAsia" w:eastAsiaTheme="minorEastAsia"/>
          <w:sz w:val="24"/>
        </w:rPr>
        <w:t>对于“措施项目清单与计价表”中所填写的报价金额，应按照“措施项目清单报价分析表”对措施项目报价的组成进行详细的列项和分析。</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2.8</w:t>
      </w:r>
      <w:r>
        <w:rPr>
          <w:rFonts w:hint="eastAsia" w:asciiTheme="minorEastAsia" w:hAnsiTheme="minorEastAsia" w:eastAsiaTheme="minorEastAsia"/>
          <w:sz w:val="24"/>
        </w:rPr>
        <w:tab/>
      </w:r>
      <w:r>
        <w:rPr>
          <w:rFonts w:hint="eastAsia" w:asciiTheme="minorEastAsia" w:hAnsiTheme="minorEastAsia" w:eastAsiaTheme="minorEastAsia"/>
          <w:sz w:val="24"/>
        </w:rPr>
        <w:t>其他项目清单费应按下列规定报价：</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2.8.1</w:t>
      </w:r>
      <w:r>
        <w:rPr>
          <w:rFonts w:hint="eastAsia" w:asciiTheme="minorEastAsia" w:hAnsiTheme="minorEastAsia" w:eastAsiaTheme="minorEastAsia"/>
          <w:sz w:val="24"/>
        </w:rPr>
        <w:tab/>
      </w:r>
      <w:r>
        <w:rPr>
          <w:rFonts w:hint="eastAsia" w:asciiTheme="minorEastAsia" w:hAnsiTheme="minorEastAsia" w:eastAsiaTheme="minorEastAsia"/>
          <w:sz w:val="24"/>
        </w:rPr>
        <w:t>暂列金额按“暂列金额明细表”中列出的金额报价，此处的暂列金额是采购人在谈判文件中统一给定的，并不包括本章第2.8.3项的计日工金额。</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2.8.2</w:t>
      </w:r>
      <w:r>
        <w:rPr>
          <w:rFonts w:hint="eastAsia" w:asciiTheme="minorEastAsia" w:hAnsiTheme="minorEastAsia" w:eastAsiaTheme="minorEastAsia"/>
          <w:sz w:val="24"/>
        </w:rPr>
        <w:tab/>
      </w:r>
      <w:r>
        <w:rPr>
          <w:rFonts w:hint="eastAsia" w:asciiTheme="minorEastAsia" w:hAnsiTheme="minorEastAsia" w:eastAsiaTheme="minorEastAsia"/>
          <w:sz w:val="24"/>
        </w:rPr>
        <w:t>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2.8.3</w:t>
      </w:r>
      <w:r>
        <w:rPr>
          <w:rFonts w:hint="eastAsia" w:asciiTheme="minorEastAsia" w:hAnsiTheme="minorEastAsia" w:eastAsiaTheme="minorEastAsia"/>
          <w:sz w:val="24"/>
        </w:rPr>
        <w:tab/>
      </w:r>
      <w:r>
        <w:rPr>
          <w:rFonts w:hint="eastAsia" w:asciiTheme="minorEastAsia" w:hAnsiTheme="minorEastAsia" w:eastAsiaTheme="minorEastAsia"/>
          <w:sz w:val="24"/>
        </w:rPr>
        <w:t>计日工按“计日工表”中列出的子目和估算数量，自主确定综合单价并计算计日工金额。计日工综合单价均不包括规费和税金，其中：</w:t>
      </w:r>
    </w:p>
    <w:p>
      <w:pPr>
        <w:snapToGrid w:val="0"/>
        <w:spacing w:beforeLines="50"/>
        <w:ind w:left="1200" w:leftChars="400" w:hanging="360" w:hangingChars="150"/>
        <w:rPr>
          <w:rFonts w:asciiTheme="minorEastAsia" w:hAnsiTheme="minorEastAsia" w:eastAsiaTheme="minorEastAsia"/>
          <w:sz w:val="24"/>
        </w:rPr>
      </w:pPr>
      <w:r>
        <w:rPr>
          <w:rFonts w:hint="eastAsia" w:asciiTheme="minorEastAsia" w:hAnsiTheme="minorEastAsia" w:eastAsiaTheme="minorEastAsia"/>
          <w:sz w:val="24"/>
        </w:rPr>
        <w:t>(1)劳务单价应当包括工人工资、交通费用、各种补贴、劳动安全保护、社保费用、手提手动和电动工器具、施工场地内已经搭设的脚手架、水电和低值易耗品费用、现场管理费用、企业管理费和利润；</w:t>
      </w:r>
    </w:p>
    <w:p>
      <w:pPr>
        <w:snapToGrid w:val="0"/>
        <w:spacing w:beforeLines="50"/>
        <w:ind w:left="1200" w:leftChars="400" w:hanging="360" w:hangingChars="150"/>
        <w:rPr>
          <w:rFonts w:asciiTheme="minorEastAsia" w:hAnsiTheme="minorEastAsia" w:eastAsiaTheme="minorEastAsia"/>
          <w:sz w:val="24"/>
        </w:rPr>
      </w:pPr>
      <w:r>
        <w:rPr>
          <w:rFonts w:hint="eastAsia" w:asciiTheme="minorEastAsia" w:hAnsiTheme="minorEastAsia" w:eastAsiaTheme="minorEastAsia"/>
          <w:sz w:val="24"/>
        </w:rPr>
        <w:t>(2)材料价格包括材料运到现场的价格以及现场搬运、仓储、二次搬运、损耗、保险、企业管理费和利润；</w:t>
      </w:r>
    </w:p>
    <w:p>
      <w:pPr>
        <w:snapToGrid w:val="0"/>
        <w:spacing w:beforeLines="50"/>
        <w:ind w:left="1200" w:leftChars="400" w:hanging="360" w:hangingChars="150"/>
        <w:rPr>
          <w:rFonts w:asciiTheme="minorEastAsia" w:hAnsiTheme="minorEastAsia" w:eastAsiaTheme="minorEastAsia"/>
          <w:sz w:val="24"/>
        </w:rPr>
      </w:pPr>
      <w:r>
        <w:rPr>
          <w:rFonts w:hint="eastAsia" w:asciiTheme="minorEastAsia" w:hAnsiTheme="minorEastAsia" w:eastAsiaTheme="minorEastAsia"/>
          <w:sz w:val="24"/>
        </w:rPr>
        <w:t>(3)施工机械限于在施工场地(现场)的机械设备，其价格包括租赁或折旧、维修、维护和燃油等消耗品以及操作人员费用，包括承包人企业管理费和利润，但不包括规费和税金。辅助人员按劳务价格另计。</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2.8.4</w:t>
      </w:r>
      <w:r>
        <w:rPr>
          <w:rFonts w:hint="eastAsia" w:asciiTheme="minorEastAsia" w:hAnsiTheme="minorEastAsia" w:eastAsiaTheme="minorEastAsia"/>
          <w:sz w:val="24"/>
        </w:rPr>
        <w:tab/>
      </w:r>
      <w:r>
        <w:rPr>
          <w:rFonts w:hint="eastAsia" w:asciiTheme="minorEastAsia" w:hAnsiTheme="minorEastAsia" w:eastAsiaTheme="minorEastAsia"/>
          <w:sz w:val="24"/>
        </w:rPr>
        <w:t>总承包服务费根据谈判文件中列出的内容和要求，按“总承包服务费计价表”所列格式自主报价。</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2.9</w:t>
      </w:r>
      <w:r>
        <w:rPr>
          <w:rFonts w:hint="eastAsia" w:asciiTheme="minorEastAsia" w:hAnsiTheme="minorEastAsia" w:eastAsiaTheme="minorEastAsia"/>
          <w:sz w:val="24"/>
        </w:rPr>
        <w:tab/>
      </w:r>
      <w:r>
        <w:rPr>
          <w:rFonts w:hint="eastAsia" w:asciiTheme="minorEastAsia" w:hAnsiTheme="minorEastAsia" w:eastAsiaTheme="minorEastAsia"/>
          <w:sz w:val="24"/>
        </w:rPr>
        <w:t>规费和税金应按“规费、税金项目清单与计价表”所列项目并根据国家、省级或行业建设主管部门的有关规定列项和计算，不得作为竞争性费用。</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2.10</w:t>
      </w:r>
      <w:r>
        <w:rPr>
          <w:rFonts w:hint="eastAsia" w:asciiTheme="minorEastAsia" w:hAnsiTheme="minorEastAsia" w:eastAsiaTheme="minorEastAsia"/>
          <w:sz w:val="24"/>
        </w:rPr>
        <w:tab/>
      </w:r>
      <w:r>
        <w:rPr>
          <w:rFonts w:hint="eastAsia" w:asciiTheme="minorEastAsia" w:hAnsiTheme="minorEastAsia" w:eastAsiaTheme="minorEastAsia"/>
          <w:sz w:val="24"/>
        </w:rPr>
        <w:t>除谈判文件有强制性规定以及不可竞争部分以外，报价由供应商自主确定，但不得低于其成本。</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2.11</w:t>
      </w:r>
      <w:r>
        <w:rPr>
          <w:rFonts w:hint="eastAsia" w:asciiTheme="minorEastAsia" w:hAnsiTheme="minorEastAsia" w:eastAsiaTheme="minorEastAsia"/>
          <w:sz w:val="24"/>
        </w:rPr>
        <w:tab/>
      </w:r>
      <w:r>
        <w:rPr>
          <w:rFonts w:hint="eastAsia" w:asciiTheme="minorEastAsia" w:hAnsiTheme="minorEastAsia" w:eastAsiaTheme="minorEastAsia"/>
          <w:sz w:val="24"/>
        </w:rPr>
        <w:t>工程量清单计价所涉及的生产资源(包括各类人工、材料、工程设备、施工设备、临时设施、临时用水、临时用电等)的价格，应根据自身的信息渠道和采购渠道，分析其市场价格水平并判断其整个施工周期内的变化趋势，体现供应商自身的管理水平、技术水平和综合实力。</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2.12</w:t>
      </w:r>
      <w:r>
        <w:rPr>
          <w:rFonts w:hint="eastAsia" w:asciiTheme="minorEastAsia" w:hAnsiTheme="minorEastAsia" w:eastAsiaTheme="minorEastAsia"/>
          <w:sz w:val="24"/>
        </w:rPr>
        <w:tab/>
      </w:r>
      <w:r>
        <w:rPr>
          <w:rFonts w:hint="eastAsia" w:asciiTheme="minorEastAsia" w:hAnsiTheme="minorEastAsia" w:eastAsiaTheme="minorEastAsia"/>
          <w:sz w:val="24"/>
        </w:rPr>
        <w:t>管理费应由供应商在保证不低于其成本的基础上做竞争性考虑；利润由供应商根据自身情况和综合实力做竞争性考虑。</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2.13</w:t>
      </w:r>
      <w:r>
        <w:rPr>
          <w:rFonts w:hint="eastAsia" w:asciiTheme="minorEastAsia" w:hAnsiTheme="minorEastAsia" w:eastAsiaTheme="minorEastAsia"/>
          <w:sz w:val="24"/>
        </w:rPr>
        <w:tab/>
      </w:r>
      <w:r>
        <w:rPr>
          <w:rFonts w:hint="eastAsia" w:asciiTheme="minorEastAsia" w:hAnsiTheme="minorEastAsia" w:eastAsiaTheme="minorEastAsia"/>
          <w:sz w:val="24"/>
        </w:rPr>
        <w:t>报价中应考虑谈判文件中要求供应商承担的风险范围以及相关的费用。</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2.14</w:t>
      </w:r>
      <w:r>
        <w:rPr>
          <w:rFonts w:hint="eastAsia" w:asciiTheme="minorEastAsia" w:hAnsiTheme="minorEastAsia" w:eastAsiaTheme="minorEastAsia"/>
          <w:sz w:val="24"/>
        </w:rPr>
        <w:tab/>
      </w:r>
      <w:r>
        <w:rPr>
          <w:rFonts w:hint="eastAsia" w:asciiTheme="minorEastAsia" w:hAnsiTheme="minorEastAsia" w:eastAsiaTheme="minorEastAsia"/>
          <w:sz w:val="24"/>
        </w:rPr>
        <w:t>报价总价为供应商在响应文件中提出的各项支付金额的总和，为实施、完成本工程并修补缺陷以及履行谈判文件中约定的风险范围内的所有责任和义务所发生的全部费用。</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2.15</w:t>
      </w:r>
      <w:r>
        <w:rPr>
          <w:rFonts w:hint="eastAsia" w:asciiTheme="minorEastAsia" w:hAnsiTheme="minorEastAsia" w:eastAsiaTheme="minorEastAsia"/>
          <w:sz w:val="24"/>
        </w:rPr>
        <w:tab/>
      </w:r>
      <w:r>
        <w:rPr>
          <w:rFonts w:hint="eastAsia" w:asciiTheme="minorEastAsia" w:hAnsiTheme="minorEastAsia" w:eastAsiaTheme="minorEastAsia"/>
          <w:sz w:val="24"/>
        </w:rPr>
        <w:t>有关报价的其他说明：</w:t>
      </w:r>
    </w:p>
    <w:p>
      <w:pPr>
        <w:adjustRightInd w:val="0"/>
        <w:snapToGrid w:val="0"/>
        <w:spacing w:beforeLines="50"/>
        <w:ind w:left="849" w:leftChars="404" w:hanging="1"/>
        <w:rPr>
          <w:sz w:val="24"/>
          <w:u w:val="single"/>
        </w:rPr>
      </w:pPr>
      <w:r>
        <w:rPr>
          <w:rFonts w:hint="eastAsia"/>
          <w:sz w:val="24"/>
          <w:u w:val="single"/>
        </w:rPr>
        <w:t>供应商不得修改采购人发出的工程量清单的任何内容，包括：分部分项工程和单价措施项目清单中的序号、项目编码、项目名称、项目特征描述、计量单位和工程量；暂列金额明细表、材料设备的暂估单价以及计日工表中的项目名称、暂定数量等。否则其响应文件无效，并不得参与谈判。</w:t>
      </w:r>
    </w:p>
    <w:p>
      <w:pPr>
        <w:snapToGrid w:val="0"/>
        <w:spacing w:beforeLines="50"/>
        <w:ind w:left="850" w:hanging="849" w:hangingChars="354"/>
        <w:outlineLvl w:val="1"/>
        <w:rPr>
          <w:rFonts w:ascii="黑体" w:hAnsi="宋体" w:eastAsia="黑体"/>
          <w:sz w:val="24"/>
        </w:rPr>
      </w:pPr>
      <w:bookmarkStart w:id="561" w:name="_Toc4400"/>
      <w:bookmarkStart w:id="562" w:name="_Toc2123"/>
      <w:r>
        <w:rPr>
          <w:rFonts w:hint="eastAsia" w:ascii="黑体" w:hAnsi="宋体" w:eastAsia="黑体"/>
          <w:sz w:val="24"/>
        </w:rPr>
        <w:t>3</w:t>
      </w:r>
      <w:r>
        <w:rPr>
          <w:rFonts w:hint="eastAsia" w:ascii="黑体" w:hAnsi="宋体" w:eastAsia="黑体"/>
          <w:sz w:val="24"/>
        </w:rPr>
        <w:tab/>
      </w:r>
      <w:r>
        <w:rPr>
          <w:rFonts w:hint="eastAsia" w:ascii="黑体" w:hAnsi="宋体" w:eastAsia="黑体"/>
          <w:sz w:val="24"/>
        </w:rPr>
        <w:t>其他说明</w:t>
      </w:r>
      <w:bookmarkEnd w:id="561"/>
      <w:bookmarkEnd w:id="562"/>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3.1</w:t>
      </w:r>
      <w:r>
        <w:rPr>
          <w:rFonts w:hint="eastAsia" w:asciiTheme="minorEastAsia" w:hAnsiTheme="minorEastAsia" w:eastAsiaTheme="minorEastAsia"/>
          <w:sz w:val="24"/>
        </w:rPr>
        <w:tab/>
      </w:r>
      <w:r>
        <w:rPr>
          <w:rFonts w:hint="eastAsia" w:asciiTheme="minorEastAsia" w:hAnsiTheme="minorEastAsia" w:eastAsiaTheme="minorEastAsia"/>
          <w:sz w:val="24"/>
        </w:rPr>
        <w:t>词语和定义</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3.1.1</w:t>
      </w:r>
      <w:r>
        <w:rPr>
          <w:rFonts w:hint="eastAsia" w:asciiTheme="minorEastAsia" w:hAnsiTheme="minorEastAsia" w:eastAsiaTheme="minorEastAsia"/>
          <w:sz w:val="24"/>
        </w:rPr>
        <w:tab/>
      </w:r>
      <w:r>
        <w:rPr>
          <w:rFonts w:hint="eastAsia" w:asciiTheme="minorEastAsia" w:hAnsiTheme="minorEastAsia" w:eastAsiaTheme="minorEastAsia"/>
          <w:sz w:val="24"/>
        </w:rPr>
        <w:t>工程量清单</w:t>
      </w:r>
    </w:p>
    <w:p>
      <w:pPr>
        <w:snapToGrid w:val="0"/>
        <w:spacing w:beforeLines="50"/>
        <w:ind w:left="840" w:leftChars="400"/>
        <w:rPr>
          <w:sz w:val="24"/>
        </w:rPr>
      </w:pPr>
      <w:r>
        <w:rPr>
          <w:rFonts w:hint="eastAsia"/>
          <w:sz w:val="24"/>
        </w:rPr>
        <w:t>是表现本工程分部分项工程项目、措施项目、其他项目、规费项目和税金的名称和相应数量等的明细清单。</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3.1.2</w:t>
      </w:r>
      <w:r>
        <w:rPr>
          <w:rFonts w:hint="eastAsia" w:asciiTheme="minorEastAsia" w:hAnsiTheme="minorEastAsia" w:eastAsiaTheme="minorEastAsia"/>
          <w:sz w:val="24"/>
        </w:rPr>
        <w:tab/>
      </w:r>
      <w:r>
        <w:rPr>
          <w:rFonts w:hint="eastAsia" w:asciiTheme="minorEastAsia" w:hAnsiTheme="minorEastAsia" w:eastAsiaTheme="minorEastAsia"/>
          <w:sz w:val="24"/>
        </w:rPr>
        <w:t>总价子目</w:t>
      </w:r>
    </w:p>
    <w:p>
      <w:pPr>
        <w:snapToGrid w:val="0"/>
        <w:spacing w:beforeLines="50"/>
        <w:ind w:left="840" w:leftChars="400"/>
        <w:rPr>
          <w:sz w:val="24"/>
        </w:rPr>
      </w:pPr>
      <w:r>
        <w:rPr>
          <w:rFonts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约定的变更除外)。</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3.1.3</w:t>
      </w:r>
      <w:r>
        <w:rPr>
          <w:rFonts w:hint="eastAsia" w:asciiTheme="minorEastAsia" w:hAnsiTheme="minorEastAsia" w:eastAsiaTheme="minorEastAsia"/>
          <w:sz w:val="24"/>
        </w:rPr>
        <w:tab/>
      </w:r>
      <w:r>
        <w:rPr>
          <w:rFonts w:hint="eastAsia" w:asciiTheme="minorEastAsia" w:hAnsiTheme="minorEastAsia" w:eastAsiaTheme="minorEastAsia"/>
          <w:sz w:val="24"/>
        </w:rPr>
        <w:t>单价子目</w:t>
      </w:r>
    </w:p>
    <w:p>
      <w:pPr>
        <w:snapToGrid w:val="0"/>
        <w:spacing w:beforeLines="50"/>
        <w:ind w:left="840" w:leftChars="400"/>
        <w:rPr>
          <w:sz w:val="24"/>
        </w:rPr>
      </w:pPr>
      <w:r>
        <w:rPr>
          <w:rFonts w:hint="eastAsia"/>
          <w:sz w:val="24"/>
        </w:rPr>
        <w:t>工程量清单中以单价计价，根据有合同约束力的图纸和工程量计算规则进行计量，以实际完成数量乘以相应单价进行结算的子目。</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3.1.4</w:t>
      </w:r>
      <w:r>
        <w:rPr>
          <w:rFonts w:hint="eastAsia" w:asciiTheme="minorEastAsia" w:hAnsiTheme="minorEastAsia" w:eastAsiaTheme="minorEastAsia"/>
          <w:sz w:val="24"/>
        </w:rPr>
        <w:tab/>
      </w:r>
      <w:r>
        <w:rPr>
          <w:rFonts w:hint="eastAsia" w:asciiTheme="minorEastAsia" w:hAnsiTheme="minorEastAsia" w:eastAsiaTheme="minorEastAsia"/>
          <w:sz w:val="24"/>
        </w:rPr>
        <w:t>子目编码</w:t>
      </w:r>
    </w:p>
    <w:p>
      <w:pPr>
        <w:snapToGrid w:val="0"/>
        <w:spacing w:beforeLines="50"/>
        <w:ind w:left="840" w:leftChars="400"/>
        <w:rPr>
          <w:sz w:val="24"/>
        </w:rPr>
      </w:pPr>
      <w:r>
        <w:rPr>
          <w:rFonts w:hint="eastAsia"/>
          <w:sz w:val="24"/>
        </w:rPr>
        <w:t>分部分项工程项目清单中所列的子目名称的数字标识和代码，子目编码与项目编码同义。</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3.1.5</w:t>
      </w:r>
      <w:r>
        <w:rPr>
          <w:rFonts w:hint="eastAsia" w:asciiTheme="minorEastAsia" w:hAnsiTheme="minorEastAsia" w:eastAsiaTheme="minorEastAsia"/>
          <w:sz w:val="24"/>
        </w:rPr>
        <w:tab/>
      </w:r>
      <w:r>
        <w:rPr>
          <w:rFonts w:hint="eastAsia" w:asciiTheme="minorEastAsia" w:hAnsiTheme="minorEastAsia" w:eastAsiaTheme="minorEastAsia"/>
          <w:sz w:val="24"/>
        </w:rPr>
        <w:t>子目特征</w:t>
      </w:r>
    </w:p>
    <w:p>
      <w:pPr>
        <w:snapToGrid w:val="0"/>
        <w:spacing w:beforeLines="50"/>
        <w:ind w:left="840" w:leftChars="400"/>
        <w:rPr>
          <w:sz w:val="24"/>
        </w:rPr>
      </w:pPr>
      <w:r>
        <w:rPr>
          <w:rFonts w:hint="eastAsia"/>
          <w:sz w:val="24"/>
        </w:rPr>
        <w:t>构成分部分项工程项目清单子目、措施项目的实质内容、决定其自身价值的本质特征，子目特征与项目特征同义。</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3.1.6</w:t>
      </w:r>
      <w:r>
        <w:rPr>
          <w:rFonts w:hint="eastAsia" w:asciiTheme="minorEastAsia" w:hAnsiTheme="minorEastAsia" w:eastAsiaTheme="minorEastAsia"/>
          <w:sz w:val="24"/>
        </w:rPr>
        <w:tab/>
      </w:r>
      <w:r>
        <w:rPr>
          <w:rFonts w:hint="eastAsia" w:asciiTheme="minorEastAsia" w:hAnsiTheme="minorEastAsia" w:eastAsiaTheme="minorEastAsia"/>
          <w:sz w:val="24"/>
        </w:rPr>
        <w:t>规费</w:t>
      </w:r>
    </w:p>
    <w:p>
      <w:pPr>
        <w:snapToGrid w:val="0"/>
        <w:spacing w:beforeLines="50"/>
        <w:ind w:left="840" w:leftChars="400"/>
        <w:rPr>
          <w:sz w:val="24"/>
        </w:rPr>
      </w:pPr>
      <w:r>
        <w:rPr>
          <w:rFonts w:hint="eastAsia"/>
          <w:sz w:val="24"/>
        </w:rPr>
        <w:t>承包人根据省级政府或省级有关权力部门规定必须缴纳的，应计入建筑安装工程造价的费用。</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3.1.7</w:t>
      </w:r>
      <w:r>
        <w:rPr>
          <w:rFonts w:hint="eastAsia" w:asciiTheme="minorEastAsia" w:hAnsiTheme="minorEastAsia" w:eastAsiaTheme="minorEastAsia"/>
          <w:sz w:val="24"/>
        </w:rPr>
        <w:tab/>
      </w:r>
      <w:r>
        <w:rPr>
          <w:rFonts w:hint="eastAsia" w:asciiTheme="minorEastAsia" w:hAnsiTheme="minorEastAsia" w:eastAsiaTheme="minorEastAsia"/>
          <w:sz w:val="24"/>
        </w:rPr>
        <w:t>税金</w:t>
      </w:r>
    </w:p>
    <w:p>
      <w:pPr>
        <w:snapToGrid w:val="0"/>
        <w:spacing w:beforeLines="50"/>
        <w:ind w:left="840" w:leftChars="400"/>
        <w:rPr>
          <w:sz w:val="24"/>
        </w:rPr>
      </w:pPr>
      <w:r>
        <w:rPr>
          <w:rFonts w:hint="eastAsia"/>
          <w:sz w:val="24"/>
        </w:rPr>
        <w:t>国家税法规定的应计入建筑安装工程造价内的营业税、城市维护建设税及教育费附加等。</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3.1.8</w:t>
      </w:r>
      <w:r>
        <w:rPr>
          <w:rFonts w:hint="eastAsia" w:asciiTheme="minorEastAsia" w:hAnsiTheme="minorEastAsia" w:eastAsiaTheme="minorEastAsia"/>
          <w:sz w:val="24"/>
        </w:rPr>
        <w:tab/>
      </w:r>
      <w:r>
        <w:rPr>
          <w:rFonts w:hint="eastAsia" w:asciiTheme="minorEastAsia" w:hAnsiTheme="minorEastAsia" w:eastAsiaTheme="minorEastAsia"/>
          <w:sz w:val="24"/>
        </w:rPr>
        <w:t>总承包服务费</w:t>
      </w:r>
    </w:p>
    <w:p>
      <w:pPr>
        <w:snapToGrid w:val="0"/>
        <w:spacing w:beforeLines="50"/>
        <w:ind w:left="840" w:leftChars="400"/>
        <w:rPr>
          <w:sz w:val="24"/>
        </w:rPr>
      </w:pPr>
      <w:r>
        <w:rPr>
          <w:rFonts w:hint="eastAsia"/>
          <w:sz w:val="24"/>
        </w:rPr>
        <w:t>总承包人为配合协调发包人发包的专业工程以及发包人采购的材料和工程设备等进行管理、服务以及施工现场管理、竣工资料汇总整理等所需的费用。</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3.1.9</w:t>
      </w:r>
      <w:r>
        <w:rPr>
          <w:rFonts w:hint="eastAsia" w:asciiTheme="minorEastAsia" w:hAnsiTheme="minorEastAsia" w:eastAsiaTheme="minorEastAsia"/>
          <w:sz w:val="24"/>
        </w:rPr>
        <w:tab/>
      </w:r>
      <w:r>
        <w:rPr>
          <w:rFonts w:hint="eastAsia" w:asciiTheme="minorEastAsia" w:hAnsiTheme="minorEastAsia" w:eastAsiaTheme="minorEastAsia"/>
          <w:sz w:val="24"/>
        </w:rPr>
        <w:t>同义词语</w:t>
      </w:r>
    </w:p>
    <w:p>
      <w:pPr>
        <w:snapToGrid w:val="0"/>
        <w:spacing w:beforeLines="50"/>
        <w:ind w:left="850" w:leftChars="405" w:firstLine="2" w:firstLineChars="1"/>
        <w:rPr>
          <w:sz w:val="24"/>
        </w:rPr>
      </w:pPr>
      <w:r>
        <w:rPr>
          <w:rFonts w:hint="eastAsia"/>
          <w:sz w:val="24"/>
        </w:rPr>
        <w:t>本章中使用的词语“采购人”和“供应商”分别与合同条款中定义的“发包人”和“承包人”同义</w:t>
      </w:r>
      <w:r>
        <w:rPr>
          <w:rFonts w:hint="eastAsia" w:ascii="宋体" w:hAnsi="宋体"/>
          <w:sz w:val="24"/>
        </w:rPr>
        <w:t>；</w:t>
      </w:r>
      <w:r>
        <w:rPr>
          <w:rFonts w:hint="eastAsia"/>
          <w:sz w:val="24"/>
        </w:rPr>
        <w:t>就工程量清单而言，“子目”与“项目”同义。</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3.2</w:t>
      </w:r>
      <w:r>
        <w:rPr>
          <w:rFonts w:hint="eastAsia" w:asciiTheme="minorEastAsia" w:hAnsiTheme="minorEastAsia" w:eastAsiaTheme="minorEastAsia"/>
          <w:sz w:val="24"/>
        </w:rPr>
        <w:tab/>
      </w:r>
      <w:r>
        <w:rPr>
          <w:rFonts w:hint="eastAsia" w:asciiTheme="minorEastAsia" w:hAnsiTheme="minorEastAsia" w:eastAsiaTheme="minorEastAsia"/>
          <w:sz w:val="24"/>
        </w:rPr>
        <w:t>工程量差异调整</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3.2.1</w:t>
      </w:r>
      <w:r>
        <w:rPr>
          <w:rFonts w:hint="eastAsia" w:asciiTheme="minorEastAsia" w:hAnsiTheme="minorEastAsia" w:eastAsiaTheme="minorEastAsia"/>
          <w:sz w:val="24"/>
        </w:rPr>
        <w:tab/>
      </w:r>
      <w:r>
        <w:rPr>
          <w:rFonts w:hint="eastAsia" w:asciiTheme="minorEastAsia" w:hAnsiTheme="minorEastAsia" w:eastAsiaTheme="minorEastAsia"/>
          <w:sz w:val="24"/>
        </w:rPr>
        <w:t>工程量清单中的工作内容分类、子目列项、特征描述以及“</w:t>
      </w:r>
      <w:r>
        <w:rPr>
          <w:rFonts w:hint="eastAsia" w:ascii="黑体" w:eastAsia="黑体"/>
          <w:sz w:val="24"/>
        </w:rPr>
        <w:t>分部分项工程和措施项目</w:t>
      </w:r>
      <w:r>
        <w:rPr>
          <w:rFonts w:hint="eastAsia" w:asciiTheme="minorEastAsia" w:hAnsiTheme="minorEastAsia" w:eastAsiaTheme="minorEastAsia"/>
          <w:sz w:val="24"/>
        </w:rPr>
        <w:t>清单与计价表”中附带的工程量都不应理解为是对承包范围以及合同工作内容的唯一的、最终的或全部的定义。</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3.2.2</w:t>
      </w:r>
      <w:r>
        <w:rPr>
          <w:rFonts w:hint="eastAsia" w:asciiTheme="minorEastAsia" w:hAnsiTheme="minorEastAsia" w:eastAsiaTheme="minorEastAsia"/>
          <w:sz w:val="24"/>
        </w:rPr>
        <w:tab/>
      </w:r>
      <w:r>
        <w:rPr>
          <w:rFonts w:hint="eastAsia" w:asciiTheme="minorEastAsia" w:hAnsiTheme="minorEastAsia" w:eastAsiaTheme="minorEastAsia"/>
          <w:sz w:val="24"/>
        </w:rPr>
        <w:t>供应商应对采购人提供的工程量清单进行认真细致的复核。这种复核包括对采购人提供的工程量清单中的子目编码、子目名称、子目特征描述、计量单位、工程量的准确性以及可能存在的任何书写、打印错误进行检查和复核，特别是对“</w:t>
      </w:r>
      <w:r>
        <w:rPr>
          <w:rFonts w:hint="eastAsia" w:ascii="黑体" w:eastAsia="黑体"/>
          <w:sz w:val="24"/>
        </w:rPr>
        <w:t>分部分项工程和措施项目</w:t>
      </w:r>
      <w:r>
        <w:rPr>
          <w:rFonts w:hint="eastAsia" w:asciiTheme="minorEastAsia" w:hAnsiTheme="minorEastAsia" w:eastAsiaTheme="minorEastAsia"/>
          <w:sz w:val="24"/>
        </w:rPr>
        <w:t>清单与计价表”中每个工作子目的工程量进行重新计算和校核。如果供应商经过检查和复核以后认为采购人提供的工程量清单存在差异，则供应商应将此类差异的详细情况连同按供应商须知规定提交的要求采购人澄清的其他问题一起提交给采购人，采购人将根据实际情况决定是否颁发工程量清单的补充和(或)修改文件。</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3.2.3</w:t>
      </w:r>
      <w:r>
        <w:rPr>
          <w:rFonts w:hint="eastAsia" w:asciiTheme="minorEastAsia" w:hAnsiTheme="minorEastAsia" w:eastAsiaTheme="minorEastAsia"/>
          <w:sz w:val="24"/>
        </w:rPr>
        <w:tab/>
      </w:r>
      <w:r>
        <w:rPr>
          <w:rFonts w:hint="eastAsia" w:asciiTheme="minorEastAsia" w:hAnsiTheme="minorEastAsia" w:eastAsiaTheme="minorEastAsia"/>
          <w:sz w:val="24"/>
        </w:rPr>
        <w:t>如果采购人在检查供应商根据上文第3.2.2项提交的工程量差异问题后认为没有必要对工程量清单进行补充和(或)修改，或者采购人根据上文第3.2.2项对工程量清单进行了补充和(或)修改，但供应商认为工程量清单中的工程量依然存在差异，则此类差异不再提交采购人答疑和修正，而是直接按采购人提供的工程量清单(包括采购人可能的补充和(或)修改)进行报价。供应商在按照工程量清单进行报价时，除按照本节2.7.3项要求对采购人提供的措施项目清单的内容进行细化或增减外，不得改变(包括对工程量清单子目的子目名称、子目特征描述、计量单位以及工程量的任何修改、增加或减少)采购人提供的分部分项工程量清单和其他项目清单。即使按照图纸和采购范围的约定并不存在的子目，只要在采购人提供的分部分项工程量清单中已经列明，供应商都需要对其报价，并纳入总价的计算。</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3.3</w:t>
      </w:r>
      <w:r>
        <w:rPr>
          <w:rFonts w:hint="eastAsia" w:asciiTheme="minorEastAsia" w:hAnsiTheme="minorEastAsia" w:eastAsiaTheme="minorEastAsia"/>
          <w:sz w:val="24"/>
        </w:rPr>
        <w:tab/>
      </w:r>
      <w:r>
        <w:rPr>
          <w:rFonts w:hint="eastAsia" w:asciiTheme="minorEastAsia" w:hAnsiTheme="minorEastAsia" w:eastAsiaTheme="minorEastAsia"/>
          <w:sz w:val="24"/>
        </w:rPr>
        <w:t>暂列金额和暂估价</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3.3.1</w:t>
      </w:r>
      <w:r>
        <w:rPr>
          <w:rFonts w:hint="eastAsia" w:asciiTheme="minorEastAsia" w:hAnsiTheme="minorEastAsia" w:eastAsiaTheme="minorEastAsia"/>
          <w:sz w:val="24"/>
        </w:rPr>
        <w:tab/>
      </w:r>
      <w:r>
        <w:rPr>
          <w:rFonts w:hint="eastAsia" w:asciiTheme="minorEastAsia" w:hAnsiTheme="minorEastAsia" w:eastAsiaTheme="minorEastAsia"/>
          <w:sz w:val="24"/>
        </w:rPr>
        <w:t>“暂列金额明细表”中所列暂列金额(不包括计日工金额)中已经包含与其对应的管理费、利润和规费，但不含税金。供应商应按本谈判文件规定将此类暂列金额直接纳入其他项目清单的价格并计取相应的税金，不需要考虑除税金以外的其他任何费用。</w:t>
      </w:r>
    </w:p>
    <w:p>
      <w:pPr>
        <w:snapToGrid w:val="0"/>
        <w:spacing w:beforeLines="50"/>
        <w:ind w:left="864" w:hanging="864" w:hangingChars="360"/>
        <w:rPr>
          <w:sz w:val="24"/>
        </w:rPr>
      </w:pPr>
      <w:r>
        <w:rPr>
          <w:rFonts w:hint="eastAsia" w:asciiTheme="minorEastAsia" w:hAnsiTheme="minorEastAsia" w:eastAsiaTheme="minorEastAsia"/>
          <w:sz w:val="24"/>
        </w:rPr>
        <w:t>3.3.2</w:t>
      </w:r>
      <w:r>
        <w:rPr>
          <w:rFonts w:hint="eastAsia" w:asciiTheme="minorEastAsia" w:hAnsiTheme="minorEastAsia" w:eastAsiaTheme="minorEastAsia"/>
          <w:sz w:val="24"/>
        </w:rPr>
        <w:tab/>
      </w:r>
      <w:r>
        <w:rPr>
          <w:rFonts w:hint="eastAsia" w:asciiTheme="minorEastAsia" w:hAnsiTheme="minorEastAsia" w:eastAsiaTheme="minorEastAsia"/>
          <w:sz w:val="24"/>
        </w:rPr>
        <w:t>“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谈判文件规定将此类暂估价本身纳入分部分项工程量清单相应子目的综合单价以外，供应商还应将上述材料和工程设备的安装及辅助工作所发生的费用以及与此类费用有关的管理费和利润包含在分部分项工程</w:t>
      </w:r>
      <w:r>
        <w:rPr>
          <w:rFonts w:hint="eastAsia"/>
          <w:sz w:val="24"/>
        </w:rPr>
        <w:t>量清单相应子目的综合单价中，并计取相应的规费和税金。</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3.3.3</w:t>
      </w:r>
      <w:r>
        <w:rPr>
          <w:rFonts w:hint="eastAsia" w:asciiTheme="minorEastAsia" w:hAnsiTheme="minorEastAsia" w:eastAsiaTheme="minorEastAsia"/>
          <w:sz w:val="24"/>
        </w:rPr>
        <w:tab/>
      </w:r>
      <w:r>
        <w:rPr>
          <w:rFonts w:hint="eastAsia" w:asciiTheme="minorEastAsia" w:hAnsiTheme="minorEastAsia" w:eastAsiaTheme="minorEastAsia"/>
          <w:sz w:val="24"/>
        </w:rPr>
        <w:t>专业工程暂估价表中所列的专业工程暂估价已经包含与其对应的管理费、利润和规费，但不含税金。供应商应按本谈判文件规定将此类暂估价直接纳入其他项目清单的价格并计取相应的税金。除按本谈判文件规定将此类暂估价纳入其他项目清单的价格并计取相应的税金以外，供应商还需要根据谈判文件规定的内容考虑相应的总承包服务费以及与总承包服务费有关的规费和税金。</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3.4</w:t>
      </w:r>
      <w:r>
        <w:rPr>
          <w:rFonts w:hint="eastAsia" w:asciiTheme="minorEastAsia" w:hAnsiTheme="minorEastAsia" w:eastAsiaTheme="minorEastAsia"/>
          <w:sz w:val="24"/>
        </w:rPr>
        <w:tab/>
      </w:r>
      <w:r>
        <w:rPr>
          <w:rFonts w:hint="eastAsia" w:asciiTheme="minorEastAsia" w:hAnsiTheme="minorEastAsia" w:eastAsiaTheme="minorEastAsia"/>
          <w:sz w:val="24"/>
        </w:rPr>
        <w:t>其他补充说明</w:t>
      </w:r>
    </w:p>
    <w:p>
      <w:pPr>
        <w:snapToGrid w:val="0"/>
        <w:spacing w:beforeLines="50"/>
        <w:ind w:firstLine="960" w:firstLineChars="400"/>
        <w:rPr>
          <w:rFonts w:ascii="黑体" w:eastAsia="黑体"/>
          <w:sz w:val="24"/>
          <w:u w:val="single"/>
        </w:rPr>
      </w:pPr>
      <w:r>
        <w:rPr>
          <w:rFonts w:hint="eastAsia" w:ascii="黑体" w:eastAsia="黑体"/>
          <w:sz w:val="24"/>
          <w:u w:val="single"/>
          <w:lang w:val="en-US" w:eastAsia="zh-CN"/>
        </w:rPr>
        <w:t>/</w:t>
      </w:r>
      <w:r>
        <w:rPr>
          <w:rFonts w:hint="eastAsia" w:ascii="黑体" w:eastAsia="黑体"/>
          <w:sz w:val="24"/>
          <w:u w:val="single"/>
        </w:rPr>
        <w:t>。</w:t>
      </w:r>
    </w:p>
    <w:p>
      <w:pPr>
        <w:spacing w:line="380" w:lineRule="exact"/>
        <w:rPr>
          <w:rFonts w:ascii="黑体" w:eastAsia="黑体"/>
          <w:sz w:val="28"/>
          <w:szCs w:val="28"/>
          <w:u w:val="single"/>
        </w:rPr>
      </w:pPr>
      <w:r>
        <w:rPr>
          <w:rFonts w:ascii="黑体" w:eastAsia="黑体"/>
          <w:sz w:val="28"/>
          <w:szCs w:val="28"/>
          <w:u w:val="single"/>
        </w:rPr>
        <w:br w:type="page"/>
      </w:r>
    </w:p>
    <w:p>
      <w:pPr>
        <w:spacing w:line="380" w:lineRule="exact"/>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详细工程量清单</w:t>
      </w:r>
    </w:p>
    <w:p>
      <w:pPr>
        <w:spacing w:line="380" w:lineRule="exact"/>
        <w:rPr>
          <w:rFonts w:hint="eastAsia" w:ascii="宋体" w:hAnsi="宋体"/>
          <w:lang w:val="en-US" w:eastAsia="zh-CN"/>
        </w:rPr>
      </w:pPr>
      <w:r>
        <w:rPr>
          <w:rFonts w:hint="eastAsia" w:ascii="宋体" w:hAnsi="宋体"/>
          <w:lang w:val="en-US" w:eastAsia="zh-CN"/>
        </w:rPr>
        <w:t>另册提供。</w:t>
      </w:r>
    </w:p>
    <w:p>
      <w:pPr>
        <w:widowControl/>
        <w:jc w:val="left"/>
      </w:pPr>
      <w:r>
        <w:br w:type="page"/>
      </w:r>
    </w:p>
    <w:p>
      <w:pPr>
        <w:snapToGrid w:val="0"/>
        <w:spacing w:afterLines="50"/>
        <w:jc w:val="center"/>
        <w:outlineLvl w:val="0"/>
        <w:rPr>
          <w:sz w:val="36"/>
          <w:szCs w:val="36"/>
          <w:highlight w:val="none"/>
        </w:rPr>
      </w:pPr>
      <w:bookmarkStart w:id="563" w:name="_Toc28310"/>
      <w:r>
        <w:rPr>
          <w:rFonts w:hint="eastAsia"/>
          <w:sz w:val="36"/>
          <w:szCs w:val="36"/>
          <w:highlight w:val="none"/>
        </w:rPr>
        <w:t>第六章</w:t>
      </w:r>
      <w:r>
        <w:rPr>
          <w:sz w:val="36"/>
          <w:szCs w:val="36"/>
          <w:highlight w:val="none"/>
        </w:rPr>
        <w:t xml:space="preserve"> </w:t>
      </w:r>
      <w:r>
        <w:rPr>
          <w:rFonts w:hint="eastAsia"/>
          <w:sz w:val="36"/>
          <w:szCs w:val="36"/>
          <w:highlight w:val="none"/>
          <w:lang w:val="en-US" w:eastAsia="zh-CN"/>
        </w:rPr>
        <w:t xml:space="preserve"> </w:t>
      </w:r>
      <w:r>
        <w:rPr>
          <w:rFonts w:hint="eastAsia"/>
          <w:sz w:val="36"/>
          <w:szCs w:val="36"/>
          <w:highlight w:val="none"/>
        </w:rPr>
        <w:t>技术标准和要求</w:t>
      </w:r>
      <w:bookmarkEnd w:id="563"/>
    </w:p>
    <w:p>
      <w:pPr>
        <w:snapToGrid w:val="0"/>
        <w:spacing w:afterLines="50"/>
        <w:jc w:val="center"/>
      </w:pPr>
    </w:p>
    <w:p>
      <w:pPr>
        <w:snapToGrid w:val="0"/>
        <w:spacing w:afterLines="50"/>
        <w:jc w:val="center"/>
      </w:pPr>
    </w:p>
    <w:p>
      <w:pPr>
        <w:snapToGrid w:val="0"/>
        <w:spacing w:afterLines="50"/>
        <w:jc w:val="center"/>
        <w:rPr>
          <w:sz w:val="24"/>
        </w:rPr>
      </w:pPr>
      <w:r>
        <w:rPr>
          <w:rFonts w:hint="eastAsia"/>
          <w:sz w:val="24"/>
        </w:rPr>
        <w:t>适用标准、规范的名称：除适用现行国家及省市相关的所有标准、规范、规程外，承诺包人还必须遵守发包人在签订合同时及建设项目过程中制订的相关管理规定。</w:t>
      </w:r>
    </w:p>
    <w:p>
      <w:pPr>
        <w:snapToGrid w:val="0"/>
        <w:spacing w:afterLines="50"/>
        <w:jc w:val="center"/>
        <w:rPr>
          <w:sz w:val="24"/>
        </w:rPr>
      </w:pPr>
      <w:r>
        <w:rPr>
          <w:rFonts w:hint="eastAsia"/>
          <w:sz w:val="24"/>
        </w:rPr>
        <w:t>国内没有相应标准、规范时的约定：由发包人委托的设计单位提出标准及规范(含国外标准)，经工程师确认后执行。</w:t>
      </w:r>
    </w:p>
    <w:p>
      <w:pPr>
        <w:snapToGrid w:val="0"/>
        <w:spacing w:afterLines="50"/>
        <w:jc w:val="center"/>
      </w:pPr>
    </w:p>
    <w:p>
      <w:pPr>
        <w:snapToGrid w:val="0"/>
        <w:spacing w:afterLines="50"/>
        <w:jc w:val="center"/>
      </w:pPr>
    </w:p>
    <w:p>
      <w:pPr>
        <w:snapToGrid w:val="0"/>
        <w:spacing w:afterLines="50"/>
      </w:pPr>
      <w:r>
        <w:br w:type="page"/>
      </w:r>
    </w:p>
    <w:p>
      <w:pPr>
        <w:snapToGrid w:val="0"/>
        <w:spacing w:afterLines="50"/>
      </w:pPr>
    </w:p>
    <w:p>
      <w:pPr>
        <w:snapToGrid w:val="0"/>
        <w:spacing w:afterLines="50"/>
      </w:pPr>
    </w:p>
    <w:p>
      <w:pPr>
        <w:snapToGrid w:val="0"/>
        <w:spacing w:afterLines="50"/>
        <w:jc w:val="center"/>
        <w:outlineLvl w:val="0"/>
        <w:rPr>
          <w:sz w:val="44"/>
          <w:szCs w:val="44"/>
        </w:rPr>
      </w:pPr>
      <w:bookmarkStart w:id="564" w:name="_Toc29219"/>
      <w:r>
        <w:rPr>
          <w:rFonts w:hint="eastAsia"/>
          <w:sz w:val="44"/>
          <w:szCs w:val="44"/>
        </w:rPr>
        <w:t>第七章</w:t>
      </w:r>
      <w:r>
        <w:rPr>
          <w:rFonts w:hint="eastAsia"/>
          <w:sz w:val="44"/>
          <w:szCs w:val="44"/>
          <w:lang w:val="en-US" w:eastAsia="zh-CN"/>
        </w:rPr>
        <w:t xml:space="preserve">  </w:t>
      </w:r>
      <w:r>
        <w:rPr>
          <w:rFonts w:hint="eastAsia"/>
          <w:sz w:val="44"/>
          <w:szCs w:val="44"/>
        </w:rPr>
        <w:t>响应文件格式</w:t>
      </w:r>
      <w:bookmarkEnd w:id="564"/>
    </w:p>
    <w:p>
      <w:pPr>
        <w:snapToGrid w:val="0"/>
        <w:spacing w:afterLines="50"/>
      </w:pPr>
    </w:p>
    <w:p>
      <w:pPr>
        <w:spacing w:line="360" w:lineRule="auto"/>
        <w:jc w:val="center"/>
        <w:outlineLvl w:val="1"/>
        <w:rPr>
          <w:b/>
          <w:sz w:val="30"/>
          <w:szCs w:val="30"/>
        </w:rPr>
      </w:pPr>
      <w:r>
        <w:br w:type="page"/>
      </w:r>
      <w:bookmarkStart w:id="565" w:name="_Toc414445763"/>
      <w:bookmarkStart w:id="566" w:name="_Toc298458725"/>
      <w:bookmarkStart w:id="567" w:name="_Toc298745650"/>
      <w:bookmarkStart w:id="568" w:name="_Toc2190"/>
      <w:bookmarkStart w:id="569" w:name="_Toc298745568"/>
      <w:bookmarkStart w:id="570" w:name="_Toc298434528"/>
      <w:bookmarkStart w:id="571" w:name="_Toc416103813"/>
      <w:bookmarkStart w:id="572" w:name="_Toc327276295"/>
      <w:bookmarkStart w:id="573" w:name="_Toc298434671"/>
      <w:bookmarkStart w:id="574" w:name="_Toc350418253"/>
      <w:bookmarkStart w:id="575" w:name="_Toc23024"/>
      <w:bookmarkStart w:id="576" w:name="_Toc410631171"/>
      <w:bookmarkStart w:id="577" w:name="_Toc332094984"/>
      <w:bookmarkStart w:id="578" w:name="_Toc10540"/>
      <w:r>
        <w:rPr>
          <w:b/>
          <w:sz w:val="30"/>
          <w:szCs w:val="30"/>
        </w:rPr>
        <w:t>评</w:t>
      </w:r>
      <w:r>
        <w:rPr>
          <w:rFonts w:hint="eastAsia"/>
          <w:b/>
          <w:sz w:val="30"/>
          <w:szCs w:val="30"/>
        </w:rPr>
        <w:t>审</w:t>
      </w:r>
      <w:r>
        <w:rPr>
          <w:b/>
          <w:sz w:val="30"/>
          <w:szCs w:val="30"/>
        </w:rPr>
        <w:t>索引</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tbl>
      <w:tblPr>
        <w:tblStyle w:val="87"/>
        <w:tblW w:w="88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5"/>
        <w:gridCol w:w="1722"/>
        <w:gridCol w:w="453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序号</w:t>
            </w:r>
          </w:p>
        </w:tc>
        <w:tc>
          <w:tcPr>
            <w:tcW w:w="1722" w:type="dxa"/>
            <w:vAlign w:val="center"/>
          </w:tcPr>
          <w:p>
            <w:pPr>
              <w:snapToGrid w:val="0"/>
              <w:jc w:val="center"/>
              <w:rPr>
                <w:rFonts w:ascii="宋体"/>
                <w:szCs w:val="21"/>
              </w:rPr>
            </w:pPr>
            <w:r>
              <w:rPr>
                <w:rFonts w:hint="eastAsia" w:ascii="宋体"/>
                <w:szCs w:val="21"/>
              </w:rPr>
              <w:t>评审办法条款号</w:t>
            </w:r>
          </w:p>
        </w:tc>
        <w:tc>
          <w:tcPr>
            <w:tcW w:w="4536" w:type="dxa"/>
            <w:vAlign w:val="center"/>
          </w:tcPr>
          <w:p>
            <w:pPr>
              <w:snapToGrid w:val="0"/>
              <w:jc w:val="center"/>
              <w:rPr>
                <w:rFonts w:ascii="宋体"/>
                <w:szCs w:val="21"/>
              </w:rPr>
            </w:pPr>
            <w:r>
              <w:rPr>
                <w:rFonts w:hint="eastAsia" w:ascii="宋体"/>
                <w:szCs w:val="21"/>
              </w:rPr>
              <w:t>评审办法要求</w:t>
            </w:r>
          </w:p>
        </w:tc>
        <w:tc>
          <w:tcPr>
            <w:tcW w:w="1843" w:type="dxa"/>
            <w:vAlign w:val="center"/>
          </w:tcPr>
          <w:p>
            <w:pPr>
              <w:snapToGrid w:val="0"/>
              <w:jc w:val="center"/>
              <w:rPr>
                <w:rFonts w:ascii="宋体"/>
                <w:szCs w:val="21"/>
              </w:rPr>
            </w:pPr>
            <w:r>
              <w:rPr>
                <w:rFonts w:hint="eastAsia" w:ascii="宋体"/>
                <w:szCs w:val="21"/>
              </w:rPr>
              <w:t>响应文件对应内容的册及页码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一</w:t>
            </w:r>
          </w:p>
        </w:tc>
        <w:tc>
          <w:tcPr>
            <w:tcW w:w="1722" w:type="dxa"/>
            <w:vAlign w:val="center"/>
          </w:tcPr>
          <w:p>
            <w:pPr>
              <w:snapToGrid w:val="0"/>
              <w:jc w:val="center"/>
              <w:rPr>
                <w:rFonts w:ascii="宋体"/>
                <w:szCs w:val="21"/>
              </w:rPr>
            </w:pPr>
            <w:r>
              <w:rPr>
                <w:rFonts w:hint="eastAsia" w:ascii="宋体"/>
                <w:szCs w:val="21"/>
              </w:rPr>
              <w:t>资格审查</w:t>
            </w:r>
          </w:p>
        </w:tc>
        <w:tc>
          <w:tcPr>
            <w:tcW w:w="4536" w:type="dxa"/>
            <w:vAlign w:val="center"/>
          </w:tcPr>
          <w:p>
            <w:pPr>
              <w:snapToGrid w:val="0"/>
              <w:jc w:val="center"/>
              <w:rPr>
                <w:rFonts w:ascii="宋体"/>
                <w:szCs w:val="21"/>
              </w:rPr>
            </w:pPr>
          </w:p>
        </w:tc>
        <w:tc>
          <w:tcPr>
            <w:tcW w:w="1843" w:type="dxa"/>
            <w:vAlign w:val="center"/>
          </w:tcPr>
          <w:p>
            <w:pPr>
              <w:snapToGrid w:val="0"/>
              <w:ind w:firstLine="48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1</w:t>
            </w:r>
          </w:p>
        </w:tc>
        <w:tc>
          <w:tcPr>
            <w:tcW w:w="1722" w:type="dxa"/>
            <w:vAlign w:val="center"/>
          </w:tcPr>
          <w:p>
            <w:pPr>
              <w:snapToGrid w:val="0"/>
              <w:jc w:val="center"/>
              <w:rPr>
                <w:rFonts w:ascii="宋体"/>
                <w:szCs w:val="21"/>
              </w:rPr>
            </w:pPr>
          </w:p>
        </w:tc>
        <w:tc>
          <w:tcPr>
            <w:tcW w:w="4536" w:type="dxa"/>
            <w:vAlign w:val="center"/>
          </w:tcPr>
          <w:p>
            <w:pPr>
              <w:snapToGrid w:val="0"/>
              <w:jc w:val="center"/>
              <w:rPr>
                <w:rFonts w:ascii="宋体"/>
                <w:szCs w:val="21"/>
              </w:rPr>
            </w:pPr>
          </w:p>
        </w:tc>
        <w:tc>
          <w:tcPr>
            <w:tcW w:w="1843" w:type="dxa"/>
            <w:vAlign w:val="center"/>
          </w:tcPr>
          <w:p>
            <w:pPr>
              <w:snapToGrid w:val="0"/>
              <w:ind w:firstLine="48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2</w:t>
            </w:r>
          </w:p>
        </w:tc>
        <w:tc>
          <w:tcPr>
            <w:tcW w:w="1722" w:type="dxa"/>
            <w:vAlign w:val="center"/>
          </w:tcPr>
          <w:p>
            <w:pPr>
              <w:snapToGrid w:val="0"/>
              <w:jc w:val="center"/>
              <w:rPr>
                <w:rFonts w:ascii="宋体"/>
                <w:szCs w:val="21"/>
              </w:rPr>
            </w:pPr>
          </w:p>
        </w:tc>
        <w:tc>
          <w:tcPr>
            <w:tcW w:w="4536" w:type="dxa"/>
            <w:vAlign w:val="center"/>
          </w:tcPr>
          <w:p>
            <w:pPr>
              <w:snapToGrid w:val="0"/>
              <w:jc w:val="center"/>
              <w:rPr>
                <w:rFonts w:ascii="宋体"/>
                <w:szCs w:val="21"/>
              </w:rPr>
            </w:pPr>
          </w:p>
        </w:tc>
        <w:tc>
          <w:tcPr>
            <w:tcW w:w="1843" w:type="dxa"/>
            <w:vAlign w:val="center"/>
          </w:tcPr>
          <w:p>
            <w:pPr>
              <w:snapToGrid w:val="0"/>
              <w:ind w:firstLine="48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w:t>
            </w:r>
          </w:p>
        </w:tc>
        <w:tc>
          <w:tcPr>
            <w:tcW w:w="1722" w:type="dxa"/>
            <w:vAlign w:val="center"/>
          </w:tcPr>
          <w:p>
            <w:pPr>
              <w:snapToGrid w:val="0"/>
              <w:jc w:val="center"/>
              <w:rPr>
                <w:rFonts w:ascii="宋体"/>
                <w:szCs w:val="21"/>
              </w:rPr>
            </w:pPr>
          </w:p>
        </w:tc>
        <w:tc>
          <w:tcPr>
            <w:tcW w:w="4536" w:type="dxa"/>
            <w:vAlign w:val="center"/>
          </w:tcPr>
          <w:p>
            <w:pPr>
              <w:snapToGrid w:val="0"/>
              <w:jc w:val="center"/>
              <w:rPr>
                <w:rFonts w:ascii="宋体"/>
                <w:szCs w:val="21"/>
              </w:rPr>
            </w:pPr>
          </w:p>
        </w:tc>
        <w:tc>
          <w:tcPr>
            <w:tcW w:w="1843" w:type="dxa"/>
            <w:vAlign w:val="center"/>
          </w:tcPr>
          <w:p>
            <w:pPr>
              <w:snapToGrid w:val="0"/>
              <w:ind w:firstLine="48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二</w:t>
            </w:r>
          </w:p>
        </w:tc>
        <w:tc>
          <w:tcPr>
            <w:tcW w:w="1722" w:type="dxa"/>
            <w:vAlign w:val="center"/>
          </w:tcPr>
          <w:p>
            <w:pPr>
              <w:snapToGrid w:val="0"/>
              <w:jc w:val="center"/>
              <w:rPr>
                <w:rFonts w:ascii="宋体"/>
                <w:szCs w:val="21"/>
              </w:rPr>
            </w:pPr>
            <w:r>
              <w:rPr>
                <w:rFonts w:hint="eastAsia" w:ascii="宋体"/>
                <w:szCs w:val="21"/>
              </w:rPr>
              <w:t>符合性审查</w:t>
            </w:r>
          </w:p>
        </w:tc>
        <w:tc>
          <w:tcPr>
            <w:tcW w:w="4536" w:type="dxa"/>
            <w:vAlign w:val="center"/>
          </w:tcPr>
          <w:p>
            <w:pPr>
              <w:snapToGrid w:val="0"/>
              <w:jc w:val="center"/>
              <w:rPr>
                <w:rFonts w:ascii="宋体"/>
                <w:szCs w:val="21"/>
              </w:rPr>
            </w:pPr>
          </w:p>
        </w:tc>
        <w:tc>
          <w:tcPr>
            <w:tcW w:w="1843" w:type="dxa"/>
            <w:vAlign w:val="center"/>
          </w:tcPr>
          <w:p>
            <w:pPr>
              <w:snapToGrid w:val="0"/>
              <w:ind w:firstLine="48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1</w:t>
            </w:r>
          </w:p>
        </w:tc>
        <w:tc>
          <w:tcPr>
            <w:tcW w:w="1722" w:type="dxa"/>
            <w:vAlign w:val="center"/>
          </w:tcPr>
          <w:p>
            <w:pPr>
              <w:snapToGrid w:val="0"/>
              <w:jc w:val="center"/>
              <w:rPr>
                <w:rFonts w:ascii="宋体"/>
                <w:szCs w:val="21"/>
              </w:rPr>
            </w:pPr>
          </w:p>
        </w:tc>
        <w:tc>
          <w:tcPr>
            <w:tcW w:w="4536" w:type="dxa"/>
            <w:vAlign w:val="center"/>
          </w:tcPr>
          <w:p>
            <w:pPr>
              <w:snapToGrid w:val="0"/>
              <w:jc w:val="center"/>
              <w:rPr>
                <w:rFonts w:ascii="宋体"/>
                <w:szCs w:val="21"/>
              </w:rPr>
            </w:pPr>
          </w:p>
        </w:tc>
        <w:tc>
          <w:tcPr>
            <w:tcW w:w="1843" w:type="dxa"/>
            <w:vAlign w:val="center"/>
          </w:tcPr>
          <w:p>
            <w:pPr>
              <w:snapToGrid w:val="0"/>
              <w:ind w:firstLine="48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2</w:t>
            </w:r>
          </w:p>
        </w:tc>
        <w:tc>
          <w:tcPr>
            <w:tcW w:w="1722" w:type="dxa"/>
            <w:vAlign w:val="center"/>
          </w:tcPr>
          <w:p>
            <w:pPr>
              <w:snapToGrid w:val="0"/>
              <w:jc w:val="center"/>
              <w:rPr>
                <w:rFonts w:ascii="宋体"/>
                <w:szCs w:val="21"/>
              </w:rPr>
            </w:pPr>
          </w:p>
        </w:tc>
        <w:tc>
          <w:tcPr>
            <w:tcW w:w="4536" w:type="dxa"/>
            <w:vAlign w:val="center"/>
          </w:tcPr>
          <w:p>
            <w:pPr>
              <w:snapToGrid w:val="0"/>
              <w:jc w:val="center"/>
              <w:rPr>
                <w:rFonts w:ascii="宋体"/>
                <w:szCs w:val="21"/>
              </w:rPr>
            </w:pPr>
          </w:p>
        </w:tc>
        <w:tc>
          <w:tcPr>
            <w:tcW w:w="1843" w:type="dxa"/>
            <w:vAlign w:val="center"/>
          </w:tcPr>
          <w:p>
            <w:pPr>
              <w:snapToGrid w:val="0"/>
              <w:ind w:firstLine="48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w:t>
            </w:r>
          </w:p>
        </w:tc>
        <w:tc>
          <w:tcPr>
            <w:tcW w:w="1722" w:type="dxa"/>
            <w:vAlign w:val="center"/>
          </w:tcPr>
          <w:p>
            <w:pPr>
              <w:snapToGrid w:val="0"/>
              <w:jc w:val="center"/>
              <w:rPr>
                <w:rFonts w:ascii="宋体"/>
                <w:szCs w:val="21"/>
              </w:rPr>
            </w:pPr>
          </w:p>
        </w:tc>
        <w:tc>
          <w:tcPr>
            <w:tcW w:w="4536" w:type="dxa"/>
            <w:vAlign w:val="center"/>
          </w:tcPr>
          <w:p>
            <w:pPr>
              <w:snapToGrid w:val="0"/>
              <w:jc w:val="center"/>
              <w:rPr>
                <w:rFonts w:ascii="宋体"/>
                <w:szCs w:val="21"/>
              </w:rPr>
            </w:pPr>
          </w:p>
        </w:tc>
        <w:tc>
          <w:tcPr>
            <w:tcW w:w="1843" w:type="dxa"/>
            <w:vAlign w:val="center"/>
          </w:tcPr>
          <w:p>
            <w:pPr>
              <w:snapToGrid w:val="0"/>
              <w:ind w:firstLine="480"/>
              <w:jc w:val="center"/>
              <w:rPr>
                <w:rFonts w:ascii="宋体"/>
                <w:szCs w:val="21"/>
              </w:rPr>
            </w:pPr>
          </w:p>
        </w:tc>
      </w:tr>
    </w:tbl>
    <w:p>
      <w:pPr>
        <w:spacing w:line="360" w:lineRule="auto"/>
        <w:ind w:firstLine="480"/>
        <w:jc w:val="left"/>
        <w:rPr>
          <w:rFonts w:ascii="宋体"/>
          <w:szCs w:val="21"/>
        </w:rPr>
      </w:pPr>
    </w:p>
    <w:p>
      <w:pPr>
        <w:rPr>
          <w:rFonts w:ascii="宋体"/>
          <w:szCs w:val="21"/>
        </w:rPr>
      </w:pPr>
      <w:r>
        <w:rPr>
          <w:rFonts w:hint="eastAsia" w:ascii="宋体"/>
          <w:szCs w:val="21"/>
        </w:rPr>
        <w:t>注：该评审索引表格放在响应文件目录后，正文的第一页。</w:t>
      </w:r>
    </w:p>
    <w:p>
      <w:pPr>
        <w:rPr>
          <w:rFonts w:ascii="宋体"/>
          <w:szCs w:val="21"/>
        </w:rPr>
      </w:pPr>
    </w:p>
    <w:p>
      <w:pPr>
        <w:widowControl/>
        <w:jc w:val="left"/>
        <w:rPr>
          <w:rFonts w:ascii="宋体"/>
          <w:szCs w:val="21"/>
        </w:rPr>
      </w:pPr>
      <w:r>
        <w:rPr>
          <w:rFonts w:ascii="宋体"/>
          <w:szCs w:val="21"/>
        </w:rPr>
        <w:br w:type="page"/>
      </w:r>
    </w:p>
    <w:p>
      <w:pPr>
        <w:pStyle w:val="425"/>
        <w:spacing w:line="360" w:lineRule="auto"/>
        <w:ind w:firstLine="0" w:firstLineChars="0"/>
        <w:outlineLvl w:val="1"/>
        <w:rPr>
          <w:b/>
          <w:sz w:val="24"/>
        </w:rPr>
      </w:pPr>
      <w:bookmarkStart w:id="579" w:name="_A1_投标书"/>
      <w:bookmarkEnd w:id="579"/>
      <w:bookmarkStart w:id="580" w:name="_Toc16438"/>
      <w:bookmarkStart w:id="581" w:name="_Toc192127127"/>
      <w:bookmarkStart w:id="582" w:name="_Toc181038076"/>
      <w:bookmarkStart w:id="583" w:name="_Toc176663528"/>
      <w:bookmarkStart w:id="584" w:name="_Toc162669084"/>
      <w:bookmarkStart w:id="585" w:name="_Toc128455956"/>
      <w:bookmarkStart w:id="586" w:name="_Toc179091096"/>
      <w:bookmarkStart w:id="587" w:name="_Toc192127128"/>
      <w:r>
        <w:rPr>
          <w:rFonts w:hint="eastAsia"/>
          <w:b/>
          <w:sz w:val="24"/>
        </w:rPr>
        <w:t xml:space="preserve">附件1 </w:t>
      </w:r>
      <w:r>
        <w:rPr>
          <w:b/>
          <w:sz w:val="24"/>
        </w:rPr>
        <w:t>报价函及报价函附录</w:t>
      </w:r>
      <w:bookmarkEnd w:id="580"/>
    </w:p>
    <w:bookmarkEnd w:id="581"/>
    <w:bookmarkEnd w:id="582"/>
    <w:bookmarkEnd w:id="583"/>
    <w:bookmarkEnd w:id="584"/>
    <w:bookmarkEnd w:id="585"/>
    <w:bookmarkEnd w:id="586"/>
    <w:p>
      <w:pPr>
        <w:autoSpaceDE w:val="0"/>
        <w:autoSpaceDN w:val="0"/>
        <w:adjustRightInd w:val="0"/>
        <w:jc w:val="center"/>
        <w:rPr>
          <w:rFonts w:ascii="宋体" w:hAnsi="宋体" w:cs="黑体"/>
          <w:kern w:val="0"/>
          <w:sz w:val="24"/>
        </w:rPr>
      </w:pPr>
    </w:p>
    <w:p>
      <w:pPr>
        <w:autoSpaceDE w:val="0"/>
        <w:autoSpaceDN w:val="0"/>
        <w:adjustRightInd w:val="0"/>
        <w:jc w:val="center"/>
        <w:rPr>
          <w:rFonts w:ascii="宋体" w:hAnsi="宋体" w:cs="黑体"/>
          <w:kern w:val="0"/>
          <w:sz w:val="24"/>
        </w:rPr>
      </w:pPr>
      <w:r>
        <w:rPr>
          <w:rFonts w:hint="eastAsia" w:ascii="宋体" w:hAnsi="宋体" w:cs="黑体"/>
          <w:kern w:val="0"/>
          <w:sz w:val="24"/>
        </w:rPr>
        <w:t>报价函</w:t>
      </w:r>
    </w:p>
    <w:p>
      <w:pPr>
        <w:autoSpaceDE w:val="0"/>
        <w:autoSpaceDN w:val="0"/>
        <w:adjustRightInd w:val="0"/>
        <w:jc w:val="center"/>
        <w:rPr>
          <w:rFonts w:ascii="宋体" w:hAnsi="宋体" w:cs="黑体"/>
          <w:kern w:val="0"/>
          <w:sz w:val="24"/>
        </w:rPr>
      </w:pPr>
    </w:p>
    <w:p>
      <w:pPr>
        <w:autoSpaceDE w:val="0"/>
        <w:autoSpaceDN w:val="0"/>
        <w:adjustRightInd w:val="0"/>
        <w:jc w:val="center"/>
        <w:rPr>
          <w:rFonts w:ascii="宋体" w:hAnsi="宋体" w:cs="黑体"/>
          <w:kern w:val="0"/>
          <w:sz w:val="24"/>
        </w:rPr>
      </w:pPr>
    </w:p>
    <w:p>
      <w:pPr>
        <w:autoSpaceDE w:val="0"/>
        <w:autoSpaceDN w:val="0"/>
        <w:adjustRightInd w:val="0"/>
        <w:snapToGrid w:val="0"/>
        <w:spacing w:line="360" w:lineRule="auto"/>
        <w:jc w:val="left"/>
        <w:rPr>
          <w:rFonts w:ascii="宋体" w:hAnsi="宋体" w:cs="仿宋_GB2312"/>
          <w:kern w:val="0"/>
          <w:sz w:val="24"/>
        </w:rPr>
      </w:pPr>
      <w:r>
        <w:rPr>
          <w:rFonts w:hint="eastAsia" w:ascii="宋体" w:hAnsi="宋体" w:cs="仿宋_GB2312"/>
          <w:kern w:val="0"/>
          <w:sz w:val="24"/>
        </w:rPr>
        <w:t>（采购人名称）：</w:t>
      </w:r>
    </w:p>
    <w:p>
      <w:pPr>
        <w:autoSpaceDE w:val="0"/>
        <w:autoSpaceDN w:val="0"/>
        <w:adjustRightInd w:val="0"/>
        <w:snapToGrid w:val="0"/>
        <w:spacing w:line="360" w:lineRule="auto"/>
        <w:ind w:firstLine="480" w:firstLineChars="200"/>
        <w:jc w:val="left"/>
        <w:rPr>
          <w:rFonts w:ascii="宋体" w:hAnsi="宋体" w:cs="仿宋_GB2312"/>
          <w:kern w:val="0"/>
          <w:sz w:val="24"/>
          <w:highlight w:val="none"/>
        </w:rPr>
      </w:pPr>
      <w:r>
        <w:rPr>
          <w:rFonts w:hint="eastAsia" w:ascii="宋体" w:hAnsi="宋体" w:cs="TimesNewRomanPSMT"/>
          <w:kern w:val="0"/>
          <w:sz w:val="24"/>
          <w:highlight w:val="none"/>
        </w:rPr>
        <w:t>1.</w:t>
      </w:r>
      <w:r>
        <w:rPr>
          <w:rFonts w:hint="eastAsia" w:ascii="宋体" w:hAnsi="宋体" w:cs="仿宋_GB2312"/>
          <w:kern w:val="0"/>
          <w:sz w:val="24"/>
          <w:highlight w:val="none"/>
        </w:rPr>
        <w:t>我方已仔细研究了</w:t>
      </w:r>
      <w:r>
        <w:rPr>
          <w:rFonts w:hint="eastAsia" w:ascii="宋体" w:hAnsi="宋体" w:cs="仿宋_GB2312"/>
          <w:kern w:val="0"/>
          <w:sz w:val="24"/>
          <w:highlight w:val="none"/>
          <w:u w:val="single"/>
        </w:rPr>
        <w:t xml:space="preserve">  （项目名称）   </w:t>
      </w:r>
      <w:r>
        <w:rPr>
          <w:rFonts w:hint="eastAsia" w:ascii="宋体" w:hAnsi="宋体" w:cs="仿宋_GB2312"/>
          <w:kern w:val="0"/>
          <w:sz w:val="24"/>
          <w:highlight w:val="none"/>
        </w:rPr>
        <w:t>谈判文件（包括修改、澄清文件）的全部内容，且对谈判文件无任何异议，并愿意以人民币的总价</w:t>
      </w:r>
      <w:r>
        <w:rPr>
          <w:rFonts w:hint="eastAsia" w:ascii="宋体" w:hAnsi="宋体" w:cs="仿宋_GB2312"/>
          <w:kern w:val="0"/>
          <w:sz w:val="24"/>
          <w:highlight w:val="none"/>
          <w:u w:val="single"/>
          <w:lang w:val="en-US" w:eastAsia="zh-CN"/>
        </w:rPr>
        <w:t xml:space="preserve">         </w:t>
      </w:r>
      <w:r>
        <w:rPr>
          <w:rFonts w:hint="eastAsia" w:ascii="宋体" w:hAnsi="宋体" w:cs="仿宋_GB2312"/>
          <w:kern w:val="0"/>
          <w:sz w:val="24"/>
          <w:highlight w:val="none"/>
        </w:rPr>
        <w:t>、工期</w:t>
      </w:r>
      <w:r>
        <w:rPr>
          <w:rFonts w:hint="eastAsia" w:ascii="宋体" w:hAnsi="宋体" w:cs="仿宋_GB2312"/>
          <w:kern w:val="0"/>
          <w:sz w:val="24"/>
          <w:highlight w:val="none"/>
          <w:u w:val="single"/>
          <w:lang w:val="en-US" w:eastAsia="zh-CN"/>
        </w:rPr>
        <w:t xml:space="preserve">        </w:t>
      </w:r>
      <w:r>
        <w:rPr>
          <w:rFonts w:hint="eastAsia" w:ascii="宋体" w:hAnsi="宋体" w:cs="仿宋_GB2312"/>
          <w:kern w:val="0"/>
          <w:sz w:val="24"/>
          <w:highlight w:val="none"/>
        </w:rPr>
        <w:t>日历日、按合同约定实施和完成承包工程、修补工程中的任何缺陷，工程质量达到</w:t>
      </w:r>
      <w:r>
        <w:rPr>
          <w:rFonts w:hint="eastAsia" w:ascii="宋体" w:hAnsi="宋体" w:cs="仿宋_GB2312"/>
          <w:kern w:val="0"/>
          <w:sz w:val="24"/>
          <w:highlight w:val="none"/>
          <w:u w:val="single"/>
          <w:lang w:val="en-US" w:eastAsia="zh-CN"/>
        </w:rPr>
        <w:t xml:space="preserve">       </w:t>
      </w:r>
      <w:r>
        <w:rPr>
          <w:rFonts w:hint="eastAsia" w:ascii="宋体" w:hAnsi="宋体" w:cs="仿宋_GB2312"/>
          <w:kern w:val="0"/>
          <w:sz w:val="24"/>
          <w:highlight w:val="none"/>
        </w:rPr>
        <w:t>标准。</w:t>
      </w:r>
    </w:p>
    <w:p>
      <w:pPr>
        <w:autoSpaceDE w:val="0"/>
        <w:autoSpaceDN w:val="0"/>
        <w:adjustRightInd w:val="0"/>
        <w:snapToGrid w:val="0"/>
        <w:spacing w:line="360" w:lineRule="auto"/>
        <w:ind w:firstLine="480" w:firstLineChars="200"/>
        <w:jc w:val="left"/>
        <w:rPr>
          <w:rFonts w:ascii="宋体" w:hAnsi="宋体" w:cs="TimesNewRomanPSMT"/>
          <w:kern w:val="0"/>
          <w:sz w:val="24"/>
          <w:highlight w:val="none"/>
        </w:rPr>
      </w:pPr>
      <w:r>
        <w:rPr>
          <w:rFonts w:hint="eastAsia" w:ascii="宋体" w:hAnsi="宋体" w:cs="TimesNewRomanPSMT"/>
          <w:kern w:val="0"/>
          <w:sz w:val="24"/>
          <w:highlight w:val="none"/>
        </w:rPr>
        <w:t>2.我方承诺在响应文件有效期内不修改或撤销响应文件。否则，你方可不予退还我方的谈判保证金。</w:t>
      </w:r>
    </w:p>
    <w:p>
      <w:pPr>
        <w:autoSpaceDE w:val="0"/>
        <w:autoSpaceDN w:val="0"/>
        <w:adjustRightInd w:val="0"/>
        <w:snapToGrid w:val="0"/>
        <w:spacing w:line="360" w:lineRule="auto"/>
        <w:ind w:firstLine="480" w:firstLineChars="200"/>
        <w:jc w:val="left"/>
        <w:rPr>
          <w:rFonts w:ascii="宋体" w:hAnsi="宋体" w:cs="TimesNewRomanPSMT"/>
          <w:kern w:val="0"/>
          <w:sz w:val="24"/>
          <w:highlight w:val="none"/>
        </w:rPr>
      </w:pPr>
      <w:r>
        <w:rPr>
          <w:rFonts w:hint="eastAsia" w:ascii="宋体" w:hAnsi="宋体" w:cs="TimesNewRomanPSMT"/>
          <w:kern w:val="0"/>
          <w:sz w:val="24"/>
          <w:highlight w:val="none"/>
        </w:rPr>
        <w:t>3.随同本报价函提交谈判保证金一份，金额为</w:t>
      </w:r>
      <w:r>
        <w:rPr>
          <w:rFonts w:hint="eastAsia" w:ascii="宋体" w:hAnsi="宋体" w:cs="TimesNewRomanPSMT"/>
          <w:kern w:val="0"/>
          <w:sz w:val="24"/>
          <w:highlight w:val="none"/>
          <w:u w:val="single"/>
          <w:lang w:val="en-US" w:eastAsia="zh-CN"/>
        </w:rPr>
        <w:t xml:space="preserve">      </w:t>
      </w:r>
      <w:r>
        <w:rPr>
          <w:rFonts w:hint="eastAsia" w:ascii="宋体" w:hAnsi="宋体" w:cs="TimesNewRomanPSMT"/>
          <w:kern w:val="0"/>
          <w:sz w:val="24"/>
          <w:highlight w:val="none"/>
        </w:rPr>
        <w:t>元。</w:t>
      </w:r>
    </w:p>
    <w:p>
      <w:pPr>
        <w:autoSpaceDE w:val="0"/>
        <w:autoSpaceDN w:val="0"/>
        <w:adjustRightInd w:val="0"/>
        <w:snapToGrid w:val="0"/>
        <w:spacing w:line="360" w:lineRule="auto"/>
        <w:ind w:firstLine="480" w:firstLineChars="200"/>
        <w:jc w:val="left"/>
        <w:rPr>
          <w:rFonts w:ascii="宋体" w:hAnsi="宋体" w:cs="TimesNewRomanPSMT"/>
          <w:kern w:val="0"/>
          <w:sz w:val="24"/>
          <w:highlight w:val="none"/>
        </w:rPr>
      </w:pPr>
      <w:r>
        <w:rPr>
          <w:rFonts w:hint="eastAsia" w:ascii="宋体" w:hAnsi="宋体" w:cs="TimesNewRomanPSMT"/>
          <w:kern w:val="0"/>
          <w:sz w:val="24"/>
          <w:highlight w:val="none"/>
        </w:rPr>
        <w:t>4.本响应文件有效期为自递交截止之日起个</w:t>
      </w:r>
      <w:r>
        <w:rPr>
          <w:rFonts w:hint="eastAsia" w:ascii="宋体" w:hAnsi="宋体" w:cs="TimesNewRomanPSMT"/>
          <w:kern w:val="0"/>
          <w:sz w:val="24"/>
          <w:highlight w:val="none"/>
          <w:u w:val="single"/>
          <w:lang w:val="en-US" w:eastAsia="zh-CN"/>
        </w:rPr>
        <w:t xml:space="preserve">      </w:t>
      </w:r>
      <w:r>
        <w:rPr>
          <w:rFonts w:hint="eastAsia" w:ascii="宋体" w:hAnsi="宋体" w:cs="TimesNewRomanPSMT"/>
          <w:kern w:val="0"/>
          <w:sz w:val="24"/>
          <w:highlight w:val="none"/>
        </w:rPr>
        <w:t>日历日。</w:t>
      </w:r>
    </w:p>
    <w:p>
      <w:pPr>
        <w:autoSpaceDE w:val="0"/>
        <w:autoSpaceDN w:val="0"/>
        <w:adjustRightInd w:val="0"/>
        <w:snapToGrid w:val="0"/>
        <w:spacing w:line="360" w:lineRule="auto"/>
        <w:ind w:firstLine="480" w:firstLineChars="200"/>
        <w:jc w:val="left"/>
        <w:rPr>
          <w:rFonts w:ascii="宋体" w:hAnsi="宋体" w:cs="TimesNewRomanPSMT"/>
          <w:kern w:val="0"/>
          <w:sz w:val="24"/>
          <w:highlight w:val="none"/>
        </w:rPr>
      </w:pPr>
      <w:r>
        <w:rPr>
          <w:rFonts w:hint="eastAsia" w:ascii="宋体" w:hAnsi="宋体" w:cs="TimesNewRomanPSMT"/>
          <w:kern w:val="0"/>
          <w:sz w:val="24"/>
          <w:highlight w:val="none"/>
        </w:rPr>
        <w:t>5.我方承诺所提交的响应文件及有关资料是完整的、真实的和准确的，否则，我方承担由此造成的任何损失及引起的任何后果；若我方已经收到成交通知书，我方将无条件的承认该成交通知书无效，对采购人不具有任何法律约束力。</w:t>
      </w:r>
    </w:p>
    <w:p>
      <w:pPr>
        <w:autoSpaceDE w:val="0"/>
        <w:autoSpaceDN w:val="0"/>
        <w:adjustRightInd w:val="0"/>
        <w:snapToGrid w:val="0"/>
        <w:spacing w:line="360" w:lineRule="auto"/>
        <w:ind w:left="359" w:leftChars="171"/>
        <w:jc w:val="left"/>
        <w:rPr>
          <w:rFonts w:ascii="宋体" w:hAnsi="宋体" w:cs="TimesNewRomanPSMT"/>
          <w:kern w:val="0"/>
          <w:sz w:val="24"/>
          <w:highlight w:val="none"/>
        </w:rPr>
      </w:pPr>
      <w:r>
        <w:rPr>
          <w:rFonts w:hint="eastAsia" w:ascii="宋体" w:hAnsi="宋体" w:cs="TimesNewRomanPSMT"/>
          <w:kern w:val="0"/>
          <w:sz w:val="24"/>
          <w:highlight w:val="none"/>
        </w:rPr>
        <w:t>6．如我方成交：</w:t>
      </w:r>
    </w:p>
    <w:p>
      <w:pPr>
        <w:pStyle w:val="425"/>
        <w:numPr>
          <w:ilvl w:val="0"/>
          <w:numId w:val="15"/>
        </w:numPr>
        <w:autoSpaceDE w:val="0"/>
        <w:autoSpaceDN w:val="0"/>
        <w:adjustRightInd w:val="0"/>
        <w:snapToGrid w:val="0"/>
        <w:spacing w:line="360" w:lineRule="auto"/>
        <w:ind w:firstLineChars="0"/>
        <w:jc w:val="left"/>
        <w:rPr>
          <w:rFonts w:ascii="宋体" w:hAnsi="宋体" w:cs="仿宋_GB2312"/>
          <w:kern w:val="0"/>
          <w:sz w:val="24"/>
          <w:highlight w:val="none"/>
        </w:rPr>
      </w:pPr>
      <w:r>
        <w:rPr>
          <w:rFonts w:hint="eastAsia" w:ascii="宋体" w:hAnsi="宋体" w:cs="仿宋_GB2312"/>
          <w:kern w:val="0"/>
          <w:sz w:val="24"/>
          <w:highlight w:val="none"/>
        </w:rPr>
        <w:t>我方承诺在收到成交通知书后，按成交通知书规定的期限内与你方签订合同。</w:t>
      </w:r>
    </w:p>
    <w:p>
      <w:pPr>
        <w:pStyle w:val="425"/>
        <w:numPr>
          <w:ilvl w:val="0"/>
          <w:numId w:val="15"/>
        </w:numPr>
        <w:autoSpaceDE w:val="0"/>
        <w:autoSpaceDN w:val="0"/>
        <w:adjustRightInd w:val="0"/>
        <w:snapToGrid w:val="0"/>
        <w:spacing w:line="360" w:lineRule="auto"/>
        <w:ind w:firstLineChars="0"/>
        <w:jc w:val="left"/>
        <w:rPr>
          <w:rFonts w:ascii="宋体" w:hAnsi="宋体" w:cs="仿宋_GB2312"/>
          <w:kern w:val="0"/>
          <w:sz w:val="24"/>
          <w:highlight w:val="none"/>
        </w:rPr>
      </w:pPr>
      <w:r>
        <w:rPr>
          <w:rFonts w:hint="eastAsia" w:ascii="宋体" w:hAnsi="宋体" w:cs="仿宋_GB2312"/>
          <w:kern w:val="0"/>
          <w:sz w:val="24"/>
          <w:highlight w:val="none"/>
        </w:rPr>
        <w:t>本报价函及随同本报价函递交的报价函附录构成合同的组成部分。</w:t>
      </w:r>
    </w:p>
    <w:p>
      <w:pPr>
        <w:pStyle w:val="425"/>
        <w:numPr>
          <w:ilvl w:val="0"/>
          <w:numId w:val="15"/>
        </w:numPr>
        <w:autoSpaceDE w:val="0"/>
        <w:autoSpaceDN w:val="0"/>
        <w:adjustRightInd w:val="0"/>
        <w:snapToGrid w:val="0"/>
        <w:spacing w:line="360" w:lineRule="auto"/>
        <w:ind w:firstLineChars="0"/>
        <w:jc w:val="left"/>
        <w:rPr>
          <w:rFonts w:ascii="宋体" w:hAnsi="宋体" w:cs="仿宋_GB2312"/>
          <w:kern w:val="0"/>
          <w:sz w:val="24"/>
          <w:highlight w:val="none"/>
        </w:rPr>
      </w:pPr>
      <w:r>
        <w:rPr>
          <w:rFonts w:hint="eastAsia" w:ascii="宋体" w:hAnsi="宋体" w:cs="仿宋_GB2312"/>
          <w:kern w:val="0"/>
          <w:sz w:val="24"/>
          <w:highlight w:val="none"/>
        </w:rPr>
        <w:t>我方承诺按合同约定的期限和质量标准，完成并移交全部合同工程。</w:t>
      </w:r>
    </w:p>
    <w:p>
      <w:pPr>
        <w:pStyle w:val="425"/>
        <w:numPr>
          <w:ilvl w:val="0"/>
          <w:numId w:val="15"/>
        </w:numPr>
        <w:autoSpaceDE w:val="0"/>
        <w:autoSpaceDN w:val="0"/>
        <w:adjustRightInd w:val="0"/>
        <w:snapToGrid w:val="0"/>
        <w:spacing w:line="360" w:lineRule="auto"/>
        <w:ind w:firstLineChars="0"/>
        <w:jc w:val="left"/>
        <w:rPr>
          <w:rFonts w:ascii="宋体" w:hAnsi="宋体" w:cs="仿宋_GB2312"/>
          <w:kern w:val="0"/>
          <w:sz w:val="24"/>
          <w:highlight w:val="none"/>
        </w:rPr>
      </w:pPr>
      <w:r>
        <w:rPr>
          <w:rFonts w:hint="eastAsia" w:ascii="宋体" w:hAnsi="宋体" w:cs="仿宋_GB2312"/>
          <w:kern w:val="0"/>
          <w:sz w:val="24"/>
          <w:highlight w:val="none"/>
        </w:rPr>
        <w:t>我方将按谈判文件规定提交履约保证金，作为履行合同的担保。</w:t>
      </w:r>
    </w:p>
    <w:p>
      <w:pPr>
        <w:pStyle w:val="425"/>
        <w:numPr>
          <w:ilvl w:val="0"/>
          <w:numId w:val="15"/>
        </w:numPr>
        <w:autoSpaceDE w:val="0"/>
        <w:autoSpaceDN w:val="0"/>
        <w:adjustRightInd w:val="0"/>
        <w:snapToGrid w:val="0"/>
        <w:spacing w:line="360" w:lineRule="auto"/>
        <w:ind w:firstLineChars="0"/>
        <w:jc w:val="left"/>
        <w:rPr>
          <w:rFonts w:ascii="宋体" w:hAnsi="宋体" w:cs="仿宋_GB2312"/>
          <w:kern w:val="0"/>
          <w:sz w:val="24"/>
          <w:highlight w:val="none"/>
        </w:rPr>
      </w:pPr>
      <w:r>
        <w:rPr>
          <w:rFonts w:hint="eastAsia" w:ascii="宋体" w:hAnsi="宋体" w:cs="仿宋_GB2312"/>
          <w:kern w:val="0"/>
          <w:sz w:val="24"/>
          <w:highlight w:val="none"/>
        </w:rPr>
        <w:t>我方保证在收到成交通知书后五个工作日内按要求支付代理服务费。</w:t>
      </w:r>
    </w:p>
    <w:p>
      <w:pPr>
        <w:autoSpaceDE w:val="0"/>
        <w:autoSpaceDN w:val="0"/>
        <w:adjustRightInd w:val="0"/>
        <w:snapToGrid w:val="0"/>
        <w:spacing w:line="360" w:lineRule="auto"/>
        <w:ind w:firstLine="480" w:firstLineChars="200"/>
        <w:jc w:val="left"/>
        <w:rPr>
          <w:rFonts w:ascii="宋体" w:hAnsi="宋体" w:cs="TimesNewRomanPSMT"/>
          <w:kern w:val="0"/>
          <w:sz w:val="24"/>
          <w:highlight w:val="none"/>
        </w:rPr>
      </w:pPr>
      <w:r>
        <w:rPr>
          <w:rFonts w:hint="eastAsia" w:ascii="宋体" w:hAnsi="宋体" w:cs="TimesNewRomanPSMT"/>
          <w:kern w:val="0"/>
          <w:sz w:val="24"/>
          <w:highlight w:val="none"/>
        </w:rPr>
        <w:t>7.如谈判后的最后报价函与本报价函内容有差异，以最后的报价函内容为准。</w:t>
      </w:r>
    </w:p>
    <w:p>
      <w:pPr>
        <w:autoSpaceDE w:val="0"/>
        <w:autoSpaceDN w:val="0"/>
        <w:adjustRightInd w:val="0"/>
        <w:snapToGrid w:val="0"/>
        <w:spacing w:line="360" w:lineRule="auto"/>
        <w:ind w:firstLine="480" w:firstLineChars="200"/>
        <w:jc w:val="left"/>
        <w:rPr>
          <w:rFonts w:ascii="宋体" w:hAnsi="宋体" w:cs="TimesNewRomanPSMT"/>
          <w:kern w:val="0"/>
          <w:sz w:val="24"/>
          <w:highlight w:val="none"/>
        </w:rPr>
      </w:pPr>
      <w:r>
        <w:rPr>
          <w:rFonts w:ascii="宋体" w:hAnsi="宋体" w:cs="TimesNewRomanPSMT"/>
          <w:kern w:val="0"/>
          <w:sz w:val="24"/>
          <w:highlight w:val="none"/>
        </w:rPr>
        <w:t>8．</w:t>
      </w:r>
      <w:r>
        <w:rPr>
          <w:rFonts w:hint="eastAsia" w:ascii="宋体" w:hAnsi="宋体" w:cs="TimesNewRomanPSMT"/>
          <w:kern w:val="0"/>
          <w:sz w:val="24"/>
          <w:highlight w:val="none"/>
          <w:u w:val="single"/>
          <w:lang w:val="en-US" w:eastAsia="zh-CN"/>
        </w:rPr>
        <w:t xml:space="preserve">        </w:t>
      </w:r>
      <w:r>
        <w:rPr>
          <w:rFonts w:ascii="宋体" w:hAnsi="宋体" w:cs="TimesNewRomanPSMT"/>
          <w:kern w:val="0"/>
          <w:sz w:val="24"/>
          <w:highlight w:val="none"/>
        </w:rPr>
        <w:t>（其他补充说明）。</w:t>
      </w:r>
    </w:p>
    <w:p>
      <w:pPr>
        <w:autoSpaceDE w:val="0"/>
        <w:autoSpaceDN w:val="0"/>
        <w:adjustRightInd w:val="0"/>
        <w:snapToGrid w:val="0"/>
        <w:spacing w:line="360" w:lineRule="auto"/>
        <w:jc w:val="left"/>
        <w:rPr>
          <w:rFonts w:ascii="宋体" w:hAnsi="宋体" w:cs="仿宋_GB2312"/>
          <w:kern w:val="0"/>
          <w:sz w:val="24"/>
        </w:rPr>
      </w:pPr>
    </w:p>
    <w:p>
      <w:pPr>
        <w:autoSpaceDE w:val="0"/>
        <w:autoSpaceDN w:val="0"/>
        <w:adjustRightInd w:val="0"/>
        <w:snapToGrid w:val="0"/>
        <w:spacing w:line="360" w:lineRule="auto"/>
        <w:ind w:left="3118" w:leftChars="1485"/>
        <w:jc w:val="left"/>
        <w:rPr>
          <w:rFonts w:ascii="宋体" w:hAnsi="宋体" w:cs="仿宋_GB2312"/>
          <w:kern w:val="0"/>
          <w:sz w:val="24"/>
        </w:rPr>
      </w:pPr>
      <w:r>
        <w:rPr>
          <w:rFonts w:ascii="宋体" w:hAnsi="宋体" w:cs="仿宋_GB2312"/>
          <w:kern w:val="0"/>
          <w:sz w:val="24"/>
        </w:rPr>
        <w:t>供应商：</w:t>
      </w:r>
    </w:p>
    <w:p>
      <w:pPr>
        <w:autoSpaceDE w:val="0"/>
        <w:autoSpaceDN w:val="0"/>
        <w:adjustRightInd w:val="0"/>
        <w:snapToGrid w:val="0"/>
        <w:spacing w:line="360" w:lineRule="auto"/>
        <w:ind w:left="3118" w:leftChars="1485"/>
        <w:jc w:val="left"/>
        <w:rPr>
          <w:rFonts w:ascii="宋体" w:hAnsi="宋体" w:cs="仿宋_GB2312"/>
          <w:kern w:val="0"/>
          <w:sz w:val="24"/>
        </w:rPr>
      </w:pPr>
      <w:r>
        <w:rPr>
          <w:rFonts w:hint="eastAsia" w:ascii="宋体" w:hAnsi="宋体" w:cs="仿宋_GB2312"/>
          <w:kern w:val="0"/>
          <w:sz w:val="24"/>
        </w:rPr>
        <w:t>法定代表人或其委托代理人：（签字签字或盖人名章）</w:t>
      </w:r>
    </w:p>
    <w:p>
      <w:pPr>
        <w:autoSpaceDE w:val="0"/>
        <w:autoSpaceDN w:val="0"/>
        <w:adjustRightInd w:val="0"/>
        <w:snapToGrid w:val="0"/>
        <w:spacing w:line="360" w:lineRule="auto"/>
        <w:ind w:left="3118" w:leftChars="1485"/>
        <w:jc w:val="left"/>
        <w:rPr>
          <w:rFonts w:ascii="宋体" w:hAnsi="宋体" w:cs="仿宋_GB2312"/>
          <w:kern w:val="0"/>
          <w:sz w:val="24"/>
        </w:rPr>
      </w:pPr>
      <w:r>
        <w:rPr>
          <w:rFonts w:hint="eastAsia" w:ascii="宋体" w:hAnsi="宋体" w:cs="仿宋_GB2312"/>
          <w:kern w:val="0"/>
          <w:sz w:val="24"/>
        </w:rPr>
        <w:t>地址：</w:t>
      </w:r>
    </w:p>
    <w:p>
      <w:pPr>
        <w:autoSpaceDE w:val="0"/>
        <w:autoSpaceDN w:val="0"/>
        <w:adjustRightInd w:val="0"/>
        <w:snapToGrid w:val="0"/>
        <w:spacing w:line="360" w:lineRule="auto"/>
        <w:ind w:left="3118" w:leftChars="1485"/>
        <w:jc w:val="left"/>
        <w:rPr>
          <w:rFonts w:ascii="宋体" w:hAnsi="宋体" w:cs="仿宋_GB2312"/>
          <w:kern w:val="0"/>
          <w:sz w:val="24"/>
        </w:rPr>
      </w:pPr>
      <w:r>
        <w:rPr>
          <w:rFonts w:hint="eastAsia" w:ascii="宋体" w:hAnsi="宋体" w:cs="仿宋_GB2312"/>
          <w:kern w:val="0"/>
          <w:sz w:val="24"/>
        </w:rPr>
        <w:t>电话：</w:t>
      </w:r>
    </w:p>
    <w:p>
      <w:pPr>
        <w:autoSpaceDE w:val="0"/>
        <w:autoSpaceDN w:val="0"/>
        <w:adjustRightInd w:val="0"/>
        <w:snapToGrid w:val="0"/>
        <w:spacing w:line="360" w:lineRule="auto"/>
        <w:ind w:left="3118" w:leftChars="1485"/>
        <w:jc w:val="left"/>
        <w:rPr>
          <w:rFonts w:ascii="宋体" w:hAnsi="宋体" w:cs="仿宋_GB2312"/>
          <w:kern w:val="0"/>
          <w:sz w:val="24"/>
        </w:rPr>
      </w:pPr>
      <w:r>
        <w:rPr>
          <w:rFonts w:hint="eastAsia" w:ascii="宋体" w:hAnsi="宋体" w:cs="仿宋_GB2312"/>
          <w:kern w:val="0"/>
          <w:sz w:val="24"/>
        </w:rPr>
        <w:t>传真：</w:t>
      </w:r>
    </w:p>
    <w:p>
      <w:pPr>
        <w:autoSpaceDE w:val="0"/>
        <w:autoSpaceDN w:val="0"/>
        <w:adjustRightInd w:val="0"/>
        <w:snapToGrid w:val="0"/>
        <w:spacing w:line="360" w:lineRule="auto"/>
        <w:ind w:left="5939" w:leftChars="2828"/>
        <w:jc w:val="left"/>
        <w:rPr>
          <w:rFonts w:ascii="宋体" w:hAnsi="宋体" w:cs="仿宋_GB2312"/>
          <w:kern w:val="0"/>
          <w:sz w:val="24"/>
        </w:rPr>
      </w:pPr>
      <w:r>
        <w:rPr>
          <w:rFonts w:hint="eastAsia" w:ascii="宋体" w:hAnsi="宋体" w:cs="仿宋_GB2312"/>
          <w:kern w:val="0"/>
          <w:sz w:val="24"/>
        </w:rPr>
        <w:t>年月日</w:t>
      </w:r>
    </w:p>
    <w:p>
      <w:pPr>
        <w:rPr>
          <w:b/>
          <w:sz w:val="24"/>
        </w:rPr>
      </w:pPr>
      <w:r>
        <w:br w:type="page"/>
      </w:r>
      <w:bookmarkEnd w:id="587"/>
      <w:bookmarkStart w:id="588" w:name="_Toc192127131"/>
      <w:bookmarkStart w:id="589" w:name="_Toc195922057"/>
    </w:p>
    <w:p>
      <w:pPr>
        <w:autoSpaceDE w:val="0"/>
        <w:autoSpaceDN w:val="0"/>
        <w:adjustRightInd w:val="0"/>
        <w:jc w:val="center"/>
        <w:rPr>
          <w:rFonts w:ascii="宋体" w:hAnsi="宋体" w:cs="黑体"/>
          <w:kern w:val="0"/>
          <w:sz w:val="24"/>
        </w:rPr>
      </w:pPr>
      <w:r>
        <w:rPr>
          <w:rFonts w:hint="eastAsia" w:ascii="宋体" w:hAnsi="宋体" w:cs="黑体"/>
          <w:kern w:val="0"/>
          <w:sz w:val="24"/>
        </w:rPr>
        <w:t>报价函附录</w:t>
      </w:r>
    </w:p>
    <w:p>
      <w:pPr>
        <w:ind w:firstLine="422" w:firstLineChars="200"/>
        <w:rPr>
          <w:rFonts w:hint="eastAsia" w:ascii="宋体" w:hAnsi="宋体"/>
          <w:b/>
          <w:szCs w:val="21"/>
        </w:rPr>
      </w:pPr>
    </w:p>
    <w:p>
      <w:pPr>
        <w:ind w:firstLine="422" w:firstLineChars="200"/>
        <w:rPr>
          <w:rFonts w:hint="eastAsia" w:ascii="宋体" w:hAnsi="宋体"/>
          <w:b/>
          <w:szCs w:val="21"/>
        </w:rPr>
      </w:pPr>
    </w:p>
    <w:p>
      <w:pPr>
        <w:ind w:firstLine="422" w:firstLineChars="200"/>
        <w:rPr>
          <w:rFonts w:hint="eastAsia" w:ascii="宋体" w:hAnsi="宋体" w:eastAsia="宋体"/>
          <w:szCs w:val="21"/>
          <w:lang w:eastAsia="zh-CN"/>
        </w:rPr>
      </w:pPr>
      <w:r>
        <w:rPr>
          <w:rFonts w:hint="eastAsia" w:ascii="宋体" w:hAnsi="宋体"/>
          <w:b/>
          <w:szCs w:val="21"/>
        </w:rPr>
        <w:t>工程名称：</w:t>
      </w:r>
      <w:r>
        <w:rPr>
          <w:rFonts w:hint="eastAsia" w:ascii="宋体" w:hAnsi="宋体"/>
          <w:szCs w:val="21"/>
        </w:rPr>
        <w:t>（项目名称）</w:t>
      </w:r>
      <w:r>
        <w:rPr>
          <w:rFonts w:hint="eastAsia" w:ascii="宋体" w:hAnsi="宋体"/>
          <w:szCs w:val="21"/>
          <w:lang w:val="en-US" w:eastAsia="zh-CN"/>
        </w:rPr>
        <w:t xml:space="preserve"> </w:t>
      </w:r>
    </w:p>
    <w:tbl>
      <w:tblPr>
        <w:tblStyle w:val="88"/>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693"/>
        <w:gridCol w:w="1418"/>
        <w:gridCol w:w="1906"/>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jc w:val="center"/>
              <w:rPr>
                <w:rFonts w:ascii="宋体" w:hAnsi="宋体"/>
                <w:szCs w:val="21"/>
              </w:rPr>
            </w:pPr>
            <w:r>
              <w:rPr>
                <w:rFonts w:hint="eastAsia" w:ascii="宋体" w:hAnsi="宋体"/>
                <w:szCs w:val="21"/>
              </w:rPr>
              <w:t>序 号</w:t>
            </w:r>
          </w:p>
        </w:tc>
        <w:tc>
          <w:tcPr>
            <w:tcW w:w="2693" w:type="dxa"/>
            <w:vAlign w:val="center"/>
          </w:tcPr>
          <w:p>
            <w:pPr>
              <w:jc w:val="center"/>
              <w:rPr>
                <w:rFonts w:ascii="宋体" w:hAnsi="宋体"/>
                <w:szCs w:val="21"/>
              </w:rPr>
            </w:pPr>
            <w:r>
              <w:rPr>
                <w:rFonts w:hint="eastAsia" w:ascii="宋体" w:hAnsi="宋体"/>
                <w:szCs w:val="21"/>
              </w:rPr>
              <w:t>条款内容</w:t>
            </w:r>
          </w:p>
        </w:tc>
        <w:tc>
          <w:tcPr>
            <w:tcW w:w="1418" w:type="dxa"/>
            <w:vAlign w:val="center"/>
          </w:tcPr>
          <w:p>
            <w:pPr>
              <w:jc w:val="center"/>
              <w:rPr>
                <w:rFonts w:ascii="宋体" w:hAnsi="宋体"/>
                <w:szCs w:val="21"/>
              </w:rPr>
            </w:pPr>
            <w:r>
              <w:rPr>
                <w:rFonts w:hint="eastAsia" w:ascii="宋体" w:hAnsi="宋体"/>
                <w:szCs w:val="21"/>
              </w:rPr>
              <w:t>合同条款号</w:t>
            </w:r>
          </w:p>
        </w:tc>
        <w:tc>
          <w:tcPr>
            <w:tcW w:w="1906" w:type="dxa"/>
            <w:vAlign w:val="center"/>
          </w:tcPr>
          <w:p>
            <w:pPr>
              <w:jc w:val="center"/>
              <w:rPr>
                <w:rFonts w:ascii="宋体" w:hAnsi="宋体"/>
                <w:szCs w:val="21"/>
              </w:rPr>
            </w:pPr>
            <w:r>
              <w:rPr>
                <w:rFonts w:hint="eastAsia" w:ascii="宋体" w:hAnsi="宋体"/>
                <w:szCs w:val="21"/>
              </w:rPr>
              <w:t>约定内容</w:t>
            </w:r>
          </w:p>
        </w:tc>
        <w:tc>
          <w:tcPr>
            <w:tcW w:w="1637" w:type="dxa"/>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jc w:val="center"/>
              <w:rPr>
                <w:rFonts w:ascii="黑体" w:hAnsi="宋体" w:eastAsia="黑体"/>
                <w:szCs w:val="21"/>
              </w:rPr>
            </w:pPr>
            <w:r>
              <w:rPr>
                <w:rFonts w:hint="eastAsia" w:ascii="黑体" w:hAnsi="宋体" w:eastAsia="黑体"/>
                <w:szCs w:val="21"/>
              </w:rPr>
              <w:t>1</w:t>
            </w:r>
          </w:p>
        </w:tc>
        <w:tc>
          <w:tcPr>
            <w:tcW w:w="2693" w:type="dxa"/>
            <w:vAlign w:val="center"/>
          </w:tcPr>
          <w:p>
            <w:pPr>
              <w:rPr>
                <w:rFonts w:ascii="宋体" w:hAnsi="宋体"/>
                <w:szCs w:val="21"/>
              </w:rPr>
            </w:pPr>
            <w:r>
              <w:rPr>
                <w:rFonts w:hint="eastAsia" w:ascii="宋体" w:hAnsi="宋体"/>
                <w:szCs w:val="21"/>
              </w:rPr>
              <w:t>项目经理</w:t>
            </w:r>
          </w:p>
        </w:tc>
        <w:tc>
          <w:tcPr>
            <w:tcW w:w="1418" w:type="dxa"/>
            <w:tcMar>
              <w:left w:w="170" w:type="dxa"/>
            </w:tcMar>
            <w:vAlign w:val="center"/>
          </w:tcPr>
          <w:p>
            <w:pPr>
              <w:rPr>
                <w:rFonts w:ascii="黑体" w:hAnsi="宋体" w:eastAsia="黑体"/>
                <w:szCs w:val="21"/>
              </w:rPr>
            </w:pPr>
            <w:r>
              <w:rPr>
                <w:rFonts w:hint="eastAsia" w:ascii="黑体" w:hAnsi="宋体" w:eastAsia="黑体"/>
                <w:szCs w:val="21"/>
              </w:rPr>
              <w:t>1.1.2.4</w:t>
            </w:r>
          </w:p>
        </w:tc>
        <w:tc>
          <w:tcPr>
            <w:tcW w:w="1906" w:type="dxa"/>
            <w:vAlign w:val="center"/>
          </w:tcPr>
          <w:p>
            <w:pPr>
              <w:rPr>
                <w:rFonts w:ascii="宋体" w:hAnsi="宋体"/>
                <w:szCs w:val="21"/>
              </w:rPr>
            </w:pPr>
            <w:r>
              <w:rPr>
                <w:rFonts w:hint="eastAsia" w:ascii="宋体" w:hAnsi="宋体"/>
                <w:szCs w:val="21"/>
              </w:rPr>
              <w:t>姓名：</w:t>
            </w:r>
          </w:p>
        </w:tc>
        <w:tc>
          <w:tcPr>
            <w:tcW w:w="163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jc w:val="center"/>
              <w:rPr>
                <w:rFonts w:ascii="黑体" w:hAnsi="宋体" w:eastAsia="黑体"/>
                <w:szCs w:val="21"/>
              </w:rPr>
            </w:pPr>
            <w:r>
              <w:rPr>
                <w:rFonts w:hint="eastAsia" w:ascii="黑体" w:hAnsi="宋体" w:eastAsia="黑体"/>
                <w:szCs w:val="21"/>
              </w:rPr>
              <w:t>2</w:t>
            </w:r>
          </w:p>
        </w:tc>
        <w:tc>
          <w:tcPr>
            <w:tcW w:w="2693" w:type="dxa"/>
            <w:vAlign w:val="center"/>
          </w:tcPr>
          <w:p>
            <w:pPr>
              <w:rPr>
                <w:rFonts w:ascii="宋体" w:hAnsi="宋体"/>
                <w:szCs w:val="21"/>
              </w:rPr>
            </w:pPr>
            <w:r>
              <w:rPr>
                <w:rFonts w:hint="eastAsia" w:ascii="宋体" w:hAnsi="宋体"/>
                <w:szCs w:val="21"/>
              </w:rPr>
              <w:t>缺陷责任期</w:t>
            </w:r>
          </w:p>
        </w:tc>
        <w:tc>
          <w:tcPr>
            <w:tcW w:w="1418" w:type="dxa"/>
            <w:tcMar>
              <w:left w:w="170" w:type="dxa"/>
            </w:tcMar>
            <w:vAlign w:val="center"/>
          </w:tcPr>
          <w:p>
            <w:pPr>
              <w:rPr>
                <w:rFonts w:ascii="黑体" w:hAnsi="宋体" w:eastAsia="黑体"/>
                <w:szCs w:val="21"/>
              </w:rPr>
            </w:pPr>
            <w:r>
              <w:rPr>
                <w:rFonts w:hint="eastAsia" w:ascii="黑体" w:hAnsi="宋体" w:eastAsia="黑体"/>
                <w:szCs w:val="21"/>
              </w:rPr>
              <w:t>1.1.4.5</w:t>
            </w:r>
          </w:p>
        </w:tc>
        <w:tc>
          <w:tcPr>
            <w:tcW w:w="1906" w:type="dxa"/>
            <w:vAlign w:val="center"/>
          </w:tcPr>
          <w:p>
            <w:pPr>
              <w:jc w:val="center"/>
              <w:rPr>
                <w:rFonts w:ascii="宋体" w:hAnsi="宋体"/>
                <w:szCs w:val="21"/>
              </w:rPr>
            </w:pPr>
            <w:r>
              <w:rPr>
                <w:rFonts w:ascii="宋体" w:hAnsi="宋体"/>
                <w:szCs w:val="21"/>
              </w:rPr>
              <w:t>月</w:t>
            </w:r>
          </w:p>
        </w:tc>
        <w:tc>
          <w:tcPr>
            <w:tcW w:w="163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jc w:val="center"/>
              <w:rPr>
                <w:rFonts w:ascii="黑体" w:hAnsi="宋体" w:eastAsia="黑体"/>
                <w:szCs w:val="21"/>
              </w:rPr>
            </w:pPr>
            <w:r>
              <w:rPr>
                <w:rFonts w:hint="eastAsia" w:ascii="黑体" w:hAnsi="宋体" w:eastAsia="黑体"/>
                <w:szCs w:val="21"/>
              </w:rPr>
              <w:t>3</w:t>
            </w:r>
          </w:p>
        </w:tc>
        <w:tc>
          <w:tcPr>
            <w:tcW w:w="2693" w:type="dxa"/>
            <w:vAlign w:val="center"/>
          </w:tcPr>
          <w:p>
            <w:pPr>
              <w:rPr>
                <w:rFonts w:ascii="宋体" w:hAnsi="宋体"/>
                <w:szCs w:val="21"/>
                <w:highlight w:val="none"/>
              </w:rPr>
            </w:pPr>
            <w:r>
              <w:rPr>
                <w:rFonts w:hint="eastAsia" w:ascii="宋体" w:hAnsi="宋体"/>
                <w:szCs w:val="21"/>
                <w:highlight w:val="none"/>
              </w:rPr>
              <w:t>承包人履约担保金额</w:t>
            </w:r>
          </w:p>
        </w:tc>
        <w:tc>
          <w:tcPr>
            <w:tcW w:w="1418" w:type="dxa"/>
            <w:tcMar>
              <w:left w:w="170" w:type="dxa"/>
            </w:tcMar>
            <w:vAlign w:val="center"/>
          </w:tcPr>
          <w:p>
            <w:pPr>
              <w:rPr>
                <w:rFonts w:ascii="黑体" w:hAnsi="宋体" w:eastAsia="黑体"/>
                <w:szCs w:val="21"/>
                <w:highlight w:val="none"/>
              </w:rPr>
            </w:pPr>
            <w:r>
              <w:rPr>
                <w:rFonts w:hint="eastAsia" w:ascii="黑体" w:hAnsi="宋体" w:eastAsia="黑体"/>
                <w:szCs w:val="21"/>
                <w:highlight w:val="none"/>
              </w:rPr>
              <w:t>4.2</w:t>
            </w:r>
          </w:p>
        </w:tc>
        <w:tc>
          <w:tcPr>
            <w:tcW w:w="1906" w:type="dxa"/>
            <w:vAlign w:val="center"/>
          </w:tcPr>
          <w:p>
            <w:pPr>
              <w:jc w:val="center"/>
              <w:rPr>
                <w:rFonts w:ascii="宋体" w:hAnsi="宋体"/>
                <w:szCs w:val="21"/>
                <w:highlight w:val="none"/>
              </w:rPr>
            </w:pPr>
            <w:r>
              <w:rPr>
                <w:rFonts w:ascii="宋体" w:hAnsi="宋体"/>
                <w:szCs w:val="21"/>
                <w:highlight w:val="none"/>
              </w:rPr>
              <w:t>签约合同价的</w:t>
            </w:r>
            <w:r>
              <w:rPr>
                <w:rFonts w:hint="eastAsia" w:ascii="宋体" w:hAnsi="宋体"/>
                <w:szCs w:val="21"/>
                <w:highlight w:val="none"/>
                <w:u w:val="single"/>
                <w:lang w:val="en-US" w:eastAsia="zh-CN"/>
              </w:rPr>
              <w:t xml:space="preserve">   </w:t>
            </w:r>
            <w:r>
              <w:rPr>
                <w:rFonts w:ascii="宋体" w:hAnsi="宋体"/>
                <w:szCs w:val="21"/>
                <w:highlight w:val="none"/>
              </w:rPr>
              <w:t>%</w:t>
            </w:r>
          </w:p>
        </w:tc>
        <w:tc>
          <w:tcPr>
            <w:tcW w:w="163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jc w:val="center"/>
              <w:rPr>
                <w:rFonts w:hint="eastAsia" w:ascii="黑体" w:hAnsi="宋体" w:eastAsia="黑体"/>
                <w:szCs w:val="21"/>
                <w:lang w:eastAsia="zh-CN"/>
              </w:rPr>
            </w:pPr>
            <w:r>
              <w:rPr>
                <w:rFonts w:hint="eastAsia" w:ascii="黑体" w:hAnsi="宋体" w:eastAsia="黑体"/>
                <w:szCs w:val="21"/>
                <w:lang w:val="en-US" w:eastAsia="zh-CN"/>
              </w:rPr>
              <w:t>4</w:t>
            </w:r>
          </w:p>
        </w:tc>
        <w:tc>
          <w:tcPr>
            <w:tcW w:w="2693" w:type="dxa"/>
            <w:vAlign w:val="center"/>
          </w:tcPr>
          <w:p>
            <w:pPr>
              <w:rPr>
                <w:rFonts w:ascii="宋体" w:hAnsi="宋体"/>
                <w:szCs w:val="21"/>
              </w:rPr>
            </w:pPr>
            <w:r>
              <w:rPr>
                <w:rFonts w:hint="eastAsia" w:ascii="宋体" w:hAnsi="宋体"/>
                <w:szCs w:val="21"/>
              </w:rPr>
              <w:t>逾期竣工违约金最高限额</w:t>
            </w:r>
          </w:p>
        </w:tc>
        <w:tc>
          <w:tcPr>
            <w:tcW w:w="1418" w:type="dxa"/>
            <w:tcMar>
              <w:left w:w="170" w:type="dxa"/>
            </w:tcMar>
            <w:vAlign w:val="center"/>
          </w:tcPr>
          <w:p>
            <w:pPr>
              <w:rPr>
                <w:rFonts w:ascii="黑体" w:hAnsi="宋体" w:eastAsia="黑体"/>
                <w:szCs w:val="21"/>
              </w:rPr>
            </w:pPr>
            <w:r>
              <w:rPr>
                <w:rFonts w:hint="eastAsia" w:ascii="黑体" w:hAnsi="宋体" w:eastAsia="黑体"/>
                <w:szCs w:val="21"/>
              </w:rPr>
              <w:t>6.5</w:t>
            </w:r>
          </w:p>
        </w:tc>
        <w:tc>
          <w:tcPr>
            <w:tcW w:w="1906" w:type="dxa"/>
            <w:vAlign w:val="center"/>
          </w:tcPr>
          <w:p>
            <w:pPr>
              <w:rPr>
                <w:rFonts w:ascii="宋体" w:hAnsi="宋体"/>
                <w:szCs w:val="21"/>
              </w:rPr>
            </w:pPr>
          </w:p>
        </w:tc>
        <w:tc>
          <w:tcPr>
            <w:tcW w:w="163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jc w:val="center"/>
              <w:rPr>
                <w:rFonts w:hint="eastAsia" w:ascii="黑体" w:hAnsi="宋体" w:eastAsia="黑体"/>
                <w:szCs w:val="21"/>
                <w:lang w:eastAsia="zh-CN"/>
              </w:rPr>
            </w:pPr>
            <w:r>
              <w:rPr>
                <w:rFonts w:hint="eastAsia" w:ascii="黑体" w:hAnsi="宋体" w:eastAsia="黑体"/>
                <w:szCs w:val="21"/>
                <w:lang w:val="en-US" w:eastAsia="zh-CN"/>
              </w:rPr>
              <w:t>5</w:t>
            </w:r>
          </w:p>
        </w:tc>
        <w:tc>
          <w:tcPr>
            <w:tcW w:w="2693" w:type="dxa"/>
            <w:vAlign w:val="center"/>
          </w:tcPr>
          <w:p>
            <w:pPr>
              <w:rPr>
                <w:rFonts w:ascii="宋体" w:hAnsi="宋体"/>
                <w:szCs w:val="21"/>
              </w:rPr>
            </w:pPr>
            <w:r>
              <w:rPr>
                <w:rFonts w:hint="eastAsia" w:ascii="宋体" w:hAnsi="宋体"/>
                <w:szCs w:val="21"/>
              </w:rPr>
              <w:t>预付款额度</w:t>
            </w:r>
          </w:p>
        </w:tc>
        <w:tc>
          <w:tcPr>
            <w:tcW w:w="1418" w:type="dxa"/>
            <w:tcMar>
              <w:left w:w="170" w:type="dxa"/>
            </w:tcMar>
            <w:vAlign w:val="center"/>
          </w:tcPr>
          <w:p>
            <w:pPr>
              <w:rPr>
                <w:rFonts w:ascii="黑体" w:hAnsi="宋体" w:eastAsia="黑体"/>
                <w:szCs w:val="21"/>
              </w:rPr>
            </w:pPr>
            <w:r>
              <w:rPr>
                <w:rFonts w:hint="eastAsia" w:ascii="黑体" w:hAnsi="宋体" w:eastAsia="黑体"/>
                <w:szCs w:val="21"/>
              </w:rPr>
              <w:t>10.2</w:t>
            </w:r>
          </w:p>
        </w:tc>
        <w:tc>
          <w:tcPr>
            <w:tcW w:w="1906" w:type="dxa"/>
            <w:vAlign w:val="center"/>
          </w:tcPr>
          <w:p>
            <w:pPr>
              <w:jc w:val="center"/>
              <w:rPr>
                <w:rFonts w:ascii="宋体" w:hAnsi="宋体"/>
                <w:szCs w:val="21"/>
              </w:rPr>
            </w:pPr>
          </w:p>
        </w:tc>
        <w:tc>
          <w:tcPr>
            <w:tcW w:w="163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jc w:val="center"/>
              <w:rPr>
                <w:rFonts w:hint="eastAsia" w:ascii="宋体" w:hAnsi="宋体" w:eastAsia="宋体"/>
                <w:szCs w:val="21"/>
                <w:lang w:eastAsia="zh-CN"/>
              </w:rPr>
            </w:pPr>
            <w:r>
              <w:rPr>
                <w:rFonts w:hint="eastAsia" w:ascii="宋体" w:hAnsi="宋体"/>
                <w:szCs w:val="21"/>
                <w:lang w:val="en-US" w:eastAsia="zh-CN"/>
              </w:rPr>
              <w:t>6</w:t>
            </w:r>
          </w:p>
        </w:tc>
        <w:tc>
          <w:tcPr>
            <w:tcW w:w="2693" w:type="dxa"/>
            <w:vAlign w:val="center"/>
          </w:tcPr>
          <w:p>
            <w:pPr>
              <w:rPr>
                <w:rFonts w:ascii="宋体" w:hAnsi="宋体"/>
                <w:szCs w:val="21"/>
              </w:rPr>
            </w:pPr>
            <w:r>
              <w:rPr>
                <w:rFonts w:hint="eastAsia" w:ascii="宋体" w:hAnsi="宋体"/>
                <w:szCs w:val="21"/>
              </w:rPr>
              <w:t>质量保证金额度</w:t>
            </w:r>
          </w:p>
        </w:tc>
        <w:tc>
          <w:tcPr>
            <w:tcW w:w="1418" w:type="dxa"/>
            <w:tcMar>
              <w:left w:w="170" w:type="dxa"/>
            </w:tcMar>
            <w:vAlign w:val="center"/>
          </w:tcPr>
          <w:p>
            <w:pPr>
              <w:rPr>
                <w:rFonts w:ascii="黑体" w:hAnsi="宋体" w:eastAsia="黑体"/>
                <w:szCs w:val="21"/>
              </w:rPr>
            </w:pPr>
            <w:r>
              <w:rPr>
                <w:rFonts w:hint="eastAsia" w:ascii="黑体" w:hAnsi="宋体" w:eastAsia="黑体"/>
                <w:szCs w:val="21"/>
              </w:rPr>
              <w:t>10.4</w:t>
            </w:r>
          </w:p>
        </w:tc>
        <w:tc>
          <w:tcPr>
            <w:tcW w:w="1906" w:type="dxa"/>
            <w:vAlign w:val="center"/>
          </w:tcPr>
          <w:p>
            <w:pPr>
              <w:jc w:val="center"/>
              <w:rPr>
                <w:rFonts w:ascii="宋体" w:hAnsi="宋体"/>
                <w:szCs w:val="21"/>
              </w:rPr>
            </w:pPr>
          </w:p>
        </w:tc>
        <w:tc>
          <w:tcPr>
            <w:tcW w:w="163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jc w:val="center"/>
              <w:rPr>
                <w:rFonts w:ascii="宋体" w:hAnsi="宋体"/>
                <w:szCs w:val="21"/>
              </w:rPr>
            </w:pPr>
            <w:r>
              <w:rPr>
                <w:rFonts w:hint="eastAsia" w:ascii="宋体" w:hAnsi="宋体"/>
                <w:szCs w:val="21"/>
              </w:rPr>
              <w:t>……</w:t>
            </w:r>
          </w:p>
        </w:tc>
        <w:tc>
          <w:tcPr>
            <w:tcW w:w="2693" w:type="dxa"/>
            <w:vAlign w:val="center"/>
          </w:tcPr>
          <w:p>
            <w:pPr>
              <w:jc w:val="center"/>
              <w:rPr>
                <w:rFonts w:ascii="宋体" w:hAnsi="宋体"/>
                <w:szCs w:val="21"/>
              </w:rPr>
            </w:pPr>
            <w:r>
              <w:rPr>
                <w:rFonts w:hint="eastAsia" w:ascii="宋体" w:hAnsi="宋体"/>
                <w:szCs w:val="21"/>
              </w:rPr>
              <w:t>……</w:t>
            </w:r>
          </w:p>
        </w:tc>
        <w:tc>
          <w:tcPr>
            <w:tcW w:w="1418" w:type="dxa"/>
            <w:vAlign w:val="center"/>
          </w:tcPr>
          <w:p>
            <w:pPr>
              <w:jc w:val="center"/>
              <w:rPr>
                <w:rFonts w:ascii="宋体" w:hAnsi="宋体"/>
                <w:szCs w:val="21"/>
              </w:rPr>
            </w:pPr>
          </w:p>
        </w:tc>
        <w:tc>
          <w:tcPr>
            <w:tcW w:w="1906" w:type="dxa"/>
            <w:vAlign w:val="center"/>
          </w:tcPr>
          <w:p>
            <w:pPr>
              <w:jc w:val="center"/>
              <w:rPr>
                <w:rFonts w:ascii="宋体" w:hAnsi="宋体"/>
                <w:szCs w:val="21"/>
              </w:rPr>
            </w:pPr>
          </w:p>
        </w:tc>
        <w:tc>
          <w:tcPr>
            <w:tcW w:w="163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8505" w:type="dxa"/>
            <w:gridSpan w:val="5"/>
            <w:vAlign w:val="center"/>
          </w:tcPr>
          <w:p>
            <w:pPr>
              <w:rPr>
                <w:rFonts w:ascii="宋体" w:hAnsi="宋体"/>
                <w:szCs w:val="21"/>
              </w:rPr>
            </w:pPr>
            <w:r>
              <w:rPr>
                <w:rFonts w:hint="eastAsia" w:ascii="黑体" w:hAnsi="宋体" w:eastAsia="黑体"/>
                <w:szCs w:val="21"/>
              </w:rPr>
              <w:t>备注：</w:t>
            </w:r>
            <w:r>
              <w:rPr>
                <w:rFonts w:hint="eastAsia" w:ascii="宋体" w:hAnsi="宋体"/>
                <w:szCs w:val="21"/>
              </w:rPr>
              <w:t>供应商在谈判文件中规定的实质性要求和条件的基础上，可做出其他有利于采购人的承诺。此类承诺可在本表中予以补充填写。</w:t>
            </w:r>
          </w:p>
        </w:tc>
      </w:tr>
    </w:tbl>
    <w:p>
      <w:pPr>
        <w:spacing w:line="480" w:lineRule="exact"/>
        <w:ind w:firstLine="422" w:firstLineChars="200"/>
        <w:rPr>
          <w:rFonts w:ascii="宋体" w:hAnsi="宋体"/>
          <w:szCs w:val="21"/>
        </w:rPr>
      </w:pPr>
      <w:r>
        <w:rPr>
          <w:rFonts w:hint="eastAsia" w:ascii="宋体" w:hAnsi="宋体"/>
          <w:b/>
          <w:szCs w:val="21"/>
        </w:rPr>
        <w:t>供应商</w:t>
      </w:r>
      <w:r>
        <w:rPr>
          <w:rFonts w:hint="eastAsia" w:ascii="宋体" w:hAnsi="宋体"/>
          <w:szCs w:val="21"/>
        </w:rPr>
        <w:t>（盖章）：</w:t>
      </w:r>
    </w:p>
    <w:p>
      <w:pPr>
        <w:spacing w:line="480" w:lineRule="exact"/>
        <w:ind w:firstLine="422" w:firstLineChars="200"/>
        <w:rPr>
          <w:rFonts w:ascii="宋体" w:hAnsi="宋体"/>
          <w:szCs w:val="21"/>
        </w:rPr>
      </w:pPr>
      <w:r>
        <w:rPr>
          <w:rFonts w:hint="eastAsia" w:ascii="宋体" w:hAnsi="宋体"/>
          <w:b/>
          <w:szCs w:val="21"/>
        </w:rPr>
        <w:t>法人代表或委托代理人</w:t>
      </w:r>
      <w:r>
        <w:rPr>
          <w:rFonts w:hint="eastAsia" w:ascii="宋体" w:hAnsi="宋体"/>
          <w:szCs w:val="21"/>
        </w:rPr>
        <w:t>（</w:t>
      </w:r>
      <w:r>
        <w:rPr>
          <w:rFonts w:hint="eastAsia" w:ascii="宋体" w:hAnsi="宋体" w:cs="仿宋_GB2312"/>
          <w:kern w:val="0"/>
          <w:sz w:val="24"/>
        </w:rPr>
        <w:t>签字或盖人名章</w:t>
      </w:r>
      <w:r>
        <w:rPr>
          <w:rFonts w:hint="eastAsia" w:ascii="宋体" w:hAnsi="宋体"/>
          <w:szCs w:val="21"/>
        </w:rPr>
        <w:t>）：</w:t>
      </w:r>
    </w:p>
    <w:p>
      <w:pPr>
        <w:spacing w:line="480" w:lineRule="exact"/>
        <w:ind w:firstLine="422" w:firstLineChars="200"/>
        <w:rPr>
          <w:rFonts w:ascii="宋体" w:hAnsi="宋体"/>
          <w:b/>
          <w:szCs w:val="21"/>
        </w:rPr>
      </w:pPr>
      <w:r>
        <w:rPr>
          <w:rFonts w:hint="eastAsia" w:ascii="宋体" w:hAnsi="宋体"/>
          <w:b/>
          <w:szCs w:val="21"/>
        </w:rPr>
        <w:t>日期：年月日</w:t>
      </w:r>
    </w:p>
    <w:p>
      <w:pPr>
        <w:pStyle w:val="41"/>
        <w:tabs>
          <w:tab w:val="left" w:pos="5580"/>
        </w:tabs>
        <w:spacing w:before="120"/>
        <w:ind w:firstLine="720" w:firstLineChars="300"/>
        <w:rPr>
          <w:rFonts w:ascii="仿宋_GB2312" w:hAnsi="宋体" w:eastAsia="仿宋_GB2312"/>
          <w:sz w:val="24"/>
        </w:rPr>
      </w:pPr>
    </w:p>
    <w:p>
      <w:pPr>
        <w:pStyle w:val="41"/>
        <w:tabs>
          <w:tab w:val="left" w:pos="5580"/>
        </w:tabs>
        <w:spacing w:before="120"/>
        <w:ind w:firstLine="720" w:firstLineChars="300"/>
        <w:rPr>
          <w:rFonts w:ascii="仿宋_GB2312" w:hAnsi="宋体" w:eastAsia="仿宋_GB2312"/>
          <w:sz w:val="24"/>
        </w:rPr>
      </w:pPr>
      <w:r>
        <w:rPr>
          <w:rFonts w:hAnsi="宋体"/>
          <w:sz w:val="24"/>
        </w:rPr>
        <w:br w:type="page"/>
      </w:r>
    </w:p>
    <w:p>
      <w:pPr>
        <w:pStyle w:val="425"/>
        <w:spacing w:line="360" w:lineRule="auto"/>
        <w:ind w:firstLine="0" w:firstLineChars="0"/>
        <w:outlineLvl w:val="1"/>
        <w:rPr>
          <w:b/>
          <w:sz w:val="24"/>
        </w:rPr>
      </w:pPr>
      <w:bookmarkStart w:id="590" w:name="_Toc794"/>
      <w:r>
        <w:rPr>
          <w:rFonts w:hint="eastAsia"/>
          <w:b/>
          <w:sz w:val="24"/>
        </w:rPr>
        <w:t>附件2 法定代表人身份证明</w:t>
      </w:r>
      <w:bookmarkEnd w:id="590"/>
    </w:p>
    <w:p>
      <w:pPr>
        <w:spacing w:beforeLines="50" w:line="288" w:lineRule="auto"/>
        <w:ind w:hanging="104"/>
        <w:jc w:val="center"/>
        <w:rPr>
          <w:rFonts w:ascii="宋体" w:hAnsi="宋体"/>
          <w:szCs w:val="21"/>
        </w:rPr>
      </w:pPr>
    </w:p>
    <w:p>
      <w:pPr>
        <w:autoSpaceDE w:val="0"/>
        <w:autoSpaceDN w:val="0"/>
        <w:adjustRightInd w:val="0"/>
        <w:jc w:val="center"/>
        <w:rPr>
          <w:rFonts w:ascii="宋体" w:hAnsi="宋体" w:cs="黑体"/>
          <w:kern w:val="0"/>
          <w:sz w:val="28"/>
          <w:szCs w:val="28"/>
        </w:rPr>
      </w:pPr>
      <w:r>
        <w:rPr>
          <w:rFonts w:hint="eastAsia" w:ascii="宋体" w:hAnsi="宋体" w:cs="黑体"/>
          <w:kern w:val="0"/>
          <w:sz w:val="28"/>
          <w:szCs w:val="28"/>
        </w:rPr>
        <w:t>法定代表人身份证明</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姓名：性别：年龄： 职务：系（供应商名称）的法定代表人。</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特此证明。</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ind w:left="5399" w:leftChars="2571"/>
        <w:jc w:val="left"/>
        <w:rPr>
          <w:rFonts w:ascii="宋体" w:hAnsi="宋体" w:cs="仿宋_GB2312"/>
          <w:kern w:val="0"/>
          <w:sz w:val="24"/>
        </w:rPr>
      </w:pPr>
      <w:r>
        <w:rPr>
          <w:rFonts w:hint="eastAsia" w:ascii="宋体" w:hAnsi="宋体" w:cs="仿宋_GB2312"/>
          <w:kern w:val="0"/>
          <w:sz w:val="24"/>
        </w:rPr>
        <w:t>供应商：          （盖单位章）</w:t>
      </w:r>
    </w:p>
    <w:p>
      <w:pPr>
        <w:autoSpaceDE w:val="0"/>
        <w:autoSpaceDN w:val="0"/>
        <w:adjustRightInd w:val="0"/>
        <w:spacing w:line="360" w:lineRule="auto"/>
        <w:ind w:left="5399" w:leftChars="2571"/>
        <w:jc w:val="left"/>
        <w:rPr>
          <w:rFonts w:ascii="宋体" w:hAnsi="宋体" w:cs="仿宋_GB2312"/>
          <w:kern w:val="0"/>
          <w:sz w:val="24"/>
        </w:rPr>
      </w:pPr>
    </w:p>
    <w:p>
      <w:pPr>
        <w:autoSpaceDE w:val="0"/>
        <w:autoSpaceDN w:val="0"/>
        <w:adjustRightInd w:val="0"/>
        <w:spacing w:line="360" w:lineRule="auto"/>
        <w:ind w:left="6659" w:leftChars="3171"/>
        <w:jc w:val="left"/>
        <w:rPr>
          <w:rFonts w:ascii="宋体" w:hAnsi="宋体" w:cs="仿宋_GB2312"/>
          <w:kern w:val="0"/>
          <w:sz w:val="24"/>
        </w:rPr>
      </w:pPr>
      <w:r>
        <w:rPr>
          <w:rFonts w:hint="eastAsia" w:ascii="宋体" w:hAnsi="宋体" w:cs="仿宋_GB2312"/>
          <w:kern w:val="0"/>
          <w:sz w:val="24"/>
        </w:rPr>
        <w:t>年月日</w:t>
      </w:r>
    </w:p>
    <w:p>
      <w:pPr>
        <w:widowControl/>
        <w:jc w:val="left"/>
        <w:rPr>
          <w:rFonts w:ascii="宋体" w:hAnsi="宋体" w:cs="仿宋_GB2312"/>
          <w:kern w:val="0"/>
          <w:sz w:val="24"/>
        </w:rPr>
      </w:pPr>
      <w:r>
        <w:rPr>
          <w:rFonts w:ascii="宋体" w:hAnsi="宋体" w:cs="仿宋_GB2312"/>
          <w:kern w:val="0"/>
          <w:sz w:val="24"/>
        </w:rPr>
        <w:br w:type="page"/>
      </w:r>
    </w:p>
    <w:p>
      <w:pPr>
        <w:autoSpaceDE w:val="0"/>
        <w:autoSpaceDN w:val="0"/>
        <w:adjustRightInd w:val="0"/>
        <w:spacing w:line="360" w:lineRule="auto"/>
        <w:ind w:left="6659" w:leftChars="3171"/>
        <w:jc w:val="left"/>
        <w:rPr>
          <w:rFonts w:ascii="宋体" w:hAnsi="宋体" w:cs="仿宋_GB2312"/>
          <w:kern w:val="0"/>
          <w:sz w:val="24"/>
        </w:rPr>
      </w:pPr>
    </w:p>
    <w:p>
      <w:pPr>
        <w:pStyle w:val="425"/>
        <w:spacing w:line="360" w:lineRule="auto"/>
        <w:ind w:firstLine="0" w:firstLineChars="0"/>
        <w:outlineLvl w:val="1"/>
        <w:rPr>
          <w:b/>
          <w:sz w:val="24"/>
        </w:rPr>
      </w:pPr>
      <w:bookmarkStart w:id="591" w:name="_Toc11542"/>
      <w:bookmarkStart w:id="592" w:name="_Toc195922058"/>
      <w:r>
        <w:rPr>
          <w:rFonts w:hint="eastAsia"/>
          <w:b/>
          <w:sz w:val="24"/>
        </w:rPr>
        <w:t>附件3 授权委托书</w:t>
      </w:r>
      <w:bookmarkEnd w:id="591"/>
    </w:p>
    <w:p>
      <w:pPr>
        <w:autoSpaceDE w:val="0"/>
        <w:autoSpaceDN w:val="0"/>
        <w:adjustRightInd w:val="0"/>
        <w:jc w:val="center"/>
        <w:rPr>
          <w:rFonts w:ascii="宋体" w:hAnsi="宋体" w:cs="TimesNewRomanPSMT"/>
          <w:kern w:val="0"/>
          <w:sz w:val="18"/>
          <w:szCs w:val="18"/>
        </w:rPr>
      </w:pPr>
    </w:p>
    <w:p>
      <w:pPr>
        <w:autoSpaceDE w:val="0"/>
        <w:autoSpaceDN w:val="0"/>
        <w:adjustRightInd w:val="0"/>
        <w:jc w:val="center"/>
        <w:rPr>
          <w:rFonts w:ascii="宋体" w:hAnsi="宋体" w:cs="黑体"/>
          <w:kern w:val="0"/>
          <w:sz w:val="28"/>
          <w:szCs w:val="28"/>
        </w:rPr>
      </w:pPr>
      <w:r>
        <w:rPr>
          <w:rFonts w:hint="eastAsia" w:ascii="宋体" w:hAnsi="宋体" w:cs="黑体"/>
          <w:kern w:val="0"/>
          <w:sz w:val="28"/>
          <w:szCs w:val="28"/>
        </w:rPr>
        <w:t>授权委托书</w:t>
      </w:r>
      <w:bookmarkEnd w:id="592"/>
    </w:p>
    <w:p>
      <w:pPr>
        <w:autoSpaceDE w:val="0"/>
        <w:autoSpaceDN w:val="0"/>
        <w:adjustRightInd w:val="0"/>
        <w:jc w:val="center"/>
        <w:rPr>
          <w:rFonts w:ascii="宋体" w:hAnsi="宋体" w:cs="黑体"/>
          <w:kern w:val="0"/>
          <w:sz w:val="28"/>
          <w:szCs w:val="28"/>
        </w:rPr>
      </w:pPr>
    </w:p>
    <w:p>
      <w:pPr>
        <w:autoSpaceDE w:val="0"/>
        <w:autoSpaceDN w:val="0"/>
        <w:adjustRightInd w:val="0"/>
        <w:jc w:val="left"/>
        <w:rPr>
          <w:rFonts w:ascii="宋体" w:hAnsi="宋体" w:cs="仿宋_GB2312"/>
          <w:kern w:val="0"/>
          <w:szCs w:val="21"/>
        </w:rPr>
      </w:pPr>
    </w:p>
    <w:p>
      <w:pPr>
        <w:autoSpaceDE w:val="0"/>
        <w:autoSpaceDN w:val="0"/>
        <w:adjustRightInd w:val="0"/>
        <w:spacing w:line="360" w:lineRule="auto"/>
        <w:ind w:firstLine="480" w:firstLineChars="200"/>
        <w:jc w:val="left"/>
        <w:rPr>
          <w:rFonts w:ascii="宋体" w:hAnsi="宋体" w:cs="仿宋_GB2312"/>
          <w:kern w:val="0"/>
          <w:sz w:val="24"/>
        </w:rPr>
      </w:pPr>
      <w:r>
        <w:rPr>
          <w:rFonts w:hint="eastAsia" w:ascii="宋体" w:hAnsi="宋体" w:cs="仿宋_GB2312"/>
          <w:kern w:val="0"/>
          <w:sz w:val="24"/>
        </w:rPr>
        <w:t>本人（姓名）系（供应商名称）的法定代表人，现委托（姓名）为我方代理人。代理人根据授权，以我方名义签署、澄清、说明、补正、递交、撤回、修改</w:t>
      </w:r>
      <w:r>
        <w:rPr>
          <w:rFonts w:hint="eastAsia" w:ascii="宋体" w:hAnsi="宋体" w:cs="仿宋_GB2312"/>
          <w:kern w:val="0"/>
          <w:sz w:val="24"/>
          <w:u w:val="single"/>
          <w:lang w:val="en-US" w:eastAsia="zh-CN"/>
        </w:rPr>
        <w:t xml:space="preserve">   </w:t>
      </w:r>
      <w:r>
        <w:rPr>
          <w:rFonts w:hint="eastAsia" w:ascii="宋体" w:hAnsi="宋体" w:cs="仿宋_GB2312"/>
          <w:kern w:val="0"/>
          <w:sz w:val="24"/>
          <w:u w:val="single"/>
        </w:rPr>
        <w:t>（项目名称）</w:t>
      </w:r>
      <w:r>
        <w:rPr>
          <w:rFonts w:hint="eastAsia" w:ascii="宋体" w:hAnsi="宋体" w:cs="仿宋_GB2312"/>
          <w:kern w:val="0"/>
          <w:sz w:val="24"/>
        </w:rPr>
        <w:t>响应文件、签订合同和处理有关事宜，其法律后果由我方承担。</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委托期限：。</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代理人无转委托权。</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附：法定代表人身份证明及被授权人身份证明（复印件或扫描件）</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ind w:left="3402" w:leftChars="1620"/>
        <w:jc w:val="left"/>
        <w:rPr>
          <w:rFonts w:ascii="宋体" w:hAnsi="宋体" w:cs="仿宋_GB2312"/>
          <w:kern w:val="0"/>
          <w:sz w:val="24"/>
        </w:rPr>
      </w:pPr>
      <w:r>
        <w:rPr>
          <w:rFonts w:hint="eastAsia" w:ascii="宋体" w:hAnsi="宋体" w:cs="仿宋_GB2312"/>
          <w:kern w:val="0"/>
          <w:sz w:val="24"/>
        </w:rPr>
        <w:t>供应商：           （盖单位章）</w:t>
      </w:r>
    </w:p>
    <w:p>
      <w:pPr>
        <w:autoSpaceDE w:val="0"/>
        <w:autoSpaceDN w:val="0"/>
        <w:adjustRightInd w:val="0"/>
        <w:spacing w:line="360" w:lineRule="auto"/>
        <w:ind w:left="3402" w:leftChars="1620"/>
        <w:jc w:val="left"/>
        <w:rPr>
          <w:rFonts w:ascii="宋体" w:hAnsi="宋体" w:cs="仿宋_GB2312"/>
          <w:kern w:val="0"/>
          <w:sz w:val="24"/>
        </w:rPr>
      </w:pPr>
      <w:r>
        <w:rPr>
          <w:rFonts w:hint="eastAsia" w:ascii="宋体" w:hAnsi="宋体" w:cs="仿宋_GB2312"/>
          <w:kern w:val="0"/>
          <w:sz w:val="24"/>
        </w:rPr>
        <w:t>法定代表人：            （签字或加盖人名章）</w:t>
      </w:r>
    </w:p>
    <w:p>
      <w:pPr>
        <w:autoSpaceDE w:val="0"/>
        <w:autoSpaceDN w:val="0"/>
        <w:adjustRightInd w:val="0"/>
        <w:spacing w:line="360" w:lineRule="auto"/>
        <w:ind w:left="3402" w:leftChars="1620"/>
        <w:jc w:val="left"/>
        <w:rPr>
          <w:rFonts w:ascii="宋体" w:hAnsi="宋体" w:cs="仿宋_GB2312"/>
          <w:kern w:val="0"/>
          <w:sz w:val="24"/>
        </w:rPr>
      </w:pPr>
      <w:r>
        <w:rPr>
          <w:rFonts w:hint="eastAsia" w:ascii="宋体" w:hAnsi="宋体" w:cs="仿宋_GB2312"/>
          <w:kern w:val="0"/>
          <w:sz w:val="24"/>
        </w:rPr>
        <w:t>身份证号码：</w:t>
      </w:r>
    </w:p>
    <w:p>
      <w:pPr>
        <w:autoSpaceDE w:val="0"/>
        <w:autoSpaceDN w:val="0"/>
        <w:adjustRightInd w:val="0"/>
        <w:spacing w:line="360" w:lineRule="auto"/>
        <w:ind w:left="3402" w:leftChars="1620"/>
        <w:jc w:val="left"/>
        <w:rPr>
          <w:rFonts w:ascii="宋体" w:hAnsi="宋体" w:cs="仿宋_GB2312"/>
          <w:kern w:val="0"/>
          <w:sz w:val="24"/>
        </w:rPr>
      </w:pPr>
      <w:r>
        <w:rPr>
          <w:rFonts w:hint="eastAsia" w:ascii="宋体" w:hAnsi="宋体" w:cs="仿宋_GB2312"/>
          <w:kern w:val="0"/>
          <w:sz w:val="24"/>
        </w:rPr>
        <w:t>委托代理人：             （签字或加盖人名章）</w:t>
      </w:r>
    </w:p>
    <w:p>
      <w:pPr>
        <w:autoSpaceDE w:val="0"/>
        <w:autoSpaceDN w:val="0"/>
        <w:adjustRightInd w:val="0"/>
        <w:spacing w:line="360" w:lineRule="auto"/>
        <w:ind w:left="3402" w:leftChars="1620"/>
        <w:jc w:val="left"/>
        <w:rPr>
          <w:rFonts w:ascii="宋体" w:hAnsi="宋体" w:cs="仿宋_GB2312"/>
          <w:kern w:val="0"/>
          <w:sz w:val="24"/>
        </w:rPr>
      </w:pPr>
      <w:r>
        <w:rPr>
          <w:rFonts w:hint="eastAsia" w:ascii="宋体" w:hAnsi="宋体" w:cs="仿宋_GB2312"/>
          <w:kern w:val="0"/>
          <w:sz w:val="24"/>
        </w:rPr>
        <w:t>身份证号码：</w:t>
      </w:r>
    </w:p>
    <w:p>
      <w:pPr>
        <w:autoSpaceDE w:val="0"/>
        <w:autoSpaceDN w:val="0"/>
        <w:adjustRightInd w:val="0"/>
        <w:spacing w:line="360" w:lineRule="auto"/>
        <w:ind w:left="3402" w:leftChars="1620"/>
        <w:jc w:val="left"/>
        <w:rPr>
          <w:rFonts w:ascii="宋体" w:hAnsi="宋体" w:cs="仿宋_GB2312"/>
          <w:kern w:val="0"/>
          <w:sz w:val="24"/>
        </w:rPr>
      </w:pPr>
      <w:r>
        <w:rPr>
          <w:rFonts w:hint="eastAsia" w:ascii="宋体" w:hAnsi="宋体" w:cs="仿宋_GB2312"/>
          <w:kern w:val="0"/>
          <w:sz w:val="24"/>
        </w:rPr>
        <w:t>年月日</w:t>
      </w:r>
    </w:p>
    <w:p>
      <w:pPr>
        <w:widowControl/>
        <w:jc w:val="left"/>
        <w:rPr>
          <w:rFonts w:ascii="宋体" w:hAnsi="宋体" w:cs="仿宋_GB2312"/>
          <w:kern w:val="0"/>
          <w:sz w:val="24"/>
        </w:rPr>
      </w:pPr>
      <w:r>
        <w:rPr>
          <w:rFonts w:ascii="宋体" w:hAnsi="宋体" w:cs="仿宋_GB2312"/>
          <w:kern w:val="0"/>
          <w:sz w:val="24"/>
        </w:rPr>
        <w:br w:type="page"/>
      </w:r>
    </w:p>
    <w:p>
      <w:pPr>
        <w:autoSpaceDE w:val="0"/>
        <w:autoSpaceDN w:val="0"/>
        <w:adjustRightInd w:val="0"/>
        <w:spacing w:line="360" w:lineRule="auto"/>
        <w:ind w:left="3958" w:leftChars="1885"/>
        <w:jc w:val="left"/>
        <w:rPr>
          <w:rFonts w:ascii="宋体" w:hAnsi="宋体" w:cs="仿宋_GB2312"/>
          <w:kern w:val="0"/>
          <w:sz w:val="24"/>
        </w:rPr>
      </w:pPr>
    </w:p>
    <w:p>
      <w:pPr>
        <w:pStyle w:val="425"/>
        <w:spacing w:line="360" w:lineRule="auto"/>
        <w:ind w:firstLine="0" w:firstLineChars="0"/>
        <w:outlineLvl w:val="1"/>
        <w:rPr>
          <w:b/>
          <w:sz w:val="24"/>
        </w:rPr>
      </w:pPr>
      <w:bookmarkStart w:id="593" w:name="_Toc30492"/>
      <w:r>
        <w:rPr>
          <w:rFonts w:hint="eastAsia"/>
          <w:b/>
          <w:sz w:val="24"/>
        </w:rPr>
        <w:t>附件4 谈判保证金</w:t>
      </w:r>
      <w:bookmarkEnd w:id="588"/>
      <w:bookmarkEnd w:id="589"/>
      <w:r>
        <w:rPr>
          <w:rFonts w:hint="eastAsia"/>
          <w:b/>
          <w:sz w:val="24"/>
        </w:rPr>
        <w:t>（支票、汇票或本票的复印件，或采用汇款、网银等方式提交的保证金的汇款底单复印件）</w:t>
      </w:r>
      <w:bookmarkEnd w:id="593"/>
    </w:p>
    <w:p>
      <w:pPr>
        <w:jc w:val="center"/>
        <w:rPr>
          <w:b/>
          <w:sz w:val="24"/>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r>
        <w:rPr>
          <w:rFonts w:hint="eastAsia" w:ascii="宋体"/>
          <w:b/>
          <w:szCs w:val="21"/>
        </w:rPr>
        <w:t>说明：</w:t>
      </w:r>
    </w:p>
    <w:p>
      <w:pPr>
        <w:spacing w:before="120" w:after="120" w:line="360" w:lineRule="auto"/>
        <w:ind w:firstLine="420" w:firstLineChars="200"/>
        <w:rPr>
          <w:rFonts w:ascii="宋体"/>
          <w:szCs w:val="21"/>
        </w:rPr>
      </w:pPr>
      <w:r>
        <w:rPr>
          <w:rFonts w:hint="eastAsia" w:ascii="宋体"/>
          <w:szCs w:val="21"/>
        </w:rPr>
        <w:t>供应商提交的谈判保证金应采用谈判文件中规定的形式，并在此提供相应凭证的复印件</w:t>
      </w:r>
      <w:r>
        <w:rPr>
          <w:rFonts w:ascii="宋体"/>
          <w:szCs w:val="21"/>
        </w:rPr>
        <w:t>。</w:t>
      </w:r>
    </w:p>
    <w:p>
      <w:pPr>
        <w:spacing w:before="120" w:after="120" w:line="360" w:lineRule="auto"/>
        <w:ind w:firstLine="420" w:firstLineChars="200"/>
        <w:rPr>
          <w:rFonts w:ascii="宋体"/>
          <w:szCs w:val="21"/>
        </w:rPr>
      </w:pPr>
    </w:p>
    <w:p>
      <w:pPr>
        <w:spacing w:before="120" w:after="120" w:line="360" w:lineRule="auto"/>
        <w:ind w:firstLine="420" w:firstLineChars="200"/>
        <w:rPr>
          <w:rFonts w:ascii="宋体"/>
          <w:szCs w:val="21"/>
        </w:rPr>
      </w:pPr>
    </w:p>
    <w:p>
      <w:pPr>
        <w:spacing w:before="120" w:after="120" w:line="360" w:lineRule="auto"/>
        <w:ind w:firstLine="420" w:firstLineChars="200"/>
        <w:rPr>
          <w:rFonts w:ascii="宋体"/>
          <w:szCs w:val="21"/>
        </w:rPr>
      </w:pPr>
      <w:r>
        <w:rPr>
          <w:rFonts w:ascii="宋体"/>
          <w:szCs w:val="21"/>
        </w:rPr>
        <w:t xml:space="preserve">供应商名称（公章）： </w:t>
      </w:r>
    </w:p>
    <w:p>
      <w:pPr>
        <w:spacing w:before="120" w:after="120" w:line="360" w:lineRule="auto"/>
        <w:ind w:firstLine="420" w:firstLineChars="200"/>
        <w:rPr>
          <w:rFonts w:ascii="宋体"/>
          <w:szCs w:val="21"/>
        </w:rPr>
      </w:pPr>
      <w:r>
        <w:rPr>
          <w:rFonts w:ascii="宋体"/>
          <w:szCs w:val="21"/>
        </w:rPr>
        <w:t>法定代表人或其授权代表（</w:t>
      </w:r>
      <w:r>
        <w:rPr>
          <w:rFonts w:hint="eastAsia" w:ascii="宋体"/>
          <w:szCs w:val="21"/>
        </w:rPr>
        <w:t>签字或加盖人名章</w:t>
      </w:r>
      <w:r>
        <w:rPr>
          <w:rFonts w:ascii="宋体"/>
          <w:szCs w:val="21"/>
        </w:rPr>
        <w:t>）：</w:t>
      </w:r>
    </w:p>
    <w:p>
      <w:pPr>
        <w:spacing w:before="120" w:after="120" w:line="360" w:lineRule="auto"/>
        <w:ind w:firstLine="420" w:firstLineChars="200"/>
        <w:rPr>
          <w:rFonts w:ascii="宋体"/>
          <w:szCs w:val="21"/>
        </w:rPr>
      </w:pPr>
      <w:r>
        <w:rPr>
          <w:rFonts w:ascii="宋体"/>
          <w:szCs w:val="21"/>
        </w:rPr>
        <w:t>日    期：     年   月    日</w:t>
      </w:r>
    </w:p>
    <w:p>
      <w:pPr>
        <w:spacing w:before="120" w:after="120" w:line="360" w:lineRule="auto"/>
        <w:ind w:firstLine="420" w:firstLineChars="200"/>
        <w:rPr>
          <w:rFonts w:ascii="宋体"/>
          <w:szCs w:val="21"/>
        </w:rPr>
      </w:pPr>
    </w:p>
    <w:p>
      <w:pPr>
        <w:spacing w:before="120" w:after="120" w:line="360" w:lineRule="auto"/>
        <w:ind w:firstLine="420" w:firstLineChars="200"/>
        <w:rPr>
          <w:rFonts w:ascii="宋体"/>
          <w:szCs w:val="21"/>
        </w:rPr>
      </w:pPr>
    </w:p>
    <w:p>
      <w:pPr>
        <w:spacing w:before="120" w:after="120" w:line="360" w:lineRule="auto"/>
        <w:ind w:firstLine="420" w:firstLineChars="200"/>
        <w:rPr>
          <w:rFonts w:ascii="宋体"/>
          <w:szCs w:val="21"/>
        </w:rPr>
      </w:pPr>
    </w:p>
    <w:p>
      <w:pPr>
        <w:spacing w:before="120" w:after="120" w:line="360" w:lineRule="auto"/>
        <w:ind w:firstLine="420" w:firstLineChars="200"/>
        <w:rPr>
          <w:rFonts w:ascii="宋体"/>
          <w:szCs w:val="21"/>
        </w:rPr>
      </w:pPr>
    </w:p>
    <w:p>
      <w:pPr>
        <w:spacing w:beforeLines="50" w:line="440" w:lineRule="exact"/>
        <w:ind w:firstLine="422"/>
        <w:rPr>
          <w:rFonts w:ascii="宋体"/>
          <w:b/>
          <w:szCs w:val="21"/>
        </w:rPr>
      </w:pPr>
    </w:p>
    <w:p>
      <w:pPr>
        <w:widowControl/>
        <w:jc w:val="left"/>
        <w:rPr>
          <w:b/>
          <w:sz w:val="24"/>
        </w:rPr>
      </w:pPr>
      <w:bookmarkStart w:id="594" w:name="_Toc143577473"/>
      <w:bookmarkStart w:id="595" w:name="_Toc468781351"/>
    </w:p>
    <w:p>
      <w:pPr>
        <w:widowControl/>
        <w:jc w:val="left"/>
        <w:rPr>
          <w:b/>
          <w:sz w:val="24"/>
        </w:rPr>
      </w:pPr>
    </w:p>
    <w:p>
      <w:pPr>
        <w:widowControl/>
        <w:jc w:val="left"/>
        <w:rPr>
          <w:b/>
          <w:sz w:val="24"/>
        </w:rPr>
      </w:pPr>
    </w:p>
    <w:p>
      <w:pPr>
        <w:widowControl/>
        <w:jc w:val="left"/>
        <w:rPr>
          <w:b/>
          <w:sz w:val="24"/>
        </w:rPr>
      </w:pPr>
    </w:p>
    <w:p>
      <w:pPr>
        <w:spacing w:line="360" w:lineRule="auto"/>
        <w:rPr>
          <w:b/>
          <w:sz w:val="24"/>
        </w:rPr>
      </w:pPr>
    </w:p>
    <w:p>
      <w:pPr>
        <w:spacing w:line="360" w:lineRule="auto"/>
        <w:rPr>
          <w:b/>
          <w:sz w:val="24"/>
        </w:rPr>
      </w:pPr>
    </w:p>
    <w:p>
      <w:pPr>
        <w:widowControl/>
        <w:jc w:val="left"/>
        <w:rPr>
          <w:sz w:val="24"/>
        </w:rPr>
      </w:pPr>
    </w:p>
    <w:p>
      <w:pPr>
        <w:pStyle w:val="425"/>
        <w:spacing w:line="360" w:lineRule="auto"/>
        <w:ind w:firstLine="0" w:firstLineChars="0"/>
        <w:outlineLvl w:val="1"/>
        <w:rPr>
          <w:b/>
          <w:sz w:val="24"/>
        </w:rPr>
      </w:pPr>
      <w:bookmarkStart w:id="596" w:name="_Toc8524"/>
      <w:r>
        <w:rPr>
          <w:rFonts w:hint="eastAsia"/>
          <w:b/>
          <w:sz w:val="24"/>
        </w:rPr>
        <w:t>附件5 已标价工程量清单（综合单价）</w:t>
      </w:r>
      <w:bookmarkEnd w:id="596"/>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widowControl/>
        <w:jc w:val="left"/>
        <w:rPr>
          <w:sz w:val="24"/>
        </w:rPr>
      </w:pPr>
      <w:r>
        <w:rPr>
          <w:sz w:val="24"/>
        </w:rPr>
        <w:br w:type="page"/>
      </w:r>
    </w:p>
    <w:p>
      <w:pPr>
        <w:pStyle w:val="425"/>
        <w:spacing w:line="360" w:lineRule="auto"/>
        <w:ind w:firstLine="0" w:firstLineChars="0"/>
        <w:outlineLvl w:val="1"/>
        <w:rPr>
          <w:b/>
          <w:sz w:val="24"/>
        </w:rPr>
      </w:pPr>
      <w:bookmarkStart w:id="597" w:name="_Toc10599"/>
      <w:r>
        <w:rPr>
          <w:rFonts w:hint="eastAsia"/>
          <w:b/>
          <w:sz w:val="24"/>
        </w:rPr>
        <w:t xml:space="preserve">附件6 </w:t>
      </w:r>
      <w:r>
        <w:rPr>
          <w:b/>
          <w:sz w:val="24"/>
        </w:rPr>
        <w:t>商务、合同条款偏差表</w:t>
      </w:r>
      <w:bookmarkEnd w:id="597"/>
    </w:p>
    <w:p>
      <w:pPr>
        <w:spacing w:after="240"/>
        <w:ind w:hanging="119"/>
      </w:pPr>
    </w:p>
    <w:p>
      <w:pPr>
        <w:spacing w:after="240"/>
        <w:ind w:hanging="119"/>
        <w:rPr>
          <w:u w:val="single"/>
        </w:rPr>
      </w:pPr>
      <w:r>
        <w:t>供应商名称：</w:t>
      </w:r>
    </w:p>
    <w:tbl>
      <w:tblPr>
        <w:tblStyle w:val="87"/>
        <w:tblW w:w="901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3"/>
        <w:gridCol w:w="3623"/>
        <w:gridCol w:w="1134"/>
        <w:gridCol w:w="851"/>
        <w:gridCol w:w="13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91" w:hRule="atLeast"/>
          <w:jc w:val="center"/>
        </w:trPr>
        <w:tc>
          <w:tcPr>
            <w:tcW w:w="2093" w:type="dxa"/>
          </w:tcPr>
          <w:p>
            <w:pPr>
              <w:spacing w:line="440" w:lineRule="atLeast"/>
              <w:jc w:val="center"/>
            </w:pPr>
            <w:r>
              <w:t>谈判文件条目号</w:t>
            </w:r>
          </w:p>
        </w:tc>
        <w:tc>
          <w:tcPr>
            <w:tcW w:w="3623" w:type="dxa"/>
          </w:tcPr>
          <w:p>
            <w:pPr>
              <w:spacing w:line="440" w:lineRule="atLeast"/>
              <w:jc w:val="center"/>
            </w:pPr>
            <w:r>
              <w:t>谈判文件的商务、合同条款</w:t>
            </w:r>
          </w:p>
        </w:tc>
        <w:tc>
          <w:tcPr>
            <w:tcW w:w="1134" w:type="dxa"/>
          </w:tcPr>
          <w:p>
            <w:pPr>
              <w:spacing w:line="440" w:lineRule="atLeast"/>
              <w:jc w:val="center"/>
            </w:pPr>
            <w:r>
              <w:rPr>
                <w:rFonts w:hint="eastAsia"/>
              </w:rPr>
              <w:t>完全</w:t>
            </w:r>
            <w:r>
              <w:t>响应</w:t>
            </w:r>
          </w:p>
        </w:tc>
        <w:tc>
          <w:tcPr>
            <w:tcW w:w="851" w:type="dxa"/>
          </w:tcPr>
          <w:p>
            <w:pPr>
              <w:spacing w:line="440" w:lineRule="atLeast"/>
              <w:jc w:val="center"/>
            </w:pPr>
            <w:r>
              <w:rPr>
                <w:rFonts w:hint="eastAsia"/>
              </w:rPr>
              <w:t>有偏离</w:t>
            </w:r>
          </w:p>
        </w:tc>
        <w:tc>
          <w:tcPr>
            <w:tcW w:w="1310" w:type="dxa"/>
          </w:tcPr>
          <w:p>
            <w:pPr>
              <w:spacing w:line="440" w:lineRule="atLeast"/>
              <w:jc w:val="center"/>
            </w:pPr>
            <w:r>
              <w:t>偏离</w:t>
            </w:r>
            <w:r>
              <w:rPr>
                <w:rFonts w:hint="eastAsia"/>
              </w:rPr>
              <w:t>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jc w:val="center"/>
        </w:trPr>
        <w:tc>
          <w:tcPr>
            <w:tcW w:w="2093" w:type="dxa"/>
          </w:tcPr>
          <w:p>
            <w:pPr>
              <w:spacing w:line="440" w:lineRule="atLeast"/>
            </w:pPr>
          </w:p>
        </w:tc>
        <w:tc>
          <w:tcPr>
            <w:tcW w:w="3623" w:type="dxa"/>
          </w:tcPr>
          <w:p>
            <w:pPr>
              <w:spacing w:line="440" w:lineRule="atLeast"/>
            </w:pPr>
          </w:p>
        </w:tc>
        <w:tc>
          <w:tcPr>
            <w:tcW w:w="1134" w:type="dxa"/>
          </w:tcPr>
          <w:p>
            <w:pPr>
              <w:spacing w:line="440" w:lineRule="atLeast"/>
            </w:pPr>
          </w:p>
        </w:tc>
        <w:tc>
          <w:tcPr>
            <w:tcW w:w="851" w:type="dxa"/>
          </w:tcPr>
          <w:p>
            <w:pPr>
              <w:spacing w:line="440" w:lineRule="atLeast"/>
            </w:pPr>
          </w:p>
        </w:tc>
        <w:tc>
          <w:tcPr>
            <w:tcW w:w="1310"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093" w:type="dxa"/>
          </w:tcPr>
          <w:p>
            <w:pPr>
              <w:spacing w:line="440" w:lineRule="atLeast"/>
            </w:pPr>
          </w:p>
        </w:tc>
        <w:tc>
          <w:tcPr>
            <w:tcW w:w="3623" w:type="dxa"/>
          </w:tcPr>
          <w:p>
            <w:pPr>
              <w:spacing w:line="440" w:lineRule="atLeast"/>
            </w:pPr>
          </w:p>
        </w:tc>
        <w:tc>
          <w:tcPr>
            <w:tcW w:w="1134" w:type="dxa"/>
          </w:tcPr>
          <w:p>
            <w:pPr>
              <w:spacing w:line="440" w:lineRule="atLeast"/>
            </w:pPr>
          </w:p>
        </w:tc>
        <w:tc>
          <w:tcPr>
            <w:tcW w:w="851" w:type="dxa"/>
          </w:tcPr>
          <w:p>
            <w:pPr>
              <w:spacing w:line="440" w:lineRule="atLeast"/>
            </w:pPr>
          </w:p>
        </w:tc>
        <w:tc>
          <w:tcPr>
            <w:tcW w:w="1310"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093" w:type="dxa"/>
          </w:tcPr>
          <w:p>
            <w:pPr>
              <w:spacing w:line="440" w:lineRule="atLeast"/>
            </w:pPr>
          </w:p>
        </w:tc>
        <w:tc>
          <w:tcPr>
            <w:tcW w:w="3623" w:type="dxa"/>
          </w:tcPr>
          <w:p>
            <w:pPr>
              <w:spacing w:line="440" w:lineRule="atLeast"/>
            </w:pPr>
          </w:p>
        </w:tc>
        <w:tc>
          <w:tcPr>
            <w:tcW w:w="1134" w:type="dxa"/>
          </w:tcPr>
          <w:p>
            <w:pPr>
              <w:spacing w:line="440" w:lineRule="atLeast"/>
            </w:pPr>
          </w:p>
        </w:tc>
        <w:tc>
          <w:tcPr>
            <w:tcW w:w="851" w:type="dxa"/>
          </w:tcPr>
          <w:p>
            <w:pPr>
              <w:spacing w:line="440" w:lineRule="atLeast"/>
            </w:pPr>
          </w:p>
        </w:tc>
        <w:tc>
          <w:tcPr>
            <w:tcW w:w="1310"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093" w:type="dxa"/>
            <w:vAlign w:val="center"/>
          </w:tcPr>
          <w:p>
            <w:pPr>
              <w:spacing w:line="440" w:lineRule="atLeast"/>
            </w:pPr>
          </w:p>
        </w:tc>
        <w:tc>
          <w:tcPr>
            <w:tcW w:w="3623" w:type="dxa"/>
            <w:vAlign w:val="center"/>
          </w:tcPr>
          <w:p>
            <w:pPr>
              <w:spacing w:line="440" w:lineRule="atLeast"/>
            </w:pPr>
          </w:p>
        </w:tc>
        <w:tc>
          <w:tcPr>
            <w:tcW w:w="1134" w:type="dxa"/>
          </w:tcPr>
          <w:p>
            <w:pPr>
              <w:spacing w:line="440" w:lineRule="atLeast"/>
            </w:pPr>
          </w:p>
        </w:tc>
        <w:tc>
          <w:tcPr>
            <w:tcW w:w="851" w:type="dxa"/>
          </w:tcPr>
          <w:p>
            <w:pPr>
              <w:spacing w:line="440" w:lineRule="atLeast"/>
            </w:pPr>
          </w:p>
        </w:tc>
        <w:tc>
          <w:tcPr>
            <w:tcW w:w="1310"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093" w:type="dxa"/>
            <w:vAlign w:val="center"/>
          </w:tcPr>
          <w:p>
            <w:pPr>
              <w:spacing w:line="440" w:lineRule="atLeast"/>
              <w:rPr>
                <w:szCs w:val="21"/>
              </w:rPr>
            </w:pPr>
          </w:p>
        </w:tc>
        <w:tc>
          <w:tcPr>
            <w:tcW w:w="3623" w:type="dxa"/>
            <w:vAlign w:val="center"/>
          </w:tcPr>
          <w:p>
            <w:pPr>
              <w:spacing w:line="440" w:lineRule="atLeast"/>
              <w:rPr>
                <w:szCs w:val="21"/>
              </w:rPr>
            </w:pPr>
          </w:p>
        </w:tc>
        <w:tc>
          <w:tcPr>
            <w:tcW w:w="1134" w:type="dxa"/>
          </w:tcPr>
          <w:p>
            <w:pPr>
              <w:spacing w:line="440" w:lineRule="atLeast"/>
            </w:pPr>
          </w:p>
        </w:tc>
        <w:tc>
          <w:tcPr>
            <w:tcW w:w="851" w:type="dxa"/>
          </w:tcPr>
          <w:p>
            <w:pPr>
              <w:spacing w:line="440" w:lineRule="atLeast"/>
            </w:pPr>
          </w:p>
        </w:tc>
        <w:tc>
          <w:tcPr>
            <w:tcW w:w="1310"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093" w:type="dxa"/>
            <w:vAlign w:val="center"/>
          </w:tcPr>
          <w:p>
            <w:pPr>
              <w:spacing w:line="440" w:lineRule="atLeast"/>
              <w:rPr>
                <w:szCs w:val="21"/>
              </w:rPr>
            </w:pPr>
            <w:r>
              <w:rPr>
                <w:rFonts w:hint="eastAsia"/>
                <w:szCs w:val="21"/>
              </w:rPr>
              <w:t>……</w:t>
            </w:r>
          </w:p>
        </w:tc>
        <w:tc>
          <w:tcPr>
            <w:tcW w:w="3623" w:type="dxa"/>
            <w:vAlign w:val="center"/>
          </w:tcPr>
          <w:p>
            <w:pPr>
              <w:spacing w:line="440" w:lineRule="atLeast"/>
              <w:rPr>
                <w:szCs w:val="21"/>
              </w:rPr>
            </w:pPr>
            <w:r>
              <w:rPr>
                <w:rFonts w:hint="eastAsia"/>
                <w:szCs w:val="21"/>
              </w:rPr>
              <w:t>……</w:t>
            </w:r>
          </w:p>
        </w:tc>
        <w:tc>
          <w:tcPr>
            <w:tcW w:w="1134" w:type="dxa"/>
          </w:tcPr>
          <w:p>
            <w:pPr>
              <w:spacing w:line="440" w:lineRule="atLeast"/>
            </w:pPr>
          </w:p>
        </w:tc>
        <w:tc>
          <w:tcPr>
            <w:tcW w:w="851" w:type="dxa"/>
          </w:tcPr>
          <w:p>
            <w:pPr>
              <w:spacing w:line="440" w:lineRule="atLeast"/>
            </w:pPr>
          </w:p>
        </w:tc>
        <w:tc>
          <w:tcPr>
            <w:tcW w:w="1310" w:type="dxa"/>
          </w:tcPr>
          <w:p>
            <w:pPr>
              <w:spacing w:line="440" w:lineRule="atLeast"/>
            </w:pPr>
          </w:p>
        </w:tc>
      </w:tr>
    </w:tbl>
    <w:p>
      <w:pPr>
        <w:spacing w:beforeLines="50" w:line="440" w:lineRule="exact"/>
        <w:ind w:left="-103" w:leftChars="-49" w:firstLine="15"/>
      </w:pPr>
      <w:r>
        <w:rPr>
          <w:rFonts w:hint="eastAsia"/>
        </w:rPr>
        <w:t>供应商：（公章）</w:t>
      </w:r>
    </w:p>
    <w:p>
      <w:pPr>
        <w:spacing w:beforeLines="50" w:line="440" w:lineRule="exact"/>
        <w:ind w:left="-103" w:leftChars="-49"/>
      </w:pPr>
      <w:r>
        <w:t>法定代表人或其授权代表：（</w:t>
      </w:r>
      <w:r>
        <w:rPr>
          <w:rFonts w:hint="eastAsia"/>
        </w:rPr>
        <w:t>签字或加盖人名章</w:t>
      </w:r>
      <w:r>
        <w:t>）</w:t>
      </w:r>
    </w:p>
    <w:p>
      <w:pPr>
        <w:spacing w:beforeLines="50" w:line="440" w:lineRule="exact"/>
        <w:ind w:left="-103" w:leftChars="-49"/>
      </w:pPr>
      <w:r>
        <w:t>日期：</w:t>
      </w:r>
    </w:p>
    <w:p/>
    <w:p>
      <w:pPr>
        <w:snapToGrid w:val="0"/>
        <w:spacing w:afterLines="50"/>
        <w:rPr>
          <w:rFonts w:ascii="宋体" w:hAnsi="宋体"/>
        </w:rPr>
      </w:pPr>
      <w:r>
        <w:rPr>
          <w:rFonts w:ascii="宋体" w:hAnsi="宋体"/>
        </w:rPr>
        <w:t>注：</w:t>
      </w:r>
      <w:r>
        <w:rPr>
          <w:rFonts w:hint="eastAsia" w:ascii="宋体" w:hAnsi="宋体"/>
        </w:rPr>
        <w:t>1、</w:t>
      </w:r>
      <w:r>
        <w:rPr>
          <w:rFonts w:hint="eastAsia" w:ascii="宋体" w:hAnsi="宋体"/>
        </w:rPr>
        <w:tab/>
      </w:r>
      <w:r>
        <w:rPr>
          <w:rFonts w:hint="eastAsia" w:ascii="宋体" w:hAnsi="宋体"/>
        </w:rPr>
        <w:t>供应商根据本谈判文件的供应商须知及合同条款填写本表；</w:t>
      </w:r>
    </w:p>
    <w:p>
      <w:pPr>
        <w:snapToGrid w:val="0"/>
        <w:spacing w:afterLines="50"/>
        <w:ind w:left="850" w:leftChars="203" w:hanging="424" w:hangingChars="202"/>
        <w:rPr>
          <w:rFonts w:ascii="宋体" w:hAnsi="宋体"/>
        </w:rPr>
      </w:pPr>
      <w:r>
        <w:rPr>
          <w:rFonts w:hint="eastAsia" w:ascii="宋体" w:hAnsi="宋体"/>
        </w:rPr>
        <w:t>2、</w:t>
      </w:r>
      <w:r>
        <w:rPr>
          <w:rFonts w:hint="eastAsia" w:ascii="宋体" w:hAnsi="宋体"/>
        </w:rPr>
        <w:tab/>
      </w:r>
      <w:r>
        <w:rPr>
          <w:rFonts w:hint="eastAsia" w:ascii="宋体" w:hAnsi="宋体"/>
        </w:rPr>
        <w:t>对完全响应的条目在本表相应列中标注“</w:t>
      </w:r>
      <w:r>
        <w:rPr>
          <w:rFonts w:hint="eastAsia"/>
          <w:b/>
          <w:bCs/>
        </w:rPr>
        <w:t>√</w:t>
      </w:r>
      <w:r>
        <w:rPr>
          <w:rFonts w:hint="eastAsia" w:ascii="宋体" w:hAnsi="宋体"/>
        </w:rPr>
        <w:t>”。对有偏离的条目在本表相应列中标注“正偏离”或“负偏离”。仅可在“完全响应”及“有偏离”中选一标注，同时，当且仅当选取“有偏离”栏中加以标注后，才能在“偏离简述”栏中加以说明。</w:t>
      </w:r>
    </w:p>
    <w:p>
      <w:pPr>
        <w:snapToGrid w:val="0"/>
        <w:spacing w:afterLines="50"/>
        <w:ind w:left="850" w:leftChars="203" w:hanging="424" w:hangingChars="202"/>
        <w:rPr>
          <w:rFonts w:ascii="宋体" w:hAnsi="宋体"/>
        </w:rPr>
      </w:pPr>
      <w:r>
        <w:rPr>
          <w:rFonts w:hint="eastAsia" w:ascii="宋体" w:hAnsi="宋体"/>
        </w:rPr>
        <w:t>3、</w:t>
      </w:r>
      <w:r>
        <w:rPr>
          <w:rFonts w:hint="eastAsia" w:ascii="宋体" w:hAnsi="宋体"/>
        </w:rPr>
        <w:tab/>
      </w:r>
      <w:r>
        <w:rPr>
          <w:rFonts w:hint="eastAsia" w:ascii="宋体" w:hAnsi="宋体"/>
        </w:rPr>
        <w:t>正偏离是指应答的条件优于谈判文件要求，负偏离是指应答的条件低于谈判文件要求。</w:t>
      </w:r>
    </w:p>
    <w:p>
      <w:pPr>
        <w:snapToGrid w:val="0"/>
        <w:spacing w:afterLines="50"/>
        <w:ind w:left="850" w:leftChars="203" w:hanging="424" w:hangingChars="202"/>
        <w:rPr>
          <w:rFonts w:ascii="宋体" w:hAnsi="宋体"/>
        </w:rPr>
      </w:pPr>
      <w:r>
        <w:rPr>
          <w:rFonts w:hint="eastAsia" w:ascii="宋体" w:hAnsi="宋体"/>
        </w:rPr>
        <w:t>4、</w:t>
      </w:r>
      <w:r>
        <w:rPr>
          <w:rFonts w:hint="eastAsia" w:ascii="宋体" w:hAnsi="宋体"/>
        </w:rPr>
        <w:tab/>
      </w:r>
      <w:r>
        <w:rPr>
          <w:rFonts w:hint="eastAsia" w:ascii="宋体" w:hAnsi="宋体"/>
        </w:rPr>
        <w:t>供应商须完整填写响应表。如果未完整填写本表的各项内容则视作供应商已经对谈判文件相关要求和内容完全理解并同意，其报价为在此基础上的完全价格。</w:t>
      </w:r>
    </w:p>
    <w:p>
      <w:pPr>
        <w:snapToGrid w:val="0"/>
        <w:spacing w:afterLines="50"/>
        <w:ind w:left="850" w:leftChars="203" w:hanging="424" w:hangingChars="202"/>
        <w:rPr>
          <w:rFonts w:ascii="宋体" w:hAnsi="宋体"/>
        </w:rPr>
      </w:pPr>
      <w:r>
        <w:rPr>
          <w:rFonts w:hint="eastAsia" w:ascii="宋体" w:hAnsi="宋体"/>
        </w:rPr>
        <w:t>5、</w:t>
      </w:r>
      <w:r>
        <w:rPr>
          <w:rFonts w:hint="eastAsia" w:ascii="宋体" w:hAnsi="宋体"/>
        </w:rPr>
        <w:tab/>
      </w:r>
      <w:r>
        <w:rPr>
          <w:rFonts w:hint="eastAsia" w:ascii="宋体" w:hAnsi="宋体"/>
        </w:rPr>
        <w:t>在买方与成交供应商签订合同时，如成交供应商未在响应文件“响应表”中列出偏离说明，无论已发生或即将发生任何情形，均视为完全符合谈判文件要求，并写入合同。若成交供应商在合同签订前，以上述事项为借口而不履行合同签订手续及执行合同，则视作拒绝与采购人签订合同。</w:t>
      </w:r>
    </w:p>
    <w:p>
      <w:pPr>
        <w:rPr>
          <w:rFonts w:ascii="宋体" w:hAnsi="宋体" w:cs="宋体"/>
          <w:b/>
          <w:sz w:val="24"/>
        </w:rPr>
      </w:pPr>
      <w:r>
        <w:rPr>
          <w:rFonts w:hint="eastAsia" w:ascii="宋体" w:hAnsi="宋体" w:cs="宋体"/>
          <w:b/>
          <w:sz w:val="24"/>
        </w:rPr>
        <w:br w:type="page"/>
      </w:r>
    </w:p>
    <w:p>
      <w:pPr>
        <w:pStyle w:val="425"/>
        <w:spacing w:line="360" w:lineRule="auto"/>
        <w:ind w:firstLine="0" w:firstLineChars="0"/>
        <w:outlineLvl w:val="1"/>
        <w:rPr>
          <w:b/>
          <w:sz w:val="24"/>
        </w:rPr>
      </w:pPr>
      <w:bookmarkStart w:id="598" w:name="_Toc24256"/>
      <w:r>
        <w:rPr>
          <w:rFonts w:hint="eastAsia"/>
          <w:b/>
          <w:sz w:val="24"/>
        </w:rPr>
        <w:t>附件7 资格证明文件</w:t>
      </w:r>
      <w:bookmarkEnd w:id="598"/>
    </w:p>
    <w:p>
      <w:pPr>
        <w:numPr>
          <w:ilvl w:val="1"/>
          <w:numId w:val="16"/>
        </w:numPr>
        <w:tabs>
          <w:tab w:val="left" w:pos="993"/>
          <w:tab w:val="left" w:pos="1030"/>
          <w:tab w:val="left" w:pos="8364"/>
          <w:tab w:val="clear" w:pos="780"/>
        </w:tabs>
        <w:snapToGrid w:val="0"/>
        <w:spacing w:afterLines="50"/>
        <w:ind w:left="993" w:right="-57" w:rightChars="-27" w:hanging="573"/>
        <w:jc w:val="left"/>
        <w:rPr>
          <w:rFonts w:ascii="宋体" w:hAnsi="宋体"/>
          <w:sz w:val="24"/>
        </w:rPr>
      </w:pPr>
      <w:r>
        <w:rPr>
          <w:rFonts w:hint="eastAsia" w:ascii="宋体" w:hAnsi="宋体"/>
          <w:sz w:val="24"/>
        </w:rPr>
        <w:t>供应商上一年度</w:t>
      </w:r>
      <w:r>
        <w:rPr>
          <w:rFonts w:ascii="宋体" w:hAnsi="宋体"/>
          <w:sz w:val="24"/>
        </w:rPr>
        <w:t>经审计的财务报表</w:t>
      </w:r>
      <w:r>
        <w:rPr>
          <w:rFonts w:hint="eastAsia" w:ascii="宋体" w:hAnsi="宋体"/>
          <w:sz w:val="24"/>
        </w:rPr>
        <w:t>复印件</w:t>
      </w:r>
      <w:r>
        <w:rPr>
          <w:rFonts w:ascii="宋体" w:hAnsi="宋体"/>
          <w:sz w:val="24"/>
        </w:rPr>
        <w:t>（</w:t>
      </w:r>
      <w:r>
        <w:rPr>
          <w:rFonts w:hint="eastAsia" w:ascii="宋体" w:hAnsi="宋体"/>
          <w:sz w:val="24"/>
        </w:rPr>
        <w:t>包括资产负债表、现金流量表、利润表）格式要求见</w:t>
      </w:r>
      <w:r>
        <w:fldChar w:fldCharType="begin"/>
      </w:r>
      <w:r>
        <w:instrText xml:space="preserve"> REF _Ref527015333 \r \h  \* MERGEFORMAT </w:instrText>
      </w:r>
      <w:r>
        <w:fldChar w:fldCharType="separate"/>
      </w:r>
      <w:r>
        <w:rPr>
          <w:rFonts w:ascii="宋体" w:hAnsi="宋体"/>
          <w:sz w:val="24"/>
        </w:rPr>
        <w:t>7--1</w:t>
      </w:r>
      <w:r>
        <w:rPr>
          <w:rFonts w:ascii="宋体" w:hAnsi="宋体"/>
          <w:sz w:val="24"/>
        </w:rPr>
        <w:fldChar w:fldCharType="end"/>
      </w:r>
      <w:r>
        <w:rPr>
          <w:rFonts w:hint="eastAsia" w:ascii="宋体" w:hAnsi="宋体"/>
          <w:sz w:val="24"/>
        </w:rPr>
        <w:t>）；</w:t>
      </w:r>
    </w:p>
    <w:p>
      <w:pPr>
        <w:numPr>
          <w:ilvl w:val="1"/>
          <w:numId w:val="16"/>
        </w:numPr>
        <w:tabs>
          <w:tab w:val="left" w:pos="993"/>
          <w:tab w:val="left" w:pos="1030"/>
          <w:tab w:val="left" w:pos="8364"/>
          <w:tab w:val="clear" w:pos="780"/>
        </w:tabs>
        <w:snapToGrid w:val="0"/>
        <w:spacing w:afterLines="50"/>
        <w:ind w:left="993" w:right="-57" w:rightChars="-27" w:hanging="573"/>
        <w:jc w:val="left"/>
        <w:rPr>
          <w:rFonts w:ascii="宋体" w:hAnsi="宋体"/>
          <w:sz w:val="24"/>
        </w:rPr>
      </w:pPr>
      <w:r>
        <w:rPr>
          <w:rFonts w:hint="eastAsia" w:asciiTheme="minorEastAsia" w:hAnsiTheme="minorEastAsia" w:eastAsiaTheme="minorEastAsia"/>
          <w:sz w:val="24"/>
        </w:rPr>
        <w:t>依法缴纳税收和社会保障资金的证明材料复印件</w:t>
      </w:r>
      <w:r>
        <w:rPr>
          <w:rFonts w:ascii="宋体" w:hAnsi="宋体"/>
          <w:sz w:val="24"/>
        </w:rPr>
        <w:t>（格式见</w:t>
      </w:r>
      <w:r>
        <w:fldChar w:fldCharType="begin"/>
      </w:r>
      <w:r>
        <w:instrText xml:space="preserve"> REF _Ref527015360 \r \h  \* MERGEFORMAT </w:instrText>
      </w:r>
      <w:r>
        <w:fldChar w:fldCharType="separate"/>
      </w:r>
      <w:r>
        <w:rPr>
          <w:rFonts w:ascii="宋体" w:hAnsi="宋体"/>
          <w:sz w:val="24"/>
        </w:rPr>
        <w:t>7--2</w:t>
      </w:r>
      <w:r>
        <w:rPr>
          <w:rFonts w:ascii="宋体" w:hAnsi="宋体"/>
          <w:sz w:val="24"/>
        </w:rPr>
        <w:fldChar w:fldCharType="end"/>
      </w:r>
      <w:r>
        <w:rPr>
          <w:rFonts w:hint="eastAsia" w:ascii="宋体" w:hAnsi="宋体"/>
          <w:sz w:val="24"/>
        </w:rPr>
        <w:t>、</w:t>
      </w:r>
      <w:r>
        <w:fldChar w:fldCharType="begin"/>
      </w:r>
      <w:r>
        <w:instrText xml:space="preserve"> REF _Ref527015367 \r \h  \* MERGEFORMAT </w:instrText>
      </w:r>
      <w:r>
        <w:fldChar w:fldCharType="separate"/>
      </w:r>
      <w:r>
        <w:rPr>
          <w:rFonts w:ascii="宋体" w:hAnsi="宋体"/>
          <w:sz w:val="24"/>
        </w:rPr>
        <w:t>7--3</w:t>
      </w:r>
      <w:r>
        <w:rPr>
          <w:rFonts w:ascii="宋体" w:hAnsi="宋体"/>
          <w:sz w:val="24"/>
        </w:rPr>
        <w:fldChar w:fldCharType="end"/>
      </w:r>
      <w:r>
        <w:rPr>
          <w:rFonts w:hint="eastAsia" w:ascii="宋体" w:hAnsi="宋体"/>
          <w:sz w:val="24"/>
        </w:rPr>
        <w:t>）</w:t>
      </w:r>
    </w:p>
    <w:p>
      <w:pPr>
        <w:numPr>
          <w:ilvl w:val="1"/>
          <w:numId w:val="16"/>
        </w:numPr>
        <w:tabs>
          <w:tab w:val="left" w:pos="993"/>
          <w:tab w:val="left" w:pos="1030"/>
          <w:tab w:val="left" w:pos="8364"/>
          <w:tab w:val="clear" w:pos="780"/>
        </w:tabs>
        <w:snapToGrid w:val="0"/>
        <w:spacing w:afterLines="50"/>
        <w:ind w:left="993" w:right="-57" w:rightChars="-27" w:hanging="573"/>
        <w:jc w:val="left"/>
        <w:rPr>
          <w:rFonts w:ascii="宋体" w:hAnsi="宋体"/>
          <w:sz w:val="24"/>
        </w:rPr>
      </w:pPr>
      <w:r>
        <w:rPr>
          <w:rFonts w:hint="eastAsia" w:ascii="宋体" w:hAnsi="宋体"/>
          <w:sz w:val="24"/>
        </w:rPr>
        <w:t>具备履行合同所必需的设备和专业技术能力的承诺原件</w:t>
      </w:r>
      <w:r>
        <w:rPr>
          <w:rFonts w:ascii="宋体" w:hAnsi="宋体"/>
          <w:sz w:val="24"/>
        </w:rPr>
        <w:t>（格式见</w:t>
      </w:r>
      <w:r>
        <w:fldChar w:fldCharType="begin"/>
      </w:r>
      <w:r>
        <w:instrText xml:space="preserve"> REF _Ref527015383 \r \h  \* MERGEFORMAT </w:instrText>
      </w:r>
      <w:r>
        <w:fldChar w:fldCharType="separate"/>
      </w:r>
      <w:r>
        <w:rPr>
          <w:rFonts w:ascii="宋体" w:hAnsi="宋体"/>
          <w:sz w:val="24"/>
        </w:rPr>
        <w:t>7--4</w:t>
      </w:r>
      <w:r>
        <w:rPr>
          <w:rFonts w:ascii="宋体" w:hAnsi="宋体"/>
          <w:sz w:val="24"/>
        </w:rPr>
        <w:fldChar w:fldCharType="end"/>
      </w:r>
      <w:r>
        <w:rPr>
          <w:rFonts w:hint="eastAsia" w:ascii="宋体" w:hAnsi="宋体"/>
          <w:sz w:val="24"/>
        </w:rPr>
        <w:t>）；</w:t>
      </w:r>
    </w:p>
    <w:p>
      <w:pPr>
        <w:numPr>
          <w:ilvl w:val="1"/>
          <w:numId w:val="16"/>
        </w:numPr>
        <w:tabs>
          <w:tab w:val="left" w:pos="993"/>
          <w:tab w:val="left" w:pos="1030"/>
          <w:tab w:val="left" w:pos="8364"/>
          <w:tab w:val="clear" w:pos="780"/>
        </w:tabs>
        <w:snapToGrid w:val="0"/>
        <w:spacing w:afterLines="50"/>
        <w:ind w:left="993" w:right="-57" w:rightChars="-27" w:hanging="573"/>
        <w:jc w:val="left"/>
        <w:rPr>
          <w:rFonts w:ascii="宋体" w:hAnsi="宋体"/>
          <w:sz w:val="24"/>
        </w:rPr>
      </w:pPr>
      <w:r>
        <w:rPr>
          <w:rFonts w:hint="eastAsia" w:ascii="宋体" w:hAnsi="宋体"/>
          <w:sz w:val="24"/>
        </w:rPr>
        <w:t>供应商参加政府采购活动前3年内在经营活动中没有重大违法记录的书面声明原件</w:t>
      </w:r>
      <w:r>
        <w:rPr>
          <w:rFonts w:ascii="宋体" w:hAnsi="宋体"/>
          <w:sz w:val="24"/>
        </w:rPr>
        <w:t>（格式见</w:t>
      </w:r>
      <w:r>
        <w:fldChar w:fldCharType="begin"/>
      </w:r>
      <w:r>
        <w:instrText xml:space="preserve"> REF _Ref527015392 \r \h  \* MERGEFORMAT </w:instrText>
      </w:r>
      <w:r>
        <w:fldChar w:fldCharType="separate"/>
      </w:r>
      <w:r>
        <w:rPr>
          <w:rFonts w:ascii="宋体" w:hAnsi="宋体"/>
          <w:sz w:val="24"/>
        </w:rPr>
        <w:t>7--5</w:t>
      </w:r>
      <w:r>
        <w:rPr>
          <w:rFonts w:ascii="宋体" w:hAnsi="宋体"/>
          <w:sz w:val="24"/>
        </w:rPr>
        <w:fldChar w:fldCharType="end"/>
      </w:r>
      <w:r>
        <w:rPr>
          <w:rFonts w:hint="eastAsia" w:ascii="宋体" w:hAnsi="宋体"/>
          <w:sz w:val="24"/>
        </w:rPr>
        <w:t>）</w:t>
      </w:r>
    </w:p>
    <w:p>
      <w:pPr>
        <w:numPr>
          <w:ilvl w:val="1"/>
          <w:numId w:val="16"/>
        </w:numPr>
        <w:tabs>
          <w:tab w:val="left" w:pos="993"/>
          <w:tab w:val="left" w:pos="1030"/>
          <w:tab w:val="left" w:pos="8364"/>
          <w:tab w:val="clear" w:pos="780"/>
        </w:tabs>
        <w:snapToGrid w:val="0"/>
        <w:spacing w:afterLines="50"/>
        <w:ind w:left="993" w:right="-57" w:rightChars="-27" w:hanging="573"/>
        <w:jc w:val="left"/>
        <w:rPr>
          <w:rFonts w:ascii="宋体" w:hAnsi="宋体"/>
          <w:sz w:val="24"/>
        </w:rPr>
      </w:pPr>
      <w:r>
        <w:rPr>
          <w:rFonts w:hint="eastAsia" w:ascii="宋体" w:hAnsi="宋体"/>
          <w:sz w:val="24"/>
        </w:rPr>
        <w:t>供应商控股股东名称、控股公司的名称和存在管理、被管理关系的单位名称说明（格式见</w:t>
      </w:r>
      <w:r>
        <w:fldChar w:fldCharType="begin"/>
      </w:r>
      <w:r>
        <w:instrText xml:space="preserve"> REF _Ref527015401 \r \h  \* MERGEFORMAT </w:instrText>
      </w:r>
      <w:r>
        <w:fldChar w:fldCharType="separate"/>
      </w:r>
      <w:r>
        <w:rPr>
          <w:rFonts w:ascii="宋体" w:hAnsi="宋体"/>
          <w:sz w:val="24"/>
        </w:rPr>
        <w:t>7--6</w:t>
      </w:r>
      <w:r>
        <w:rPr>
          <w:rFonts w:ascii="宋体" w:hAnsi="宋体"/>
          <w:sz w:val="24"/>
        </w:rPr>
        <w:fldChar w:fldCharType="end"/>
      </w:r>
      <w:r>
        <w:rPr>
          <w:rFonts w:hint="eastAsia" w:ascii="宋体" w:hAnsi="宋体"/>
          <w:sz w:val="24"/>
        </w:rPr>
        <w:t>)</w:t>
      </w:r>
    </w:p>
    <w:p>
      <w:pPr>
        <w:numPr>
          <w:ilvl w:val="1"/>
          <w:numId w:val="16"/>
        </w:numPr>
        <w:tabs>
          <w:tab w:val="left" w:pos="993"/>
          <w:tab w:val="left" w:pos="1030"/>
          <w:tab w:val="left" w:pos="8364"/>
          <w:tab w:val="clear" w:pos="780"/>
        </w:tabs>
        <w:snapToGrid w:val="0"/>
        <w:spacing w:afterLines="50"/>
        <w:ind w:left="993" w:right="-57" w:rightChars="-27" w:hanging="573"/>
        <w:jc w:val="left"/>
        <w:rPr>
          <w:rFonts w:ascii="宋体" w:hAnsi="宋体"/>
          <w:sz w:val="24"/>
        </w:rPr>
      </w:pPr>
      <w:r>
        <w:rPr>
          <w:rFonts w:hint="eastAsia" w:ascii="宋体" w:hAnsi="宋体"/>
          <w:sz w:val="24"/>
        </w:rPr>
        <w:t>供应商是否属于</w:t>
      </w:r>
      <w:r>
        <w:rPr>
          <w:rFonts w:hint="eastAsia" w:asciiTheme="minorEastAsia" w:hAnsiTheme="minorEastAsia" w:eastAsiaTheme="minorEastAsia"/>
          <w:sz w:val="24"/>
        </w:rPr>
        <w:t>为本项目提供整体设计、规范编制或者项目管理、监理、检测等服务的供应商声明原件（格式见</w:t>
      </w:r>
      <w:r>
        <w:fldChar w:fldCharType="begin"/>
      </w:r>
      <w:r>
        <w:instrText xml:space="preserve"> REF _Ref527015410 \r \h  \* MERGEFORMAT </w:instrText>
      </w:r>
      <w:r>
        <w:fldChar w:fldCharType="separate"/>
      </w:r>
      <w:r>
        <w:rPr>
          <w:rFonts w:asciiTheme="minorEastAsia" w:hAnsiTheme="minorEastAsia" w:eastAsiaTheme="minorEastAsia"/>
          <w:sz w:val="24"/>
        </w:rPr>
        <w:t>7--7</w:t>
      </w:r>
      <w:r>
        <w:rPr>
          <w:rFonts w:asciiTheme="minorEastAsia" w:hAnsiTheme="minorEastAsia" w:eastAsiaTheme="minorEastAsia"/>
          <w:sz w:val="24"/>
        </w:rPr>
        <w:fldChar w:fldCharType="end"/>
      </w:r>
      <w:r>
        <w:rPr>
          <w:rFonts w:hint="eastAsia" w:asciiTheme="minorEastAsia" w:hAnsiTheme="minorEastAsia" w:eastAsiaTheme="minorEastAsia"/>
          <w:sz w:val="24"/>
        </w:rPr>
        <w:t>)</w:t>
      </w:r>
    </w:p>
    <w:p>
      <w:pPr>
        <w:numPr>
          <w:ilvl w:val="1"/>
          <w:numId w:val="16"/>
        </w:numPr>
        <w:tabs>
          <w:tab w:val="left" w:pos="993"/>
          <w:tab w:val="left" w:pos="1030"/>
          <w:tab w:val="left" w:pos="8364"/>
          <w:tab w:val="clear" w:pos="780"/>
        </w:tabs>
        <w:snapToGrid w:val="0"/>
        <w:spacing w:afterLines="50"/>
        <w:ind w:left="993" w:right="-57" w:rightChars="-27" w:hanging="573"/>
        <w:jc w:val="left"/>
        <w:rPr>
          <w:rFonts w:ascii="宋体" w:hAnsi="宋体"/>
          <w:sz w:val="24"/>
        </w:rPr>
      </w:pPr>
      <w:r>
        <w:rPr>
          <w:rFonts w:hint="eastAsia" w:ascii="宋体" w:hAnsi="宋体"/>
          <w:sz w:val="24"/>
        </w:rPr>
        <w:t>证明</w:t>
      </w:r>
      <w:r>
        <w:rPr>
          <w:rFonts w:ascii="宋体" w:hAnsi="宋体"/>
          <w:sz w:val="24"/>
        </w:rPr>
        <w:t>供应商</w:t>
      </w:r>
      <w:r>
        <w:rPr>
          <w:rFonts w:hint="eastAsia" w:ascii="宋体" w:hAnsi="宋体"/>
          <w:sz w:val="24"/>
        </w:rPr>
        <w:t>符合特定资格条件的证明材料；（格式见</w:t>
      </w:r>
      <w:r>
        <w:fldChar w:fldCharType="begin"/>
      </w:r>
      <w:r>
        <w:instrText xml:space="preserve"> REF _Ref527015434 \r \h  \* MERGEFORMAT </w:instrText>
      </w:r>
      <w:r>
        <w:fldChar w:fldCharType="separate"/>
      </w:r>
      <w:r>
        <w:rPr>
          <w:rFonts w:ascii="宋体" w:hAnsi="宋体"/>
          <w:sz w:val="24"/>
        </w:rPr>
        <w:t>7--</w:t>
      </w:r>
      <w:r>
        <w:rPr>
          <w:rFonts w:hint="eastAsia" w:ascii="宋体" w:hAnsi="宋体"/>
          <w:sz w:val="24"/>
          <w:lang w:val="en-US" w:eastAsia="zh-CN"/>
        </w:rPr>
        <w:t>8</w:t>
      </w:r>
      <w:r>
        <w:rPr>
          <w:rFonts w:ascii="宋体" w:hAnsi="宋体"/>
          <w:sz w:val="24"/>
        </w:rPr>
        <w:fldChar w:fldCharType="end"/>
      </w:r>
      <w:r>
        <w:rPr>
          <w:rFonts w:hint="eastAsia" w:ascii="宋体" w:hAnsi="宋体"/>
          <w:sz w:val="24"/>
        </w:rPr>
        <w:t>)</w:t>
      </w:r>
    </w:p>
    <w:p>
      <w:pPr>
        <w:tabs>
          <w:tab w:val="left" w:pos="993"/>
          <w:tab w:val="left" w:pos="1030"/>
          <w:tab w:val="left" w:pos="1134"/>
          <w:tab w:val="left" w:pos="8364"/>
        </w:tabs>
        <w:snapToGrid w:val="0"/>
        <w:spacing w:afterLines="50"/>
        <w:ind w:right="-57" w:rightChars="-27"/>
        <w:jc w:val="left"/>
        <w:rPr>
          <w:rFonts w:ascii="宋体" w:hAnsi="宋体"/>
          <w:sz w:val="24"/>
        </w:rPr>
      </w:pPr>
    </w:p>
    <w:p>
      <w:pPr>
        <w:tabs>
          <w:tab w:val="left" w:pos="993"/>
          <w:tab w:val="left" w:pos="1030"/>
          <w:tab w:val="left" w:pos="1134"/>
          <w:tab w:val="left" w:pos="8364"/>
        </w:tabs>
        <w:snapToGrid w:val="0"/>
        <w:spacing w:afterLines="50"/>
        <w:ind w:right="-57" w:rightChars="-27"/>
        <w:jc w:val="left"/>
        <w:rPr>
          <w:rFonts w:ascii="宋体" w:hAnsi="宋体"/>
          <w:sz w:val="24"/>
        </w:rPr>
      </w:pPr>
    </w:p>
    <w:p>
      <w:pPr>
        <w:adjustRightInd w:val="0"/>
        <w:spacing w:line="360" w:lineRule="auto"/>
        <w:ind w:firstLine="480" w:firstLineChars="200"/>
        <w:jc w:val="left"/>
        <w:textAlignment w:val="baseline"/>
        <w:rPr>
          <w:rFonts w:ascii="宋体" w:hAnsi="宋体"/>
          <w:sz w:val="24"/>
        </w:rPr>
      </w:pPr>
      <w:r>
        <w:rPr>
          <w:rFonts w:hint="eastAsia" w:ascii="宋体" w:hAnsi="宋体"/>
          <w:sz w:val="24"/>
        </w:rPr>
        <w:t>以上提供的扫描件、复印件必须加盖供应商公章。</w:t>
      </w:r>
    </w:p>
    <w:p>
      <w:pPr>
        <w:jc w:val="center"/>
        <w:rPr>
          <w:spacing w:val="20"/>
          <w:sz w:val="30"/>
          <w:szCs w:val="30"/>
        </w:rPr>
      </w:pPr>
      <w:r>
        <w:br w:type="page"/>
      </w:r>
      <w:bookmarkStart w:id="599" w:name="_Hlt520274121"/>
      <w:bookmarkEnd w:id="599"/>
    </w:p>
    <w:p>
      <w:pPr>
        <w:adjustRightInd w:val="0"/>
        <w:spacing w:line="360" w:lineRule="atLeast"/>
        <w:jc w:val="left"/>
        <w:textAlignment w:val="baseline"/>
        <w:rPr>
          <w:b/>
          <w:sz w:val="28"/>
        </w:rPr>
      </w:pPr>
    </w:p>
    <w:bookmarkEnd w:id="594"/>
    <w:p>
      <w:pPr>
        <w:pStyle w:val="425"/>
        <w:numPr>
          <w:ilvl w:val="0"/>
          <w:numId w:val="17"/>
        </w:numPr>
        <w:ind w:firstLineChars="0"/>
        <w:jc w:val="left"/>
        <w:outlineLvl w:val="2"/>
        <w:rPr>
          <w:rFonts w:ascii="仿宋_GB2312" w:hAnsi="宋体" w:eastAsia="仿宋_GB2312"/>
          <w:b/>
          <w:sz w:val="24"/>
        </w:rPr>
      </w:pPr>
      <w:bookmarkStart w:id="600" w:name="_Toc1272"/>
      <w:bookmarkStart w:id="601" w:name="_Toc28839"/>
      <w:bookmarkStart w:id="602" w:name="_Ref527015333"/>
      <w:r>
        <w:rPr>
          <w:rFonts w:hint="eastAsia" w:ascii="仿宋_GB2312" w:hAnsi="宋体" w:eastAsia="仿宋_GB2312"/>
          <w:b/>
          <w:sz w:val="24"/>
        </w:rPr>
        <w:t>上一年度</w:t>
      </w:r>
      <w:r>
        <w:rPr>
          <w:rFonts w:ascii="仿宋_GB2312" w:hAnsi="宋体" w:eastAsia="仿宋_GB2312"/>
          <w:b/>
          <w:sz w:val="24"/>
        </w:rPr>
        <w:t>经审计的财务报表</w:t>
      </w:r>
      <w:bookmarkEnd w:id="600"/>
      <w:bookmarkEnd w:id="601"/>
      <w:bookmarkEnd w:id="602"/>
    </w:p>
    <w:p>
      <w:pPr>
        <w:spacing w:line="360" w:lineRule="auto"/>
        <w:rPr>
          <w:szCs w:val="21"/>
        </w:rPr>
      </w:pPr>
    </w:p>
    <w:p>
      <w:pPr>
        <w:spacing w:line="360" w:lineRule="auto"/>
        <w:ind w:right="155"/>
        <w:rPr>
          <w:rFonts w:hAnsi="宋体"/>
          <w:szCs w:val="21"/>
        </w:rPr>
      </w:pPr>
      <w:r>
        <w:rPr>
          <w:rFonts w:hint="eastAsia"/>
          <w:szCs w:val="21"/>
        </w:rPr>
        <w:t>提供供应商上一年度</w:t>
      </w:r>
      <w:r>
        <w:rPr>
          <w:szCs w:val="21"/>
        </w:rPr>
        <w:t>经审计的财务报表（</w:t>
      </w:r>
      <w:r>
        <w:rPr>
          <w:rFonts w:hint="eastAsia"/>
          <w:szCs w:val="21"/>
        </w:rPr>
        <w:t>包括资产负债表、现金流量表、利润表）复印件或扫描件、</w:t>
      </w:r>
      <w:r>
        <w:t>所有复印件或扫描件需加盖单位公章</w:t>
      </w:r>
      <w:r>
        <w:rPr>
          <w:rFonts w:hint="eastAsia"/>
          <w:szCs w:val="21"/>
        </w:rPr>
        <w:t>。</w:t>
      </w:r>
    </w:p>
    <w:p>
      <w:pPr>
        <w:spacing w:line="360" w:lineRule="auto"/>
        <w:rPr>
          <w:szCs w:val="21"/>
        </w:rPr>
      </w:pPr>
    </w:p>
    <w:p>
      <w:pPr>
        <w:widowControl/>
        <w:jc w:val="left"/>
        <w:rPr>
          <w:b/>
          <w:spacing w:val="20"/>
          <w:sz w:val="24"/>
        </w:rPr>
      </w:pPr>
      <w:r>
        <w:rPr>
          <w:b/>
          <w:spacing w:val="20"/>
          <w:sz w:val="24"/>
        </w:rPr>
        <w:br w:type="page"/>
      </w:r>
    </w:p>
    <w:p>
      <w:pPr>
        <w:tabs>
          <w:tab w:val="left" w:pos="5580"/>
        </w:tabs>
        <w:spacing w:before="120" w:line="360" w:lineRule="auto"/>
        <w:ind w:firstLine="480" w:firstLineChars="200"/>
        <w:rPr>
          <w:rFonts w:ascii="仿宋_GB2312" w:eastAsia="仿宋_GB2312"/>
          <w:sz w:val="24"/>
        </w:rPr>
      </w:pPr>
    </w:p>
    <w:p>
      <w:pPr>
        <w:pStyle w:val="425"/>
        <w:numPr>
          <w:ilvl w:val="0"/>
          <w:numId w:val="17"/>
        </w:numPr>
        <w:ind w:firstLineChars="0"/>
        <w:jc w:val="left"/>
        <w:outlineLvl w:val="2"/>
        <w:rPr>
          <w:rFonts w:ascii="仿宋_GB2312" w:hAnsi="宋体" w:eastAsia="仿宋_GB2312"/>
          <w:b/>
          <w:sz w:val="24"/>
        </w:rPr>
      </w:pPr>
      <w:bookmarkStart w:id="603" w:name="_Toc8065"/>
      <w:bookmarkStart w:id="604" w:name="_Toc5195"/>
      <w:bookmarkStart w:id="605" w:name="_Ref527015360"/>
      <w:r>
        <w:rPr>
          <w:rFonts w:hint="eastAsia" w:ascii="仿宋_GB2312" w:hAnsi="宋体" w:eastAsia="仿宋_GB2312"/>
          <w:b/>
          <w:sz w:val="24"/>
        </w:rPr>
        <w:t>依法缴纳税收的证明</w:t>
      </w:r>
      <w:bookmarkEnd w:id="603"/>
      <w:bookmarkEnd w:id="604"/>
      <w:bookmarkEnd w:id="605"/>
    </w:p>
    <w:p>
      <w:pPr>
        <w:tabs>
          <w:tab w:val="left" w:pos="993"/>
          <w:tab w:val="left" w:pos="1030"/>
          <w:tab w:val="left" w:pos="8364"/>
        </w:tabs>
        <w:snapToGrid w:val="0"/>
        <w:spacing w:afterLines="50"/>
        <w:ind w:left="420" w:right="-57" w:rightChars="-27" w:firstLine="480" w:firstLineChars="200"/>
        <w:jc w:val="left"/>
        <w:rPr>
          <w:rFonts w:asciiTheme="minorEastAsia" w:hAnsiTheme="minorEastAsia" w:eastAsiaTheme="minorEastAsia"/>
          <w:sz w:val="24"/>
        </w:rPr>
      </w:pPr>
    </w:p>
    <w:p>
      <w:pPr>
        <w:tabs>
          <w:tab w:val="left" w:pos="993"/>
          <w:tab w:val="left" w:pos="1030"/>
          <w:tab w:val="left" w:pos="8364"/>
        </w:tabs>
        <w:snapToGrid w:val="0"/>
        <w:spacing w:afterLines="50"/>
        <w:ind w:left="420" w:right="-57" w:rightChars="-27" w:firstLine="480" w:firstLineChars="200"/>
        <w:jc w:val="left"/>
        <w:rPr>
          <w:rFonts w:asciiTheme="minorEastAsia" w:hAnsiTheme="minorEastAsia" w:eastAsiaTheme="minorEastAsia"/>
          <w:sz w:val="24"/>
        </w:rPr>
      </w:pPr>
    </w:p>
    <w:p>
      <w:pPr>
        <w:tabs>
          <w:tab w:val="left" w:pos="993"/>
          <w:tab w:val="left" w:pos="1030"/>
          <w:tab w:val="left" w:pos="8364"/>
        </w:tabs>
        <w:snapToGrid w:val="0"/>
        <w:spacing w:afterLines="50"/>
        <w:ind w:left="420" w:right="-57" w:rightChars="-27" w:firstLine="480" w:firstLineChars="200"/>
        <w:jc w:val="left"/>
        <w:rPr>
          <w:rFonts w:asciiTheme="minorEastAsia" w:hAnsiTheme="minorEastAsia" w:eastAsiaTheme="minorEastAsia"/>
          <w:sz w:val="24"/>
        </w:rPr>
      </w:pPr>
    </w:p>
    <w:p>
      <w:pPr>
        <w:tabs>
          <w:tab w:val="left" w:pos="993"/>
          <w:tab w:val="left" w:pos="1030"/>
          <w:tab w:val="left" w:pos="8364"/>
        </w:tabs>
        <w:snapToGrid w:val="0"/>
        <w:spacing w:afterLines="50"/>
        <w:ind w:left="420" w:right="-57" w:rightChars="-27"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说明：</w:t>
      </w:r>
    </w:p>
    <w:p>
      <w:pPr>
        <w:tabs>
          <w:tab w:val="left" w:pos="993"/>
          <w:tab w:val="left" w:pos="1030"/>
          <w:tab w:val="left" w:pos="8364"/>
        </w:tabs>
        <w:snapToGrid w:val="0"/>
        <w:spacing w:afterLines="50"/>
        <w:ind w:left="420" w:right="-57" w:rightChars="-27"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1、供应商应提供近六个月中任何一个月缴纳增值税和企业所得税的凭证（银行出具的缴税凭证或税务机关出具的证明的复印件，并加盖本单位公章）。</w:t>
      </w:r>
    </w:p>
    <w:p>
      <w:pPr>
        <w:tabs>
          <w:tab w:val="left" w:pos="993"/>
          <w:tab w:val="left" w:pos="1030"/>
          <w:tab w:val="left" w:pos="8364"/>
        </w:tabs>
        <w:snapToGrid w:val="0"/>
        <w:spacing w:afterLines="50"/>
        <w:ind w:right="-57" w:rightChars="-27"/>
        <w:jc w:val="left"/>
        <w:rPr>
          <w:rFonts w:asciiTheme="minorEastAsia" w:hAnsiTheme="minorEastAsia" w:eastAsiaTheme="minorEastAsia"/>
          <w:sz w:val="24"/>
        </w:rPr>
      </w:pPr>
      <w:r>
        <w:rPr>
          <w:rFonts w:hint="eastAsia" w:asciiTheme="minorEastAsia" w:hAnsiTheme="minorEastAsia" w:eastAsiaTheme="minorEastAsia"/>
          <w:sz w:val="24"/>
        </w:rPr>
        <w:t xml:space="preserve">        2、依法免税的供应商，应提供相应文件证明其依法免税。</w:t>
      </w:r>
    </w:p>
    <w:p>
      <w:pPr>
        <w:tabs>
          <w:tab w:val="left" w:pos="993"/>
          <w:tab w:val="left" w:pos="1030"/>
          <w:tab w:val="left" w:pos="8364"/>
        </w:tabs>
        <w:snapToGrid w:val="0"/>
        <w:spacing w:afterLines="50"/>
        <w:ind w:left="420" w:right="-57" w:rightChars="-27" w:firstLine="480" w:firstLineChars="200"/>
        <w:jc w:val="left"/>
        <w:rPr>
          <w:rFonts w:asciiTheme="minorEastAsia" w:hAnsiTheme="minorEastAsia" w:eastAsiaTheme="minorEastAsia"/>
          <w:sz w:val="24"/>
        </w:rPr>
      </w:pPr>
    </w:p>
    <w:p>
      <w:pPr>
        <w:tabs>
          <w:tab w:val="left" w:pos="993"/>
          <w:tab w:val="left" w:pos="1030"/>
          <w:tab w:val="left" w:pos="8364"/>
        </w:tabs>
        <w:snapToGrid w:val="0"/>
        <w:spacing w:afterLines="50"/>
        <w:ind w:left="420" w:right="-57" w:rightChars="-27" w:firstLine="480" w:firstLineChars="200"/>
        <w:jc w:val="left"/>
        <w:rPr>
          <w:rFonts w:asciiTheme="minorEastAsia" w:hAnsiTheme="minorEastAsia" w:eastAsiaTheme="minorEastAsia"/>
          <w:sz w:val="24"/>
        </w:rPr>
      </w:pPr>
    </w:p>
    <w:p>
      <w:pPr>
        <w:tabs>
          <w:tab w:val="left" w:pos="993"/>
          <w:tab w:val="left" w:pos="1030"/>
          <w:tab w:val="left" w:pos="8364"/>
        </w:tabs>
        <w:snapToGrid w:val="0"/>
        <w:spacing w:afterLines="50"/>
        <w:ind w:left="420" w:right="-57" w:rightChars="-27" w:firstLine="480" w:firstLineChars="200"/>
        <w:jc w:val="left"/>
        <w:rPr>
          <w:rFonts w:asciiTheme="minorEastAsia" w:hAnsiTheme="minorEastAsia" w:eastAsiaTheme="minorEastAsia"/>
          <w:sz w:val="24"/>
        </w:rPr>
      </w:pPr>
    </w:p>
    <w:p>
      <w:pPr>
        <w:tabs>
          <w:tab w:val="left" w:pos="993"/>
          <w:tab w:val="left" w:pos="1030"/>
          <w:tab w:val="left" w:pos="8364"/>
        </w:tabs>
        <w:snapToGrid w:val="0"/>
        <w:spacing w:afterLines="50"/>
        <w:ind w:left="420" w:right="-57" w:rightChars="-27" w:firstLine="480" w:firstLineChars="200"/>
        <w:jc w:val="left"/>
        <w:rPr>
          <w:rFonts w:asciiTheme="minorEastAsia" w:hAnsiTheme="minorEastAsia" w:eastAsiaTheme="minorEastAsia"/>
          <w:sz w:val="24"/>
        </w:rPr>
      </w:pPr>
    </w:p>
    <w:p>
      <w:pPr>
        <w:pStyle w:val="425"/>
        <w:numPr>
          <w:ilvl w:val="0"/>
          <w:numId w:val="17"/>
        </w:numPr>
        <w:ind w:firstLineChars="0"/>
        <w:jc w:val="left"/>
        <w:outlineLvl w:val="2"/>
        <w:rPr>
          <w:rFonts w:ascii="仿宋_GB2312" w:hAnsi="宋体" w:eastAsia="仿宋_GB2312"/>
          <w:b/>
          <w:sz w:val="24"/>
        </w:rPr>
      </w:pPr>
      <w:bookmarkStart w:id="606" w:name="_Ref527015367"/>
      <w:bookmarkStart w:id="607" w:name="_Toc13064"/>
      <w:bookmarkStart w:id="608" w:name="_Toc4035"/>
      <w:r>
        <w:rPr>
          <w:rFonts w:hint="eastAsia" w:ascii="仿宋_GB2312" w:hAnsi="宋体" w:eastAsia="仿宋_GB2312"/>
          <w:b/>
          <w:sz w:val="24"/>
        </w:rPr>
        <w:t>社会保障资金缴纳记录</w:t>
      </w:r>
      <w:bookmarkEnd w:id="606"/>
      <w:bookmarkEnd w:id="607"/>
      <w:bookmarkEnd w:id="608"/>
    </w:p>
    <w:p>
      <w:pPr>
        <w:tabs>
          <w:tab w:val="left" w:pos="993"/>
          <w:tab w:val="left" w:pos="1030"/>
          <w:tab w:val="left" w:pos="8364"/>
        </w:tabs>
        <w:snapToGrid w:val="0"/>
        <w:spacing w:afterLines="50"/>
        <w:ind w:left="420" w:leftChars="200" w:right="-57" w:rightChars="-27"/>
        <w:jc w:val="left"/>
        <w:rPr>
          <w:rFonts w:asciiTheme="minorEastAsia" w:hAnsiTheme="minorEastAsia" w:eastAsiaTheme="minorEastAsia"/>
          <w:sz w:val="24"/>
        </w:rPr>
      </w:pPr>
      <w:r>
        <w:rPr>
          <w:rFonts w:hint="eastAsia" w:asciiTheme="minorEastAsia" w:hAnsiTheme="minorEastAsia" w:eastAsiaTheme="minorEastAsia"/>
          <w:sz w:val="24"/>
        </w:rPr>
        <w:cr/>
      </w:r>
    </w:p>
    <w:p>
      <w:pPr>
        <w:tabs>
          <w:tab w:val="left" w:pos="993"/>
          <w:tab w:val="left" w:pos="1030"/>
          <w:tab w:val="left" w:pos="8364"/>
        </w:tabs>
        <w:snapToGrid w:val="0"/>
        <w:spacing w:afterLines="50"/>
        <w:ind w:left="420" w:leftChars="200" w:right="-57" w:rightChars="-27"/>
        <w:jc w:val="left"/>
        <w:rPr>
          <w:rFonts w:asciiTheme="minorEastAsia" w:hAnsiTheme="minorEastAsia" w:eastAsiaTheme="minorEastAsia"/>
          <w:sz w:val="24"/>
        </w:rPr>
      </w:pPr>
    </w:p>
    <w:p>
      <w:pPr>
        <w:tabs>
          <w:tab w:val="left" w:pos="993"/>
          <w:tab w:val="left" w:pos="1030"/>
          <w:tab w:val="left" w:pos="8364"/>
        </w:tabs>
        <w:snapToGrid w:val="0"/>
        <w:spacing w:afterLines="50"/>
        <w:ind w:left="420" w:leftChars="200" w:right="-57" w:rightChars="-27"/>
        <w:jc w:val="left"/>
        <w:rPr>
          <w:rFonts w:asciiTheme="minorEastAsia" w:hAnsiTheme="minorEastAsia" w:eastAsiaTheme="minorEastAsia"/>
          <w:sz w:val="24"/>
        </w:rPr>
      </w:pPr>
    </w:p>
    <w:p>
      <w:pPr>
        <w:tabs>
          <w:tab w:val="left" w:pos="993"/>
          <w:tab w:val="left" w:pos="1030"/>
          <w:tab w:val="left" w:pos="8364"/>
        </w:tabs>
        <w:snapToGrid w:val="0"/>
        <w:spacing w:afterLines="50"/>
        <w:ind w:left="420" w:leftChars="200" w:right="-57" w:rightChars="-27"/>
        <w:jc w:val="left"/>
        <w:rPr>
          <w:rFonts w:asciiTheme="minorEastAsia" w:hAnsiTheme="minorEastAsia" w:eastAsiaTheme="minorEastAsia"/>
          <w:sz w:val="24"/>
        </w:rPr>
      </w:pPr>
      <w:r>
        <w:rPr>
          <w:rFonts w:hint="eastAsia" w:asciiTheme="minorEastAsia" w:hAnsiTheme="minorEastAsia" w:eastAsiaTheme="minorEastAsia"/>
          <w:sz w:val="24"/>
        </w:rPr>
        <w:t>说明：</w:t>
      </w:r>
    </w:p>
    <w:p>
      <w:pPr>
        <w:numPr>
          <w:ilvl w:val="0"/>
          <w:numId w:val="18"/>
        </w:numPr>
        <w:tabs>
          <w:tab w:val="left" w:pos="993"/>
          <w:tab w:val="left" w:pos="1030"/>
          <w:tab w:val="left" w:pos="8364"/>
        </w:tabs>
        <w:snapToGrid w:val="0"/>
        <w:spacing w:afterLines="50"/>
        <w:ind w:left="420" w:leftChars="200" w:right="-57" w:rightChars="-27"/>
        <w:jc w:val="left"/>
        <w:rPr>
          <w:rFonts w:asciiTheme="minorEastAsia" w:hAnsiTheme="minorEastAsia" w:eastAsiaTheme="minorEastAsia"/>
          <w:sz w:val="24"/>
        </w:rPr>
      </w:pPr>
      <w:r>
        <w:rPr>
          <w:rFonts w:hint="eastAsia" w:asciiTheme="minorEastAsia" w:hAnsiTheme="minorEastAsia" w:eastAsiaTheme="minorEastAsia"/>
          <w:sz w:val="24"/>
        </w:rPr>
        <w:t>供应商应提供近六个月中至少一个月的社会缴纳社会保险的凭据（专用收据或社会保险缴纳清单），并加盖本单位公章。</w:t>
      </w:r>
    </w:p>
    <w:p>
      <w:pPr>
        <w:numPr>
          <w:ilvl w:val="0"/>
          <w:numId w:val="18"/>
        </w:numPr>
        <w:tabs>
          <w:tab w:val="left" w:pos="993"/>
          <w:tab w:val="left" w:pos="1030"/>
          <w:tab w:val="left" w:pos="8364"/>
        </w:tabs>
        <w:snapToGrid w:val="0"/>
        <w:spacing w:afterLines="50"/>
        <w:ind w:left="420" w:leftChars="200" w:right="-57" w:rightChars="-27"/>
        <w:jc w:val="left"/>
        <w:rPr>
          <w:rFonts w:asciiTheme="minorEastAsia" w:hAnsiTheme="minorEastAsia" w:eastAsiaTheme="minorEastAsia"/>
          <w:sz w:val="24"/>
        </w:rPr>
      </w:pPr>
      <w:r>
        <w:rPr>
          <w:rFonts w:hint="eastAsia" w:asciiTheme="minorEastAsia" w:hAnsiTheme="minorEastAsia" w:eastAsiaTheme="minorEastAsia"/>
          <w:sz w:val="24"/>
        </w:rPr>
        <w:t>不需要缴纳社会保障资金的供应商，应提供相应文件证明其不需要缴纳社会保障资金。</w:t>
      </w:r>
    </w:p>
    <w:p>
      <w:pPr>
        <w:tabs>
          <w:tab w:val="left" w:pos="5580"/>
        </w:tabs>
        <w:spacing w:before="12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br w:type="page"/>
      </w:r>
    </w:p>
    <w:p>
      <w:pPr>
        <w:tabs>
          <w:tab w:val="left" w:pos="993"/>
          <w:tab w:val="left" w:pos="1030"/>
          <w:tab w:val="left" w:pos="8364"/>
        </w:tabs>
        <w:snapToGrid w:val="0"/>
        <w:spacing w:afterLines="50"/>
        <w:ind w:left="420" w:right="-57" w:rightChars="-27"/>
        <w:jc w:val="left"/>
        <w:rPr>
          <w:rFonts w:ascii="仿宋_GB2312" w:eastAsia="仿宋_GB2312"/>
          <w:sz w:val="24"/>
        </w:rPr>
      </w:pPr>
    </w:p>
    <w:p>
      <w:pPr>
        <w:pStyle w:val="425"/>
        <w:numPr>
          <w:ilvl w:val="0"/>
          <w:numId w:val="17"/>
        </w:numPr>
        <w:ind w:firstLineChars="0"/>
        <w:jc w:val="left"/>
        <w:outlineLvl w:val="2"/>
        <w:rPr>
          <w:rFonts w:ascii="仿宋_GB2312" w:hAnsi="宋体" w:eastAsia="仿宋_GB2312"/>
          <w:b/>
          <w:sz w:val="24"/>
        </w:rPr>
      </w:pPr>
      <w:bookmarkStart w:id="609" w:name="_Ref527015383"/>
      <w:bookmarkStart w:id="610" w:name="_Toc21220"/>
      <w:bookmarkStart w:id="611" w:name="_Toc16955"/>
      <w:r>
        <w:rPr>
          <w:rFonts w:ascii="仿宋_GB2312" w:hAnsi="宋体" w:eastAsia="仿宋_GB2312"/>
          <w:b/>
          <w:sz w:val="24"/>
        </w:rPr>
        <w:t>具</w:t>
      </w:r>
      <w:r>
        <w:rPr>
          <w:rFonts w:hint="eastAsia" w:ascii="仿宋_GB2312" w:hAnsi="宋体" w:eastAsia="仿宋_GB2312"/>
          <w:b/>
          <w:sz w:val="24"/>
        </w:rPr>
        <w:t>备</w:t>
      </w:r>
      <w:r>
        <w:rPr>
          <w:rFonts w:ascii="仿宋_GB2312" w:hAnsi="宋体" w:eastAsia="仿宋_GB2312"/>
          <w:b/>
          <w:sz w:val="24"/>
        </w:rPr>
        <w:t>履行合同所必需的设备和专业技术能力</w:t>
      </w:r>
      <w:r>
        <w:rPr>
          <w:rFonts w:hint="eastAsia" w:ascii="仿宋_GB2312" w:hAnsi="宋体" w:eastAsia="仿宋_GB2312"/>
          <w:b/>
          <w:sz w:val="24"/>
        </w:rPr>
        <w:t>承诺书</w:t>
      </w:r>
      <w:bookmarkEnd w:id="609"/>
      <w:bookmarkEnd w:id="610"/>
      <w:bookmarkEnd w:id="611"/>
    </w:p>
    <w:p>
      <w:pPr>
        <w:ind w:firstLine="480"/>
        <w:rPr>
          <w:rFonts w:cs="宋体" w:asciiTheme="minorEastAsia" w:hAnsiTheme="minorEastAsia" w:eastAsiaTheme="minorEastAsia"/>
          <w:kern w:val="0"/>
          <w:sz w:val="24"/>
        </w:rPr>
      </w:pPr>
    </w:p>
    <w:p>
      <w:pPr>
        <w:ind w:firstLine="480"/>
        <w:rPr>
          <w:rFonts w:cs="宋体" w:asciiTheme="minorEastAsia" w:hAnsiTheme="minorEastAsia" w:eastAsiaTheme="minorEastAsia"/>
          <w:kern w:val="0"/>
          <w:sz w:val="24"/>
        </w:rPr>
      </w:pPr>
    </w:p>
    <w:p>
      <w:pPr>
        <w:rPr>
          <w:rFonts w:cs="宋体" w:asciiTheme="minorEastAsia" w:hAnsiTheme="minorEastAsia" w:eastAsiaTheme="minorEastAsia"/>
          <w:kern w:val="0"/>
          <w:sz w:val="24"/>
          <w:u w:val="single"/>
        </w:rPr>
      </w:pPr>
      <w:r>
        <w:rPr>
          <w:rFonts w:hint="eastAsia" w:cs="宋体" w:asciiTheme="minorEastAsia" w:hAnsiTheme="minorEastAsia" w:eastAsiaTheme="minorEastAsia"/>
          <w:kern w:val="0"/>
          <w:sz w:val="24"/>
          <w:u w:val="single"/>
        </w:rPr>
        <w:t xml:space="preserve">(采购人名称)      </w:t>
      </w:r>
    </w:p>
    <w:p>
      <w:pPr>
        <w:ind w:firstLine="480"/>
        <w:rPr>
          <w:rFonts w:cs="宋体" w:asciiTheme="minorEastAsia" w:hAnsiTheme="minorEastAsia" w:eastAsiaTheme="minorEastAsia"/>
          <w:kern w:val="0"/>
          <w:sz w:val="24"/>
        </w:rPr>
      </w:pPr>
    </w:p>
    <w:p>
      <w:pPr>
        <w:ind w:firstLine="48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我公司承诺</w:t>
      </w:r>
      <w:r>
        <w:rPr>
          <w:rFonts w:asciiTheme="minorEastAsia" w:hAnsiTheme="minorEastAsia" w:eastAsiaTheme="minorEastAsia"/>
          <w:sz w:val="24"/>
        </w:rPr>
        <w:t>具</w:t>
      </w:r>
      <w:r>
        <w:rPr>
          <w:rFonts w:hint="eastAsia" w:asciiTheme="minorEastAsia" w:hAnsiTheme="minorEastAsia" w:eastAsiaTheme="minorEastAsia"/>
          <w:sz w:val="24"/>
        </w:rPr>
        <w:t>备</w:t>
      </w:r>
      <w:r>
        <w:rPr>
          <w:rFonts w:asciiTheme="minorEastAsia" w:hAnsiTheme="minorEastAsia" w:eastAsiaTheme="minorEastAsia"/>
          <w:sz w:val="24"/>
        </w:rPr>
        <w:t>履行合同所必需的设备和专业技术能力</w:t>
      </w:r>
      <w:r>
        <w:rPr>
          <w:rFonts w:hint="eastAsia" w:cs="宋体" w:asciiTheme="minorEastAsia" w:hAnsiTheme="minorEastAsia" w:eastAsiaTheme="minorEastAsia"/>
          <w:kern w:val="0"/>
          <w:sz w:val="24"/>
        </w:rPr>
        <w:t>。</w:t>
      </w:r>
    </w:p>
    <w:p>
      <w:pPr>
        <w:ind w:firstLine="480"/>
        <w:rPr>
          <w:rFonts w:asciiTheme="minorEastAsia" w:hAnsiTheme="minorEastAsia" w:eastAsiaTheme="minorEastAsia"/>
          <w:b/>
          <w:sz w:val="24"/>
        </w:rPr>
      </w:pPr>
    </w:p>
    <w:p>
      <w:pPr>
        <w:ind w:firstLine="480"/>
        <w:rPr>
          <w:rFonts w:asciiTheme="minorEastAsia" w:hAnsiTheme="minorEastAsia" w:eastAsiaTheme="minorEastAsia"/>
          <w:b/>
          <w:sz w:val="24"/>
        </w:rPr>
      </w:pPr>
    </w:p>
    <w:p>
      <w:pPr>
        <w:ind w:firstLine="480"/>
        <w:rPr>
          <w:rFonts w:asciiTheme="minorEastAsia" w:hAnsiTheme="minorEastAsia" w:eastAsiaTheme="minorEastAsia"/>
          <w:b/>
          <w:sz w:val="24"/>
        </w:rPr>
      </w:pPr>
    </w:p>
    <w:p>
      <w:pPr>
        <w:spacing w:beforeLines="50" w:line="440" w:lineRule="exact"/>
        <w:ind w:left="-103" w:leftChars="-49" w:firstLine="616" w:firstLineChars="257"/>
        <w:rPr>
          <w:rFonts w:asciiTheme="minorEastAsia" w:hAnsiTheme="minorEastAsia" w:eastAsiaTheme="minorEastAsia"/>
          <w:sz w:val="24"/>
        </w:rPr>
      </w:pPr>
      <w:r>
        <w:rPr>
          <w:rFonts w:hint="eastAsia" w:asciiTheme="minorEastAsia" w:hAnsiTheme="minorEastAsia" w:eastAsiaTheme="minorEastAsia"/>
          <w:sz w:val="24"/>
        </w:rPr>
        <w:t>供应商：（公章）</w:t>
      </w:r>
    </w:p>
    <w:p>
      <w:pPr>
        <w:spacing w:beforeLines="50" w:line="440" w:lineRule="exact"/>
        <w:ind w:left="460" w:leftChars="219"/>
        <w:rPr>
          <w:rFonts w:asciiTheme="minorEastAsia" w:hAnsiTheme="minorEastAsia" w:eastAsiaTheme="minorEastAsia"/>
          <w:sz w:val="24"/>
        </w:rPr>
      </w:pPr>
      <w:r>
        <w:rPr>
          <w:rFonts w:asciiTheme="minorEastAsia" w:hAnsiTheme="minorEastAsia" w:eastAsiaTheme="minorEastAsia"/>
          <w:sz w:val="24"/>
        </w:rPr>
        <w:t>法定代表人或其授权代表：（</w:t>
      </w:r>
      <w:r>
        <w:rPr>
          <w:rFonts w:hint="eastAsia" w:asciiTheme="minorEastAsia" w:hAnsiTheme="minorEastAsia" w:eastAsiaTheme="minorEastAsia"/>
          <w:sz w:val="24"/>
        </w:rPr>
        <w:t>签字或加盖人名章</w:t>
      </w:r>
      <w:r>
        <w:rPr>
          <w:rFonts w:asciiTheme="minorEastAsia" w:hAnsiTheme="minorEastAsia" w:eastAsiaTheme="minorEastAsia"/>
          <w:sz w:val="24"/>
        </w:rPr>
        <w:t>）</w:t>
      </w:r>
    </w:p>
    <w:p>
      <w:pPr>
        <w:spacing w:beforeLines="50" w:line="440" w:lineRule="exact"/>
        <w:ind w:left="460" w:leftChars="219"/>
        <w:rPr>
          <w:rFonts w:asciiTheme="minorEastAsia" w:hAnsiTheme="minorEastAsia" w:eastAsiaTheme="minorEastAsia"/>
          <w:sz w:val="24"/>
        </w:rPr>
      </w:pPr>
      <w:r>
        <w:rPr>
          <w:rFonts w:asciiTheme="minorEastAsia" w:hAnsiTheme="minorEastAsia" w:eastAsiaTheme="minorEastAsia"/>
          <w:sz w:val="24"/>
        </w:rPr>
        <w:t>日期：</w:t>
      </w:r>
    </w:p>
    <w:p>
      <w:pPr>
        <w:ind w:right="280"/>
        <w:rPr>
          <w:rFonts w:asciiTheme="minorEastAsia" w:hAnsiTheme="minorEastAsia" w:eastAsiaTheme="minorEastAsia"/>
          <w:sz w:val="24"/>
        </w:rPr>
      </w:pPr>
    </w:p>
    <w:p>
      <w:pPr>
        <w:tabs>
          <w:tab w:val="left" w:pos="5580"/>
        </w:tabs>
        <w:spacing w:before="120" w:line="360" w:lineRule="auto"/>
        <w:rPr>
          <w:rFonts w:asciiTheme="minorEastAsia" w:hAnsiTheme="minorEastAsia" w:eastAsiaTheme="minorEastAsia"/>
          <w:sz w:val="24"/>
        </w:rPr>
      </w:pPr>
    </w:p>
    <w:p>
      <w:pPr>
        <w:tabs>
          <w:tab w:val="left" w:pos="5580"/>
        </w:tabs>
        <w:spacing w:before="120" w:line="360" w:lineRule="auto"/>
        <w:ind w:firstLine="480" w:firstLineChars="200"/>
        <w:rPr>
          <w:rFonts w:ascii="仿宋_GB2312" w:eastAsia="仿宋_GB2312"/>
          <w:sz w:val="24"/>
        </w:rPr>
      </w:pPr>
    </w:p>
    <w:p>
      <w:pPr>
        <w:tabs>
          <w:tab w:val="left" w:pos="5580"/>
        </w:tabs>
        <w:spacing w:before="120" w:line="360" w:lineRule="auto"/>
        <w:ind w:firstLine="480" w:firstLineChars="200"/>
        <w:rPr>
          <w:rFonts w:ascii="仿宋_GB2312" w:eastAsia="仿宋_GB2312"/>
          <w:sz w:val="24"/>
        </w:rPr>
      </w:pPr>
    </w:p>
    <w:p>
      <w:pPr>
        <w:tabs>
          <w:tab w:val="left" w:pos="993"/>
          <w:tab w:val="left" w:pos="1030"/>
          <w:tab w:val="left" w:pos="8364"/>
        </w:tabs>
        <w:snapToGrid w:val="0"/>
        <w:spacing w:afterLines="50"/>
        <w:ind w:left="420" w:right="-57" w:rightChars="-27" w:firstLine="480" w:firstLineChars="200"/>
        <w:jc w:val="left"/>
        <w:rPr>
          <w:rFonts w:ascii="仿宋_GB2312" w:eastAsia="仿宋_GB2312"/>
          <w:sz w:val="24"/>
        </w:rPr>
      </w:pPr>
    </w:p>
    <w:p>
      <w:pPr>
        <w:widowControl/>
        <w:jc w:val="left"/>
        <w:rPr>
          <w:rFonts w:ascii="仿宋_GB2312" w:hAnsi="宋体" w:eastAsia="仿宋_GB2312"/>
          <w:b/>
          <w:sz w:val="24"/>
        </w:rPr>
      </w:pPr>
      <w:r>
        <w:rPr>
          <w:rFonts w:ascii="仿宋_GB2312" w:hAnsi="宋体" w:eastAsia="仿宋_GB2312"/>
          <w:b/>
          <w:sz w:val="24"/>
        </w:rPr>
        <w:br w:type="page"/>
      </w:r>
    </w:p>
    <w:p>
      <w:pPr>
        <w:pStyle w:val="425"/>
        <w:numPr>
          <w:ilvl w:val="0"/>
          <w:numId w:val="17"/>
        </w:numPr>
        <w:ind w:left="851" w:hanging="851" w:firstLineChars="0"/>
        <w:jc w:val="left"/>
        <w:outlineLvl w:val="2"/>
        <w:rPr>
          <w:rFonts w:ascii="仿宋_GB2312" w:hAnsi="宋体" w:eastAsia="仿宋_GB2312"/>
          <w:b/>
          <w:sz w:val="24"/>
        </w:rPr>
      </w:pPr>
      <w:bookmarkStart w:id="612" w:name="_Toc28375"/>
      <w:bookmarkStart w:id="613" w:name="_Toc7614"/>
      <w:bookmarkStart w:id="614" w:name="_Ref527015392"/>
      <w:r>
        <w:rPr>
          <w:rFonts w:hint="eastAsia" w:ascii="仿宋_GB2312" w:hAnsi="宋体" w:eastAsia="仿宋_GB2312"/>
          <w:b/>
          <w:sz w:val="24"/>
        </w:rPr>
        <w:t>供应商参加政府采购活动前3年内在经营活动中没有重大违法记录的书面声明</w:t>
      </w:r>
      <w:bookmarkEnd w:id="612"/>
      <w:bookmarkEnd w:id="613"/>
      <w:bookmarkEnd w:id="614"/>
    </w:p>
    <w:p>
      <w:pPr>
        <w:jc w:val="center"/>
        <w:rPr>
          <w:rFonts w:asciiTheme="minorEastAsia" w:hAnsiTheme="minorEastAsia" w:eastAsiaTheme="minorEastAsia"/>
          <w:sz w:val="24"/>
        </w:rPr>
      </w:pPr>
    </w:p>
    <w:p>
      <w:pPr>
        <w:jc w:val="center"/>
        <w:rPr>
          <w:rFonts w:asciiTheme="minorEastAsia" w:hAnsiTheme="minorEastAsia" w:eastAsiaTheme="minorEastAsia"/>
          <w:b/>
          <w:sz w:val="24"/>
        </w:rPr>
      </w:pPr>
      <w:r>
        <w:rPr>
          <w:rFonts w:hint="eastAsia" w:asciiTheme="minorEastAsia" w:hAnsiTheme="minorEastAsia" w:eastAsiaTheme="minorEastAsia"/>
          <w:b/>
          <w:sz w:val="24"/>
        </w:rPr>
        <w:t>声明函</w:t>
      </w:r>
    </w:p>
    <w:p>
      <w:pPr>
        <w:jc w:val="center"/>
        <w:rPr>
          <w:rFonts w:asciiTheme="minorEastAsia" w:hAnsiTheme="minorEastAsia" w:eastAsiaTheme="minorEastAsia"/>
          <w:sz w:val="24"/>
        </w:rPr>
      </w:pPr>
    </w:p>
    <w:p>
      <w:pPr>
        <w:tabs>
          <w:tab w:val="left" w:pos="5580"/>
        </w:tabs>
        <w:spacing w:before="120" w:line="360" w:lineRule="auto"/>
        <w:rPr>
          <w:rFonts w:asciiTheme="minorEastAsia" w:hAnsiTheme="minorEastAsia" w:eastAsiaTheme="minorEastAsia"/>
          <w:sz w:val="24"/>
        </w:rPr>
      </w:pPr>
      <w:r>
        <w:rPr>
          <w:rFonts w:hint="eastAsia" w:asciiTheme="minorEastAsia" w:hAnsiTheme="minorEastAsia" w:eastAsiaTheme="minorEastAsia"/>
          <w:sz w:val="24"/>
        </w:rPr>
        <w:t>至：</w:t>
      </w:r>
      <w:r>
        <w:rPr>
          <w:rFonts w:hint="eastAsia" w:asciiTheme="minorEastAsia" w:hAnsiTheme="minorEastAsia" w:eastAsiaTheme="minorEastAsia"/>
          <w:sz w:val="24"/>
          <w:u w:val="single"/>
        </w:rPr>
        <w:t xml:space="preserve">   （采购人）  </w:t>
      </w:r>
    </w:p>
    <w:p>
      <w:pPr>
        <w:tabs>
          <w:tab w:val="left" w:pos="5580"/>
        </w:tabs>
        <w:spacing w:before="120" w:line="360" w:lineRule="auto"/>
        <w:ind w:firstLine="480" w:firstLineChars="200"/>
        <w:rPr>
          <w:rFonts w:asciiTheme="minorEastAsia" w:hAnsiTheme="minorEastAsia" w:eastAsiaTheme="minorEastAsia"/>
          <w:sz w:val="24"/>
        </w:rPr>
      </w:pPr>
    </w:p>
    <w:p>
      <w:pPr>
        <w:tabs>
          <w:tab w:val="left" w:pos="5580"/>
        </w:tabs>
        <w:spacing w:before="12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特此声明。</w:t>
      </w:r>
    </w:p>
    <w:p>
      <w:pPr>
        <w:tabs>
          <w:tab w:val="left" w:pos="5580"/>
        </w:tabs>
        <w:spacing w:before="120" w:line="360" w:lineRule="auto"/>
        <w:ind w:firstLine="480" w:firstLineChars="200"/>
        <w:rPr>
          <w:rFonts w:asciiTheme="minorEastAsia" w:hAnsiTheme="minorEastAsia" w:eastAsiaTheme="minorEastAsia"/>
          <w:sz w:val="24"/>
        </w:rPr>
      </w:pPr>
    </w:p>
    <w:p>
      <w:pPr>
        <w:tabs>
          <w:tab w:val="left" w:pos="5580"/>
        </w:tabs>
        <w:spacing w:before="120" w:line="360" w:lineRule="auto"/>
        <w:ind w:firstLine="480" w:firstLineChars="200"/>
        <w:rPr>
          <w:rFonts w:asciiTheme="minorEastAsia" w:hAnsiTheme="minorEastAsia" w:eastAsiaTheme="minorEastAsia"/>
          <w:sz w:val="24"/>
        </w:rPr>
      </w:pPr>
    </w:p>
    <w:p>
      <w:pPr>
        <w:tabs>
          <w:tab w:val="left" w:pos="5580"/>
        </w:tabs>
        <w:spacing w:before="120" w:line="360" w:lineRule="auto"/>
        <w:ind w:firstLine="480" w:firstLineChars="200"/>
        <w:rPr>
          <w:rFonts w:asciiTheme="minorEastAsia" w:hAnsiTheme="minorEastAsia" w:eastAsiaTheme="minorEastAsia"/>
          <w:sz w:val="24"/>
        </w:rPr>
      </w:pPr>
    </w:p>
    <w:p>
      <w:pPr>
        <w:pStyle w:val="41"/>
        <w:spacing w:line="360" w:lineRule="auto"/>
        <w:rPr>
          <w:rFonts w:asciiTheme="minorEastAsia" w:hAnsiTheme="minorEastAsia" w:eastAsiaTheme="minorEastAsia"/>
          <w:sz w:val="24"/>
        </w:rPr>
      </w:pPr>
      <w:r>
        <w:rPr>
          <w:rFonts w:hint="eastAsia" w:asciiTheme="minorEastAsia" w:hAnsiTheme="minorEastAsia" w:eastAsiaTheme="minorEastAsia"/>
          <w:sz w:val="24"/>
        </w:rPr>
        <w:t>供应商授权代表（签字或加盖人名章</w:t>
      </w:r>
      <w:r>
        <w:rPr>
          <w:rFonts w:hAnsi="宋体"/>
        </w:rPr>
        <w:t>）</w:t>
      </w:r>
      <w:r>
        <w:rPr>
          <w:rFonts w:hint="eastAsia" w:asciiTheme="minorEastAsia" w:hAnsiTheme="minorEastAsia" w:eastAsiaTheme="minorEastAsia"/>
          <w:sz w:val="24"/>
        </w:rPr>
        <w:t>：____________________________</w:t>
      </w:r>
    </w:p>
    <w:p>
      <w:pPr>
        <w:pStyle w:val="41"/>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供应商(盖章)：</w:t>
      </w:r>
      <w:r>
        <w:rPr>
          <w:rFonts w:asciiTheme="minorEastAsia" w:hAnsiTheme="minorEastAsia" w:eastAsiaTheme="minorEastAsia"/>
          <w:sz w:val="24"/>
          <w:u w:val="single"/>
        </w:rPr>
        <w:tab/>
      </w:r>
      <w:r>
        <w:rPr>
          <w:rFonts w:asciiTheme="minorEastAsia" w:hAnsiTheme="minorEastAsia" w:eastAsiaTheme="minorEastAsia"/>
          <w:sz w:val="24"/>
          <w:u w:val="single"/>
        </w:rPr>
        <w:tab/>
      </w:r>
    </w:p>
    <w:p>
      <w:pPr>
        <w:pStyle w:val="41"/>
        <w:spacing w:line="360" w:lineRule="auto"/>
        <w:rPr>
          <w:rFonts w:asciiTheme="minorEastAsia" w:hAnsiTheme="minorEastAsia" w:eastAsiaTheme="minorEastAsia"/>
          <w:sz w:val="24"/>
          <w:u w:val="single"/>
        </w:rPr>
      </w:pPr>
      <w:r>
        <w:rPr>
          <w:rFonts w:asciiTheme="minorEastAsia" w:hAnsiTheme="minorEastAsia" w:eastAsiaTheme="minorEastAsia"/>
          <w:sz w:val="24"/>
          <w:u w:val="single"/>
        </w:rPr>
        <w:br w:type="page"/>
      </w:r>
    </w:p>
    <w:p>
      <w:pPr>
        <w:pStyle w:val="425"/>
        <w:numPr>
          <w:ilvl w:val="0"/>
          <w:numId w:val="17"/>
        </w:numPr>
        <w:ind w:left="851" w:hanging="851" w:firstLineChars="0"/>
        <w:jc w:val="left"/>
        <w:outlineLvl w:val="2"/>
        <w:rPr>
          <w:rFonts w:ascii="仿宋_GB2312" w:hAnsi="宋体" w:eastAsia="仿宋_GB2312"/>
          <w:b/>
          <w:sz w:val="24"/>
        </w:rPr>
      </w:pPr>
      <w:bookmarkStart w:id="615" w:name="_Toc31891"/>
      <w:bookmarkStart w:id="616" w:name="_Ref527015401"/>
      <w:bookmarkStart w:id="617" w:name="_Toc6444"/>
      <w:r>
        <w:rPr>
          <w:rFonts w:hint="eastAsia" w:ascii="仿宋_GB2312" w:hAnsi="宋体" w:eastAsia="仿宋_GB2312"/>
          <w:b/>
          <w:sz w:val="24"/>
        </w:rPr>
        <w:t>供应商控股股东名称、控股公司的名称和存在管理、被管理关系的单位名称说明</w:t>
      </w:r>
      <w:bookmarkEnd w:id="615"/>
      <w:bookmarkEnd w:id="616"/>
      <w:bookmarkEnd w:id="617"/>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致：（采购人）</w:t>
      </w:r>
    </w:p>
    <w:p>
      <w:pPr>
        <w:spacing w:line="360" w:lineRule="auto"/>
        <w:rPr>
          <w:rFonts w:ascii="宋体" w:hAnsi="宋体"/>
          <w:szCs w:val="21"/>
        </w:rPr>
      </w:pPr>
    </w:p>
    <w:p>
      <w:pPr>
        <w:ind w:firstLine="426"/>
        <w:rPr>
          <w:rFonts w:ascii="宋体" w:hAnsi="Courier New" w:cs="Courier New"/>
          <w:sz w:val="24"/>
        </w:rPr>
      </w:pPr>
      <w:r>
        <w:rPr>
          <w:rFonts w:hint="eastAsia" w:ascii="宋体" w:hAnsi="Courier New" w:cs="Courier New"/>
          <w:sz w:val="24"/>
        </w:rPr>
        <w:t>与我方的法定代表人（单位负责人）为同一人的企业如下：</w:t>
      </w:r>
    </w:p>
    <w:p>
      <w:pPr>
        <w:ind w:firstLine="426"/>
        <w:rPr>
          <w:rFonts w:ascii="宋体" w:hAnsi="Courier New" w:cs="Courier New"/>
          <w:sz w:val="24"/>
        </w:rPr>
      </w:pPr>
    </w:p>
    <w:p>
      <w:pPr>
        <w:ind w:firstLine="426"/>
        <w:rPr>
          <w:rFonts w:ascii="宋体" w:hAnsi="Courier New" w:cs="Courier New"/>
          <w:sz w:val="24"/>
        </w:rPr>
      </w:pPr>
      <w:r>
        <w:rPr>
          <w:rFonts w:hint="eastAsia" w:ascii="宋体" w:hAnsi="Courier New" w:cs="Courier New"/>
          <w:sz w:val="24"/>
        </w:rPr>
        <w:t>我方的控股股东如下：</w:t>
      </w:r>
    </w:p>
    <w:p>
      <w:pPr>
        <w:ind w:firstLine="426"/>
        <w:rPr>
          <w:rFonts w:ascii="宋体" w:hAnsi="Courier New" w:cs="Courier New"/>
          <w:sz w:val="24"/>
        </w:rPr>
      </w:pPr>
    </w:p>
    <w:p>
      <w:pPr>
        <w:ind w:firstLine="426"/>
        <w:rPr>
          <w:rFonts w:ascii="宋体" w:hAnsi="Courier New" w:cs="Courier New"/>
          <w:sz w:val="24"/>
        </w:rPr>
      </w:pPr>
      <w:r>
        <w:rPr>
          <w:rFonts w:hint="eastAsia" w:ascii="宋体" w:hAnsi="Courier New" w:cs="Courier New"/>
          <w:sz w:val="24"/>
        </w:rPr>
        <w:t>我方直接控股的企业如下：</w:t>
      </w:r>
    </w:p>
    <w:p>
      <w:pPr>
        <w:ind w:firstLine="426"/>
        <w:rPr>
          <w:rFonts w:ascii="宋体" w:hAnsi="Courier New" w:cs="Courier New"/>
          <w:sz w:val="24"/>
        </w:rPr>
      </w:pPr>
    </w:p>
    <w:p>
      <w:pPr>
        <w:ind w:firstLine="426"/>
        <w:rPr>
          <w:rFonts w:ascii="宋体" w:hAnsi="Courier New" w:cs="Courier New"/>
          <w:sz w:val="24"/>
        </w:rPr>
      </w:pPr>
      <w:r>
        <w:rPr>
          <w:rFonts w:hint="eastAsia" w:ascii="宋体" w:hAnsi="Courier New" w:cs="Courier New"/>
          <w:sz w:val="24"/>
        </w:rPr>
        <w:t>与我方存在管理、被管理关系的单位名称如下：</w:t>
      </w:r>
    </w:p>
    <w:p>
      <w:pPr>
        <w:ind w:firstLine="426"/>
        <w:rPr>
          <w:rFonts w:ascii="宋体" w:hAnsi="Courier New" w:cs="Courier New"/>
          <w:sz w:val="24"/>
        </w:rPr>
      </w:pPr>
    </w:p>
    <w:p>
      <w:pPr>
        <w:ind w:firstLine="426"/>
        <w:rPr>
          <w:rFonts w:ascii="宋体" w:hAnsi="宋体"/>
          <w:szCs w:val="21"/>
        </w:rPr>
      </w:pPr>
    </w:p>
    <w:p>
      <w:pPr>
        <w:ind w:firstLine="426"/>
        <w:rPr>
          <w:rFonts w:ascii="宋体" w:hAnsi="宋体"/>
          <w:szCs w:val="21"/>
        </w:rPr>
      </w:pPr>
    </w:p>
    <w:p>
      <w:pPr>
        <w:ind w:firstLine="426"/>
        <w:rPr>
          <w:rFonts w:ascii="宋体" w:hAnsi="宋体"/>
          <w:szCs w:val="21"/>
        </w:rPr>
      </w:pPr>
    </w:p>
    <w:p>
      <w:pPr>
        <w:ind w:firstLine="426"/>
        <w:rPr>
          <w:rFonts w:ascii="宋体" w:hAnsi="宋体"/>
          <w:szCs w:val="21"/>
        </w:rPr>
      </w:pPr>
    </w:p>
    <w:p>
      <w:pPr>
        <w:ind w:firstLine="426"/>
        <w:rPr>
          <w:rFonts w:ascii="宋体" w:hAnsi="宋体"/>
          <w:szCs w:val="21"/>
        </w:rPr>
      </w:pPr>
    </w:p>
    <w:p>
      <w:pPr>
        <w:ind w:firstLine="426"/>
        <w:rPr>
          <w:rFonts w:ascii="宋体" w:hAnsi="宋体"/>
          <w:szCs w:val="21"/>
        </w:rPr>
      </w:pPr>
    </w:p>
    <w:p>
      <w:pPr>
        <w:ind w:firstLine="426"/>
        <w:rPr>
          <w:rFonts w:ascii="宋体" w:hAnsi="宋体"/>
          <w:szCs w:val="21"/>
        </w:rPr>
      </w:pPr>
      <w:r>
        <w:rPr>
          <w:rFonts w:ascii="宋体" w:hAnsi="宋体"/>
          <w:szCs w:val="21"/>
        </w:rPr>
        <w:t xml:space="preserve">供应商名称（公章）： </w:t>
      </w:r>
    </w:p>
    <w:p>
      <w:pPr>
        <w:ind w:firstLine="420"/>
        <w:rPr>
          <w:rFonts w:ascii="宋体" w:hAnsi="宋体"/>
          <w:szCs w:val="21"/>
        </w:rPr>
      </w:pPr>
      <w:r>
        <w:rPr>
          <w:rFonts w:ascii="宋体" w:hAnsi="宋体"/>
          <w:szCs w:val="21"/>
        </w:rPr>
        <w:t>法定代表人或其授权代表（</w:t>
      </w:r>
      <w:r>
        <w:rPr>
          <w:rFonts w:hint="eastAsia" w:ascii="宋体" w:hAnsi="宋体"/>
          <w:szCs w:val="21"/>
        </w:rPr>
        <w:t>签字或加盖人名章</w:t>
      </w:r>
      <w:r>
        <w:rPr>
          <w:rFonts w:ascii="宋体" w:hAnsi="宋体"/>
          <w:szCs w:val="21"/>
        </w:rPr>
        <w:t>）：</w:t>
      </w:r>
    </w:p>
    <w:p>
      <w:pPr>
        <w:ind w:firstLine="420" w:firstLineChars="200"/>
        <w:rPr>
          <w:rFonts w:ascii="宋体" w:hAnsi="宋体"/>
          <w:szCs w:val="21"/>
        </w:rPr>
      </w:pPr>
      <w:r>
        <w:rPr>
          <w:rFonts w:ascii="宋体" w:hAnsi="宋体"/>
          <w:szCs w:val="21"/>
        </w:rPr>
        <w:t>日    期：     年   月    日</w:t>
      </w:r>
    </w:p>
    <w:p>
      <w:pPr>
        <w:ind w:firstLine="420" w:firstLineChars="200"/>
        <w:rPr>
          <w:rFonts w:ascii="宋体" w:hAnsi="宋体"/>
          <w:szCs w:val="21"/>
        </w:rPr>
      </w:pPr>
      <w:r>
        <w:rPr>
          <w:rFonts w:ascii="宋体" w:hAnsi="宋体"/>
          <w:szCs w:val="21"/>
        </w:rPr>
        <w:br w:type="page"/>
      </w:r>
    </w:p>
    <w:p>
      <w:pPr>
        <w:pStyle w:val="425"/>
        <w:numPr>
          <w:ilvl w:val="0"/>
          <w:numId w:val="17"/>
        </w:numPr>
        <w:ind w:left="851" w:hanging="851" w:firstLineChars="0"/>
        <w:jc w:val="left"/>
        <w:outlineLvl w:val="2"/>
        <w:rPr>
          <w:rFonts w:ascii="仿宋_GB2312" w:hAnsi="宋体" w:eastAsia="仿宋_GB2312"/>
          <w:b/>
          <w:sz w:val="24"/>
        </w:rPr>
      </w:pPr>
      <w:bookmarkStart w:id="618" w:name="_Toc21777"/>
      <w:bookmarkStart w:id="619" w:name="_Ref527015410"/>
      <w:bookmarkStart w:id="620" w:name="_Toc9706"/>
      <w:r>
        <w:rPr>
          <w:rFonts w:hint="eastAsia" w:ascii="仿宋_GB2312" w:hAnsi="宋体" w:eastAsia="仿宋_GB2312"/>
          <w:b/>
          <w:sz w:val="24"/>
        </w:rPr>
        <w:t>供应商是否属于为本项目提供整体设计、规范编制或者项目管理、监理、检测等服务的供应商声明</w:t>
      </w:r>
      <w:bookmarkEnd w:id="618"/>
      <w:bookmarkEnd w:id="619"/>
      <w:bookmarkEnd w:id="620"/>
    </w:p>
    <w:p>
      <w:pPr>
        <w:ind w:firstLine="420"/>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致：（采购人）</w:t>
      </w:r>
    </w:p>
    <w:p>
      <w:pPr>
        <w:ind w:firstLine="426"/>
        <w:rPr>
          <w:rFonts w:ascii="宋体" w:hAnsi="Courier New" w:cs="Courier New"/>
          <w:sz w:val="24"/>
        </w:rPr>
      </w:pPr>
      <w:r>
        <w:rPr>
          <w:rFonts w:hint="eastAsia" w:ascii="宋体" w:hAnsi="Courier New" w:cs="Courier New"/>
          <w:sz w:val="24"/>
        </w:rPr>
        <w:t xml:space="preserve">我方 </w:t>
      </w:r>
      <w:r>
        <w:rPr>
          <w:rFonts w:hint="eastAsia" w:ascii="宋体" w:hAnsi="Courier New" w:cs="Courier New"/>
          <w:i/>
          <w:iCs/>
          <w:sz w:val="24"/>
        </w:rPr>
        <w:t>属于</w:t>
      </w:r>
      <w:r>
        <w:rPr>
          <w:rFonts w:ascii="宋体" w:hAnsi="Courier New" w:cs="Courier New"/>
          <w:i/>
          <w:iCs/>
          <w:sz w:val="24"/>
        </w:rPr>
        <w:t>/</w:t>
      </w:r>
      <w:r>
        <w:rPr>
          <w:rFonts w:hint="eastAsia" w:ascii="宋体" w:hAnsi="Courier New" w:cs="Courier New"/>
          <w:i/>
          <w:iCs/>
          <w:sz w:val="24"/>
        </w:rPr>
        <w:t>不属于</w:t>
      </w:r>
      <w:r>
        <w:rPr>
          <w:rFonts w:hint="eastAsia" w:ascii="宋体" w:hAnsi="Courier New" w:cs="Courier New"/>
          <w:sz w:val="24"/>
        </w:rPr>
        <w:t xml:space="preserve"> 为本项目提供整体设计、规范编制或者项目管理、监理、检测等服务的供应商。</w:t>
      </w:r>
    </w:p>
    <w:p>
      <w:pPr>
        <w:ind w:firstLine="426"/>
        <w:rPr>
          <w:rFonts w:ascii="宋体" w:hAnsi="Courier New" w:cs="Courier New"/>
          <w:sz w:val="24"/>
        </w:rPr>
      </w:pPr>
    </w:p>
    <w:p>
      <w:pPr>
        <w:ind w:firstLine="426"/>
        <w:rPr>
          <w:rFonts w:ascii="宋体" w:hAnsi="宋体"/>
          <w:szCs w:val="21"/>
        </w:rPr>
      </w:pPr>
    </w:p>
    <w:p>
      <w:pPr>
        <w:ind w:firstLine="426"/>
        <w:rPr>
          <w:rFonts w:ascii="宋体" w:hAnsi="宋体"/>
          <w:szCs w:val="21"/>
        </w:rPr>
      </w:pPr>
      <w:r>
        <w:rPr>
          <w:rFonts w:ascii="宋体" w:hAnsi="宋体"/>
          <w:szCs w:val="21"/>
        </w:rPr>
        <w:t xml:space="preserve">供应商名称（公章）： </w:t>
      </w:r>
    </w:p>
    <w:p>
      <w:pPr>
        <w:ind w:firstLine="420"/>
        <w:rPr>
          <w:rFonts w:ascii="宋体" w:hAnsi="宋体"/>
          <w:szCs w:val="21"/>
        </w:rPr>
      </w:pPr>
      <w:r>
        <w:rPr>
          <w:rFonts w:ascii="宋体" w:hAnsi="宋体"/>
          <w:szCs w:val="21"/>
        </w:rPr>
        <w:t>法定代表人或其授权代表（</w:t>
      </w:r>
      <w:r>
        <w:rPr>
          <w:rFonts w:hint="eastAsia" w:ascii="宋体" w:hAnsi="宋体"/>
          <w:szCs w:val="21"/>
        </w:rPr>
        <w:t>签字或加盖人名章</w:t>
      </w:r>
      <w:r>
        <w:rPr>
          <w:rFonts w:ascii="宋体" w:hAnsi="宋体"/>
          <w:szCs w:val="21"/>
        </w:rPr>
        <w:t>）：</w:t>
      </w:r>
    </w:p>
    <w:p>
      <w:pPr>
        <w:ind w:firstLine="420" w:firstLineChars="200"/>
        <w:rPr>
          <w:rFonts w:ascii="宋体" w:hAnsi="宋体"/>
          <w:szCs w:val="21"/>
        </w:rPr>
      </w:pPr>
      <w:r>
        <w:rPr>
          <w:rFonts w:ascii="宋体" w:hAnsi="宋体"/>
          <w:szCs w:val="21"/>
        </w:rPr>
        <w:t>日    期：     年   月    日</w:t>
      </w:r>
    </w:p>
    <w:p>
      <w:pPr>
        <w:rPr>
          <w:rFonts w:ascii="宋体" w:hAnsi="宋体"/>
          <w:szCs w:val="21"/>
        </w:rPr>
      </w:pPr>
    </w:p>
    <w:p>
      <w:pPr>
        <w:widowControl/>
        <w:jc w:val="left"/>
        <w:rPr>
          <w:rFonts w:cs="Courier New" w:asciiTheme="minorEastAsia" w:hAnsiTheme="minorEastAsia" w:eastAsiaTheme="minorEastAsia"/>
          <w:sz w:val="24"/>
          <w:szCs w:val="21"/>
          <w:u w:val="single"/>
        </w:rPr>
      </w:pPr>
      <w:r>
        <w:rPr>
          <w:rFonts w:asciiTheme="minorEastAsia" w:hAnsiTheme="minorEastAsia" w:eastAsiaTheme="minorEastAsia"/>
          <w:sz w:val="24"/>
          <w:u w:val="single"/>
        </w:rPr>
        <w:br w:type="page"/>
      </w:r>
    </w:p>
    <w:p>
      <w:pPr>
        <w:pStyle w:val="425"/>
        <w:numPr>
          <w:ilvl w:val="0"/>
          <w:numId w:val="17"/>
        </w:numPr>
        <w:ind w:left="851" w:hanging="851" w:firstLineChars="0"/>
        <w:jc w:val="left"/>
        <w:outlineLvl w:val="2"/>
        <w:rPr>
          <w:rFonts w:ascii="仿宋_GB2312" w:hAnsi="宋体" w:eastAsia="仿宋_GB2312"/>
          <w:b/>
          <w:sz w:val="24"/>
        </w:rPr>
      </w:pPr>
      <w:bookmarkStart w:id="621" w:name="_Toc4198"/>
      <w:bookmarkStart w:id="622" w:name="_Toc25614"/>
      <w:bookmarkStart w:id="623" w:name="_Ref527015434"/>
      <w:r>
        <w:rPr>
          <w:rFonts w:hint="eastAsia" w:ascii="仿宋_GB2312" w:hAnsi="宋体" w:eastAsia="仿宋_GB2312"/>
          <w:b/>
          <w:sz w:val="24"/>
        </w:rPr>
        <w:t>特定资格条件的证明材料</w:t>
      </w:r>
      <w:bookmarkEnd w:id="621"/>
      <w:bookmarkEnd w:id="622"/>
      <w:bookmarkEnd w:id="623"/>
    </w:p>
    <w:p>
      <w:pPr>
        <w:numPr>
          <w:ilvl w:val="255"/>
          <w:numId w:val="0"/>
        </w:numPr>
        <w:tabs>
          <w:tab w:val="left" w:pos="993"/>
          <w:tab w:val="left" w:pos="1030"/>
          <w:tab w:val="left" w:pos="8364"/>
        </w:tabs>
        <w:snapToGrid w:val="0"/>
        <w:spacing w:afterLines="50"/>
        <w:ind w:right="-57" w:rightChars="-27"/>
        <w:jc w:val="left"/>
        <w:rPr>
          <w:rFonts w:ascii="宋体" w:hAnsi="宋体"/>
          <w:sz w:val="24"/>
        </w:rPr>
      </w:pPr>
    </w:p>
    <w:p>
      <w:pPr>
        <w:jc w:val="center"/>
      </w:pPr>
      <w:r>
        <w:rPr>
          <w:b/>
          <w:sz w:val="24"/>
        </w:rPr>
        <w:t>（一）供应商基本情况表</w:t>
      </w:r>
    </w:p>
    <w:tbl>
      <w:tblPr>
        <w:tblStyle w:val="88"/>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供应商名称</w:t>
            </w:r>
          </w:p>
        </w:tc>
        <w:tc>
          <w:tcPr>
            <w:tcW w:w="7020"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注册地址</w:t>
            </w:r>
          </w:p>
        </w:tc>
        <w:tc>
          <w:tcPr>
            <w:tcW w:w="3389" w:type="dxa"/>
            <w:gridSpan w:val="5"/>
            <w:vAlign w:val="center"/>
          </w:tcPr>
          <w:p>
            <w:pPr>
              <w:jc w:val="center"/>
              <w:rPr>
                <w:rFonts w:ascii="宋体" w:hAnsi="宋体"/>
                <w:szCs w:val="21"/>
              </w:rPr>
            </w:pPr>
          </w:p>
        </w:tc>
        <w:tc>
          <w:tcPr>
            <w:tcW w:w="1246" w:type="dxa"/>
            <w:vAlign w:val="center"/>
          </w:tcPr>
          <w:p>
            <w:pPr>
              <w:jc w:val="center"/>
              <w:rPr>
                <w:rFonts w:ascii="宋体" w:hAnsi="宋体"/>
                <w:szCs w:val="21"/>
              </w:rPr>
            </w:pPr>
            <w:r>
              <w:rPr>
                <w:rFonts w:hint="eastAsia" w:ascii="宋体" w:hAnsi="宋体"/>
                <w:szCs w:val="21"/>
              </w:rPr>
              <w:t>邮政编码</w:t>
            </w:r>
          </w:p>
        </w:tc>
        <w:tc>
          <w:tcPr>
            <w:tcW w:w="2385"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Merge w:val="restart"/>
            <w:vAlign w:val="center"/>
          </w:tcPr>
          <w:p>
            <w:pPr>
              <w:jc w:val="center"/>
              <w:rPr>
                <w:rFonts w:ascii="宋体" w:hAnsi="宋体"/>
                <w:szCs w:val="21"/>
              </w:rPr>
            </w:pPr>
            <w:r>
              <w:rPr>
                <w:rFonts w:hint="eastAsia" w:ascii="宋体" w:hAnsi="宋体"/>
                <w:szCs w:val="21"/>
              </w:rPr>
              <w:t>联系方式</w:t>
            </w:r>
          </w:p>
        </w:tc>
        <w:tc>
          <w:tcPr>
            <w:tcW w:w="897" w:type="dxa"/>
            <w:vAlign w:val="center"/>
          </w:tcPr>
          <w:p>
            <w:pPr>
              <w:jc w:val="center"/>
              <w:rPr>
                <w:rFonts w:ascii="宋体" w:hAnsi="宋体"/>
                <w:szCs w:val="21"/>
              </w:rPr>
            </w:pPr>
            <w:r>
              <w:rPr>
                <w:rFonts w:hint="eastAsia" w:ascii="宋体" w:hAnsi="宋体"/>
                <w:szCs w:val="21"/>
              </w:rPr>
              <w:t>联系人</w:t>
            </w:r>
          </w:p>
        </w:tc>
        <w:tc>
          <w:tcPr>
            <w:tcW w:w="2492" w:type="dxa"/>
            <w:gridSpan w:val="4"/>
            <w:vAlign w:val="center"/>
          </w:tcPr>
          <w:p>
            <w:pPr>
              <w:jc w:val="center"/>
              <w:rPr>
                <w:rFonts w:ascii="宋体" w:hAnsi="宋体"/>
                <w:szCs w:val="21"/>
              </w:rPr>
            </w:pPr>
          </w:p>
        </w:tc>
        <w:tc>
          <w:tcPr>
            <w:tcW w:w="1246" w:type="dxa"/>
            <w:vAlign w:val="center"/>
          </w:tcPr>
          <w:p>
            <w:pPr>
              <w:jc w:val="center"/>
              <w:rPr>
                <w:rFonts w:ascii="宋体" w:hAnsi="宋体"/>
                <w:szCs w:val="21"/>
              </w:rPr>
            </w:pPr>
            <w:r>
              <w:rPr>
                <w:rFonts w:hint="eastAsia" w:ascii="宋体" w:hAnsi="宋体"/>
                <w:szCs w:val="21"/>
              </w:rPr>
              <w:t>电  话</w:t>
            </w:r>
          </w:p>
        </w:tc>
        <w:tc>
          <w:tcPr>
            <w:tcW w:w="2385"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Merge w:val="continue"/>
            <w:vAlign w:val="center"/>
          </w:tcPr>
          <w:p>
            <w:pPr>
              <w:jc w:val="center"/>
              <w:rPr>
                <w:rFonts w:ascii="宋体" w:hAnsi="宋体"/>
                <w:szCs w:val="21"/>
              </w:rPr>
            </w:pPr>
          </w:p>
        </w:tc>
        <w:tc>
          <w:tcPr>
            <w:tcW w:w="897" w:type="dxa"/>
            <w:vAlign w:val="center"/>
          </w:tcPr>
          <w:p>
            <w:pPr>
              <w:jc w:val="center"/>
              <w:rPr>
                <w:rFonts w:ascii="宋体" w:hAnsi="宋体"/>
                <w:szCs w:val="21"/>
              </w:rPr>
            </w:pPr>
            <w:r>
              <w:rPr>
                <w:rFonts w:hint="eastAsia" w:ascii="宋体" w:hAnsi="宋体"/>
                <w:szCs w:val="21"/>
              </w:rPr>
              <w:t>传  真</w:t>
            </w:r>
          </w:p>
        </w:tc>
        <w:tc>
          <w:tcPr>
            <w:tcW w:w="2492" w:type="dxa"/>
            <w:gridSpan w:val="4"/>
            <w:vAlign w:val="center"/>
          </w:tcPr>
          <w:p>
            <w:pPr>
              <w:jc w:val="center"/>
              <w:rPr>
                <w:rFonts w:ascii="宋体" w:hAnsi="宋体"/>
                <w:szCs w:val="21"/>
              </w:rPr>
            </w:pPr>
          </w:p>
        </w:tc>
        <w:tc>
          <w:tcPr>
            <w:tcW w:w="1246" w:type="dxa"/>
            <w:vAlign w:val="center"/>
          </w:tcPr>
          <w:p>
            <w:pPr>
              <w:jc w:val="center"/>
              <w:rPr>
                <w:rFonts w:ascii="宋体" w:hAnsi="宋体"/>
                <w:szCs w:val="21"/>
              </w:rPr>
            </w:pPr>
            <w:r>
              <w:rPr>
                <w:rFonts w:hint="eastAsia" w:ascii="宋体" w:hAnsi="宋体"/>
                <w:szCs w:val="21"/>
              </w:rPr>
              <w:t>网  址</w:t>
            </w:r>
          </w:p>
        </w:tc>
        <w:tc>
          <w:tcPr>
            <w:tcW w:w="2385"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统一社会信用代码</w:t>
            </w:r>
          </w:p>
        </w:tc>
        <w:tc>
          <w:tcPr>
            <w:tcW w:w="7020"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法定代表人</w:t>
            </w:r>
          </w:p>
        </w:tc>
        <w:tc>
          <w:tcPr>
            <w:tcW w:w="897" w:type="dxa"/>
            <w:vAlign w:val="center"/>
          </w:tcPr>
          <w:p>
            <w:pPr>
              <w:jc w:val="center"/>
              <w:rPr>
                <w:rFonts w:ascii="宋体" w:hAnsi="宋体"/>
                <w:szCs w:val="21"/>
              </w:rPr>
            </w:pPr>
            <w:r>
              <w:rPr>
                <w:rFonts w:hint="eastAsia" w:ascii="宋体" w:hAnsi="宋体"/>
                <w:szCs w:val="21"/>
              </w:rPr>
              <w:t>姓名</w:t>
            </w:r>
          </w:p>
        </w:tc>
        <w:tc>
          <w:tcPr>
            <w:tcW w:w="1021" w:type="dxa"/>
            <w:vAlign w:val="center"/>
          </w:tcPr>
          <w:p>
            <w:pPr>
              <w:jc w:val="center"/>
              <w:rPr>
                <w:rFonts w:ascii="宋体" w:hAnsi="宋体"/>
                <w:szCs w:val="21"/>
              </w:rPr>
            </w:pPr>
          </w:p>
        </w:tc>
        <w:tc>
          <w:tcPr>
            <w:tcW w:w="1276" w:type="dxa"/>
            <w:gridSpan w:val="2"/>
            <w:vAlign w:val="center"/>
          </w:tcPr>
          <w:p>
            <w:pPr>
              <w:jc w:val="center"/>
              <w:rPr>
                <w:rFonts w:ascii="宋体" w:hAnsi="宋体"/>
                <w:szCs w:val="21"/>
              </w:rPr>
            </w:pPr>
            <w:r>
              <w:rPr>
                <w:rFonts w:hint="eastAsia" w:ascii="宋体" w:hAnsi="宋体"/>
                <w:szCs w:val="21"/>
              </w:rPr>
              <w:t>技术职称</w:t>
            </w:r>
          </w:p>
        </w:tc>
        <w:tc>
          <w:tcPr>
            <w:tcW w:w="1701" w:type="dxa"/>
            <w:gridSpan w:val="3"/>
            <w:vAlign w:val="center"/>
          </w:tcPr>
          <w:p>
            <w:pPr>
              <w:jc w:val="center"/>
              <w:rPr>
                <w:rFonts w:ascii="宋体" w:hAnsi="宋体"/>
                <w:szCs w:val="21"/>
              </w:rPr>
            </w:pPr>
          </w:p>
        </w:tc>
        <w:tc>
          <w:tcPr>
            <w:tcW w:w="709" w:type="dxa"/>
            <w:vAlign w:val="center"/>
          </w:tcPr>
          <w:p>
            <w:pPr>
              <w:jc w:val="center"/>
              <w:rPr>
                <w:rFonts w:ascii="宋体" w:hAnsi="宋体"/>
                <w:szCs w:val="21"/>
              </w:rPr>
            </w:pPr>
            <w:r>
              <w:rPr>
                <w:rFonts w:hint="eastAsia" w:ascii="宋体" w:hAnsi="宋体"/>
                <w:szCs w:val="21"/>
              </w:rPr>
              <w:t>电话</w:t>
            </w:r>
          </w:p>
        </w:tc>
        <w:tc>
          <w:tcPr>
            <w:tcW w:w="14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技术负责人</w:t>
            </w:r>
          </w:p>
        </w:tc>
        <w:tc>
          <w:tcPr>
            <w:tcW w:w="897" w:type="dxa"/>
            <w:vAlign w:val="center"/>
          </w:tcPr>
          <w:p>
            <w:pPr>
              <w:jc w:val="center"/>
              <w:rPr>
                <w:rFonts w:ascii="宋体" w:hAnsi="宋体"/>
                <w:szCs w:val="21"/>
              </w:rPr>
            </w:pPr>
            <w:r>
              <w:rPr>
                <w:rFonts w:hint="eastAsia" w:ascii="宋体" w:hAnsi="宋体"/>
                <w:szCs w:val="21"/>
              </w:rPr>
              <w:t>姓名</w:t>
            </w:r>
          </w:p>
        </w:tc>
        <w:tc>
          <w:tcPr>
            <w:tcW w:w="1021" w:type="dxa"/>
            <w:vAlign w:val="center"/>
          </w:tcPr>
          <w:p>
            <w:pPr>
              <w:jc w:val="center"/>
              <w:rPr>
                <w:rFonts w:ascii="宋体" w:hAnsi="宋体"/>
                <w:szCs w:val="21"/>
              </w:rPr>
            </w:pPr>
          </w:p>
        </w:tc>
        <w:tc>
          <w:tcPr>
            <w:tcW w:w="1276" w:type="dxa"/>
            <w:gridSpan w:val="2"/>
            <w:vAlign w:val="center"/>
          </w:tcPr>
          <w:p>
            <w:pPr>
              <w:jc w:val="center"/>
              <w:rPr>
                <w:rFonts w:ascii="宋体" w:hAnsi="宋体"/>
                <w:szCs w:val="21"/>
              </w:rPr>
            </w:pPr>
            <w:r>
              <w:rPr>
                <w:rFonts w:hint="eastAsia" w:ascii="宋体" w:hAnsi="宋体"/>
                <w:szCs w:val="21"/>
              </w:rPr>
              <w:t>技术职称</w:t>
            </w:r>
          </w:p>
        </w:tc>
        <w:tc>
          <w:tcPr>
            <w:tcW w:w="1701" w:type="dxa"/>
            <w:gridSpan w:val="3"/>
            <w:vAlign w:val="center"/>
          </w:tcPr>
          <w:p>
            <w:pPr>
              <w:jc w:val="center"/>
              <w:rPr>
                <w:rFonts w:ascii="宋体" w:hAnsi="宋体"/>
                <w:szCs w:val="21"/>
              </w:rPr>
            </w:pPr>
          </w:p>
        </w:tc>
        <w:tc>
          <w:tcPr>
            <w:tcW w:w="709" w:type="dxa"/>
            <w:vAlign w:val="center"/>
          </w:tcPr>
          <w:p>
            <w:pPr>
              <w:jc w:val="center"/>
              <w:rPr>
                <w:rFonts w:ascii="宋体" w:hAnsi="宋体"/>
                <w:szCs w:val="21"/>
              </w:rPr>
            </w:pPr>
            <w:r>
              <w:rPr>
                <w:rFonts w:hint="eastAsia" w:ascii="宋体" w:hAnsi="宋体"/>
                <w:szCs w:val="21"/>
              </w:rPr>
              <w:t>电话</w:t>
            </w:r>
          </w:p>
        </w:tc>
        <w:tc>
          <w:tcPr>
            <w:tcW w:w="14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成立时间</w:t>
            </w:r>
          </w:p>
        </w:tc>
        <w:tc>
          <w:tcPr>
            <w:tcW w:w="1918" w:type="dxa"/>
            <w:gridSpan w:val="2"/>
            <w:vAlign w:val="center"/>
          </w:tcPr>
          <w:p>
            <w:pPr>
              <w:jc w:val="center"/>
              <w:rPr>
                <w:rFonts w:ascii="宋体" w:hAnsi="宋体"/>
                <w:szCs w:val="21"/>
              </w:rPr>
            </w:pPr>
          </w:p>
        </w:tc>
        <w:tc>
          <w:tcPr>
            <w:tcW w:w="5102" w:type="dxa"/>
            <w:gridSpan w:val="7"/>
            <w:vAlign w:val="center"/>
          </w:tcPr>
          <w:p>
            <w:pPr>
              <w:jc w:val="left"/>
              <w:rPr>
                <w:rFonts w:ascii="宋体" w:hAnsi="宋体"/>
                <w:szCs w:val="21"/>
              </w:rPr>
            </w:pPr>
            <w:r>
              <w:rPr>
                <w:rFonts w:hint="eastAsia" w:ascii="宋体" w:hAnsi="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企业资质等级</w:t>
            </w:r>
          </w:p>
        </w:tc>
        <w:tc>
          <w:tcPr>
            <w:tcW w:w="897"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993" w:type="dxa"/>
            <w:vMerge w:val="restart"/>
            <w:vAlign w:val="center"/>
          </w:tcPr>
          <w:p>
            <w:pPr>
              <w:jc w:val="center"/>
              <w:rPr>
                <w:rFonts w:ascii="宋体" w:hAnsi="宋体"/>
                <w:szCs w:val="21"/>
              </w:rPr>
            </w:pPr>
            <w:r>
              <w:rPr>
                <w:rFonts w:hint="eastAsia" w:ascii="宋体" w:hAnsi="宋体"/>
                <w:szCs w:val="21"/>
              </w:rPr>
              <w:t>其中</w:t>
            </w:r>
          </w:p>
        </w:tc>
        <w:tc>
          <w:tcPr>
            <w:tcW w:w="1984" w:type="dxa"/>
            <w:gridSpan w:val="4"/>
            <w:vAlign w:val="center"/>
          </w:tcPr>
          <w:p>
            <w:pPr>
              <w:jc w:val="left"/>
              <w:rPr>
                <w:rFonts w:ascii="宋体" w:hAnsi="宋体"/>
                <w:szCs w:val="21"/>
              </w:rPr>
            </w:pPr>
            <w:r>
              <w:rPr>
                <w:rFonts w:hint="eastAsia" w:ascii="宋体" w:hAnsi="宋体"/>
                <w:szCs w:val="21"/>
              </w:rPr>
              <w:t>项目经理</w:t>
            </w:r>
          </w:p>
        </w:tc>
        <w:tc>
          <w:tcPr>
            <w:tcW w:w="212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营业执照号</w:t>
            </w:r>
          </w:p>
        </w:tc>
        <w:tc>
          <w:tcPr>
            <w:tcW w:w="897"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993" w:type="dxa"/>
            <w:vMerge w:val="continue"/>
            <w:vAlign w:val="center"/>
          </w:tcPr>
          <w:p>
            <w:pPr>
              <w:jc w:val="center"/>
              <w:rPr>
                <w:rFonts w:ascii="宋体" w:hAnsi="宋体"/>
                <w:szCs w:val="21"/>
              </w:rPr>
            </w:pPr>
          </w:p>
        </w:tc>
        <w:tc>
          <w:tcPr>
            <w:tcW w:w="1984" w:type="dxa"/>
            <w:gridSpan w:val="4"/>
            <w:vAlign w:val="center"/>
          </w:tcPr>
          <w:p>
            <w:pPr>
              <w:jc w:val="left"/>
              <w:rPr>
                <w:rFonts w:ascii="宋体" w:hAnsi="宋体"/>
                <w:szCs w:val="21"/>
              </w:rPr>
            </w:pPr>
            <w:r>
              <w:rPr>
                <w:rFonts w:hint="eastAsia" w:ascii="宋体" w:hAnsi="宋体"/>
                <w:szCs w:val="21"/>
              </w:rPr>
              <w:t>高级职称人员</w:t>
            </w:r>
          </w:p>
        </w:tc>
        <w:tc>
          <w:tcPr>
            <w:tcW w:w="212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注册资金</w:t>
            </w:r>
          </w:p>
        </w:tc>
        <w:tc>
          <w:tcPr>
            <w:tcW w:w="897"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993" w:type="dxa"/>
            <w:vMerge w:val="continue"/>
            <w:vAlign w:val="center"/>
          </w:tcPr>
          <w:p>
            <w:pPr>
              <w:jc w:val="center"/>
              <w:rPr>
                <w:rFonts w:ascii="宋体" w:hAnsi="宋体"/>
                <w:szCs w:val="21"/>
              </w:rPr>
            </w:pPr>
          </w:p>
        </w:tc>
        <w:tc>
          <w:tcPr>
            <w:tcW w:w="1984" w:type="dxa"/>
            <w:gridSpan w:val="4"/>
            <w:vAlign w:val="center"/>
          </w:tcPr>
          <w:p>
            <w:pPr>
              <w:jc w:val="left"/>
              <w:rPr>
                <w:rFonts w:ascii="宋体" w:hAnsi="宋体"/>
                <w:szCs w:val="21"/>
              </w:rPr>
            </w:pPr>
            <w:r>
              <w:rPr>
                <w:rFonts w:hint="eastAsia" w:ascii="宋体" w:hAnsi="宋体"/>
                <w:szCs w:val="21"/>
              </w:rPr>
              <w:t>中级职称人员</w:t>
            </w:r>
          </w:p>
        </w:tc>
        <w:tc>
          <w:tcPr>
            <w:tcW w:w="212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开户银行</w:t>
            </w:r>
          </w:p>
        </w:tc>
        <w:tc>
          <w:tcPr>
            <w:tcW w:w="897"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993" w:type="dxa"/>
            <w:vMerge w:val="continue"/>
            <w:vAlign w:val="center"/>
          </w:tcPr>
          <w:p>
            <w:pPr>
              <w:jc w:val="center"/>
              <w:rPr>
                <w:rFonts w:ascii="宋体" w:hAnsi="宋体"/>
                <w:szCs w:val="21"/>
              </w:rPr>
            </w:pPr>
          </w:p>
        </w:tc>
        <w:tc>
          <w:tcPr>
            <w:tcW w:w="1984" w:type="dxa"/>
            <w:gridSpan w:val="4"/>
            <w:vAlign w:val="center"/>
          </w:tcPr>
          <w:p>
            <w:pPr>
              <w:jc w:val="left"/>
              <w:rPr>
                <w:rFonts w:ascii="宋体" w:hAnsi="宋体"/>
                <w:szCs w:val="21"/>
              </w:rPr>
            </w:pPr>
            <w:r>
              <w:rPr>
                <w:rFonts w:hint="eastAsia" w:ascii="宋体" w:hAnsi="宋体"/>
                <w:szCs w:val="21"/>
              </w:rPr>
              <w:t>初级职称人员</w:t>
            </w:r>
          </w:p>
        </w:tc>
        <w:tc>
          <w:tcPr>
            <w:tcW w:w="212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账号</w:t>
            </w:r>
          </w:p>
        </w:tc>
        <w:tc>
          <w:tcPr>
            <w:tcW w:w="897"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993" w:type="dxa"/>
            <w:vMerge w:val="continue"/>
            <w:vAlign w:val="center"/>
          </w:tcPr>
          <w:p>
            <w:pPr>
              <w:jc w:val="center"/>
              <w:rPr>
                <w:rFonts w:ascii="宋体" w:hAnsi="宋体"/>
                <w:szCs w:val="21"/>
              </w:rPr>
            </w:pPr>
          </w:p>
        </w:tc>
        <w:tc>
          <w:tcPr>
            <w:tcW w:w="1984" w:type="dxa"/>
            <w:gridSpan w:val="4"/>
            <w:vAlign w:val="center"/>
          </w:tcPr>
          <w:p>
            <w:pPr>
              <w:jc w:val="left"/>
              <w:rPr>
                <w:rFonts w:ascii="宋体" w:hAnsi="宋体"/>
                <w:szCs w:val="21"/>
              </w:rPr>
            </w:pPr>
            <w:r>
              <w:rPr>
                <w:rFonts w:hint="eastAsia" w:ascii="宋体" w:hAnsi="宋体"/>
                <w:szCs w:val="21"/>
              </w:rPr>
              <w:t>技  工</w:t>
            </w:r>
          </w:p>
        </w:tc>
        <w:tc>
          <w:tcPr>
            <w:tcW w:w="212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0" w:hRule="atLeast"/>
          <w:jc w:val="center"/>
        </w:trPr>
        <w:tc>
          <w:tcPr>
            <w:tcW w:w="1485" w:type="dxa"/>
            <w:vAlign w:val="center"/>
          </w:tcPr>
          <w:p>
            <w:pPr>
              <w:jc w:val="center"/>
              <w:rPr>
                <w:rFonts w:ascii="宋体" w:hAnsi="宋体"/>
                <w:szCs w:val="21"/>
              </w:rPr>
            </w:pPr>
            <w:r>
              <w:rPr>
                <w:rFonts w:hint="eastAsia" w:ascii="宋体" w:hAnsi="宋体"/>
                <w:szCs w:val="21"/>
              </w:rPr>
              <w:t>经营范围</w:t>
            </w:r>
          </w:p>
        </w:tc>
        <w:tc>
          <w:tcPr>
            <w:tcW w:w="7020"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备注</w:t>
            </w:r>
          </w:p>
        </w:tc>
        <w:tc>
          <w:tcPr>
            <w:tcW w:w="7020" w:type="dxa"/>
            <w:gridSpan w:val="9"/>
            <w:vAlign w:val="center"/>
          </w:tcPr>
          <w:p>
            <w:pPr>
              <w:jc w:val="center"/>
              <w:rPr>
                <w:rFonts w:ascii="宋体" w:hAnsi="宋体"/>
                <w:szCs w:val="21"/>
              </w:rPr>
            </w:pPr>
          </w:p>
        </w:tc>
      </w:tr>
    </w:tbl>
    <w:p>
      <w:pPr>
        <w:spacing w:line="440" w:lineRule="exact"/>
        <w:rPr>
          <w:rFonts w:ascii="宋体" w:hAnsi="宋体"/>
          <w:szCs w:val="21"/>
        </w:rPr>
      </w:pPr>
      <w:r>
        <w:rPr>
          <w:rFonts w:hint="eastAsia" w:ascii="黑体" w:hAnsi="宋体" w:eastAsia="黑体"/>
          <w:szCs w:val="21"/>
        </w:rPr>
        <w:t>备注：</w:t>
      </w:r>
      <w:r>
        <w:rPr>
          <w:rFonts w:hint="eastAsia" w:ascii="宋体" w:hAnsi="宋体"/>
          <w:szCs w:val="21"/>
        </w:rPr>
        <w:t>本表后应附企业法人营业执照、企业资质证书副本、安全生产许可证等材料的复印件（加盖公章）。</w:t>
      </w:r>
    </w:p>
    <w:p>
      <w:pPr>
        <w:spacing w:beforeLines="50" w:line="340" w:lineRule="exact"/>
        <w:ind w:left="-103" w:leftChars="-49" w:firstLine="539" w:firstLineChars="257"/>
      </w:pPr>
      <w:r>
        <w:rPr>
          <w:rFonts w:hint="eastAsia"/>
        </w:rPr>
        <w:t>供应商：（公章）</w:t>
      </w:r>
    </w:p>
    <w:p>
      <w:pPr>
        <w:spacing w:beforeLines="50" w:line="340" w:lineRule="exact"/>
        <w:ind w:left="460" w:leftChars="219"/>
      </w:pPr>
      <w:r>
        <w:t>法定代表人或其授权代表：（</w:t>
      </w:r>
      <w:r>
        <w:rPr>
          <w:rFonts w:hint="eastAsia"/>
        </w:rPr>
        <w:t>签字或加盖人名章</w:t>
      </w:r>
      <w:r>
        <w:t>）</w:t>
      </w:r>
    </w:p>
    <w:p>
      <w:pPr>
        <w:spacing w:beforeLines="50" w:line="340" w:lineRule="exact"/>
        <w:ind w:left="460" w:leftChars="219"/>
      </w:pPr>
      <w:r>
        <w:t>日期：</w:t>
      </w:r>
      <w:bookmarkStart w:id="624" w:name="_Toc414445769"/>
      <w:bookmarkStart w:id="625" w:name="_Toc416103819"/>
      <w:bookmarkStart w:id="626" w:name="_Toc410631178"/>
    </w:p>
    <w:p>
      <w:pPr>
        <w:widowControl/>
        <w:jc w:val="left"/>
      </w:pPr>
      <w:r>
        <w:br w:type="page"/>
      </w:r>
    </w:p>
    <w:p>
      <w:pPr>
        <w:spacing w:beforeLines="50" w:line="440" w:lineRule="exact"/>
        <w:ind w:left="460" w:leftChars="219"/>
      </w:pPr>
    </w:p>
    <w:p>
      <w:pPr>
        <w:jc w:val="center"/>
        <w:rPr>
          <w:b/>
          <w:sz w:val="24"/>
        </w:rPr>
      </w:pPr>
      <w:r>
        <w:rPr>
          <w:rFonts w:hint="eastAsia"/>
          <w:b/>
          <w:sz w:val="24"/>
        </w:rPr>
        <w:t>（二）近年完成的类似项目情况表</w:t>
      </w:r>
    </w:p>
    <w:tbl>
      <w:tblPr>
        <w:tblStyle w:val="88"/>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项目名称</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项目所在地</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发包人名称</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发包人地址</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发包人联系人及电话</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合同价格</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开工日期</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竣工日期</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承担的工作</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工程质量</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项目经理</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技术负责人</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总监理工程师及电话</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8" w:hRule="atLeast"/>
          <w:jc w:val="center"/>
        </w:trPr>
        <w:tc>
          <w:tcPr>
            <w:tcW w:w="2411" w:type="dxa"/>
            <w:vAlign w:val="center"/>
          </w:tcPr>
          <w:p>
            <w:pPr>
              <w:jc w:val="center"/>
              <w:rPr>
                <w:rFonts w:ascii="宋体" w:hAnsi="宋体"/>
                <w:szCs w:val="21"/>
              </w:rPr>
            </w:pPr>
            <w:r>
              <w:rPr>
                <w:rFonts w:hint="eastAsia" w:ascii="宋体" w:hAnsi="宋体"/>
                <w:szCs w:val="21"/>
              </w:rPr>
              <w:t>项目描述</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备注</w:t>
            </w:r>
          </w:p>
        </w:tc>
        <w:tc>
          <w:tcPr>
            <w:tcW w:w="6094" w:type="dxa"/>
            <w:vAlign w:val="center"/>
          </w:tcPr>
          <w:p>
            <w:pPr>
              <w:jc w:val="center"/>
              <w:rPr>
                <w:rFonts w:ascii="宋体" w:hAnsi="宋体"/>
                <w:szCs w:val="21"/>
              </w:rPr>
            </w:pPr>
          </w:p>
        </w:tc>
      </w:tr>
    </w:tbl>
    <w:p>
      <w:pPr>
        <w:spacing w:line="440" w:lineRule="exact"/>
        <w:ind w:left="630" w:hanging="630" w:hangingChars="300"/>
        <w:rPr>
          <w:rFonts w:ascii="宋体" w:hAnsi="宋体"/>
          <w:iCs/>
          <w:szCs w:val="21"/>
        </w:rPr>
      </w:pPr>
      <w:r>
        <w:rPr>
          <w:rFonts w:hint="eastAsia" w:ascii="黑体" w:hAnsi="宋体" w:eastAsia="黑体"/>
          <w:szCs w:val="21"/>
        </w:rPr>
        <w:t>备注：</w:t>
      </w:r>
      <w:r>
        <w:rPr>
          <w:rFonts w:hint="eastAsia" w:ascii="宋体" w:hAnsi="宋体"/>
          <w:szCs w:val="21"/>
        </w:rPr>
        <w:t>1、类似项目指</w:t>
      </w:r>
      <w:r>
        <w:rPr>
          <w:rFonts w:hint="eastAsia" w:ascii="宋体" w:hAnsi="宋体"/>
          <w:szCs w:val="21"/>
          <w:u w:val="single"/>
        </w:rPr>
        <w:t>与本次采购项目结构类似且工程造价不低于本次采购预算或最高限价的</w:t>
      </w:r>
      <w:r>
        <w:rPr>
          <w:rFonts w:hint="eastAsia" w:ascii="宋体" w:hAnsi="宋体"/>
          <w:iCs/>
          <w:szCs w:val="21"/>
          <w:u w:val="single"/>
        </w:rPr>
        <w:t>（市政公用工程</w:t>
      </w:r>
      <w:r>
        <w:rPr>
          <w:rFonts w:hint="eastAsia" w:ascii="宋体" w:hAnsi="宋体"/>
          <w:iCs/>
          <w:szCs w:val="21"/>
        </w:rPr>
        <w:t>。</w:t>
      </w:r>
    </w:p>
    <w:p>
      <w:pPr>
        <w:spacing w:line="440" w:lineRule="exact"/>
        <w:ind w:left="630" w:leftChars="300"/>
        <w:rPr>
          <w:rFonts w:ascii="宋体" w:hAnsi="宋体"/>
          <w:szCs w:val="21"/>
        </w:rPr>
      </w:pPr>
      <w:r>
        <w:rPr>
          <w:rFonts w:hint="eastAsia" w:ascii="宋体" w:hAnsi="宋体"/>
          <w:szCs w:val="21"/>
        </w:rPr>
        <w:t>2、本表后附中标（成交）通知书和（或）合同协议书、工程接收证书（工程竣工验收证书）的复印件，具体年份要求见谈判公告。每张表格只填写一个项目，并标明序号。</w:t>
      </w:r>
    </w:p>
    <w:p>
      <w:pPr>
        <w:spacing w:line="440" w:lineRule="exact"/>
        <w:ind w:left="630" w:leftChars="300"/>
        <w:rPr>
          <w:b/>
          <w:sz w:val="24"/>
        </w:rPr>
      </w:pPr>
      <w:r>
        <w:rPr>
          <w:b/>
          <w:sz w:val="24"/>
        </w:rPr>
        <w:br w:type="page"/>
      </w:r>
    </w:p>
    <w:bookmarkEnd w:id="624"/>
    <w:bookmarkEnd w:id="625"/>
    <w:bookmarkEnd w:id="626"/>
    <w:p>
      <w:pPr>
        <w:spacing w:line="420" w:lineRule="exact"/>
        <w:jc w:val="center"/>
        <w:rPr>
          <w:rFonts w:ascii="黑体" w:hAnsi="宋体" w:eastAsia="黑体"/>
          <w:sz w:val="24"/>
        </w:rPr>
      </w:pPr>
      <w:r>
        <w:rPr>
          <w:rFonts w:hint="eastAsia" w:ascii="黑体" w:hAnsi="宋体" w:eastAsia="黑体"/>
          <w:sz w:val="24"/>
        </w:rPr>
        <w:t>（三）项目经理简历表</w:t>
      </w:r>
    </w:p>
    <w:p>
      <w:pPr>
        <w:spacing w:line="420" w:lineRule="exact"/>
        <w:rPr>
          <w:rFonts w:ascii="宋体" w:hAnsi="宋体"/>
          <w:sz w:val="24"/>
        </w:rPr>
      </w:pPr>
      <w:r>
        <w:rPr>
          <w:rFonts w:hint="eastAsia" w:ascii="宋体" w:hAnsi="宋体"/>
          <w:sz w:val="24"/>
        </w:rPr>
        <w:t>项目经理应附建造师注册证书、身份证、职称证、养老保险复印件及未担任其他在施建设工程项目项目经理的承诺书，管理过的项目业绩须附合同协议书和竣工验收备案登记表复印件（或项目业主提供的证明材料）。</w:t>
      </w:r>
    </w:p>
    <w:p>
      <w:pPr>
        <w:spacing w:line="420" w:lineRule="exact"/>
        <w:rPr>
          <w:rFonts w:ascii="宋体" w:hAnsi="宋体"/>
          <w:szCs w:val="21"/>
        </w:rPr>
      </w:pPr>
    </w:p>
    <w:tbl>
      <w:tblPr>
        <w:tblStyle w:val="88"/>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035"/>
        <w:gridCol w:w="1134"/>
        <w:gridCol w:w="1275"/>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hAnsi="宋体"/>
                <w:szCs w:val="21"/>
              </w:rPr>
            </w:pPr>
            <w:r>
              <w:rPr>
                <w:rFonts w:hint="eastAsia" w:ascii="宋体" w:hAnsi="宋体"/>
                <w:szCs w:val="21"/>
              </w:rPr>
              <w:t>姓  名</w:t>
            </w: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r>
              <w:rPr>
                <w:rFonts w:hint="eastAsia" w:ascii="宋体" w:hAnsi="宋体"/>
                <w:szCs w:val="21"/>
              </w:rPr>
              <w:t>年  龄</w:t>
            </w: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r>
              <w:rPr>
                <w:rFonts w:hint="eastAsia" w:ascii="宋体" w:hAnsi="宋体"/>
                <w:szCs w:val="21"/>
              </w:rPr>
              <w:t>学历</w:t>
            </w: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hAnsi="宋体"/>
                <w:szCs w:val="21"/>
              </w:rPr>
            </w:pPr>
            <w:r>
              <w:rPr>
                <w:rFonts w:hint="eastAsia" w:ascii="宋体" w:hAnsi="宋体"/>
                <w:szCs w:val="21"/>
              </w:rPr>
              <w:t>职  称</w:t>
            </w: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r>
              <w:rPr>
                <w:rFonts w:hint="eastAsia" w:ascii="宋体" w:hAnsi="宋体"/>
                <w:szCs w:val="21"/>
              </w:rPr>
              <w:t>职  务</w:t>
            </w: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r>
              <w:rPr>
                <w:rFonts w:hint="eastAsia" w:ascii="宋体" w:hAnsi="宋体"/>
                <w:szCs w:val="21"/>
              </w:rPr>
              <w:t>拟在本工程任职</w:t>
            </w:r>
          </w:p>
        </w:tc>
        <w:tc>
          <w:tcPr>
            <w:tcW w:w="2126" w:type="dxa"/>
            <w:vAlign w:val="center"/>
          </w:tcPr>
          <w:p>
            <w:pPr>
              <w:jc w:val="center"/>
              <w:rPr>
                <w:rFonts w:ascii="宋体" w:hAnsi="宋体"/>
                <w:szCs w:val="21"/>
              </w:rPr>
            </w:pPr>
            <w:r>
              <w:rPr>
                <w:rFonts w:hint="eastAsia" w:ascii="宋体" w:hAnsi="宋体"/>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61" w:type="dxa"/>
            <w:gridSpan w:val="3"/>
            <w:vAlign w:val="center"/>
          </w:tcPr>
          <w:p>
            <w:pPr>
              <w:jc w:val="center"/>
              <w:rPr>
                <w:rFonts w:ascii="宋体" w:hAnsi="宋体"/>
                <w:szCs w:val="21"/>
              </w:rPr>
            </w:pPr>
            <w:r>
              <w:rPr>
                <w:rFonts w:hint="eastAsia" w:ascii="宋体" w:hAnsi="宋体"/>
                <w:szCs w:val="21"/>
              </w:rPr>
              <w:t>注册建造师执业资格等级</w:t>
            </w:r>
          </w:p>
        </w:tc>
        <w:tc>
          <w:tcPr>
            <w:tcW w:w="1275" w:type="dxa"/>
            <w:vAlign w:val="center"/>
          </w:tcPr>
          <w:p>
            <w:pPr>
              <w:jc w:val="center"/>
              <w:rPr>
                <w:rFonts w:ascii="宋体" w:hAnsi="宋体"/>
                <w:szCs w:val="21"/>
              </w:rPr>
            </w:pPr>
            <w:r>
              <w:rPr>
                <w:rFonts w:hint="eastAsia" w:ascii="宋体" w:hAnsi="宋体"/>
                <w:szCs w:val="21"/>
              </w:rPr>
              <w:t xml:space="preserve">      级</w:t>
            </w:r>
          </w:p>
        </w:tc>
        <w:tc>
          <w:tcPr>
            <w:tcW w:w="1843" w:type="dxa"/>
            <w:vAlign w:val="center"/>
          </w:tcPr>
          <w:p>
            <w:pPr>
              <w:jc w:val="center"/>
              <w:rPr>
                <w:rFonts w:ascii="宋体" w:hAnsi="宋体"/>
                <w:szCs w:val="21"/>
              </w:rPr>
            </w:pPr>
            <w:r>
              <w:rPr>
                <w:rFonts w:hint="eastAsia" w:ascii="宋体" w:hAnsi="宋体"/>
                <w:szCs w:val="21"/>
              </w:rPr>
              <w:t>建造师专业</w:t>
            </w: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hAnsi="宋体"/>
                <w:szCs w:val="21"/>
              </w:rPr>
            </w:pPr>
            <w:r>
              <w:rPr>
                <w:rFonts w:hint="eastAsia" w:ascii="宋体" w:hAnsi="宋体"/>
                <w:szCs w:val="21"/>
              </w:rPr>
              <w:t>毕业学校</w:t>
            </w:r>
          </w:p>
        </w:tc>
        <w:tc>
          <w:tcPr>
            <w:tcW w:w="7413" w:type="dxa"/>
            <w:gridSpan w:val="5"/>
            <w:vAlign w:val="center"/>
          </w:tcPr>
          <w:p>
            <w:pPr>
              <w:ind w:firstLine="840" w:firstLineChars="400"/>
              <w:rPr>
                <w:rFonts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05" w:type="dxa"/>
            <w:gridSpan w:val="6"/>
            <w:vAlign w:val="center"/>
          </w:tcPr>
          <w:p>
            <w:pPr>
              <w:jc w:val="center"/>
              <w:rPr>
                <w:rFonts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hAnsi="宋体"/>
                <w:szCs w:val="21"/>
              </w:rPr>
            </w:pPr>
            <w:r>
              <w:rPr>
                <w:rFonts w:hint="eastAsia" w:ascii="宋体" w:hAnsi="宋体"/>
                <w:szCs w:val="21"/>
              </w:rPr>
              <w:t>时  间</w:t>
            </w:r>
          </w:p>
        </w:tc>
        <w:tc>
          <w:tcPr>
            <w:tcW w:w="3444" w:type="dxa"/>
            <w:gridSpan w:val="3"/>
            <w:vAlign w:val="center"/>
          </w:tcPr>
          <w:p>
            <w:pPr>
              <w:jc w:val="center"/>
              <w:rPr>
                <w:rFonts w:ascii="宋体" w:hAnsi="宋体"/>
                <w:szCs w:val="21"/>
              </w:rPr>
            </w:pPr>
            <w:r>
              <w:rPr>
                <w:rFonts w:hint="eastAsia" w:ascii="宋体" w:hAnsi="宋体"/>
                <w:szCs w:val="21"/>
              </w:rPr>
              <w:t>参加过的类似项目名称</w:t>
            </w:r>
          </w:p>
        </w:tc>
        <w:tc>
          <w:tcPr>
            <w:tcW w:w="1843" w:type="dxa"/>
            <w:vAlign w:val="center"/>
          </w:tcPr>
          <w:p>
            <w:pPr>
              <w:jc w:val="center"/>
              <w:rPr>
                <w:rFonts w:ascii="宋体" w:hAnsi="宋体"/>
                <w:szCs w:val="21"/>
              </w:rPr>
            </w:pPr>
            <w:r>
              <w:rPr>
                <w:rFonts w:hint="eastAsia" w:ascii="宋体" w:hAnsi="宋体"/>
                <w:szCs w:val="21"/>
              </w:rPr>
              <w:t>工程概况说明</w:t>
            </w:r>
          </w:p>
        </w:tc>
        <w:tc>
          <w:tcPr>
            <w:tcW w:w="2126" w:type="dxa"/>
            <w:vAlign w:val="center"/>
          </w:tcPr>
          <w:p>
            <w:pPr>
              <w:jc w:val="center"/>
              <w:rPr>
                <w:rFonts w:ascii="宋体" w:hAnsi="宋体"/>
                <w:szCs w:val="21"/>
              </w:rPr>
            </w:pPr>
            <w:r>
              <w:rPr>
                <w:rFonts w:hint="eastAsia"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92" w:type="dxa"/>
            <w:vAlign w:val="center"/>
          </w:tcPr>
          <w:p>
            <w:pPr>
              <w:jc w:val="center"/>
              <w:rPr>
                <w:rFonts w:ascii="宋体" w:hAnsi="宋体"/>
                <w:szCs w:val="21"/>
              </w:rPr>
            </w:pP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92" w:type="dxa"/>
            <w:vAlign w:val="center"/>
          </w:tcPr>
          <w:p>
            <w:pPr>
              <w:jc w:val="center"/>
              <w:rPr>
                <w:rFonts w:ascii="宋体" w:hAnsi="宋体"/>
                <w:szCs w:val="21"/>
              </w:rPr>
            </w:pP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92" w:type="dxa"/>
            <w:vAlign w:val="center"/>
          </w:tcPr>
          <w:p>
            <w:pPr>
              <w:jc w:val="center"/>
              <w:rPr>
                <w:rFonts w:ascii="宋体" w:hAnsi="宋体"/>
                <w:szCs w:val="21"/>
              </w:rPr>
            </w:pP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92" w:type="dxa"/>
            <w:vAlign w:val="center"/>
          </w:tcPr>
          <w:p>
            <w:pPr>
              <w:jc w:val="center"/>
              <w:rPr>
                <w:rFonts w:ascii="宋体" w:hAnsi="宋体"/>
                <w:szCs w:val="21"/>
              </w:rPr>
            </w:pP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92" w:type="dxa"/>
            <w:vAlign w:val="center"/>
          </w:tcPr>
          <w:p>
            <w:pPr>
              <w:jc w:val="center"/>
              <w:rPr>
                <w:rFonts w:ascii="宋体" w:hAnsi="宋体"/>
                <w:szCs w:val="21"/>
              </w:rPr>
            </w:pP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92" w:type="dxa"/>
            <w:vAlign w:val="center"/>
          </w:tcPr>
          <w:p>
            <w:pPr>
              <w:jc w:val="center"/>
              <w:rPr>
                <w:rFonts w:ascii="宋体" w:hAnsi="宋体"/>
                <w:szCs w:val="21"/>
              </w:rPr>
            </w:pP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92" w:type="dxa"/>
            <w:vAlign w:val="center"/>
          </w:tcPr>
          <w:p>
            <w:pPr>
              <w:jc w:val="center"/>
              <w:rPr>
                <w:rFonts w:ascii="宋体" w:hAnsi="宋体"/>
                <w:szCs w:val="21"/>
              </w:rPr>
            </w:pP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p>
        </w:tc>
        <w:tc>
          <w:tcPr>
            <w:tcW w:w="2126" w:type="dxa"/>
            <w:vAlign w:val="center"/>
          </w:tcPr>
          <w:p>
            <w:pPr>
              <w:jc w:val="center"/>
              <w:rPr>
                <w:rFonts w:ascii="宋体" w:hAnsi="宋体"/>
                <w:szCs w:val="21"/>
              </w:rPr>
            </w:pPr>
          </w:p>
        </w:tc>
      </w:tr>
    </w:tbl>
    <w:p>
      <w:pPr>
        <w:spacing w:line="420" w:lineRule="exact"/>
        <w:rPr>
          <w:rFonts w:ascii="宋体" w:hAnsi="宋体"/>
          <w:szCs w:val="21"/>
        </w:rPr>
      </w:pPr>
    </w:p>
    <w:p>
      <w:pPr>
        <w:numPr>
          <w:ilvl w:val="255"/>
          <w:numId w:val="0"/>
        </w:numPr>
        <w:tabs>
          <w:tab w:val="left" w:pos="993"/>
          <w:tab w:val="left" w:pos="1030"/>
          <w:tab w:val="left" w:pos="8364"/>
        </w:tabs>
        <w:snapToGrid w:val="0"/>
        <w:spacing w:afterLines="50"/>
        <w:ind w:right="-57" w:rightChars="-27"/>
        <w:jc w:val="left"/>
        <w:rPr>
          <w:rFonts w:ascii="宋体" w:hAnsi="宋体"/>
          <w:sz w:val="24"/>
        </w:rPr>
      </w:pPr>
      <w:r>
        <w:rPr>
          <w:rFonts w:hint="eastAsia" w:ascii="宋体" w:hAnsi="宋体"/>
          <w:sz w:val="24"/>
        </w:rPr>
        <w:t>注：拟任项目经理管理过的项目业绩证明材料如为业主提供，证明材料应加盖项目业主公章并附业主证明材料经办者的姓名、部门、职务、电话（固定电话与移动电话）等信息。</w:t>
      </w:r>
    </w:p>
    <w:p>
      <w:pPr>
        <w:widowControl/>
        <w:jc w:val="left"/>
        <w:rPr>
          <w:rFonts w:ascii="宋体" w:hAnsi="宋体"/>
          <w:sz w:val="24"/>
        </w:rPr>
      </w:pPr>
      <w:r>
        <w:rPr>
          <w:rFonts w:ascii="宋体" w:hAnsi="宋体"/>
          <w:sz w:val="24"/>
        </w:rPr>
        <w:br w:type="page"/>
      </w:r>
    </w:p>
    <w:p>
      <w:pPr>
        <w:numPr>
          <w:ilvl w:val="255"/>
          <w:numId w:val="0"/>
        </w:numPr>
        <w:tabs>
          <w:tab w:val="left" w:pos="993"/>
          <w:tab w:val="left" w:pos="1030"/>
          <w:tab w:val="left" w:pos="8364"/>
        </w:tabs>
        <w:snapToGrid w:val="0"/>
        <w:spacing w:afterLines="50"/>
        <w:ind w:right="-57" w:rightChars="-27"/>
        <w:jc w:val="left"/>
        <w:rPr>
          <w:rFonts w:ascii="宋体" w:hAnsi="宋体"/>
          <w:sz w:val="24"/>
        </w:rPr>
      </w:pPr>
    </w:p>
    <w:p>
      <w:pPr>
        <w:jc w:val="center"/>
        <w:rPr>
          <w:rFonts w:ascii="黑体" w:hAnsi="宋体" w:eastAsia="黑体"/>
          <w:sz w:val="28"/>
          <w:szCs w:val="28"/>
        </w:rPr>
      </w:pPr>
      <w:r>
        <w:rPr>
          <w:rFonts w:hint="eastAsia" w:ascii="黑体" w:hAnsi="宋体" w:eastAsia="黑体"/>
          <w:sz w:val="28"/>
          <w:szCs w:val="28"/>
        </w:rPr>
        <w:t>（四）承诺书</w:t>
      </w:r>
    </w:p>
    <w:p>
      <w:pPr>
        <w:spacing w:beforeLines="100" w:afterLines="100"/>
        <w:jc w:val="center"/>
        <w:rPr>
          <w:rFonts w:ascii="黑体" w:hAnsi="宋体" w:eastAsia="黑体"/>
          <w:sz w:val="28"/>
          <w:szCs w:val="28"/>
        </w:rPr>
      </w:pPr>
      <w:r>
        <w:rPr>
          <w:rFonts w:hint="eastAsia" w:ascii="黑体" w:hAnsi="宋体" w:eastAsia="黑体"/>
          <w:sz w:val="28"/>
          <w:szCs w:val="28"/>
        </w:rPr>
        <w:t>承诺书</w:t>
      </w:r>
    </w:p>
    <w:p>
      <w:pPr>
        <w:spacing w:afterLines="100" w:line="440" w:lineRule="exact"/>
        <w:rPr>
          <w:rFonts w:ascii="宋体" w:hAnsi="宋体"/>
          <w:szCs w:val="21"/>
        </w:rPr>
      </w:pPr>
      <w:r>
        <w:rPr>
          <w:rFonts w:hint="eastAsia" w:ascii="宋体" w:hAnsi="宋体"/>
          <w:position w:val="-7"/>
          <w:szCs w:val="21"/>
        </w:rPr>
        <w:t>————————</w:t>
      </w:r>
      <w:r>
        <w:rPr>
          <w:rFonts w:hint="eastAsia" w:ascii="宋体" w:hAnsi="宋体"/>
          <w:szCs w:val="21"/>
        </w:rPr>
        <w:t>（采购人名称）：</w:t>
      </w:r>
    </w:p>
    <w:p>
      <w:pPr>
        <w:spacing w:line="440" w:lineRule="exact"/>
        <w:ind w:firstLine="420" w:firstLineChars="200"/>
        <w:rPr>
          <w:rFonts w:ascii="宋体" w:hAnsi="宋体"/>
          <w:szCs w:val="21"/>
        </w:rPr>
      </w:pPr>
      <w:r>
        <w:rPr>
          <w:rFonts w:hint="eastAsia" w:ascii="宋体" w:hAnsi="宋体"/>
          <w:szCs w:val="21"/>
        </w:rPr>
        <w:t>我方在此声明，我方拟派往（项目名称）标段（以下简称“本工程”）的项目经理（项目经理姓名）现阶段没有担任任何在施建设工程项目的项目经理。</w:t>
      </w:r>
    </w:p>
    <w:p>
      <w:pPr>
        <w:spacing w:line="440" w:lineRule="exact"/>
        <w:ind w:firstLine="420" w:firstLineChars="200"/>
        <w:rPr>
          <w:rFonts w:ascii="宋体" w:hAnsi="宋体"/>
          <w:szCs w:val="21"/>
        </w:rPr>
      </w:pPr>
      <w:r>
        <w:rPr>
          <w:rFonts w:hint="eastAsia" w:ascii="宋体" w:hAnsi="宋体"/>
          <w:szCs w:val="21"/>
        </w:rPr>
        <w:t>我方保证上述信息的真实和准确，并愿意承担因我方就此弄虚作假所引起的一切法律后果。</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r>
        <w:rPr>
          <w:rFonts w:hint="eastAsia" w:ascii="宋体" w:hAnsi="宋体"/>
          <w:szCs w:val="21"/>
        </w:rPr>
        <w:t>特此承诺</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jc w:val="right"/>
        <w:rPr>
          <w:rFonts w:ascii="宋体" w:hAnsi="宋体"/>
          <w:szCs w:val="21"/>
        </w:rPr>
      </w:pPr>
      <w:r>
        <w:rPr>
          <w:rFonts w:hint="eastAsia" w:ascii="宋体" w:hAnsi="宋体"/>
          <w:szCs w:val="21"/>
        </w:rPr>
        <w:t>供应商：（盖单位章）</w:t>
      </w:r>
    </w:p>
    <w:p>
      <w:pPr>
        <w:spacing w:line="440" w:lineRule="exact"/>
        <w:jc w:val="right"/>
        <w:rPr>
          <w:rFonts w:ascii="宋体" w:hAnsi="宋体"/>
          <w:szCs w:val="21"/>
        </w:rPr>
      </w:pPr>
      <w:r>
        <w:rPr>
          <w:rFonts w:hint="eastAsia" w:ascii="宋体" w:hAnsi="宋体"/>
          <w:szCs w:val="21"/>
        </w:rPr>
        <w:t>法定代表人或其委托代理人：（</w:t>
      </w:r>
      <w:r>
        <w:rPr>
          <w:rFonts w:hint="eastAsia" w:ascii="宋体" w:hAnsi="宋体" w:cs="仿宋_GB2312"/>
          <w:kern w:val="0"/>
          <w:sz w:val="24"/>
        </w:rPr>
        <w:t>签字或盖人名章</w:t>
      </w:r>
      <w:r>
        <w:rPr>
          <w:rFonts w:hint="eastAsia" w:ascii="宋体" w:hAnsi="宋体"/>
          <w:szCs w:val="21"/>
        </w:rPr>
        <w:t>）</w:t>
      </w:r>
    </w:p>
    <w:p>
      <w:pPr>
        <w:spacing w:line="440" w:lineRule="exact"/>
        <w:jc w:val="right"/>
        <w:rPr>
          <w:rFonts w:ascii="宋体" w:hAnsi="宋体"/>
          <w:szCs w:val="21"/>
        </w:rPr>
      </w:pPr>
    </w:p>
    <w:p>
      <w:pPr>
        <w:spacing w:line="440" w:lineRule="exact"/>
        <w:jc w:val="right"/>
        <w:rPr>
          <w:rFonts w:ascii="宋体" w:hAnsi="宋体"/>
          <w:szCs w:val="21"/>
        </w:rPr>
      </w:pPr>
      <w:r>
        <w:rPr>
          <w:rFonts w:hint="eastAsia" w:ascii="宋体" w:hAnsi="宋体"/>
          <w:szCs w:val="21"/>
        </w:rPr>
        <w:t>年月日</w:t>
      </w:r>
    </w:p>
    <w:p>
      <w:pPr>
        <w:numPr>
          <w:ilvl w:val="255"/>
          <w:numId w:val="0"/>
        </w:numPr>
        <w:tabs>
          <w:tab w:val="left" w:pos="993"/>
          <w:tab w:val="left" w:pos="1030"/>
          <w:tab w:val="left" w:pos="8364"/>
        </w:tabs>
        <w:snapToGrid w:val="0"/>
        <w:spacing w:afterLines="50"/>
        <w:ind w:right="-57" w:rightChars="-27"/>
        <w:jc w:val="left"/>
        <w:rPr>
          <w:rFonts w:ascii="宋体" w:hAnsi="宋体"/>
          <w:sz w:val="24"/>
        </w:rPr>
      </w:pPr>
    </w:p>
    <w:p>
      <w:pPr>
        <w:widowControl/>
        <w:jc w:val="left"/>
        <w:rPr>
          <w:rFonts w:ascii="宋体" w:hAnsi="宋体" w:cs="仿宋_GB2312"/>
          <w:kern w:val="0"/>
          <w:sz w:val="24"/>
        </w:rPr>
      </w:pPr>
      <w:r>
        <w:rPr>
          <w:rFonts w:hAnsi="宋体" w:cs="仿宋_GB2312"/>
          <w:kern w:val="0"/>
          <w:sz w:val="24"/>
        </w:rPr>
        <w:br w:type="page"/>
      </w:r>
    </w:p>
    <w:p>
      <w:pPr>
        <w:pStyle w:val="41"/>
        <w:snapToGrid w:val="0"/>
        <w:spacing w:beforeLines="50"/>
        <w:jc w:val="center"/>
        <w:rPr>
          <w:rFonts w:hAnsi="宋体" w:cs="宋体"/>
          <w:sz w:val="24"/>
          <w:szCs w:val="24"/>
        </w:rPr>
      </w:pPr>
    </w:p>
    <w:p>
      <w:pPr>
        <w:pStyle w:val="425"/>
        <w:spacing w:line="360" w:lineRule="auto"/>
        <w:ind w:firstLine="0" w:firstLineChars="0"/>
        <w:outlineLvl w:val="1"/>
        <w:rPr>
          <w:b/>
          <w:sz w:val="24"/>
        </w:rPr>
      </w:pPr>
      <w:bookmarkStart w:id="627" w:name="_Toc29259"/>
      <w:r>
        <w:rPr>
          <w:rFonts w:hint="eastAsia"/>
          <w:b/>
          <w:sz w:val="24"/>
        </w:rPr>
        <w:t>附件8 小微企业、监狱企业、残疾人福利单位的声明函或证明材料</w:t>
      </w:r>
      <w:bookmarkEnd w:id="627"/>
    </w:p>
    <w:p>
      <w:pPr>
        <w:pStyle w:val="41"/>
        <w:snapToGrid w:val="0"/>
        <w:spacing w:beforeLines="50"/>
        <w:rPr>
          <w:rFonts w:hAnsi="宋体" w:cs="宋体"/>
          <w:sz w:val="24"/>
        </w:rPr>
      </w:pPr>
    </w:p>
    <w:p>
      <w:pPr>
        <w:jc w:val="center"/>
        <w:outlineLvl w:val="2"/>
        <w:rPr>
          <w:rFonts w:hAnsi="宋体"/>
          <w:sz w:val="32"/>
          <w:szCs w:val="32"/>
        </w:rPr>
      </w:pPr>
      <w:bookmarkStart w:id="628" w:name="_Toc11805"/>
      <w:bookmarkStart w:id="629" w:name="_Toc3821"/>
      <w:r>
        <w:rPr>
          <w:rFonts w:hint="eastAsia" w:hAnsi="宋体"/>
          <w:sz w:val="32"/>
          <w:szCs w:val="32"/>
        </w:rPr>
        <w:t>（一）中小企业声明函</w:t>
      </w:r>
      <w:bookmarkEnd w:id="628"/>
      <w:bookmarkEnd w:id="629"/>
    </w:p>
    <w:p>
      <w:pPr>
        <w:jc w:val="center"/>
        <w:rPr>
          <w:rFonts w:hAnsi="宋体"/>
          <w:sz w:val="24"/>
        </w:rPr>
      </w:pPr>
      <w:r>
        <w:rPr>
          <w:rFonts w:hint="eastAsia" w:hAnsi="宋体"/>
          <w:sz w:val="24"/>
        </w:rPr>
        <w:t>（注：符合中小企业划型标准的企业请提供本函，不符合的不提供本函）</w:t>
      </w:r>
    </w:p>
    <w:p>
      <w:pPr>
        <w:pStyle w:val="41"/>
        <w:snapToGrid w:val="0"/>
        <w:spacing w:beforeLines="50"/>
        <w:rPr>
          <w:rFonts w:hAnsi="宋体" w:cs="宋体"/>
          <w:sz w:val="24"/>
          <w:szCs w:val="24"/>
        </w:rPr>
      </w:pPr>
      <w:r>
        <w:rPr>
          <w:rFonts w:hint="eastAsia" w:hAnsi="宋体" w:cs="宋体"/>
          <w:sz w:val="24"/>
          <w:szCs w:val="24"/>
        </w:rPr>
        <w:t>本公司郑重声明，根据《政府采购促进中小企业发展暂行办法》（财库[2011]181号）的规定，本公司为______（请填写：中型、小型、微型）企业。即，本公司同时满足以下条件：</w:t>
      </w:r>
    </w:p>
    <w:p>
      <w:pPr>
        <w:pStyle w:val="41"/>
        <w:snapToGrid w:val="0"/>
        <w:spacing w:beforeLines="50"/>
        <w:rPr>
          <w:rFonts w:hAnsi="宋体" w:cs="宋体"/>
          <w:sz w:val="24"/>
          <w:szCs w:val="24"/>
        </w:rPr>
      </w:pPr>
      <w:r>
        <w:rPr>
          <w:rFonts w:hint="eastAsia" w:hAnsi="宋体" w:cs="宋体"/>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pStyle w:val="41"/>
        <w:snapToGrid w:val="0"/>
        <w:spacing w:beforeLines="50"/>
        <w:rPr>
          <w:rFonts w:hAnsi="宋体" w:cs="宋体"/>
          <w:sz w:val="24"/>
          <w:szCs w:val="24"/>
        </w:rPr>
      </w:pPr>
      <w:r>
        <w:rPr>
          <w:rFonts w:hint="eastAsia" w:hAnsi="宋体" w:cs="宋体"/>
          <w:sz w:val="24"/>
          <w:szCs w:val="24"/>
        </w:rPr>
        <w:t>2.本公司参加______单位的______项目采购活动，由本企业承担工程施工、采购及安装并提供相关服务。</w:t>
      </w:r>
    </w:p>
    <w:p>
      <w:pPr>
        <w:pStyle w:val="41"/>
        <w:snapToGrid w:val="0"/>
        <w:spacing w:beforeLines="50"/>
        <w:rPr>
          <w:rFonts w:hAnsi="宋体" w:cs="宋体"/>
          <w:sz w:val="24"/>
          <w:szCs w:val="24"/>
        </w:rPr>
      </w:pPr>
      <w:r>
        <w:rPr>
          <w:rFonts w:hint="eastAsia" w:hAnsi="宋体" w:cs="宋体"/>
          <w:sz w:val="24"/>
          <w:szCs w:val="24"/>
        </w:rPr>
        <w:t>本公司对上述声明的真实性负责。如有虚假，将依法承担相应责任。</w:t>
      </w:r>
    </w:p>
    <w:p>
      <w:pPr>
        <w:pStyle w:val="41"/>
        <w:snapToGrid w:val="0"/>
        <w:spacing w:beforeLines="50"/>
        <w:rPr>
          <w:rFonts w:hAnsi="宋体" w:cs="宋体"/>
          <w:sz w:val="24"/>
          <w:szCs w:val="24"/>
        </w:rPr>
      </w:pPr>
    </w:p>
    <w:p>
      <w:pPr>
        <w:pStyle w:val="41"/>
        <w:snapToGrid w:val="0"/>
        <w:spacing w:beforeLines="50"/>
        <w:rPr>
          <w:rFonts w:hAnsi="宋体" w:cs="宋体"/>
          <w:sz w:val="24"/>
          <w:szCs w:val="24"/>
        </w:rPr>
      </w:pPr>
    </w:p>
    <w:p>
      <w:pPr>
        <w:pStyle w:val="41"/>
        <w:snapToGrid w:val="0"/>
        <w:spacing w:beforeLines="50"/>
        <w:rPr>
          <w:rFonts w:hAnsi="宋体" w:cs="宋体"/>
          <w:sz w:val="24"/>
          <w:szCs w:val="24"/>
        </w:rPr>
      </w:pPr>
      <w:r>
        <w:rPr>
          <w:rFonts w:hint="eastAsia" w:hAnsi="宋体" w:cs="宋体"/>
          <w:sz w:val="24"/>
          <w:szCs w:val="24"/>
        </w:rPr>
        <w:t>企业名称（盖章）：　</w:t>
      </w:r>
    </w:p>
    <w:p>
      <w:pPr>
        <w:widowControl/>
        <w:jc w:val="left"/>
        <w:rPr>
          <w:rFonts w:hAnsi="宋体" w:cs="宋体"/>
          <w:sz w:val="24"/>
        </w:rPr>
      </w:pPr>
      <w:r>
        <w:rPr>
          <w:rFonts w:hint="eastAsia" w:hAnsi="宋体" w:cs="宋体"/>
          <w:sz w:val="24"/>
        </w:rPr>
        <w:t>日期：</w:t>
      </w:r>
    </w:p>
    <w:p>
      <w:pPr>
        <w:widowControl/>
        <w:jc w:val="left"/>
        <w:rPr>
          <w:rFonts w:ascii="宋体" w:hAnsi="宋体" w:cs="宋体"/>
          <w:sz w:val="24"/>
        </w:rPr>
      </w:pPr>
      <w:r>
        <w:rPr>
          <w:rFonts w:hAnsi="宋体" w:cs="宋体"/>
          <w:sz w:val="24"/>
        </w:rPr>
        <w:br w:type="page"/>
      </w:r>
    </w:p>
    <w:p>
      <w:pPr>
        <w:pStyle w:val="41"/>
        <w:snapToGrid w:val="0"/>
        <w:spacing w:beforeLines="50"/>
        <w:rPr>
          <w:rFonts w:hAnsi="宋体" w:cs="宋体"/>
          <w:sz w:val="24"/>
          <w:szCs w:val="24"/>
        </w:rPr>
      </w:pPr>
    </w:p>
    <w:p>
      <w:pPr>
        <w:jc w:val="center"/>
        <w:outlineLvl w:val="2"/>
        <w:rPr>
          <w:rFonts w:hAnsi="宋体"/>
          <w:sz w:val="32"/>
          <w:szCs w:val="32"/>
        </w:rPr>
      </w:pPr>
      <w:bookmarkStart w:id="630" w:name="_Toc19488"/>
      <w:bookmarkStart w:id="631" w:name="_Toc16023"/>
      <w:r>
        <w:rPr>
          <w:rFonts w:hint="eastAsia" w:hAnsi="宋体"/>
          <w:sz w:val="32"/>
          <w:szCs w:val="32"/>
        </w:rPr>
        <w:t>（二）监狱企业证明</w:t>
      </w:r>
      <w:bookmarkEnd w:id="630"/>
      <w:bookmarkEnd w:id="631"/>
    </w:p>
    <w:p>
      <w:pPr>
        <w:jc w:val="center"/>
        <w:rPr>
          <w:sz w:val="24"/>
        </w:rPr>
      </w:pPr>
      <w:r>
        <w:rPr>
          <w:rFonts w:hint="eastAsia"/>
          <w:sz w:val="24"/>
        </w:rPr>
        <w:t>（注：符合条件的监狱企业请提供本函，不符合的不提供本函）</w:t>
      </w:r>
    </w:p>
    <w:p>
      <w:pPr>
        <w:pStyle w:val="41"/>
        <w:snapToGrid w:val="0"/>
        <w:spacing w:beforeLines="50"/>
        <w:rPr>
          <w:rFonts w:hAnsi="宋体" w:cs="宋体"/>
          <w:sz w:val="24"/>
          <w:szCs w:val="24"/>
        </w:rPr>
      </w:pPr>
    </w:p>
    <w:p>
      <w:pPr>
        <w:pStyle w:val="41"/>
        <w:snapToGrid w:val="0"/>
        <w:spacing w:beforeLines="50"/>
        <w:rPr>
          <w:rFonts w:hAnsi="宋体" w:cs="宋体"/>
          <w:sz w:val="24"/>
          <w:szCs w:val="24"/>
        </w:rPr>
      </w:pPr>
      <w:r>
        <w:rPr>
          <w:rFonts w:hint="eastAsia" w:hAnsi="宋体" w:cs="宋体"/>
          <w:sz w:val="24"/>
          <w:szCs w:val="24"/>
        </w:rPr>
        <w:t>省级以上监狱管理局、戒毒管理局（含新疆生产建设兵团）出具的属于监狱企业的证明文件。</w:t>
      </w:r>
    </w:p>
    <w:p>
      <w:pPr>
        <w:pStyle w:val="41"/>
        <w:snapToGrid w:val="0"/>
        <w:spacing w:beforeLines="50"/>
        <w:rPr>
          <w:rFonts w:hAnsi="宋体" w:cs="宋体"/>
          <w:sz w:val="24"/>
          <w:szCs w:val="24"/>
        </w:rPr>
      </w:pPr>
    </w:p>
    <w:p>
      <w:pPr>
        <w:jc w:val="center"/>
        <w:outlineLvl w:val="2"/>
        <w:rPr>
          <w:rFonts w:hAnsi="宋体"/>
          <w:sz w:val="32"/>
          <w:szCs w:val="32"/>
        </w:rPr>
      </w:pPr>
      <w:r>
        <w:rPr>
          <w:rFonts w:hAnsi="宋体" w:cs="宋体"/>
          <w:sz w:val="24"/>
        </w:rPr>
        <w:br w:type="page"/>
      </w:r>
      <w:bookmarkStart w:id="632" w:name="_Toc18435"/>
      <w:bookmarkStart w:id="633" w:name="_Toc24531"/>
      <w:r>
        <w:rPr>
          <w:rFonts w:hint="eastAsia" w:hAnsi="宋体"/>
          <w:sz w:val="32"/>
          <w:szCs w:val="32"/>
        </w:rPr>
        <w:t>（三）残疾人福利性单位声明函</w:t>
      </w:r>
      <w:bookmarkEnd w:id="632"/>
      <w:bookmarkEnd w:id="633"/>
    </w:p>
    <w:p>
      <w:pPr>
        <w:jc w:val="center"/>
        <w:rPr>
          <w:sz w:val="24"/>
        </w:rPr>
      </w:pPr>
      <w:r>
        <w:rPr>
          <w:rFonts w:hint="eastAsia"/>
          <w:sz w:val="24"/>
        </w:rPr>
        <w:t>（注：符合条件的残疾人福利性单位请提供本函，不符合的不提供本函）</w:t>
      </w:r>
    </w:p>
    <w:p>
      <w:pPr>
        <w:rPr>
          <w:sz w:val="24"/>
        </w:rPr>
      </w:pPr>
    </w:p>
    <w:p>
      <w:pPr>
        <w:rPr>
          <w:sz w:val="24"/>
        </w:rPr>
      </w:pPr>
    </w:p>
    <w:p>
      <w:pPr>
        <w:rPr>
          <w:sz w:val="24"/>
        </w:rPr>
      </w:pPr>
      <w:r>
        <w:rPr>
          <w:rFonts w:hint="eastAsia"/>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rPr>
          <w:sz w:val="24"/>
        </w:rPr>
      </w:pPr>
    </w:p>
    <w:p>
      <w:pPr>
        <w:rPr>
          <w:sz w:val="24"/>
        </w:rPr>
      </w:pPr>
      <w:r>
        <w:rPr>
          <w:rFonts w:hint="eastAsia"/>
          <w:sz w:val="24"/>
        </w:rPr>
        <w:t>本单位对上述声明的真实性负责。如有虚假，将依法承担相应责任。</w:t>
      </w:r>
    </w:p>
    <w:p>
      <w:pPr>
        <w:rPr>
          <w:sz w:val="24"/>
        </w:rPr>
      </w:pPr>
    </w:p>
    <w:p>
      <w:pPr>
        <w:rPr>
          <w:sz w:val="24"/>
        </w:rPr>
      </w:pPr>
    </w:p>
    <w:p>
      <w:pPr>
        <w:rPr>
          <w:sz w:val="24"/>
        </w:rPr>
      </w:pPr>
    </w:p>
    <w:p>
      <w:pPr>
        <w:rPr>
          <w:sz w:val="24"/>
        </w:rPr>
      </w:pPr>
    </w:p>
    <w:p>
      <w:pPr>
        <w:rPr>
          <w:sz w:val="24"/>
        </w:rPr>
      </w:pPr>
    </w:p>
    <w:p>
      <w:pPr>
        <w:rPr>
          <w:sz w:val="24"/>
        </w:rPr>
      </w:pPr>
      <w:r>
        <w:rPr>
          <w:rFonts w:hint="eastAsia"/>
          <w:sz w:val="24"/>
        </w:rPr>
        <w:t>单位名称（盖章）：</w:t>
      </w:r>
    </w:p>
    <w:p>
      <w:pPr>
        <w:rPr>
          <w:sz w:val="24"/>
        </w:rPr>
      </w:pPr>
    </w:p>
    <w:p>
      <w:pPr>
        <w:rPr>
          <w:sz w:val="24"/>
        </w:rPr>
      </w:pPr>
      <w:r>
        <w:rPr>
          <w:rFonts w:hint="eastAsia"/>
          <w:sz w:val="24"/>
        </w:rPr>
        <w:t>日  期：</w:t>
      </w:r>
    </w:p>
    <w:p>
      <w:pPr>
        <w:rPr>
          <w:sz w:val="24"/>
        </w:rPr>
      </w:pPr>
    </w:p>
    <w:p>
      <w:pPr>
        <w:pStyle w:val="41"/>
        <w:snapToGrid w:val="0"/>
        <w:spacing w:beforeLines="50"/>
        <w:jc w:val="center"/>
        <w:rPr>
          <w:rFonts w:ascii="仿宋_GB2312" w:hAnsi="宋体" w:eastAsia="仿宋_GB2312"/>
          <w:b/>
          <w:sz w:val="24"/>
        </w:rPr>
      </w:pPr>
    </w:p>
    <w:p>
      <w:pPr>
        <w:widowControl/>
        <w:jc w:val="left"/>
        <w:rPr>
          <w:rFonts w:ascii="宋体" w:hAnsi="宋体" w:cs="宋体"/>
          <w:sz w:val="24"/>
        </w:rPr>
      </w:pPr>
      <w:r>
        <w:rPr>
          <w:rFonts w:ascii="宋体" w:hAnsi="宋体" w:cs="宋体"/>
          <w:sz w:val="24"/>
        </w:rPr>
        <w:br w:type="page"/>
      </w:r>
    </w:p>
    <w:p>
      <w:pPr>
        <w:pStyle w:val="425"/>
        <w:spacing w:line="360" w:lineRule="auto"/>
        <w:ind w:firstLine="0" w:firstLineChars="0"/>
        <w:outlineLvl w:val="1"/>
        <w:rPr>
          <w:b/>
          <w:sz w:val="24"/>
        </w:rPr>
      </w:pPr>
      <w:bookmarkStart w:id="634" w:name="_Toc10017"/>
      <w:r>
        <w:rPr>
          <w:rFonts w:hint="eastAsia"/>
          <w:b/>
          <w:sz w:val="24"/>
        </w:rPr>
        <w:t xml:space="preserve">附件9 </w:t>
      </w:r>
      <w:r>
        <w:rPr>
          <w:b/>
          <w:sz w:val="24"/>
        </w:rPr>
        <w:t>供应商承诺书</w:t>
      </w:r>
      <w:bookmarkEnd w:id="634"/>
    </w:p>
    <w:p>
      <w:pPr>
        <w:rPr>
          <w:rFonts w:ascii="宋体" w:hAnsi="宋体"/>
          <w:szCs w:val="21"/>
        </w:rPr>
      </w:pPr>
    </w:p>
    <w:p>
      <w:pPr>
        <w:jc w:val="center"/>
        <w:rPr>
          <w:rFonts w:ascii="宋体" w:hAnsi="宋体"/>
          <w:sz w:val="32"/>
          <w:szCs w:val="32"/>
        </w:rPr>
      </w:pPr>
      <w:r>
        <w:rPr>
          <w:rFonts w:hint="eastAsia" w:ascii="宋体" w:hAnsi="宋体"/>
          <w:sz w:val="32"/>
          <w:szCs w:val="32"/>
        </w:rPr>
        <w:t>承诺书</w:t>
      </w:r>
    </w:p>
    <w:p>
      <w:pPr>
        <w:spacing w:line="360" w:lineRule="auto"/>
        <w:rPr>
          <w:rFonts w:ascii="宋体" w:hAnsi="宋体"/>
          <w:sz w:val="24"/>
        </w:rPr>
      </w:pPr>
      <w:r>
        <w:rPr>
          <w:rFonts w:ascii="宋体" w:hAnsi="宋体"/>
          <w:sz w:val="24"/>
        </w:rPr>
        <w:t>致：（采购人）</w:t>
      </w:r>
    </w:p>
    <w:p>
      <w:pPr>
        <w:spacing w:line="360" w:lineRule="auto"/>
        <w:ind w:firstLine="480" w:firstLineChars="200"/>
        <w:rPr>
          <w:rFonts w:ascii="宋体" w:hAnsi="宋体"/>
          <w:sz w:val="24"/>
        </w:rPr>
      </w:pPr>
      <w:r>
        <w:rPr>
          <w:rFonts w:hint="eastAsia" w:ascii="宋体" w:hAnsi="宋体"/>
          <w:sz w:val="24"/>
        </w:rPr>
        <w:t>我方在此声明：</w:t>
      </w:r>
    </w:p>
    <w:p>
      <w:pPr>
        <w:spacing w:line="360" w:lineRule="auto"/>
        <w:ind w:firstLine="480" w:firstLineChars="200"/>
        <w:rPr>
          <w:rFonts w:ascii="宋体" w:hAnsi="宋体"/>
          <w:sz w:val="24"/>
        </w:rPr>
      </w:pPr>
      <w:r>
        <w:rPr>
          <w:rFonts w:hint="eastAsia" w:ascii="宋体" w:hAnsi="宋体"/>
          <w:sz w:val="24"/>
        </w:rPr>
        <w:t>（1） 在本次谈判中我公司不存在与其他供应商相互串通，或与采购人串通的行为；</w:t>
      </w:r>
    </w:p>
    <w:p>
      <w:pPr>
        <w:spacing w:line="360" w:lineRule="auto"/>
        <w:ind w:firstLine="480" w:firstLineChars="200"/>
        <w:rPr>
          <w:rFonts w:ascii="宋体" w:hAnsi="宋体"/>
          <w:sz w:val="24"/>
        </w:rPr>
      </w:pPr>
      <w:r>
        <w:rPr>
          <w:rFonts w:hint="eastAsia" w:ascii="宋体" w:hAnsi="宋体"/>
          <w:sz w:val="24"/>
        </w:rPr>
        <w:t>（2） 在本次谈判中我公司不存在向采购人或谈判小组成员行贿的手段谋取成交的行为；</w:t>
      </w:r>
    </w:p>
    <w:p>
      <w:pPr>
        <w:spacing w:line="360" w:lineRule="auto"/>
        <w:ind w:firstLine="480" w:firstLineChars="200"/>
        <w:rPr>
          <w:rFonts w:ascii="宋体" w:hAnsi="宋体"/>
          <w:sz w:val="24"/>
        </w:rPr>
      </w:pPr>
      <w:r>
        <w:rPr>
          <w:rFonts w:hint="eastAsia" w:ascii="宋体" w:hAnsi="宋体"/>
          <w:sz w:val="24"/>
        </w:rPr>
        <w:t>（3） 在本次谈判中我公司不存在出借或借用资质行为、在响应文件中所附资料（业绩、项目负责人资料等）无弄虚作假；</w:t>
      </w:r>
    </w:p>
    <w:p>
      <w:pPr>
        <w:spacing w:line="360" w:lineRule="auto"/>
        <w:ind w:firstLine="480" w:firstLineChars="200"/>
        <w:rPr>
          <w:rFonts w:ascii="宋体" w:hAnsi="宋体"/>
          <w:sz w:val="24"/>
        </w:rPr>
      </w:pPr>
      <w:r>
        <w:rPr>
          <w:rFonts w:hint="eastAsia" w:ascii="宋体" w:hAnsi="宋体"/>
          <w:sz w:val="24"/>
        </w:rPr>
        <w:t>（4） 我公司未处于被责令停产、停业以及投标资格被取消状态；</w:t>
      </w:r>
    </w:p>
    <w:p>
      <w:pPr>
        <w:spacing w:line="360" w:lineRule="auto"/>
        <w:ind w:firstLine="480" w:firstLineChars="200"/>
        <w:rPr>
          <w:rFonts w:ascii="宋体" w:hAnsi="宋体"/>
          <w:sz w:val="24"/>
        </w:rPr>
      </w:pPr>
      <w:r>
        <w:rPr>
          <w:rFonts w:hint="eastAsia" w:ascii="宋体" w:hAnsi="宋体"/>
          <w:sz w:val="24"/>
        </w:rPr>
        <w:t>（5）我公司不采用非法手段获取证据进行质疑、投诉；在质疑、投诉过程中不提供虚假情况或进行恶意质疑、投诉。</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我方承诺：上述声明内容如有不实，我公司愿意承担由此造成的一切法律责任，并承诺以谈判保证金赔偿给采购人造成的损失。</w:t>
      </w:r>
    </w:p>
    <w:p>
      <w:pPr>
        <w:spacing w:line="360" w:lineRule="auto"/>
        <w:ind w:firstLine="480" w:firstLineChars="200"/>
        <w:rPr>
          <w:rFonts w:ascii="宋体" w:hAnsi="宋体"/>
          <w:sz w:val="24"/>
        </w:rPr>
      </w:pPr>
      <w:r>
        <w:rPr>
          <w:rFonts w:hint="eastAsia" w:ascii="宋体" w:hAnsi="宋体"/>
          <w:sz w:val="24"/>
        </w:rPr>
        <w:t>特此承诺</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ascii="宋体" w:hAnsi="宋体"/>
          <w:sz w:val="24"/>
        </w:rPr>
        <w:t xml:space="preserve">供应商名称（公章）： </w:t>
      </w:r>
    </w:p>
    <w:p>
      <w:pPr>
        <w:spacing w:line="360" w:lineRule="auto"/>
        <w:ind w:firstLine="480" w:firstLineChars="200"/>
        <w:rPr>
          <w:rFonts w:ascii="宋体" w:hAnsi="宋体"/>
          <w:sz w:val="24"/>
        </w:rPr>
      </w:pPr>
      <w:r>
        <w:rPr>
          <w:rFonts w:ascii="宋体" w:hAnsi="宋体"/>
          <w:sz w:val="24"/>
        </w:rPr>
        <w:t>法定代表人或其授权代表（</w:t>
      </w:r>
      <w:r>
        <w:rPr>
          <w:rFonts w:hint="eastAsia" w:ascii="宋体" w:hAnsi="宋体"/>
          <w:sz w:val="24"/>
        </w:rPr>
        <w:t>签字或加盖人名章</w:t>
      </w:r>
      <w:r>
        <w:rPr>
          <w:rFonts w:ascii="宋体" w:hAnsi="宋体"/>
          <w:sz w:val="24"/>
        </w:rPr>
        <w:t>）：</w:t>
      </w:r>
    </w:p>
    <w:p>
      <w:pPr>
        <w:spacing w:line="360" w:lineRule="auto"/>
        <w:ind w:firstLine="480" w:firstLineChars="200"/>
        <w:rPr>
          <w:rFonts w:ascii="宋体" w:hAnsi="宋体"/>
          <w:sz w:val="24"/>
        </w:rPr>
      </w:pPr>
      <w:r>
        <w:rPr>
          <w:rFonts w:ascii="宋体" w:hAnsi="宋体"/>
          <w:sz w:val="24"/>
        </w:rPr>
        <w:t>日    期：     年   月    日</w:t>
      </w:r>
    </w:p>
    <w:p>
      <w:pPr>
        <w:widowControl/>
        <w:jc w:val="left"/>
        <w:rPr>
          <w:rFonts w:ascii="宋体" w:hAnsi="宋体" w:cs="宋体"/>
          <w:sz w:val="24"/>
        </w:rPr>
      </w:pPr>
    </w:p>
    <w:p>
      <w:pPr>
        <w:pStyle w:val="41"/>
        <w:snapToGrid w:val="0"/>
        <w:spacing w:beforeLines="50"/>
        <w:rPr>
          <w:rFonts w:hAnsi="宋体" w:cs="宋体"/>
          <w:sz w:val="24"/>
          <w:szCs w:val="24"/>
        </w:rPr>
      </w:pPr>
    </w:p>
    <w:p>
      <w:pPr>
        <w:widowControl/>
        <w:jc w:val="left"/>
        <w:rPr>
          <w:rFonts w:ascii="宋体" w:hAnsi="宋体"/>
          <w:sz w:val="24"/>
        </w:rPr>
      </w:pPr>
    </w:p>
    <w:p>
      <w:pPr>
        <w:adjustRightInd w:val="0"/>
        <w:spacing w:line="360" w:lineRule="atLeast"/>
        <w:jc w:val="left"/>
        <w:textAlignment w:val="baseline"/>
        <w:rPr>
          <w:b/>
          <w:spacing w:val="20"/>
          <w:sz w:val="24"/>
        </w:rPr>
      </w:pPr>
    </w:p>
    <w:p>
      <w:pPr>
        <w:adjustRightInd w:val="0"/>
        <w:spacing w:line="360" w:lineRule="atLeast"/>
        <w:jc w:val="left"/>
        <w:textAlignment w:val="baseline"/>
        <w:rPr>
          <w:b/>
          <w:spacing w:val="20"/>
          <w:sz w:val="24"/>
        </w:rPr>
      </w:pPr>
    </w:p>
    <w:p>
      <w:pPr>
        <w:adjustRightInd w:val="0"/>
        <w:spacing w:line="360" w:lineRule="atLeast"/>
        <w:jc w:val="left"/>
        <w:textAlignment w:val="baseline"/>
        <w:rPr>
          <w:b/>
          <w:spacing w:val="20"/>
          <w:sz w:val="24"/>
        </w:rPr>
      </w:pPr>
    </w:p>
    <w:p>
      <w:pPr>
        <w:adjustRightInd w:val="0"/>
        <w:spacing w:line="360" w:lineRule="atLeast"/>
        <w:jc w:val="left"/>
        <w:textAlignment w:val="baseline"/>
        <w:rPr>
          <w:b/>
          <w:spacing w:val="20"/>
          <w:sz w:val="24"/>
        </w:rPr>
      </w:pPr>
    </w:p>
    <w:p>
      <w:pPr>
        <w:adjustRightInd w:val="0"/>
        <w:spacing w:line="360" w:lineRule="atLeast"/>
        <w:jc w:val="left"/>
        <w:textAlignment w:val="baseline"/>
        <w:rPr>
          <w:b/>
          <w:spacing w:val="20"/>
          <w:sz w:val="24"/>
        </w:rPr>
      </w:pPr>
    </w:p>
    <w:p>
      <w:pPr>
        <w:adjustRightInd w:val="0"/>
        <w:spacing w:line="360" w:lineRule="atLeast"/>
        <w:jc w:val="left"/>
        <w:textAlignment w:val="baseline"/>
        <w:rPr>
          <w:b/>
          <w:spacing w:val="20"/>
          <w:sz w:val="24"/>
        </w:rPr>
      </w:pPr>
    </w:p>
    <w:p>
      <w:pPr>
        <w:adjustRightInd w:val="0"/>
        <w:spacing w:line="360" w:lineRule="atLeast"/>
        <w:jc w:val="left"/>
        <w:textAlignment w:val="baseline"/>
        <w:rPr>
          <w:b/>
          <w:spacing w:val="20"/>
          <w:sz w:val="24"/>
        </w:rPr>
      </w:pPr>
    </w:p>
    <w:p>
      <w:pPr>
        <w:adjustRightInd w:val="0"/>
        <w:spacing w:line="360" w:lineRule="atLeast"/>
        <w:jc w:val="left"/>
        <w:textAlignment w:val="baseline"/>
        <w:rPr>
          <w:b/>
          <w:spacing w:val="20"/>
          <w:sz w:val="24"/>
        </w:rPr>
      </w:pPr>
    </w:p>
    <w:p>
      <w:pPr>
        <w:adjustRightInd w:val="0"/>
        <w:spacing w:line="360" w:lineRule="atLeast"/>
        <w:jc w:val="left"/>
        <w:textAlignment w:val="baseline"/>
        <w:rPr>
          <w:b/>
          <w:sz w:val="30"/>
          <w:szCs w:val="30"/>
        </w:rPr>
      </w:pPr>
      <w:r>
        <w:rPr>
          <w:b/>
          <w:spacing w:val="20"/>
          <w:sz w:val="24"/>
        </w:rPr>
        <w:br w:type="page"/>
      </w:r>
    </w:p>
    <w:p>
      <w:pPr>
        <w:pStyle w:val="425"/>
        <w:spacing w:line="360" w:lineRule="auto"/>
        <w:ind w:firstLine="0" w:firstLineChars="0"/>
        <w:outlineLvl w:val="1"/>
        <w:rPr>
          <w:b/>
          <w:sz w:val="24"/>
        </w:rPr>
      </w:pPr>
      <w:bookmarkStart w:id="635" w:name="_Toc31493"/>
      <w:bookmarkStart w:id="636" w:name="_Toc157759075"/>
      <w:r>
        <w:rPr>
          <w:rFonts w:hint="eastAsia"/>
          <w:b/>
          <w:sz w:val="24"/>
        </w:rPr>
        <w:t>附件1</w:t>
      </w:r>
      <w:r>
        <w:rPr>
          <w:rFonts w:hint="eastAsia"/>
          <w:b/>
          <w:sz w:val="24"/>
          <w:lang w:val="en-US" w:eastAsia="zh-CN"/>
        </w:rPr>
        <w:t>0</w:t>
      </w:r>
      <w:r>
        <w:rPr>
          <w:rFonts w:hint="eastAsia"/>
          <w:b/>
          <w:sz w:val="24"/>
        </w:rPr>
        <w:t xml:space="preserve"> 施工组织设计</w:t>
      </w:r>
      <w:bookmarkEnd w:id="635"/>
    </w:p>
    <w:bookmarkEnd w:id="636"/>
    <w:p>
      <w:pPr>
        <w:widowControl/>
        <w:jc w:val="left"/>
        <w:rPr>
          <w:rFonts w:ascii="宋体" w:hAnsi="宋体" w:cs="宋体"/>
          <w:bCs/>
          <w:szCs w:val="21"/>
        </w:rPr>
      </w:pPr>
      <w:r>
        <w:rPr>
          <w:rFonts w:hint="eastAsia" w:ascii="宋体" w:hAnsi="宋体"/>
          <w:szCs w:val="21"/>
        </w:rPr>
        <w:t xml:space="preserve">(成交后由成交单位编写，竞争性谈判响应文件中不提供) </w:t>
      </w:r>
    </w:p>
    <w:p>
      <w:pPr>
        <w:ind w:left="420" w:hanging="420" w:hangingChars="200"/>
        <w:jc w:val="left"/>
        <w:rPr>
          <w:rFonts w:ascii="宋体" w:hAnsi="宋体" w:cs="宋体"/>
          <w:bCs/>
          <w:szCs w:val="21"/>
        </w:rPr>
      </w:pPr>
      <w:r>
        <w:rPr>
          <w:rFonts w:ascii="宋体" w:hAnsi="宋体" w:cs="宋体"/>
          <w:bCs/>
          <w:szCs w:val="21"/>
        </w:rPr>
        <w:br w:type="page"/>
      </w:r>
    </w:p>
    <w:p>
      <w:pPr>
        <w:ind w:left="420" w:hanging="420" w:hangingChars="200"/>
        <w:jc w:val="left"/>
        <w:rPr>
          <w:rFonts w:ascii="宋体" w:hAnsi="宋体" w:cs="宋体"/>
          <w:bCs/>
          <w:szCs w:val="21"/>
        </w:rPr>
      </w:pPr>
    </w:p>
    <w:p>
      <w:pPr>
        <w:pStyle w:val="425"/>
        <w:spacing w:line="360" w:lineRule="auto"/>
        <w:ind w:firstLine="0" w:firstLineChars="0"/>
        <w:outlineLvl w:val="1"/>
        <w:rPr>
          <w:b/>
          <w:sz w:val="24"/>
        </w:rPr>
      </w:pPr>
      <w:bookmarkStart w:id="637" w:name="_Toc6976"/>
      <w:r>
        <w:rPr>
          <w:rFonts w:hint="eastAsia"/>
          <w:b/>
          <w:sz w:val="24"/>
        </w:rPr>
        <w:t>附件1</w:t>
      </w:r>
      <w:r>
        <w:rPr>
          <w:rFonts w:hint="eastAsia"/>
          <w:b/>
          <w:sz w:val="24"/>
          <w:lang w:val="en-US" w:eastAsia="zh-CN"/>
        </w:rPr>
        <w:t>1</w:t>
      </w:r>
      <w:r>
        <w:rPr>
          <w:rFonts w:hint="eastAsia"/>
          <w:b/>
          <w:sz w:val="24"/>
        </w:rPr>
        <w:t xml:space="preserve"> 主要人员简历表</w:t>
      </w:r>
      <w:bookmarkEnd w:id="637"/>
    </w:p>
    <w:p>
      <w:pPr>
        <w:spacing w:line="420" w:lineRule="exact"/>
        <w:jc w:val="center"/>
        <w:rPr>
          <w:rFonts w:ascii="黑体" w:hAnsi="宋体" w:eastAsia="黑体"/>
          <w:sz w:val="24"/>
        </w:rPr>
      </w:pPr>
    </w:p>
    <w:p>
      <w:pPr>
        <w:spacing w:line="420" w:lineRule="exact"/>
        <w:rPr>
          <w:rFonts w:ascii="宋体" w:hAnsi="宋体"/>
          <w:szCs w:val="21"/>
        </w:rPr>
      </w:pPr>
    </w:p>
    <w:p>
      <w:pPr>
        <w:spacing w:line="420" w:lineRule="exact"/>
        <w:ind w:firstLine="420" w:firstLineChars="200"/>
        <w:rPr>
          <w:rFonts w:ascii="宋体" w:hAnsi="宋体"/>
          <w:szCs w:val="21"/>
        </w:rPr>
      </w:pPr>
      <w:r>
        <w:rPr>
          <w:rFonts w:hint="eastAsia" w:ascii="宋体" w:hAnsi="宋体"/>
          <w:szCs w:val="21"/>
        </w:rPr>
        <w:t>主要项目管理人员指项目副经理、技术负责人、合同商务负责人、专职安全生产管理人员等岗位人员。应附注册资格证书、身份证、职称证、养老保险复印件，专职安全生产管理人员应附安全生产考核合格证书。</w:t>
      </w:r>
    </w:p>
    <w:p>
      <w:pPr>
        <w:spacing w:line="420" w:lineRule="exact"/>
        <w:ind w:firstLine="420" w:firstLineChars="200"/>
        <w:rPr>
          <w:rFonts w:ascii="宋体" w:hAnsi="宋体"/>
          <w:szCs w:val="21"/>
        </w:rPr>
      </w:pPr>
    </w:p>
    <w:tbl>
      <w:tblPr>
        <w:tblStyle w:val="88"/>
        <w:tblW w:w="78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842"/>
        <w:gridCol w:w="1799"/>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5" w:type="dxa"/>
            <w:gridSpan w:val="2"/>
            <w:vAlign w:val="center"/>
          </w:tcPr>
          <w:p>
            <w:pPr>
              <w:snapToGrid w:val="0"/>
              <w:jc w:val="center"/>
              <w:rPr>
                <w:rFonts w:ascii="宋体" w:hAnsi="宋体"/>
                <w:sz w:val="24"/>
              </w:rPr>
            </w:pPr>
            <w:r>
              <w:rPr>
                <w:rFonts w:hint="eastAsia" w:ascii="宋体" w:hAnsi="宋体"/>
                <w:sz w:val="24"/>
              </w:rPr>
              <w:t>岗位名称</w:t>
            </w:r>
          </w:p>
        </w:tc>
        <w:tc>
          <w:tcPr>
            <w:tcW w:w="1842" w:type="dxa"/>
            <w:vAlign w:val="center"/>
          </w:tcPr>
          <w:p>
            <w:pPr>
              <w:snapToGrid w:val="0"/>
              <w:ind w:right="-101" w:rightChars="-48"/>
              <w:jc w:val="center"/>
              <w:rPr>
                <w:rFonts w:ascii="宋体" w:hAnsi="宋体"/>
                <w:sz w:val="24"/>
              </w:rPr>
            </w:pPr>
          </w:p>
        </w:tc>
        <w:tc>
          <w:tcPr>
            <w:tcW w:w="1799" w:type="dxa"/>
            <w:vAlign w:val="center"/>
          </w:tcPr>
          <w:p>
            <w:pPr>
              <w:snapToGrid w:val="0"/>
              <w:jc w:val="center"/>
              <w:rPr>
                <w:rFonts w:ascii="宋体" w:hAnsi="宋体"/>
                <w:sz w:val="24"/>
              </w:rPr>
            </w:pPr>
          </w:p>
        </w:tc>
        <w:tc>
          <w:tcPr>
            <w:tcW w:w="2022" w:type="dxa"/>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5" w:type="dxa"/>
            <w:gridSpan w:val="2"/>
            <w:vAlign w:val="center"/>
          </w:tcPr>
          <w:p>
            <w:pPr>
              <w:snapToGrid w:val="0"/>
              <w:jc w:val="center"/>
              <w:rPr>
                <w:rFonts w:ascii="宋体" w:hAnsi="宋体"/>
                <w:sz w:val="24"/>
              </w:rPr>
            </w:pPr>
            <w:r>
              <w:rPr>
                <w:rFonts w:hint="eastAsia" w:ascii="宋体" w:hAnsi="宋体"/>
                <w:sz w:val="24"/>
              </w:rPr>
              <w:t>姓    名</w:t>
            </w:r>
          </w:p>
        </w:tc>
        <w:tc>
          <w:tcPr>
            <w:tcW w:w="1842" w:type="dxa"/>
            <w:vAlign w:val="center"/>
          </w:tcPr>
          <w:p>
            <w:pPr>
              <w:snapToGrid w:val="0"/>
              <w:jc w:val="center"/>
              <w:rPr>
                <w:rFonts w:ascii="宋体" w:hAnsi="宋体"/>
                <w:sz w:val="24"/>
              </w:rPr>
            </w:pPr>
          </w:p>
        </w:tc>
        <w:tc>
          <w:tcPr>
            <w:tcW w:w="1799" w:type="dxa"/>
            <w:vAlign w:val="center"/>
          </w:tcPr>
          <w:p>
            <w:pPr>
              <w:snapToGrid w:val="0"/>
              <w:jc w:val="center"/>
              <w:rPr>
                <w:rFonts w:ascii="宋体" w:hAnsi="宋体"/>
                <w:sz w:val="24"/>
              </w:rPr>
            </w:pPr>
            <w:r>
              <w:rPr>
                <w:rFonts w:hint="eastAsia" w:ascii="宋体" w:hAnsi="宋体"/>
                <w:sz w:val="24"/>
              </w:rPr>
              <w:t>年    龄</w:t>
            </w:r>
          </w:p>
        </w:tc>
        <w:tc>
          <w:tcPr>
            <w:tcW w:w="2022" w:type="dxa"/>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5" w:type="dxa"/>
            <w:gridSpan w:val="2"/>
            <w:vAlign w:val="center"/>
          </w:tcPr>
          <w:p>
            <w:pPr>
              <w:snapToGrid w:val="0"/>
              <w:jc w:val="center"/>
              <w:rPr>
                <w:rFonts w:ascii="宋体" w:hAnsi="宋体"/>
                <w:sz w:val="24"/>
              </w:rPr>
            </w:pPr>
            <w:r>
              <w:rPr>
                <w:rFonts w:hint="eastAsia" w:ascii="宋体" w:hAnsi="宋体"/>
                <w:sz w:val="24"/>
              </w:rPr>
              <w:t>性    别</w:t>
            </w:r>
          </w:p>
        </w:tc>
        <w:tc>
          <w:tcPr>
            <w:tcW w:w="1842" w:type="dxa"/>
            <w:vAlign w:val="center"/>
          </w:tcPr>
          <w:p>
            <w:pPr>
              <w:snapToGrid w:val="0"/>
              <w:jc w:val="center"/>
              <w:rPr>
                <w:rFonts w:ascii="宋体" w:hAnsi="宋体"/>
                <w:sz w:val="24"/>
              </w:rPr>
            </w:pPr>
          </w:p>
        </w:tc>
        <w:tc>
          <w:tcPr>
            <w:tcW w:w="1799" w:type="dxa"/>
            <w:vAlign w:val="center"/>
          </w:tcPr>
          <w:p>
            <w:pPr>
              <w:snapToGrid w:val="0"/>
              <w:jc w:val="center"/>
              <w:rPr>
                <w:rFonts w:ascii="宋体" w:hAnsi="宋体"/>
                <w:sz w:val="24"/>
              </w:rPr>
            </w:pPr>
            <w:r>
              <w:rPr>
                <w:rFonts w:hint="eastAsia" w:ascii="宋体" w:hAnsi="宋体"/>
                <w:sz w:val="24"/>
              </w:rPr>
              <w:t>毕业学校</w:t>
            </w:r>
          </w:p>
        </w:tc>
        <w:tc>
          <w:tcPr>
            <w:tcW w:w="2022" w:type="dxa"/>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5" w:type="dxa"/>
            <w:gridSpan w:val="2"/>
            <w:vAlign w:val="center"/>
          </w:tcPr>
          <w:p>
            <w:pPr>
              <w:snapToGrid w:val="0"/>
              <w:jc w:val="center"/>
              <w:rPr>
                <w:rFonts w:ascii="宋体" w:hAnsi="宋体"/>
                <w:sz w:val="24"/>
              </w:rPr>
            </w:pPr>
            <w:r>
              <w:rPr>
                <w:rFonts w:hint="eastAsia" w:ascii="宋体" w:hAnsi="宋体"/>
                <w:sz w:val="24"/>
              </w:rPr>
              <w:t>学历和专业</w:t>
            </w:r>
          </w:p>
        </w:tc>
        <w:tc>
          <w:tcPr>
            <w:tcW w:w="1842" w:type="dxa"/>
            <w:vAlign w:val="center"/>
          </w:tcPr>
          <w:p>
            <w:pPr>
              <w:snapToGrid w:val="0"/>
              <w:jc w:val="center"/>
              <w:rPr>
                <w:rFonts w:ascii="宋体" w:hAnsi="宋体"/>
                <w:sz w:val="24"/>
              </w:rPr>
            </w:pPr>
          </w:p>
        </w:tc>
        <w:tc>
          <w:tcPr>
            <w:tcW w:w="1799" w:type="dxa"/>
            <w:vAlign w:val="center"/>
          </w:tcPr>
          <w:p>
            <w:pPr>
              <w:snapToGrid w:val="0"/>
              <w:jc w:val="center"/>
              <w:rPr>
                <w:rFonts w:ascii="宋体" w:hAnsi="宋体"/>
                <w:sz w:val="24"/>
              </w:rPr>
            </w:pPr>
            <w:r>
              <w:rPr>
                <w:rFonts w:hint="eastAsia" w:ascii="宋体" w:hAnsi="宋体"/>
                <w:sz w:val="24"/>
              </w:rPr>
              <w:t>毕业时间</w:t>
            </w:r>
          </w:p>
        </w:tc>
        <w:tc>
          <w:tcPr>
            <w:tcW w:w="2022" w:type="dxa"/>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5" w:type="dxa"/>
            <w:gridSpan w:val="2"/>
            <w:vAlign w:val="center"/>
          </w:tcPr>
          <w:p>
            <w:pPr>
              <w:snapToGrid w:val="0"/>
              <w:jc w:val="center"/>
              <w:rPr>
                <w:rFonts w:ascii="宋体" w:hAnsi="宋体"/>
                <w:sz w:val="24"/>
              </w:rPr>
            </w:pPr>
            <w:r>
              <w:rPr>
                <w:rFonts w:hint="eastAsia" w:ascii="宋体" w:hAnsi="宋体"/>
                <w:sz w:val="24"/>
              </w:rPr>
              <w:t>拥有的执业资格</w:t>
            </w:r>
          </w:p>
        </w:tc>
        <w:tc>
          <w:tcPr>
            <w:tcW w:w="1842" w:type="dxa"/>
            <w:vAlign w:val="center"/>
          </w:tcPr>
          <w:p>
            <w:pPr>
              <w:snapToGrid w:val="0"/>
              <w:jc w:val="center"/>
              <w:rPr>
                <w:rFonts w:ascii="宋体" w:hAnsi="宋体"/>
                <w:sz w:val="24"/>
              </w:rPr>
            </w:pPr>
          </w:p>
        </w:tc>
        <w:tc>
          <w:tcPr>
            <w:tcW w:w="1799" w:type="dxa"/>
            <w:vAlign w:val="center"/>
          </w:tcPr>
          <w:p>
            <w:pPr>
              <w:snapToGrid w:val="0"/>
              <w:jc w:val="center"/>
              <w:rPr>
                <w:rFonts w:ascii="宋体" w:hAnsi="宋体"/>
                <w:sz w:val="24"/>
              </w:rPr>
            </w:pPr>
            <w:r>
              <w:rPr>
                <w:rFonts w:hint="eastAsia" w:ascii="宋体" w:hAnsi="宋体"/>
                <w:sz w:val="24"/>
              </w:rPr>
              <w:t>专业职称</w:t>
            </w:r>
          </w:p>
        </w:tc>
        <w:tc>
          <w:tcPr>
            <w:tcW w:w="2022" w:type="dxa"/>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5" w:type="dxa"/>
            <w:gridSpan w:val="2"/>
            <w:vAlign w:val="center"/>
          </w:tcPr>
          <w:p>
            <w:pPr>
              <w:snapToGrid w:val="0"/>
              <w:jc w:val="center"/>
              <w:rPr>
                <w:rFonts w:ascii="宋体" w:hAnsi="宋体"/>
                <w:sz w:val="24"/>
              </w:rPr>
            </w:pPr>
            <w:r>
              <w:rPr>
                <w:rFonts w:hint="eastAsia" w:ascii="宋体" w:hAnsi="宋体"/>
                <w:sz w:val="24"/>
              </w:rPr>
              <w:t>执业资格证书编号</w:t>
            </w:r>
          </w:p>
        </w:tc>
        <w:tc>
          <w:tcPr>
            <w:tcW w:w="1842" w:type="dxa"/>
            <w:vAlign w:val="center"/>
          </w:tcPr>
          <w:p>
            <w:pPr>
              <w:snapToGrid w:val="0"/>
              <w:jc w:val="center"/>
              <w:rPr>
                <w:rFonts w:ascii="宋体" w:hAnsi="宋体"/>
                <w:sz w:val="24"/>
              </w:rPr>
            </w:pPr>
          </w:p>
        </w:tc>
        <w:tc>
          <w:tcPr>
            <w:tcW w:w="1799" w:type="dxa"/>
            <w:vAlign w:val="center"/>
          </w:tcPr>
          <w:p>
            <w:pPr>
              <w:snapToGrid w:val="0"/>
              <w:jc w:val="center"/>
              <w:rPr>
                <w:rFonts w:ascii="宋体" w:hAnsi="宋体"/>
                <w:sz w:val="24"/>
              </w:rPr>
            </w:pPr>
            <w:r>
              <w:rPr>
                <w:rFonts w:hint="eastAsia" w:ascii="宋体" w:hAnsi="宋体"/>
                <w:sz w:val="24"/>
              </w:rPr>
              <w:t>工作年限</w:t>
            </w:r>
          </w:p>
        </w:tc>
        <w:tc>
          <w:tcPr>
            <w:tcW w:w="2022" w:type="dxa"/>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Align w:val="center"/>
          </w:tcPr>
          <w:p>
            <w:pPr>
              <w:snapToGrid w:val="0"/>
              <w:jc w:val="center"/>
              <w:rPr>
                <w:rFonts w:ascii="宋体" w:hAnsi="宋体"/>
                <w:sz w:val="24"/>
              </w:rPr>
            </w:pPr>
            <w:r>
              <w:rPr>
                <w:rFonts w:hint="eastAsia" w:ascii="宋体" w:hAnsi="宋体"/>
                <w:sz w:val="24"/>
              </w:rPr>
              <w:t>主</w:t>
            </w:r>
          </w:p>
          <w:p>
            <w:pPr>
              <w:snapToGrid w:val="0"/>
              <w:jc w:val="center"/>
              <w:rPr>
                <w:rFonts w:ascii="宋体" w:hAnsi="宋体"/>
                <w:sz w:val="24"/>
              </w:rPr>
            </w:pPr>
            <w:r>
              <w:rPr>
                <w:rFonts w:hint="eastAsia" w:ascii="宋体" w:hAnsi="宋体"/>
                <w:sz w:val="24"/>
              </w:rPr>
              <w:t>要</w:t>
            </w:r>
          </w:p>
          <w:p>
            <w:pPr>
              <w:snapToGrid w:val="0"/>
              <w:jc w:val="center"/>
              <w:rPr>
                <w:rFonts w:ascii="宋体" w:hAnsi="宋体"/>
                <w:sz w:val="24"/>
              </w:rPr>
            </w:pPr>
            <w:r>
              <w:rPr>
                <w:rFonts w:hint="eastAsia" w:ascii="宋体" w:hAnsi="宋体"/>
                <w:sz w:val="24"/>
              </w:rPr>
              <w:t>工</w:t>
            </w:r>
          </w:p>
          <w:p>
            <w:pPr>
              <w:snapToGrid w:val="0"/>
              <w:jc w:val="center"/>
              <w:rPr>
                <w:rFonts w:ascii="宋体" w:hAnsi="宋体"/>
                <w:sz w:val="24"/>
              </w:rPr>
            </w:pPr>
            <w:r>
              <w:rPr>
                <w:rFonts w:hint="eastAsia" w:ascii="宋体" w:hAnsi="宋体"/>
                <w:sz w:val="24"/>
              </w:rPr>
              <w:t>作</w:t>
            </w:r>
          </w:p>
          <w:p>
            <w:pPr>
              <w:snapToGrid w:val="0"/>
              <w:jc w:val="center"/>
              <w:rPr>
                <w:rFonts w:ascii="宋体" w:hAnsi="宋体"/>
                <w:sz w:val="24"/>
              </w:rPr>
            </w:pPr>
            <w:r>
              <w:rPr>
                <w:rFonts w:hint="eastAsia" w:ascii="宋体" w:hAnsi="宋体"/>
                <w:sz w:val="24"/>
              </w:rPr>
              <w:t>业</w:t>
            </w:r>
          </w:p>
          <w:p>
            <w:pPr>
              <w:snapToGrid w:val="0"/>
              <w:jc w:val="center"/>
              <w:rPr>
                <w:rFonts w:ascii="宋体" w:hAnsi="宋体"/>
                <w:sz w:val="24"/>
              </w:rPr>
            </w:pPr>
            <w:r>
              <w:rPr>
                <w:rFonts w:hint="eastAsia" w:ascii="宋体" w:hAnsi="宋体"/>
                <w:sz w:val="24"/>
              </w:rPr>
              <w:t>绩</w:t>
            </w:r>
          </w:p>
          <w:p>
            <w:pPr>
              <w:snapToGrid w:val="0"/>
              <w:jc w:val="center"/>
              <w:rPr>
                <w:rFonts w:ascii="宋体" w:hAnsi="宋体"/>
                <w:sz w:val="24"/>
              </w:rPr>
            </w:pPr>
            <w:r>
              <w:rPr>
                <w:rFonts w:hint="eastAsia" w:ascii="宋体" w:hAnsi="宋体"/>
                <w:sz w:val="24"/>
              </w:rPr>
              <w:t>及</w:t>
            </w:r>
          </w:p>
          <w:p>
            <w:pPr>
              <w:snapToGrid w:val="0"/>
              <w:jc w:val="center"/>
              <w:rPr>
                <w:rFonts w:ascii="宋体" w:hAnsi="宋体"/>
                <w:sz w:val="24"/>
              </w:rPr>
            </w:pPr>
            <w:r>
              <w:rPr>
                <w:rFonts w:hint="eastAsia" w:ascii="宋体" w:hAnsi="宋体"/>
                <w:sz w:val="24"/>
              </w:rPr>
              <w:t>担</w:t>
            </w:r>
          </w:p>
          <w:p>
            <w:pPr>
              <w:snapToGrid w:val="0"/>
              <w:jc w:val="center"/>
              <w:rPr>
                <w:rFonts w:ascii="宋体" w:hAnsi="宋体"/>
                <w:sz w:val="24"/>
              </w:rPr>
            </w:pPr>
            <w:r>
              <w:rPr>
                <w:rFonts w:hint="eastAsia" w:ascii="宋体" w:hAnsi="宋体"/>
                <w:sz w:val="24"/>
              </w:rPr>
              <w:t>任</w:t>
            </w:r>
          </w:p>
          <w:p>
            <w:pPr>
              <w:snapToGrid w:val="0"/>
              <w:jc w:val="center"/>
              <w:rPr>
                <w:rFonts w:ascii="宋体" w:hAnsi="宋体"/>
                <w:sz w:val="24"/>
              </w:rPr>
            </w:pPr>
            <w:r>
              <w:rPr>
                <w:rFonts w:hint="eastAsia" w:ascii="宋体" w:hAnsi="宋体"/>
                <w:sz w:val="24"/>
              </w:rPr>
              <w:t>的</w:t>
            </w:r>
          </w:p>
          <w:p>
            <w:pPr>
              <w:snapToGrid w:val="0"/>
              <w:jc w:val="center"/>
              <w:rPr>
                <w:rFonts w:ascii="宋体" w:hAnsi="宋体"/>
                <w:sz w:val="24"/>
              </w:rPr>
            </w:pPr>
            <w:r>
              <w:rPr>
                <w:rFonts w:hint="eastAsia" w:ascii="宋体" w:hAnsi="宋体"/>
                <w:sz w:val="24"/>
              </w:rPr>
              <w:t>主</w:t>
            </w:r>
          </w:p>
          <w:p>
            <w:pPr>
              <w:snapToGrid w:val="0"/>
              <w:jc w:val="center"/>
              <w:rPr>
                <w:rFonts w:ascii="宋体" w:hAnsi="宋体"/>
                <w:sz w:val="24"/>
              </w:rPr>
            </w:pPr>
            <w:r>
              <w:rPr>
                <w:rFonts w:hint="eastAsia" w:ascii="宋体" w:hAnsi="宋体"/>
                <w:sz w:val="24"/>
              </w:rPr>
              <w:t>要</w:t>
            </w:r>
          </w:p>
          <w:p>
            <w:pPr>
              <w:snapToGrid w:val="0"/>
              <w:jc w:val="center"/>
              <w:rPr>
                <w:rFonts w:ascii="宋体" w:hAnsi="宋体"/>
                <w:sz w:val="24"/>
              </w:rPr>
            </w:pPr>
            <w:r>
              <w:rPr>
                <w:rFonts w:hint="eastAsia" w:ascii="宋体" w:hAnsi="宋体"/>
                <w:sz w:val="24"/>
              </w:rPr>
              <w:t>工</w:t>
            </w:r>
          </w:p>
          <w:p>
            <w:pPr>
              <w:snapToGrid w:val="0"/>
              <w:jc w:val="center"/>
              <w:rPr>
                <w:rFonts w:ascii="宋体" w:hAnsi="宋体"/>
                <w:sz w:val="24"/>
              </w:rPr>
            </w:pPr>
            <w:r>
              <w:rPr>
                <w:rFonts w:hint="eastAsia" w:ascii="宋体" w:hAnsi="宋体"/>
                <w:sz w:val="24"/>
              </w:rPr>
              <w:t>作</w:t>
            </w:r>
          </w:p>
          <w:p>
            <w:pPr>
              <w:snapToGrid w:val="0"/>
              <w:jc w:val="center"/>
              <w:rPr>
                <w:rFonts w:ascii="宋体" w:hAnsi="宋体"/>
                <w:sz w:val="24"/>
              </w:rPr>
            </w:pPr>
          </w:p>
        </w:tc>
        <w:tc>
          <w:tcPr>
            <w:tcW w:w="7081" w:type="dxa"/>
            <w:gridSpan w:val="4"/>
            <w:vAlign w:val="center"/>
          </w:tcPr>
          <w:p>
            <w:pPr>
              <w:snapToGrid w:val="0"/>
              <w:jc w:val="center"/>
              <w:rPr>
                <w:rFonts w:ascii="宋体" w:hAnsi="宋体"/>
                <w:sz w:val="24"/>
              </w:rPr>
            </w:pPr>
          </w:p>
        </w:tc>
      </w:tr>
    </w:tbl>
    <w:p>
      <w:pPr>
        <w:spacing w:line="640" w:lineRule="exact"/>
        <w:rPr>
          <w:rFonts w:ascii="宋体" w:hAnsi="宋体"/>
          <w:szCs w:val="21"/>
        </w:rPr>
      </w:pPr>
    </w:p>
    <w:p>
      <w:pPr>
        <w:spacing w:line="640" w:lineRule="exact"/>
        <w:rPr>
          <w:rFonts w:ascii="宋体" w:hAnsi="宋体"/>
          <w:szCs w:val="21"/>
        </w:rPr>
      </w:pPr>
    </w:p>
    <w:p>
      <w:pPr>
        <w:widowControl/>
        <w:jc w:val="left"/>
        <w:rPr>
          <w:rFonts w:ascii="仿宋_GB2312" w:eastAsia="仿宋_GB2312"/>
          <w:sz w:val="24"/>
        </w:rPr>
      </w:pPr>
      <w:r>
        <w:rPr>
          <w:rFonts w:ascii="仿宋_GB2312" w:eastAsia="仿宋_GB2312"/>
          <w:sz w:val="24"/>
        </w:rPr>
        <w:br w:type="page"/>
      </w:r>
    </w:p>
    <w:bookmarkEnd w:id="595"/>
    <w:p>
      <w:pPr>
        <w:pStyle w:val="425"/>
        <w:spacing w:line="360" w:lineRule="auto"/>
        <w:ind w:firstLine="0" w:firstLineChars="0"/>
        <w:outlineLvl w:val="1"/>
        <w:rPr>
          <w:b/>
          <w:sz w:val="24"/>
        </w:rPr>
      </w:pPr>
      <w:bookmarkStart w:id="638" w:name="_Toc24601"/>
      <w:bookmarkStart w:id="639" w:name="_Toc416103827"/>
      <w:r>
        <w:rPr>
          <w:rFonts w:hint="eastAsia"/>
          <w:b/>
          <w:sz w:val="24"/>
        </w:rPr>
        <w:t>附件1</w:t>
      </w:r>
      <w:r>
        <w:rPr>
          <w:rFonts w:hint="eastAsia"/>
          <w:b/>
          <w:sz w:val="24"/>
          <w:lang w:val="en-US" w:eastAsia="zh-CN"/>
        </w:rPr>
        <w:t>2</w:t>
      </w:r>
      <w:r>
        <w:rPr>
          <w:rFonts w:hint="eastAsia"/>
          <w:b/>
          <w:sz w:val="24"/>
        </w:rPr>
        <w:t xml:space="preserve"> 供应商其他承诺（如有）</w:t>
      </w:r>
      <w:bookmarkEnd w:id="638"/>
    </w:p>
    <w:p>
      <w:pPr>
        <w:widowControl/>
        <w:jc w:val="left"/>
        <w:rPr>
          <w:b/>
          <w:sz w:val="24"/>
        </w:rPr>
      </w:pPr>
    </w:p>
    <w:p>
      <w:pPr>
        <w:widowControl/>
        <w:jc w:val="left"/>
        <w:rPr>
          <w:b/>
          <w:sz w:val="24"/>
        </w:rPr>
      </w:pPr>
      <w:r>
        <w:rPr>
          <w:b/>
          <w:sz w:val="24"/>
        </w:rPr>
        <w:br w:type="page"/>
      </w:r>
    </w:p>
    <w:p>
      <w:pPr>
        <w:pStyle w:val="425"/>
        <w:spacing w:line="360" w:lineRule="auto"/>
        <w:ind w:firstLine="0" w:firstLineChars="0"/>
        <w:outlineLvl w:val="1"/>
        <w:rPr>
          <w:b/>
          <w:sz w:val="24"/>
        </w:rPr>
      </w:pPr>
      <w:bookmarkStart w:id="640" w:name="_Toc11300"/>
      <w:r>
        <w:rPr>
          <w:rFonts w:hint="eastAsia"/>
          <w:b/>
          <w:sz w:val="24"/>
        </w:rPr>
        <w:t>附件1</w:t>
      </w:r>
      <w:r>
        <w:rPr>
          <w:rFonts w:hint="eastAsia"/>
          <w:b/>
          <w:sz w:val="24"/>
          <w:lang w:val="en-US" w:eastAsia="zh-CN"/>
        </w:rPr>
        <w:t>3</w:t>
      </w:r>
      <w:r>
        <w:rPr>
          <w:rFonts w:hint="eastAsia"/>
          <w:b/>
          <w:sz w:val="24"/>
        </w:rPr>
        <w:t xml:space="preserve"> 最后报价函格式</w:t>
      </w:r>
      <w:bookmarkEnd w:id="640"/>
    </w:p>
    <w:p>
      <w:pPr>
        <w:widowControl/>
        <w:jc w:val="left"/>
        <w:rPr>
          <w:b/>
          <w:sz w:val="24"/>
        </w:rPr>
      </w:pPr>
    </w:p>
    <w:p>
      <w:pPr>
        <w:autoSpaceDE w:val="0"/>
        <w:autoSpaceDN w:val="0"/>
        <w:adjustRightInd w:val="0"/>
        <w:jc w:val="center"/>
        <w:rPr>
          <w:rFonts w:ascii="宋体" w:hAnsi="宋体" w:cs="黑体"/>
          <w:kern w:val="0"/>
          <w:sz w:val="24"/>
        </w:rPr>
      </w:pPr>
      <w:r>
        <w:rPr>
          <w:rFonts w:hint="eastAsia" w:ascii="宋体" w:hAnsi="宋体" w:cs="黑体"/>
          <w:kern w:val="0"/>
          <w:sz w:val="24"/>
        </w:rPr>
        <w:t>竞争性谈判最后报价函</w:t>
      </w:r>
    </w:p>
    <w:p>
      <w:pPr>
        <w:autoSpaceDE w:val="0"/>
        <w:autoSpaceDN w:val="0"/>
        <w:adjustRightInd w:val="0"/>
        <w:jc w:val="center"/>
        <w:rPr>
          <w:rFonts w:ascii="宋体" w:hAnsi="宋体" w:cs="黑体"/>
          <w:kern w:val="0"/>
          <w:sz w:val="24"/>
        </w:rPr>
      </w:pPr>
    </w:p>
    <w:p>
      <w:pPr>
        <w:autoSpaceDE w:val="0"/>
        <w:autoSpaceDN w:val="0"/>
        <w:adjustRightInd w:val="0"/>
        <w:snapToGrid w:val="0"/>
        <w:spacing w:line="360" w:lineRule="auto"/>
        <w:jc w:val="left"/>
        <w:rPr>
          <w:rFonts w:ascii="宋体" w:hAnsi="宋体" w:cs="仿宋_GB2312"/>
          <w:kern w:val="0"/>
          <w:sz w:val="24"/>
        </w:rPr>
      </w:pPr>
      <w:r>
        <w:rPr>
          <w:rFonts w:hint="eastAsia" w:ascii="宋体" w:hAnsi="宋体" w:cs="仿宋_GB2312"/>
          <w:kern w:val="0"/>
          <w:sz w:val="24"/>
        </w:rPr>
        <w:t>（采购人名称）：</w:t>
      </w:r>
    </w:p>
    <w:p>
      <w:pPr>
        <w:autoSpaceDE w:val="0"/>
        <w:autoSpaceDN w:val="0"/>
        <w:adjustRightInd w:val="0"/>
        <w:snapToGrid w:val="0"/>
        <w:spacing w:line="360" w:lineRule="auto"/>
        <w:ind w:firstLine="480" w:firstLineChars="200"/>
        <w:jc w:val="left"/>
        <w:rPr>
          <w:rFonts w:ascii="宋体" w:hAnsi="宋体" w:cs="仿宋_GB2312"/>
          <w:kern w:val="0"/>
          <w:sz w:val="24"/>
        </w:rPr>
      </w:pPr>
      <w:r>
        <w:rPr>
          <w:rFonts w:hint="eastAsia" w:ascii="宋体" w:hAnsi="宋体" w:cs="TimesNewRomanPSMT"/>
          <w:kern w:val="0"/>
          <w:sz w:val="24"/>
        </w:rPr>
        <w:t>1.经谈判小组与</w:t>
      </w:r>
      <w:r>
        <w:rPr>
          <w:rFonts w:hint="eastAsia" w:ascii="宋体" w:hAnsi="宋体" w:cs="仿宋_GB2312"/>
          <w:kern w:val="0"/>
          <w:sz w:val="24"/>
        </w:rPr>
        <w:t>我方根据贵方竞争性谈判文件（含澄清、修改文件）及我方提交的首次响应文件进行的谈判，现我方提交最后报价函。我方愿意以人民币（大写</w:t>
      </w:r>
      <w:r>
        <w:rPr>
          <w:rFonts w:hint="eastAsia" w:ascii="宋体" w:hAnsi="宋体" w:cs="仿宋_GB2312"/>
          <w:kern w:val="0"/>
          <w:sz w:val="24"/>
          <w:u w:val="single"/>
        </w:rPr>
        <w:t xml:space="preserve">）        </w:t>
      </w:r>
      <w:r>
        <w:rPr>
          <w:rFonts w:hint="eastAsia" w:ascii="宋体" w:hAnsi="宋体" w:cs="仿宋_GB2312"/>
          <w:kern w:val="0"/>
          <w:sz w:val="24"/>
        </w:rPr>
        <w:t>（小写）￥</w:t>
      </w:r>
      <w:r>
        <w:rPr>
          <w:rFonts w:hint="eastAsia" w:ascii="宋体" w:hAnsi="宋体" w:cs="仿宋_GB2312"/>
          <w:kern w:val="0"/>
          <w:sz w:val="24"/>
          <w:u w:val="single"/>
          <w:lang w:val="en-US" w:eastAsia="zh-CN"/>
        </w:rPr>
        <w:t xml:space="preserve">          </w:t>
      </w:r>
      <w:r>
        <w:rPr>
          <w:rFonts w:hint="eastAsia" w:ascii="宋体" w:hAnsi="宋体" w:cs="仿宋_GB2312"/>
          <w:kern w:val="0"/>
          <w:sz w:val="24"/>
        </w:rPr>
        <w:t>元的总价、工期</w:t>
      </w:r>
      <w:r>
        <w:rPr>
          <w:rFonts w:hint="eastAsia" w:ascii="宋体" w:hAnsi="宋体" w:cs="仿宋_GB2312"/>
          <w:kern w:val="0"/>
          <w:sz w:val="24"/>
          <w:u w:val="single"/>
          <w:lang w:val="en-US" w:eastAsia="zh-CN"/>
        </w:rPr>
        <w:t xml:space="preserve">       </w:t>
      </w:r>
      <w:r>
        <w:rPr>
          <w:rFonts w:hint="eastAsia" w:ascii="宋体" w:hAnsi="宋体" w:cs="仿宋_GB2312"/>
          <w:kern w:val="0"/>
          <w:sz w:val="24"/>
        </w:rPr>
        <w:t>日历日、按合同约定实施和完成承包工程、修补工程中的任何缺陷，工程质量达到</w:t>
      </w:r>
      <w:r>
        <w:rPr>
          <w:rFonts w:hint="eastAsia" w:ascii="宋体" w:hAnsi="宋体" w:cs="仿宋_GB2312"/>
          <w:kern w:val="0"/>
          <w:sz w:val="24"/>
          <w:u w:val="single"/>
          <w:lang w:val="en-US" w:eastAsia="zh-CN"/>
        </w:rPr>
        <w:t xml:space="preserve">       </w:t>
      </w:r>
      <w:r>
        <w:rPr>
          <w:rFonts w:hint="eastAsia" w:ascii="宋体" w:hAnsi="宋体" w:cs="仿宋_GB2312"/>
          <w:kern w:val="0"/>
          <w:sz w:val="24"/>
        </w:rPr>
        <w:t>标准。</w:t>
      </w:r>
    </w:p>
    <w:p>
      <w:pPr>
        <w:autoSpaceDE w:val="0"/>
        <w:autoSpaceDN w:val="0"/>
        <w:adjustRightInd w:val="0"/>
        <w:snapToGrid w:val="0"/>
        <w:spacing w:line="360" w:lineRule="auto"/>
        <w:ind w:firstLine="480" w:firstLineChars="200"/>
        <w:jc w:val="left"/>
        <w:rPr>
          <w:rFonts w:ascii="宋体" w:hAnsi="宋体" w:cs="仿宋_GB2312"/>
          <w:kern w:val="0"/>
          <w:sz w:val="24"/>
        </w:rPr>
      </w:pPr>
      <w:r>
        <w:rPr>
          <w:rFonts w:hint="eastAsia" w:ascii="宋体" w:hAnsi="宋体" w:cs="仿宋_GB2312"/>
          <w:kern w:val="0"/>
          <w:sz w:val="24"/>
        </w:rPr>
        <w:t>对我方首次提交的响应文件予以修正的内容还有</w:t>
      </w:r>
      <w:r>
        <w:rPr>
          <w:rFonts w:hint="eastAsia" w:ascii="宋体" w:hAnsi="宋体" w:cs="仿宋_GB2312"/>
          <w:kern w:val="0"/>
          <w:sz w:val="24"/>
          <w:u w:val="single"/>
        </w:rPr>
        <w:t xml:space="preserve">          </w:t>
      </w:r>
      <w:r>
        <w:rPr>
          <w:rFonts w:hint="eastAsia" w:ascii="宋体" w:hAnsi="宋体" w:cs="仿宋_GB2312"/>
          <w:kern w:val="0"/>
          <w:sz w:val="24"/>
        </w:rPr>
        <w:t>。</w:t>
      </w:r>
    </w:p>
    <w:p>
      <w:pPr>
        <w:autoSpaceDE w:val="0"/>
        <w:autoSpaceDN w:val="0"/>
        <w:adjustRightInd w:val="0"/>
        <w:snapToGrid w:val="0"/>
        <w:spacing w:line="360" w:lineRule="auto"/>
        <w:ind w:firstLine="480" w:firstLineChars="200"/>
        <w:jc w:val="left"/>
        <w:rPr>
          <w:rFonts w:ascii="宋体" w:hAnsi="宋体" w:cs="TimesNewRomanPSMT"/>
          <w:kern w:val="0"/>
          <w:sz w:val="24"/>
          <w:highlight w:val="none"/>
        </w:rPr>
      </w:pPr>
      <w:r>
        <w:rPr>
          <w:rFonts w:hint="eastAsia" w:ascii="宋体" w:hAnsi="宋体" w:cs="TimesNewRomanPSMT"/>
          <w:kern w:val="0"/>
          <w:sz w:val="24"/>
        </w:rPr>
        <w:t>2.</w:t>
      </w:r>
      <w:r>
        <w:rPr>
          <w:rFonts w:hint="eastAsia" w:ascii="宋体" w:hAnsi="宋体" w:cs="仿宋_GB2312"/>
          <w:kern w:val="0"/>
          <w:sz w:val="24"/>
        </w:rPr>
        <w:t xml:space="preserve"> 本最后报价函是我方响应文件的组成部分。</w:t>
      </w:r>
      <w:r>
        <w:rPr>
          <w:rFonts w:hint="eastAsia" w:ascii="宋体" w:hAnsi="宋体" w:cs="TimesNewRomanPSMT"/>
          <w:kern w:val="0"/>
          <w:sz w:val="24"/>
        </w:rPr>
        <w:t>若本</w:t>
      </w:r>
      <w:r>
        <w:rPr>
          <w:rFonts w:hint="eastAsia" w:ascii="宋体" w:hAnsi="宋体" w:cs="黑体"/>
          <w:kern w:val="0"/>
          <w:sz w:val="24"/>
        </w:rPr>
        <w:t>竞争性谈判</w:t>
      </w:r>
      <w:r>
        <w:rPr>
          <w:rFonts w:hint="eastAsia" w:ascii="宋体" w:hAnsi="宋体" w:cs="TimesNewRomanPSMT"/>
          <w:kern w:val="0"/>
          <w:sz w:val="24"/>
        </w:rPr>
        <w:t>最后报价函与我方首次</w:t>
      </w:r>
      <w:r>
        <w:rPr>
          <w:rFonts w:hint="eastAsia" w:ascii="宋体" w:hAnsi="宋体" w:cs="TimesNewRomanPSMT"/>
          <w:kern w:val="0"/>
          <w:sz w:val="24"/>
          <w:highlight w:val="none"/>
        </w:rPr>
        <w:t>递交的报价函及报价函附录的内容有差异，以本</w:t>
      </w:r>
      <w:r>
        <w:rPr>
          <w:rFonts w:hint="eastAsia" w:ascii="宋体" w:hAnsi="宋体" w:cs="黑体"/>
          <w:kern w:val="0"/>
          <w:sz w:val="24"/>
          <w:highlight w:val="none"/>
        </w:rPr>
        <w:t>竞争性谈判</w:t>
      </w:r>
      <w:r>
        <w:rPr>
          <w:rFonts w:hint="eastAsia" w:ascii="宋体" w:hAnsi="宋体" w:cs="TimesNewRomanPSMT"/>
          <w:kern w:val="0"/>
          <w:sz w:val="24"/>
          <w:highlight w:val="none"/>
        </w:rPr>
        <w:t>最后的报价函内容为准。</w:t>
      </w:r>
    </w:p>
    <w:p>
      <w:pPr>
        <w:autoSpaceDE w:val="0"/>
        <w:autoSpaceDN w:val="0"/>
        <w:adjustRightInd w:val="0"/>
        <w:snapToGrid w:val="0"/>
        <w:spacing w:line="360" w:lineRule="auto"/>
        <w:ind w:firstLine="480" w:firstLineChars="200"/>
        <w:jc w:val="left"/>
        <w:rPr>
          <w:rFonts w:ascii="宋体" w:hAnsi="宋体" w:cs="TimesNewRomanPSMT"/>
          <w:iCs/>
          <w:kern w:val="0"/>
          <w:sz w:val="24"/>
          <w:highlight w:val="none"/>
        </w:rPr>
      </w:pPr>
      <w:r>
        <w:rPr>
          <w:rFonts w:hint="eastAsia" w:ascii="宋体" w:hAnsi="宋体" w:cs="TimesNewRomanPSMT"/>
          <w:iCs/>
          <w:kern w:val="0"/>
          <w:sz w:val="24"/>
          <w:highlight w:val="none"/>
        </w:rPr>
        <w:t>3. 若我方成交，我方承诺将根据谈判文件中的工程量清单及其第1条所列最后报价，根据现行的《建设工程工程量清单计价规范》（GB 50500）和《房屋建筑与装饰工程工程量计算规范》（GB 50854）的相关规定，编制本项目已标价的工程量清单，收到成交通知书后的7日内提交给采购人；对采购人提出的审查意见在合同签订前修改完成。</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4．</w:t>
      </w:r>
      <w:r>
        <w:rPr>
          <w:rFonts w:hint="eastAsia" w:ascii="宋体" w:hAnsi="宋体" w:cs="TimesNewRomanPSMT"/>
          <w:kern w:val="0"/>
          <w:sz w:val="24"/>
          <w:u w:val="single"/>
          <w:lang w:val="en-US" w:eastAsia="zh-CN"/>
        </w:rPr>
        <w:t xml:space="preserve">               </w:t>
      </w:r>
      <w:r>
        <w:rPr>
          <w:rFonts w:hint="eastAsia" w:ascii="宋体" w:hAnsi="宋体" w:cs="TimesNewRomanPSMT"/>
          <w:kern w:val="0"/>
          <w:sz w:val="24"/>
        </w:rPr>
        <w:t>（其他补充说明）。</w:t>
      </w:r>
    </w:p>
    <w:p>
      <w:pPr>
        <w:autoSpaceDE w:val="0"/>
        <w:autoSpaceDN w:val="0"/>
        <w:adjustRightInd w:val="0"/>
        <w:snapToGrid w:val="0"/>
        <w:spacing w:line="360" w:lineRule="auto"/>
        <w:jc w:val="left"/>
        <w:rPr>
          <w:rFonts w:ascii="宋体" w:hAnsi="宋体" w:cs="仿宋_GB2312"/>
          <w:kern w:val="0"/>
          <w:sz w:val="24"/>
        </w:rPr>
      </w:pP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供应商：</w:t>
      </w: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法定代表人或其委托代理人：</w:t>
      </w:r>
      <w:r>
        <w:rPr>
          <w:rFonts w:hint="eastAsia" w:ascii="宋体" w:hAnsi="宋体" w:cs="仿宋_GB2312"/>
          <w:kern w:val="0"/>
          <w:sz w:val="24"/>
          <w:lang w:val="en-US" w:eastAsia="zh-CN"/>
        </w:rPr>
        <w:t xml:space="preserve">        </w:t>
      </w:r>
      <w:r>
        <w:rPr>
          <w:rFonts w:hint="eastAsia" w:ascii="宋体" w:hAnsi="宋体" w:cs="仿宋_GB2312"/>
          <w:kern w:val="0"/>
          <w:sz w:val="24"/>
        </w:rPr>
        <w:t>（签字）</w:t>
      </w: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地址：</w:t>
      </w: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电话：</w:t>
      </w: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传真：</w:t>
      </w:r>
    </w:p>
    <w:p>
      <w:pPr>
        <w:autoSpaceDE w:val="0"/>
        <w:autoSpaceDN w:val="0"/>
        <w:adjustRightInd w:val="0"/>
        <w:snapToGrid w:val="0"/>
        <w:spacing w:line="360" w:lineRule="auto"/>
        <w:ind w:left="5939" w:leftChars="2828"/>
        <w:jc w:val="left"/>
        <w:rPr>
          <w:rFonts w:hint="eastAsia" w:ascii="宋体" w:hAnsi="宋体" w:cs="仿宋_GB2312"/>
          <w:kern w:val="0"/>
          <w:sz w:val="24"/>
        </w:rPr>
      </w:pPr>
      <w:r>
        <w:rPr>
          <w:rFonts w:hint="eastAsia" w:ascii="宋体" w:hAnsi="宋体" w:cs="仿宋_GB2312"/>
          <w:kern w:val="0"/>
          <w:sz w:val="24"/>
        </w:rPr>
        <w:t>年</w:t>
      </w:r>
      <w:r>
        <w:rPr>
          <w:rFonts w:hint="eastAsia" w:ascii="宋体" w:hAnsi="宋体" w:cs="仿宋_GB2312"/>
          <w:kern w:val="0"/>
          <w:sz w:val="24"/>
          <w:lang w:val="en-US" w:eastAsia="zh-CN"/>
        </w:rPr>
        <w:t xml:space="preserve">    </w:t>
      </w:r>
      <w:r>
        <w:rPr>
          <w:rFonts w:hint="eastAsia" w:ascii="宋体" w:hAnsi="宋体" w:cs="仿宋_GB2312"/>
          <w:kern w:val="0"/>
          <w:sz w:val="24"/>
        </w:rPr>
        <w:t>月</w:t>
      </w:r>
      <w:r>
        <w:rPr>
          <w:rFonts w:hint="eastAsia" w:ascii="宋体" w:hAnsi="宋体" w:cs="仿宋_GB2312"/>
          <w:kern w:val="0"/>
          <w:sz w:val="24"/>
          <w:lang w:val="en-US" w:eastAsia="zh-CN"/>
        </w:rPr>
        <w:t xml:space="preserve">    </w:t>
      </w:r>
      <w:r>
        <w:rPr>
          <w:rFonts w:hint="eastAsia" w:ascii="宋体" w:hAnsi="宋体" w:cs="仿宋_GB2312"/>
          <w:kern w:val="0"/>
          <w:sz w:val="24"/>
        </w:rPr>
        <w:t>日</w:t>
      </w:r>
    </w:p>
    <w:p>
      <w:pPr>
        <w:autoSpaceDE w:val="0"/>
        <w:autoSpaceDN w:val="0"/>
        <w:adjustRightInd w:val="0"/>
        <w:snapToGrid w:val="0"/>
        <w:spacing w:line="360" w:lineRule="auto"/>
        <w:ind w:left="5939" w:leftChars="2828"/>
        <w:jc w:val="left"/>
        <w:rPr>
          <w:rFonts w:hint="eastAsia" w:ascii="宋体" w:hAnsi="宋体" w:cs="仿宋_GB2312"/>
          <w:kern w:val="0"/>
          <w:sz w:val="24"/>
        </w:rPr>
      </w:pPr>
      <w:r>
        <w:rPr>
          <w:rFonts w:hint="eastAsia" w:ascii="宋体" w:hAnsi="宋体" w:cs="仿宋_GB2312"/>
          <w:kern w:val="0"/>
          <w:sz w:val="24"/>
        </w:rPr>
        <w:br w:type="page"/>
      </w:r>
    </w:p>
    <w:p>
      <w:pPr>
        <w:pStyle w:val="425"/>
        <w:spacing w:line="360" w:lineRule="auto"/>
        <w:ind w:firstLine="0" w:firstLineChars="0"/>
        <w:outlineLvl w:val="1"/>
        <w:rPr>
          <w:rFonts w:hint="eastAsia"/>
          <w:b/>
          <w:sz w:val="24"/>
          <w:lang w:val="en-US" w:eastAsia="zh-CN"/>
        </w:rPr>
      </w:pPr>
      <w:r>
        <w:rPr>
          <w:rFonts w:hint="eastAsia"/>
          <w:b/>
          <w:sz w:val="24"/>
          <w:lang w:eastAsia="zh-CN"/>
        </w:rPr>
        <w:t>附件</w:t>
      </w:r>
      <w:r>
        <w:rPr>
          <w:rFonts w:hint="eastAsia"/>
          <w:b/>
          <w:sz w:val="24"/>
          <w:lang w:val="en-US" w:eastAsia="zh-CN"/>
        </w:rPr>
        <w:t>14 谈判文件要求的其他内容以及供应商认为必要的其他内容</w:t>
      </w:r>
    </w:p>
    <w:bookmarkEnd w:id="639"/>
    <w:p/>
    <w:sectPr>
      <w:headerReference r:id="rId3" w:type="default"/>
      <w:footerReference r:id="rId4" w:type="default"/>
      <w:pgSz w:w="11906" w:h="16838"/>
      <w:pgMar w:top="1440" w:right="1247" w:bottom="136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Century">
    <w:panose1 w:val="02040604050505020304"/>
    <w:charset w:val="00"/>
    <w:family w:val="roman"/>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Univers">
    <w:altName w:val="Arial"/>
    <w:panose1 w:val="00000000000000000000"/>
    <w:charset w:val="00"/>
    <w:family w:val="swiss"/>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TimesNewRomanPSMT">
    <w:altName w:val="宋体"/>
    <w:panose1 w:val="00000000000000000000"/>
    <w:charset w:val="00"/>
    <w:family w:val="roman"/>
    <w:pitch w:val="default"/>
    <w:sig w:usb0="00000000" w:usb1="00000000" w:usb2="00000010" w:usb3="00000000" w:csb0="00040001"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firstLine="90" w:firstLineChars="50"/>
      <w:jc w:val="center"/>
    </w:pPr>
    <w:r>
      <w:fldChar w:fldCharType="begin"/>
    </w:r>
    <w:r>
      <w:rPr>
        <w:rStyle w:val="76"/>
      </w:rPr>
      <w:instrText xml:space="preserve"> PAGE </w:instrText>
    </w:r>
    <w:r>
      <w:fldChar w:fldCharType="separate"/>
    </w:r>
    <w:r>
      <w:rPr>
        <w:rStyle w:val="76"/>
      </w:rPr>
      <w:t>69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2594658"/>
    <w:multiLevelType w:val="multilevel"/>
    <w:tmpl w:val="02594658"/>
    <w:lvl w:ilvl="0" w:tentative="0">
      <w:start w:val="1"/>
      <w:numFmt w:val="decimal"/>
      <w:lvlText w:val="（%1）"/>
      <w:lvlJc w:val="left"/>
      <w:pPr>
        <w:ind w:left="779" w:hanging="420"/>
      </w:pPr>
      <w:rPr>
        <w:rFonts w:hint="eastAsia"/>
      </w:rPr>
    </w:lvl>
    <w:lvl w:ilvl="1" w:tentative="0">
      <w:start w:val="1"/>
      <w:numFmt w:val="lowerLetter"/>
      <w:lvlText w:val="%2)"/>
      <w:lvlJc w:val="left"/>
      <w:pPr>
        <w:ind w:left="1199" w:hanging="420"/>
      </w:pPr>
    </w:lvl>
    <w:lvl w:ilvl="2" w:tentative="0">
      <w:start w:val="1"/>
      <w:numFmt w:val="lowerRoman"/>
      <w:lvlText w:val="%3."/>
      <w:lvlJc w:val="right"/>
      <w:pPr>
        <w:ind w:left="1619" w:hanging="420"/>
      </w:pPr>
    </w:lvl>
    <w:lvl w:ilvl="3" w:tentative="0">
      <w:start w:val="1"/>
      <w:numFmt w:val="decimal"/>
      <w:lvlText w:val="%4."/>
      <w:lvlJc w:val="left"/>
      <w:pPr>
        <w:ind w:left="2039" w:hanging="420"/>
      </w:pPr>
    </w:lvl>
    <w:lvl w:ilvl="4" w:tentative="0">
      <w:start w:val="1"/>
      <w:numFmt w:val="lowerLetter"/>
      <w:lvlText w:val="%5)"/>
      <w:lvlJc w:val="left"/>
      <w:pPr>
        <w:ind w:left="2459" w:hanging="420"/>
      </w:pPr>
    </w:lvl>
    <w:lvl w:ilvl="5" w:tentative="0">
      <w:start w:val="1"/>
      <w:numFmt w:val="lowerRoman"/>
      <w:lvlText w:val="%6."/>
      <w:lvlJc w:val="right"/>
      <w:pPr>
        <w:ind w:left="2879" w:hanging="420"/>
      </w:pPr>
    </w:lvl>
    <w:lvl w:ilvl="6" w:tentative="0">
      <w:start w:val="1"/>
      <w:numFmt w:val="decimal"/>
      <w:lvlText w:val="%7."/>
      <w:lvlJc w:val="left"/>
      <w:pPr>
        <w:ind w:left="3299" w:hanging="420"/>
      </w:pPr>
    </w:lvl>
    <w:lvl w:ilvl="7" w:tentative="0">
      <w:start w:val="1"/>
      <w:numFmt w:val="lowerLetter"/>
      <w:lvlText w:val="%8)"/>
      <w:lvlJc w:val="left"/>
      <w:pPr>
        <w:ind w:left="3719" w:hanging="420"/>
      </w:pPr>
    </w:lvl>
    <w:lvl w:ilvl="8" w:tentative="0">
      <w:start w:val="1"/>
      <w:numFmt w:val="lowerRoman"/>
      <w:lvlText w:val="%9."/>
      <w:lvlJc w:val="right"/>
      <w:pPr>
        <w:ind w:left="4139" w:hanging="420"/>
      </w:pPr>
    </w:lvl>
  </w:abstractNum>
  <w:abstractNum w:abstractNumId="2">
    <w:nsid w:val="03754B41"/>
    <w:multiLevelType w:val="multilevel"/>
    <w:tmpl w:val="03754B41"/>
    <w:lvl w:ilvl="0" w:tentative="0">
      <w:start w:val="1"/>
      <w:numFmt w:val="decimal"/>
      <w:lvlText w:val="（%1）"/>
      <w:lvlJc w:val="left"/>
      <w:pPr>
        <w:ind w:left="1499" w:hanging="420"/>
      </w:pPr>
      <w:rPr>
        <w:rFonts w:hint="eastAsia"/>
      </w:rPr>
    </w:lvl>
    <w:lvl w:ilvl="1" w:tentative="0">
      <w:start w:val="1"/>
      <w:numFmt w:val="lowerLetter"/>
      <w:lvlText w:val="%2)"/>
      <w:lvlJc w:val="left"/>
      <w:pPr>
        <w:ind w:left="1919" w:hanging="420"/>
      </w:pPr>
    </w:lvl>
    <w:lvl w:ilvl="2" w:tentative="0">
      <w:start w:val="1"/>
      <w:numFmt w:val="lowerRoman"/>
      <w:lvlText w:val="%3."/>
      <w:lvlJc w:val="right"/>
      <w:pPr>
        <w:ind w:left="2339" w:hanging="420"/>
      </w:pPr>
    </w:lvl>
    <w:lvl w:ilvl="3" w:tentative="0">
      <w:start w:val="1"/>
      <w:numFmt w:val="decimal"/>
      <w:lvlText w:val="%4."/>
      <w:lvlJc w:val="left"/>
      <w:pPr>
        <w:ind w:left="2759" w:hanging="420"/>
      </w:pPr>
    </w:lvl>
    <w:lvl w:ilvl="4" w:tentative="0">
      <w:start w:val="1"/>
      <w:numFmt w:val="lowerLetter"/>
      <w:lvlText w:val="%5)"/>
      <w:lvlJc w:val="left"/>
      <w:pPr>
        <w:ind w:left="3179" w:hanging="420"/>
      </w:pPr>
    </w:lvl>
    <w:lvl w:ilvl="5" w:tentative="0">
      <w:start w:val="1"/>
      <w:numFmt w:val="lowerRoman"/>
      <w:lvlText w:val="%6."/>
      <w:lvlJc w:val="right"/>
      <w:pPr>
        <w:ind w:left="3599" w:hanging="420"/>
      </w:pPr>
    </w:lvl>
    <w:lvl w:ilvl="6" w:tentative="0">
      <w:start w:val="1"/>
      <w:numFmt w:val="decimal"/>
      <w:lvlText w:val="%7."/>
      <w:lvlJc w:val="left"/>
      <w:pPr>
        <w:ind w:left="4019" w:hanging="420"/>
      </w:pPr>
    </w:lvl>
    <w:lvl w:ilvl="7" w:tentative="0">
      <w:start w:val="1"/>
      <w:numFmt w:val="lowerLetter"/>
      <w:lvlText w:val="%8)"/>
      <w:lvlJc w:val="left"/>
      <w:pPr>
        <w:ind w:left="4439" w:hanging="420"/>
      </w:pPr>
    </w:lvl>
    <w:lvl w:ilvl="8" w:tentative="0">
      <w:start w:val="1"/>
      <w:numFmt w:val="lowerRoman"/>
      <w:lvlText w:val="%9."/>
      <w:lvlJc w:val="right"/>
      <w:pPr>
        <w:ind w:left="4859" w:hanging="420"/>
      </w:pPr>
    </w:lvl>
  </w:abstractNum>
  <w:abstractNum w:abstractNumId="3">
    <w:nsid w:val="1644635B"/>
    <w:multiLevelType w:val="multilevel"/>
    <w:tmpl w:val="1644635B"/>
    <w:lvl w:ilvl="0" w:tentative="0">
      <w:start w:val="1"/>
      <w:numFmt w:val="decimal"/>
      <w:lvlText w:val="（%1）"/>
      <w:lvlJc w:val="left"/>
      <w:pPr>
        <w:ind w:left="1499" w:hanging="420"/>
      </w:pPr>
      <w:rPr>
        <w:rFonts w:hint="eastAsia"/>
      </w:rPr>
    </w:lvl>
    <w:lvl w:ilvl="1" w:tentative="0">
      <w:start w:val="1"/>
      <w:numFmt w:val="lowerLetter"/>
      <w:lvlText w:val="%2)"/>
      <w:lvlJc w:val="left"/>
      <w:pPr>
        <w:ind w:left="1919" w:hanging="420"/>
      </w:pPr>
    </w:lvl>
    <w:lvl w:ilvl="2" w:tentative="0">
      <w:start w:val="1"/>
      <w:numFmt w:val="lowerRoman"/>
      <w:lvlText w:val="%3."/>
      <w:lvlJc w:val="right"/>
      <w:pPr>
        <w:ind w:left="2339" w:hanging="420"/>
      </w:pPr>
    </w:lvl>
    <w:lvl w:ilvl="3" w:tentative="0">
      <w:start w:val="1"/>
      <w:numFmt w:val="decimal"/>
      <w:lvlText w:val="%4."/>
      <w:lvlJc w:val="left"/>
      <w:pPr>
        <w:ind w:left="2759" w:hanging="420"/>
      </w:pPr>
    </w:lvl>
    <w:lvl w:ilvl="4" w:tentative="0">
      <w:start w:val="1"/>
      <w:numFmt w:val="lowerLetter"/>
      <w:lvlText w:val="%5)"/>
      <w:lvlJc w:val="left"/>
      <w:pPr>
        <w:ind w:left="3179" w:hanging="420"/>
      </w:pPr>
    </w:lvl>
    <w:lvl w:ilvl="5" w:tentative="0">
      <w:start w:val="1"/>
      <w:numFmt w:val="lowerRoman"/>
      <w:lvlText w:val="%6."/>
      <w:lvlJc w:val="right"/>
      <w:pPr>
        <w:ind w:left="3599" w:hanging="420"/>
      </w:pPr>
    </w:lvl>
    <w:lvl w:ilvl="6" w:tentative="0">
      <w:start w:val="1"/>
      <w:numFmt w:val="decimal"/>
      <w:lvlText w:val="%7."/>
      <w:lvlJc w:val="left"/>
      <w:pPr>
        <w:ind w:left="4019" w:hanging="420"/>
      </w:pPr>
    </w:lvl>
    <w:lvl w:ilvl="7" w:tentative="0">
      <w:start w:val="1"/>
      <w:numFmt w:val="lowerLetter"/>
      <w:lvlText w:val="%8)"/>
      <w:lvlJc w:val="left"/>
      <w:pPr>
        <w:ind w:left="4439" w:hanging="420"/>
      </w:pPr>
    </w:lvl>
    <w:lvl w:ilvl="8" w:tentative="0">
      <w:start w:val="1"/>
      <w:numFmt w:val="lowerRoman"/>
      <w:lvlText w:val="%9."/>
      <w:lvlJc w:val="right"/>
      <w:pPr>
        <w:ind w:left="4859" w:hanging="420"/>
      </w:pPr>
    </w:lvl>
  </w:abstractNum>
  <w:abstractNum w:abstractNumId="4">
    <w:nsid w:val="2B4357F3"/>
    <w:multiLevelType w:val="multilevel"/>
    <w:tmpl w:val="2B4357F3"/>
    <w:lvl w:ilvl="0" w:tentative="0">
      <w:start w:val="1"/>
      <w:numFmt w:val="decimal"/>
      <w:lvlText w:val="（%1）"/>
      <w:lvlJc w:val="left"/>
      <w:pPr>
        <w:ind w:left="1552" w:hanging="420"/>
      </w:pPr>
      <w:rPr>
        <w:rFonts w:hint="eastAsia"/>
      </w:rPr>
    </w:lvl>
    <w:lvl w:ilvl="1" w:tentative="0">
      <w:start w:val="1"/>
      <w:numFmt w:val="decimal"/>
      <w:lvlText w:val="%2"/>
      <w:lvlJc w:val="left"/>
      <w:pPr>
        <w:ind w:left="1912" w:hanging="360"/>
      </w:pPr>
      <w:rPr>
        <w:rFonts w:hint="default"/>
      </w:rPr>
    </w:lvl>
    <w:lvl w:ilvl="2" w:tentative="0">
      <w:start w:val="1"/>
      <w:numFmt w:val="decimal"/>
      <w:lvlText w:val="(%3)"/>
      <w:lvlJc w:val="left"/>
      <w:pPr>
        <w:ind w:left="2557" w:hanging="585"/>
      </w:pPr>
      <w:rPr>
        <w:rFonts w:hint="default"/>
      </w:rPr>
    </w:lvl>
    <w:lvl w:ilvl="3" w:tentative="0">
      <w:start w:val="1"/>
      <w:numFmt w:val="decimal"/>
      <w:lvlText w:val="%4."/>
      <w:lvlJc w:val="left"/>
      <w:pPr>
        <w:ind w:left="2812" w:hanging="420"/>
      </w:pPr>
    </w:lvl>
    <w:lvl w:ilvl="4" w:tentative="0">
      <w:start w:val="1"/>
      <w:numFmt w:val="lowerLetter"/>
      <w:lvlText w:val="%5)"/>
      <w:lvlJc w:val="left"/>
      <w:pPr>
        <w:ind w:left="3232" w:hanging="420"/>
      </w:pPr>
    </w:lvl>
    <w:lvl w:ilvl="5" w:tentative="0">
      <w:start w:val="1"/>
      <w:numFmt w:val="lowerRoman"/>
      <w:lvlText w:val="%6."/>
      <w:lvlJc w:val="right"/>
      <w:pPr>
        <w:ind w:left="3652" w:hanging="420"/>
      </w:pPr>
    </w:lvl>
    <w:lvl w:ilvl="6" w:tentative="0">
      <w:start w:val="1"/>
      <w:numFmt w:val="decimal"/>
      <w:lvlText w:val="%7."/>
      <w:lvlJc w:val="left"/>
      <w:pPr>
        <w:ind w:left="4072" w:hanging="420"/>
      </w:pPr>
    </w:lvl>
    <w:lvl w:ilvl="7" w:tentative="0">
      <w:start w:val="1"/>
      <w:numFmt w:val="lowerLetter"/>
      <w:lvlText w:val="%8)"/>
      <w:lvlJc w:val="left"/>
      <w:pPr>
        <w:ind w:left="4492" w:hanging="420"/>
      </w:pPr>
    </w:lvl>
    <w:lvl w:ilvl="8" w:tentative="0">
      <w:start w:val="1"/>
      <w:numFmt w:val="lowerRoman"/>
      <w:lvlText w:val="%9."/>
      <w:lvlJc w:val="right"/>
      <w:pPr>
        <w:ind w:left="4912" w:hanging="420"/>
      </w:pPr>
    </w:lvl>
  </w:abstractNum>
  <w:abstractNum w:abstractNumId="5">
    <w:nsid w:val="30B84208"/>
    <w:multiLevelType w:val="multilevel"/>
    <w:tmpl w:val="30B8420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65A59B0"/>
    <w:multiLevelType w:val="multilevel"/>
    <w:tmpl w:val="365A59B0"/>
    <w:lvl w:ilvl="0" w:tentative="0">
      <w:start w:val="1"/>
      <w:numFmt w:val="decimal"/>
      <w:lvlText w:val="%1"/>
      <w:lvlJc w:val="left"/>
      <w:pPr>
        <w:tabs>
          <w:tab w:val="left" w:pos="1134"/>
        </w:tabs>
        <w:ind w:left="1134" w:hanging="1134"/>
      </w:pPr>
      <w:rPr>
        <w:rFonts w:hint="eastAsia" w:ascii="宋体" w:eastAsia="宋体"/>
        <w:sz w:val="24"/>
        <w:szCs w:val="24"/>
      </w:rPr>
    </w:lvl>
    <w:lvl w:ilvl="1" w:tentative="0">
      <w:start w:val="1"/>
      <w:numFmt w:val="decimal"/>
      <w:lvlText w:val="%1.%2"/>
      <w:lvlJc w:val="left"/>
      <w:pPr>
        <w:tabs>
          <w:tab w:val="left" w:pos="1134"/>
        </w:tabs>
        <w:ind w:left="1134" w:hanging="1134"/>
      </w:pPr>
      <w:rPr>
        <w:rFonts w:hint="eastAsia" w:ascii="宋体" w:eastAsia="宋体"/>
        <w:color w:val="auto"/>
      </w:rPr>
    </w:lvl>
    <w:lvl w:ilvl="2" w:tentative="0">
      <w:start w:val="1"/>
      <w:numFmt w:val="decimal"/>
      <w:lvlText w:val="%1.%2.%3"/>
      <w:lvlJc w:val="left"/>
      <w:pPr>
        <w:tabs>
          <w:tab w:val="left" w:pos="1134"/>
        </w:tabs>
        <w:ind w:left="1134" w:hanging="1134"/>
      </w:pPr>
      <w:rPr>
        <w:rFonts w:hint="eastAsia" w:ascii="宋体" w:eastAsia="宋体"/>
      </w:rPr>
    </w:lvl>
    <w:lvl w:ilvl="3" w:tentative="0">
      <w:start w:val="1"/>
      <w:numFmt w:val="decimal"/>
      <w:lvlText w:val="%1.%2.%3.%4"/>
      <w:lvlJc w:val="left"/>
      <w:pPr>
        <w:tabs>
          <w:tab w:val="left" w:pos="1021"/>
        </w:tabs>
        <w:ind w:left="1134" w:hanging="1134"/>
      </w:pPr>
      <w:rPr>
        <w:rFonts w:hint="eastAsia"/>
      </w:rPr>
    </w:lvl>
    <w:lvl w:ilvl="4" w:tentative="0">
      <w:start w:val="1"/>
      <w:numFmt w:val="decimal"/>
      <w:lvlText w:val="%1.%2.%3.%4.%5"/>
      <w:lvlJc w:val="left"/>
      <w:pPr>
        <w:tabs>
          <w:tab w:val="left" w:pos="1021"/>
        </w:tabs>
        <w:ind w:left="1134" w:hanging="1134"/>
      </w:pPr>
      <w:rPr>
        <w:rFonts w:hint="eastAsia"/>
      </w:rPr>
    </w:lvl>
    <w:lvl w:ilvl="5" w:tentative="0">
      <w:start w:val="1"/>
      <w:numFmt w:val="decimal"/>
      <w:lvlText w:val="%1.%2.%3.%4.%5.%6."/>
      <w:lvlJc w:val="left"/>
      <w:pPr>
        <w:tabs>
          <w:tab w:val="left" w:pos="1021"/>
        </w:tabs>
        <w:ind w:left="1134" w:hanging="1134"/>
      </w:pPr>
      <w:rPr>
        <w:rFonts w:hint="eastAsia"/>
      </w:rPr>
    </w:lvl>
    <w:lvl w:ilvl="6" w:tentative="0">
      <w:start w:val="1"/>
      <w:numFmt w:val="decimal"/>
      <w:lvlText w:val="%1.%2.%3.%4.%5.%6.%7."/>
      <w:lvlJc w:val="left"/>
      <w:pPr>
        <w:tabs>
          <w:tab w:val="left" w:pos="1021"/>
        </w:tabs>
        <w:ind w:left="1134" w:hanging="1134"/>
      </w:pPr>
      <w:rPr>
        <w:rFonts w:hint="eastAsia"/>
      </w:rPr>
    </w:lvl>
    <w:lvl w:ilvl="7" w:tentative="0">
      <w:start w:val="1"/>
      <w:numFmt w:val="decimal"/>
      <w:lvlText w:val="%1.%2.%3.%4.%5.%6.%7.%8."/>
      <w:lvlJc w:val="left"/>
      <w:pPr>
        <w:tabs>
          <w:tab w:val="left" w:pos="1021"/>
        </w:tabs>
        <w:ind w:left="1134" w:hanging="1134"/>
      </w:pPr>
      <w:rPr>
        <w:rFonts w:hint="eastAsia"/>
      </w:rPr>
    </w:lvl>
    <w:lvl w:ilvl="8" w:tentative="0">
      <w:start w:val="1"/>
      <w:numFmt w:val="decimal"/>
      <w:lvlText w:val="%1.%2.%3.%4.%5.%6.%7.%8.%9."/>
      <w:lvlJc w:val="left"/>
      <w:pPr>
        <w:tabs>
          <w:tab w:val="left" w:pos="1021"/>
        </w:tabs>
        <w:ind w:left="1134" w:hanging="1134"/>
      </w:pPr>
      <w:rPr>
        <w:rFonts w:hint="eastAsia"/>
      </w:rPr>
    </w:lvl>
  </w:abstractNum>
  <w:abstractNum w:abstractNumId="7">
    <w:nsid w:val="396D5C3A"/>
    <w:multiLevelType w:val="multilevel"/>
    <w:tmpl w:val="396D5C3A"/>
    <w:lvl w:ilvl="0" w:tentative="0">
      <w:start w:val="1"/>
      <w:numFmt w:val="decimal"/>
      <w:lvlText w:val="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B19751C"/>
    <w:multiLevelType w:val="multilevel"/>
    <w:tmpl w:val="3B19751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0997425"/>
    <w:multiLevelType w:val="multilevel"/>
    <w:tmpl w:val="4099742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0674329"/>
    <w:multiLevelType w:val="multilevel"/>
    <w:tmpl w:val="5067432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AA8DCB0"/>
    <w:multiLevelType w:val="singleLevel"/>
    <w:tmpl w:val="5AA8DCB0"/>
    <w:lvl w:ilvl="0" w:tentative="0">
      <w:start w:val="1"/>
      <w:numFmt w:val="decimal"/>
      <w:suff w:val="nothing"/>
      <w:lvlText w:val="%1、"/>
      <w:lvlJc w:val="left"/>
    </w:lvl>
  </w:abstractNum>
  <w:abstractNum w:abstractNumId="12">
    <w:nsid w:val="5AAB3475"/>
    <w:multiLevelType w:val="singleLevel"/>
    <w:tmpl w:val="5AAB3475"/>
    <w:lvl w:ilvl="0" w:tentative="0">
      <w:start w:val="1"/>
      <w:numFmt w:val="decimal"/>
      <w:lvlText w:val="%1."/>
      <w:lvlJc w:val="left"/>
      <w:pPr>
        <w:ind w:left="425" w:hanging="425"/>
      </w:pPr>
      <w:rPr>
        <w:rFonts w:hint="default"/>
      </w:rPr>
    </w:lvl>
  </w:abstractNum>
  <w:abstractNum w:abstractNumId="13">
    <w:nsid w:val="5AAB6138"/>
    <w:multiLevelType w:val="multilevel"/>
    <w:tmpl w:val="5AAB6138"/>
    <w:lvl w:ilvl="0" w:tentative="0">
      <w:start w:val="1"/>
      <w:numFmt w:val="decimal"/>
      <w:lvlText w:val="（%1）"/>
      <w:lvlJc w:val="left"/>
      <w:pPr>
        <w:ind w:left="1499" w:hanging="420"/>
      </w:pPr>
      <w:rPr>
        <w:rFonts w:hint="eastAsia"/>
      </w:rPr>
    </w:lvl>
    <w:lvl w:ilvl="1" w:tentative="0">
      <w:start w:val="1"/>
      <w:numFmt w:val="lowerLetter"/>
      <w:lvlText w:val="%2)"/>
      <w:lvlJc w:val="left"/>
      <w:pPr>
        <w:ind w:left="1919" w:hanging="420"/>
      </w:pPr>
    </w:lvl>
    <w:lvl w:ilvl="2" w:tentative="0">
      <w:start w:val="1"/>
      <w:numFmt w:val="lowerRoman"/>
      <w:lvlText w:val="%3."/>
      <w:lvlJc w:val="right"/>
      <w:pPr>
        <w:ind w:left="2339" w:hanging="420"/>
      </w:pPr>
    </w:lvl>
    <w:lvl w:ilvl="3" w:tentative="0">
      <w:start w:val="1"/>
      <w:numFmt w:val="decimal"/>
      <w:lvlText w:val="%4."/>
      <w:lvlJc w:val="left"/>
      <w:pPr>
        <w:ind w:left="2759" w:hanging="420"/>
      </w:pPr>
    </w:lvl>
    <w:lvl w:ilvl="4" w:tentative="0">
      <w:start w:val="1"/>
      <w:numFmt w:val="lowerLetter"/>
      <w:lvlText w:val="%5)"/>
      <w:lvlJc w:val="left"/>
      <w:pPr>
        <w:ind w:left="3179" w:hanging="420"/>
      </w:pPr>
    </w:lvl>
    <w:lvl w:ilvl="5" w:tentative="0">
      <w:start w:val="1"/>
      <w:numFmt w:val="lowerRoman"/>
      <w:lvlText w:val="%6."/>
      <w:lvlJc w:val="right"/>
      <w:pPr>
        <w:ind w:left="3599" w:hanging="420"/>
      </w:pPr>
    </w:lvl>
    <w:lvl w:ilvl="6" w:tentative="0">
      <w:start w:val="1"/>
      <w:numFmt w:val="decimal"/>
      <w:lvlText w:val="%7."/>
      <w:lvlJc w:val="left"/>
      <w:pPr>
        <w:ind w:left="4019" w:hanging="420"/>
      </w:pPr>
    </w:lvl>
    <w:lvl w:ilvl="7" w:tentative="0">
      <w:start w:val="1"/>
      <w:numFmt w:val="lowerLetter"/>
      <w:lvlText w:val="%8)"/>
      <w:lvlJc w:val="left"/>
      <w:pPr>
        <w:ind w:left="4439" w:hanging="420"/>
      </w:pPr>
    </w:lvl>
    <w:lvl w:ilvl="8" w:tentative="0">
      <w:start w:val="1"/>
      <w:numFmt w:val="lowerRoman"/>
      <w:lvlText w:val="%9."/>
      <w:lvlJc w:val="right"/>
      <w:pPr>
        <w:ind w:left="4859" w:hanging="420"/>
      </w:pPr>
    </w:lvl>
  </w:abstractNum>
  <w:abstractNum w:abstractNumId="14">
    <w:nsid w:val="5B615E8C"/>
    <w:multiLevelType w:val="multilevel"/>
    <w:tmpl w:val="5B615E8C"/>
    <w:lvl w:ilvl="0" w:tentative="0">
      <w:start w:val="1"/>
      <w:numFmt w:val="decimal"/>
      <w:lvlText w:val="（%1）"/>
      <w:lvlJc w:val="left"/>
      <w:pPr>
        <w:ind w:left="1554" w:hanging="420"/>
      </w:pPr>
      <w:rPr>
        <w:rFonts w:hint="eastAsia"/>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5">
    <w:nsid w:val="6E8B1197"/>
    <w:multiLevelType w:val="multilevel"/>
    <w:tmpl w:val="6E8B1197"/>
    <w:lvl w:ilvl="0" w:tentative="0">
      <w:start w:val="1"/>
      <w:numFmt w:val="decimal"/>
      <w:lvlText w:val="（%1）"/>
      <w:lvlJc w:val="left"/>
      <w:pPr>
        <w:ind w:left="1554" w:hanging="420"/>
      </w:pPr>
      <w:rPr>
        <w:rFonts w:hint="eastAsia"/>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6">
    <w:nsid w:val="75047303"/>
    <w:multiLevelType w:val="multilevel"/>
    <w:tmpl w:val="75047303"/>
    <w:lvl w:ilvl="0" w:tentative="0">
      <w:start w:val="1"/>
      <w:numFmt w:val="decimal"/>
      <w:lvlText w:val="%1"/>
      <w:lvlJc w:val="left"/>
      <w:pPr>
        <w:tabs>
          <w:tab w:val="left" w:pos="1077"/>
        </w:tabs>
        <w:ind w:left="1077" w:hanging="1077"/>
      </w:pPr>
      <w:rPr>
        <w:rFonts w:hint="eastAsia"/>
      </w:rPr>
    </w:lvl>
    <w:lvl w:ilvl="1" w:tentative="0">
      <w:start w:val="1"/>
      <w:numFmt w:val="decimal"/>
      <w:lvlText w:val="%1.%2"/>
      <w:lvlJc w:val="left"/>
      <w:pPr>
        <w:tabs>
          <w:tab w:val="left" w:pos="1077"/>
        </w:tabs>
        <w:ind w:left="1077" w:hanging="107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77303B58"/>
    <w:multiLevelType w:val="multilevel"/>
    <w:tmpl w:val="77303B58"/>
    <w:lvl w:ilvl="0" w:tentative="0">
      <w:start w:val="1"/>
      <w:numFmt w:val="decimal"/>
      <w:lvlText w:val="（%1）"/>
      <w:lvlJc w:val="left"/>
      <w:pPr>
        <w:ind w:left="1501" w:hanging="420"/>
      </w:pPr>
      <w:rPr>
        <w:rFonts w:hint="eastAsia"/>
      </w:rPr>
    </w:lvl>
    <w:lvl w:ilvl="1" w:tentative="0">
      <w:start w:val="1"/>
      <w:numFmt w:val="lowerLetter"/>
      <w:lvlText w:val="%2)"/>
      <w:lvlJc w:val="left"/>
      <w:pPr>
        <w:ind w:left="1921" w:hanging="420"/>
      </w:pPr>
    </w:lvl>
    <w:lvl w:ilvl="2" w:tentative="0">
      <w:start w:val="1"/>
      <w:numFmt w:val="lowerRoman"/>
      <w:lvlText w:val="%3."/>
      <w:lvlJc w:val="right"/>
      <w:pPr>
        <w:ind w:left="2341" w:hanging="420"/>
      </w:pPr>
    </w:lvl>
    <w:lvl w:ilvl="3" w:tentative="0">
      <w:start w:val="1"/>
      <w:numFmt w:val="decimal"/>
      <w:lvlText w:val="%4."/>
      <w:lvlJc w:val="left"/>
      <w:pPr>
        <w:ind w:left="2761" w:hanging="420"/>
      </w:pPr>
    </w:lvl>
    <w:lvl w:ilvl="4" w:tentative="0">
      <w:start w:val="1"/>
      <w:numFmt w:val="lowerLetter"/>
      <w:lvlText w:val="%5)"/>
      <w:lvlJc w:val="left"/>
      <w:pPr>
        <w:ind w:left="3181" w:hanging="420"/>
      </w:pPr>
    </w:lvl>
    <w:lvl w:ilvl="5" w:tentative="0">
      <w:start w:val="1"/>
      <w:numFmt w:val="lowerRoman"/>
      <w:lvlText w:val="%6."/>
      <w:lvlJc w:val="right"/>
      <w:pPr>
        <w:ind w:left="3601" w:hanging="420"/>
      </w:pPr>
    </w:lvl>
    <w:lvl w:ilvl="6" w:tentative="0">
      <w:start w:val="1"/>
      <w:numFmt w:val="decimal"/>
      <w:lvlText w:val="%7."/>
      <w:lvlJc w:val="left"/>
      <w:pPr>
        <w:ind w:left="4021" w:hanging="420"/>
      </w:pPr>
    </w:lvl>
    <w:lvl w:ilvl="7" w:tentative="0">
      <w:start w:val="1"/>
      <w:numFmt w:val="lowerLetter"/>
      <w:lvlText w:val="%8)"/>
      <w:lvlJc w:val="left"/>
      <w:pPr>
        <w:ind w:left="4441" w:hanging="420"/>
      </w:pPr>
    </w:lvl>
    <w:lvl w:ilvl="8" w:tentative="0">
      <w:start w:val="1"/>
      <w:numFmt w:val="lowerRoman"/>
      <w:lvlText w:val="%9."/>
      <w:lvlJc w:val="right"/>
      <w:pPr>
        <w:ind w:left="4861" w:hanging="420"/>
      </w:pPr>
    </w:lvl>
  </w:abstractNum>
  <w:num w:numId="1">
    <w:abstractNumId w:val="8"/>
  </w:num>
  <w:num w:numId="2">
    <w:abstractNumId w:val="5"/>
  </w:num>
  <w:num w:numId="3">
    <w:abstractNumId w:val="10"/>
  </w:num>
  <w:num w:numId="4">
    <w:abstractNumId w:val="9"/>
  </w:num>
  <w:num w:numId="5">
    <w:abstractNumId w:val="6"/>
  </w:num>
  <w:num w:numId="6">
    <w:abstractNumId w:val="13"/>
  </w:num>
  <w:num w:numId="7">
    <w:abstractNumId w:val="3"/>
  </w:num>
  <w:num w:numId="8">
    <w:abstractNumId w:val="2"/>
  </w:num>
  <w:num w:numId="9">
    <w:abstractNumId w:val="17"/>
  </w:num>
  <w:num w:numId="10">
    <w:abstractNumId w:val="15"/>
  </w:num>
  <w:num w:numId="11">
    <w:abstractNumId w:val="14"/>
  </w:num>
  <w:num w:numId="12">
    <w:abstractNumId w:val="4"/>
  </w:num>
  <w:num w:numId="13">
    <w:abstractNumId w:val="16"/>
  </w:num>
  <w:num w:numId="14">
    <w:abstractNumId w:val="12"/>
  </w:num>
  <w:num w:numId="15">
    <w:abstractNumId w:val="1"/>
  </w:num>
  <w:num w:numId="16">
    <w:abstractNumId w:val="0"/>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884"/>
    <w:rsid w:val="000064FD"/>
    <w:rsid w:val="00014886"/>
    <w:rsid w:val="00021791"/>
    <w:rsid w:val="0002420B"/>
    <w:rsid w:val="00024B32"/>
    <w:rsid w:val="0002749B"/>
    <w:rsid w:val="00032E55"/>
    <w:rsid w:val="000360C5"/>
    <w:rsid w:val="00036A02"/>
    <w:rsid w:val="00036ABD"/>
    <w:rsid w:val="00045687"/>
    <w:rsid w:val="000466B9"/>
    <w:rsid w:val="00051CD8"/>
    <w:rsid w:val="000545A6"/>
    <w:rsid w:val="00061794"/>
    <w:rsid w:val="000877D3"/>
    <w:rsid w:val="00090700"/>
    <w:rsid w:val="000910B5"/>
    <w:rsid w:val="000A1B43"/>
    <w:rsid w:val="000A77EC"/>
    <w:rsid w:val="000B2ECE"/>
    <w:rsid w:val="000D24F2"/>
    <w:rsid w:val="000D44DC"/>
    <w:rsid w:val="000D7CC3"/>
    <w:rsid w:val="000E0668"/>
    <w:rsid w:val="000E5225"/>
    <w:rsid w:val="000F0F18"/>
    <w:rsid w:val="000F14CF"/>
    <w:rsid w:val="000F19F9"/>
    <w:rsid w:val="000F6008"/>
    <w:rsid w:val="00116E9F"/>
    <w:rsid w:val="00117E1C"/>
    <w:rsid w:val="00122931"/>
    <w:rsid w:val="00132B46"/>
    <w:rsid w:val="001356FC"/>
    <w:rsid w:val="00140C76"/>
    <w:rsid w:val="001449F1"/>
    <w:rsid w:val="00150148"/>
    <w:rsid w:val="00155AC7"/>
    <w:rsid w:val="0015764A"/>
    <w:rsid w:val="00161B23"/>
    <w:rsid w:val="001657F0"/>
    <w:rsid w:val="00170AE9"/>
    <w:rsid w:val="0017154F"/>
    <w:rsid w:val="00172691"/>
    <w:rsid w:val="00172A27"/>
    <w:rsid w:val="001736E5"/>
    <w:rsid w:val="00173BDC"/>
    <w:rsid w:val="001807A4"/>
    <w:rsid w:val="00183A91"/>
    <w:rsid w:val="00187E31"/>
    <w:rsid w:val="00190A97"/>
    <w:rsid w:val="001A478E"/>
    <w:rsid w:val="001A720A"/>
    <w:rsid w:val="001B28C3"/>
    <w:rsid w:val="001B352F"/>
    <w:rsid w:val="001B37EE"/>
    <w:rsid w:val="001B42FF"/>
    <w:rsid w:val="001C3BE4"/>
    <w:rsid w:val="001D345D"/>
    <w:rsid w:val="001E28C5"/>
    <w:rsid w:val="001E2C0B"/>
    <w:rsid w:val="001F64A2"/>
    <w:rsid w:val="001F6B92"/>
    <w:rsid w:val="001F7419"/>
    <w:rsid w:val="00210701"/>
    <w:rsid w:val="002145D4"/>
    <w:rsid w:val="002164B3"/>
    <w:rsid w:val="00224FEB"/>
    <w:rsid w:val="00230EA9"/>
    <w:rsid w:val="002314E3"/>
    <w:rsid w:val="00235217"/>
    <w:rsid w:val="00240844"/>
    <w:rsid w:val="002475A0"/>
    <w:rsid w:val="00254724"/>
    <w:rsid w:val="00254AC3"/>
    <w:rsid w:val="00256B42"/>
    <w:rsid w:val="00261ED6"/>
    <w:rsid w:val="00263BCC"/>
    <w:rsid w:val="002647A9"/>
    <w:rsid w:val="00267FF2"/>
    <w:rsid w:val="0028131F"/>
    <w:rsid w:val="00283745"/>
    <w:rsid w:val="00284776"/>
    <w:rsid w:val="00285B68"/>
    <w:rsid w:val="00286A86"/>
    <w:rsid w:val="0029188A"/>
    <w:rsid w:val="002921C8"/>
    <w:rsid w:val="00292C54"/>
    <w:rsid w:val="002953B8"/>
    <w:rsid w:val="002B1649"/>
    <w:rsid w:val="002C644D"/>
    <w:rsid w:val="002D3747"/>
    <w:rsid w:val="002D5449"/>
    <w:rsid w:val="002E1DE9"/>
    <w:rsid w:val="002E2BFC"/>
    <w:rsid w:val="002E367E"/>
    <w:rsid w:val="002E41DD"/>
    <w:rsid w:val="002E762F"/>
    <w:rsid w:val="002F0728"/>
    <w:rsid w:val="003026FB"/>
    <w:rsid w:val="003028BB"/>
    <w:rsid w:val="00304711"/>
    <w:rsid w:val="0030500F"/>
    <w:rsid w:val="003146EF"/>
    <w:rsid w:val="00315889"/>
    <w:rsid w:val="00321174"/>
    <w:rsid w:val="00323BCD"/>
    <w:rsid w:val="0033158D"/>
    <w:rsid w:val="00335F69"/>
    <w:rsid w:val="00341DBA"/>
    <w:rsid w:val="0034523B"/>
    <w:rsid w:val="003477BC"/>
    <w:rsid w:val="0035229C"/>
    <w:rsid w:val="003530E1"/>
    <w:rsid w:val="00362543"/>
    <w:rsid w:val="00366430"/>
    <w:rsid w:val="00370506"/>
    <w:rsid w:val="0037384E"/>
    <w:rsid w:val="00376E5D"/>
    <w:rsid w:val="00376F15"/>
    <w:rsid w:val="00385A09"/>
    <w:rsid w:val="003A1957"/>
    <w:rsid w:val="003A7586"/>
    <w:rsid w:val="003B011B"/>
    <w:rsid w:val="003B2E5F"/>
    <w:rsid w:val="003B3C2D"/>
    <w:rsid w:val="003B5B75"/>
    <w:rsid w:val="003C6299"/>
    <w:rsid w:val="003D2717"/>
    <w:rsid w:val="003D42CA"/>
    <w:rsid w:val="003D7379"/>
    <w:rsid w:val="003D73AF"/>
    <w:rsid w:val="003D7E26"/>
    <w:rsid w:val="003E3951"/>
    <w:rsid w:val="003E4381"/>
    <w:rsid w:val="003E58A3"/>
    <w:rsid w:val="003E7706"/>
    <w:rsid w:val="003F2AD4"/>
    <w:rsid w:val="003F4D90"/>
    <w:rsid w:val="003F7332"/>
    <w:rsid w:val="00402CD3"/>
    <w:rsid w:val="00402EC9"/>
    <w:rsid w:val="00405E36"/>
    <w:rsid w:val="004065CA"/>
    <w:rsid w:val="0040775F"/>
    <w:rsid w:val="0041455B"/>
    <w:rsid w:val="0041555B"/>
    <w:rsid w:val="0043042B"/>
    <w:rsid w:val="004359C5"/>
    <w:rsid w:val="00445AE8"/>
    <w:rsid w:val="0044650A"/>
    <w:rsid w:val="004467FF"/>
    <w:rsid w:val="004525D2"/>
    <w:rsid w:val="0045346F"/>
    <w:rsid w:val="004547CA"/>
    <w:rsid w:val="004553F2"/>
    <w:rsid w:val="00465147"/>
    <w:rsid w:val="00470B99"/>
    <w:rsid w:val="00473845"/>
    <w:rsid w:val="00474734"/>
    <w:rsid w:val="00475291"/>
    <w:rsid w:val="00481A8C"/>
    <w:rsid w:val="0048376F"/>
    <w:rsid w:val="00485494"/>
    <w:rsid w:val="004914C5"/>
    <w:rsid w:val="004A012A"/>
    <w:rsid w:val="004A0EB4"/>
    <w:rsid w:val="004A7870"/>
    <w:rsid w:val="004B1642"/>
    <w:rsid w:val="004B59D8"/>
    <w:rsid w:val="004C1AE3"/>
    <w:rsid w:val="004C41AC"/>
    <w:rsid w:val="004D1631"/>
    <w:rsid w:val="004D53C3"/>
    <w:rsid w:val="004D6328"/>
    <w:rsid w:val="004D79AC"/>
    <w:rsid w:val="004E0CCF"/>
    <w:rsid w:val="004F0462"/>
    <w:rsid w:val="004F6577"/>
    <w:rsid w:val="00501DEC"/>
    <w:rsid w:val="005023D0"/>
    <w:rsid w:val="005032E0"/>
    <w:rsid w:val="00503B66"/>
    <w:rsid w:val="00503F84"/>
    <w:rsid w:val="00512853"/>
    <w:rsid w:val="0051758A"/>
    <w:rsid w:val="00527F7E"/>
    <w:rsid w:val="00530448"/>
    <w:rsid w:val="005356D7"/>
    <w:rsid w:val="005567FA"/>
    <w:rsid w:val="00557B4D"/>
    <w:rsid w:val="00557F7C"/>
    <w:rsid w:val="0056055B"/>
    <w:rsid w:val="00562B2F"/>
    <w:rsid w:val="00567F8D"/>
    <w:rsid w:val="00571DA4"/>
    <w:rsid w:val="0057225A"/>
    <w:rsid w:val="00572980"/>
    <w:rsid w:val="00572C7C"/>
    <w:rsid w:val="00574CFF"/>
    <w:rsid w:val="0058142C"/>
    <w:rsid w:val="005845A6"/>
    <w:rsid w:val="00584A9B"/>
    <w:rsid w:val="00585202"/>
    <w:rsid w:val="00587A18"/>
    <w:rsid w:val="00595777"/>
    <w:rsid w:val="00597881"/>
    <w:rsid w:val="005A073A"/>
    <w:rsid w:val="005B011A"/>
    <w:rsid w:val="005C4199"/>
    <w:rsid w:val="005D017A"/>
    <w:rsid w:val="005D32F6"/>
    <w:rsid w:val="005D36A5"/>
    <w:rsid w:val="005D60C8"/>
    <w:rsid w:val="005D671C"/>
    <w:rsid w:val="005D6FC5"/>
    <w:rsid w:val="005E44EB"/>
    <w:rsid w:val="005E74A5"/>
    <w:rsid w:val="005F0A6A"/>
    <w:rsid w:val="005F1795"/>
    <w:rsid w:val="005F651A"/>
    <w:rsid w:val="005F766E"/>
    <w:rsid w:val="005F7C90"/>
    <w:rsid w:val="00607E35"/>
    <w:rsid w:val="0061430F"/>
    <w:rsid w:val="006154D3"/>
    <w:rsid w:val="00624FF4"/>
    <w:rsid w:val="006301AB"/>
    <w:rsid w:val="0063173C"/>
    <w:rsid w:val="00633CED"/>
    <w:rsid w:val="00635D6B"/>
    <w:rsid w:val="0064028A"/>
    <w:rsid w:val="00645F95"/>
    <w:rsid w:val="00646C38"/>
    <w:rsid w:val="006528C5"/>
    <w:rsid w:val="00657773"/>
    <w:rsid w:val="006616CF"/>
    <w:rsid w:val="00661BFE"/>
    <w:rsid w:val="00663896"/>
    <w:rsid w:val="00663A13"/>
    <w:rsid w:val="00663E62"/>
    <w:rsid w:val="00670196"/>
    <w:rsid w:val="0068272A"/>
    <w:rsid w:val="006847C3"/>
    <w:rsid w:val="00693047"/>
    <w:rsid w:val="006A0E65"/>
    <w:rsid w:val="006B577B"/>
    <w:rsid w:val="006B6AF5"/>
    <w:rsid w:val="006C27AD"/>
    <w:rsid w:val="006D0422"/>
    <w:rsid w:val="006D1382"/>
    <w:rsid w:val="006D1C14"/>
    <w:rsid w:val="006D232D"/>
    <w:rsid w:val="006D64D7"/>
    <w:rsid w:val="006E0699"/>
    <w:rsid w:val="006E2FD9"/>
    <w:rsid w:val="006E577A"/>
    <w:rsid w:val="006F07C3"/>
    <w:rsid w:val="006F3CBF"/>
    <w:rsid w:val="006F3E30"/>
    <w:rsid w:val="006F5A25"/>
    <w:rsid w:val="00706A0A"/>
    <w:rsid w:val="00706FF6"/>
    <w:rsid w:val="007137B9"/>
    <w:rsid w:val="00725E09"/>
    <w:rsid w:val="00730C20"/>
    <w:rsid w:val="00734699"/>
    <w:rsid w:val="00740F39"/>
    <w:rsid w:val="0074396F"/>
    <w:rsid w:val="00744393"/>
    <w:rsid w:val="00747FC1"/>
    <w:rsid w:val="00755DC7"/>
    <w:rsid w:val="0076061D"/>
    <w:rsid w:val="00761467"/>
    <w:rsid w:val="00762BF0"/>
    <w:rsid w:val="0076345B"/>
    <w:rsid w:val="0076507C"/>
    <w:rsid w:val="00774D25"/>
    <w:rsid w:val="00787114"/>
    <w:rsid w:val="00787A20"/>
    <w:rsid w:val="00792AB3"/>
    <w:rsid w:val="00795054"/>
    <w:rsid w:val="007A405D"/>
    <w:rsid w:val="007A6F33"/>
    <w:rsid w:val="007B60FE"/>
    <w:rsid w:val="007B7AF8"/>
    <w:rsid w:val="007C434F"/>
    <w:rsid w:val="007F08AB"/>
    <w:rsid w:val="007F1258"/>
    <w:rsid w:val="007F2688"/>
    <w:rsid w:val="007F26F7"/>
    <w:rsid w:val="00801A79"/>
    <w:rsid w:val="00806CF8"/>
    <w:rsid w:val="008116C7"/>
    <w:rsid w:val="00815537"/>
    <w:rsid w:val="008175F7"/>
    <w:rsid w:val="008218D0"/>
    <w:rsid w:val="008222C2"/>
    <w:rsid w:val="00824286"/>
    <w:rsid w:val="00824A82"/>
    <w:rsid w:val="00826C5B"/>
    <w:rsid w:val="0084251C"/>
    <w:rsid w:val="00843D98"/>
    <w:rsid w:val="008445DA"/>
    <w:rsid w:val="00845EAD"/>
    <w:rsid w:val="00847D2D"/>
    <w:rsid w:val="008514F0"/>
    <w:rsid w:val="00851861"/>
    <w:rsid w:val="00853476"/>
    <w:rsid w:val="00855864"/>
    <w:rsid w:val="00865D98"/>
    <w:rsid w:val="00870DD3"/>
    <w:rsid w:val="0087299B"/>
    <w:rsid w:val="0087663D"/>
    <w:rsid w:val="0088489A"/>
    <w:rsid w:val="008906D3"/>
    <w:rsid w:val="008A4F57"/>
    <w:rsid w:val="008A61E2"/>
    <w:rsid w:val="008B2CDA"/>
    <w:rsid w:val="008B65A2"/>
    <w:rsid w:val="008B7B9D"/>
    <w:rsid w:val="008C566E"/>
    <w:rsid w:val="008D1218"/>
    <w:rsid w:val="008D3815"/>
    <w:rsid w:val="008F3617"/>
    <w:rsid w:val="00901867"/>
    <w:rsid w:val="00912594"/>
    <w:rsid w:val="00916661"/>
    <w:rsid w:val="009172F0"/>
    <w:rsid w:val="009202DF"/>
    <w:rsid w:val="009306D6"/>
    <w:rsid w:val="00953299"/>
    <w:rsid w:val="00954F4C"/>
    <w:rsid w:val="009609A9"/>
    <w:rsid w:val="00965F51"/>
    <w:rsid w:val="0097094A"/>
    <w:rsid w:val="009A124F"/>
    <w:rsid w:val="009B4589"/>
    <w:rsid w:val="009B7283"/>
    <w:rsid w:val="009C156F"/>
    <w:rsid w:val="009C23F4"/>
    <w:rsid w:val="009C390D"/>
    <w:rsid w:val="009D01BE"/>
    <w:rsid w:val="009D04B9"/>
    <w:rsid w:val="009D349B"/>
    <w:rsid w:val="009E2B37"/>
    <w:rsid w:val="009E7388"/>
    <w:rsid w:val="009F0F30"/>
    <w:rsid w:val="009F2521"/>
    <w:rsid w:val="009F78D6"/>
    <w:rsid w:val="00A06D14"/>
    <w:rsid w:val="00A07089"/>
    <w:rsid w:val="00A113B5"/>
    <w:rsid w:val="00A12699"/>
    <w:rsid w:val="00A14C9F"/>
    <w:rsid w:val="00A3737F"/>
    <w:rsid w:val="00A4308A"/>
    <w:rsid w:val="00A43B9C"/>
    <w:rsid w:val="00A531B7"/>
    <w:rsid w:val="00A55A30"/>
    <w:rsid w:val="00A55C35"/>
    <w:rsid w:val="00A6253E"/>
    <w:rsid w:val="00A70EEC"/>
    <w:rsid w:val="00A75654"/>
    <w:rsid w:val="00A80B8C"/>
    <w:rsid w:val="00A84F16"/>
    <w:rsid w:val="00A86FCA"/>
    <w:rsid w:val="00A904C3"/>
    <w:rsid w:val="00A91328"/>
    <w:rsid w:val="00AA19B1"/>
    <w:rsid w:val="00AA36C9"/>
    <w:rsid w:val="00AB20C1"/>
    <w:rsid w:val="00AC4125"/>
    <w:rsid w:val="00AC519C"/>
    <w:rsid w:val="00AC5837"/>
    <w:rsid w:val="00AC627B"/>
    <w:rsid w:val="00AC656D"/>
    <w:rsid w:val="00AD5C18"/>
    <w:rsid w:val="00AE5E31"/>
    <w:rsid w:val="00AF66A3"/>
    <w:rsid w:val="00B1356E"/>
    <w:rsid w:val="00B16EA8"/>
    <w:rsid w:val="00B25B25"/>
    <w:rsid w:val="00B368BA"/>
    <w:rsid w:val="00B40FD3"/>
    <w:rsid w:val="00B41CB9"/>
    <w:rsid w:val="00B454DE"/>
    <w:rsid w:val="00B46CCC"/>
    <w:rsid w:val="00B54455"/>
    <w:rsid w:val="00B5767D"/>
    <w:rsid w:val="00B6070D"/>
    <w:rsid w:val="00B61D54"/>
    <w:rsid w:val="00B661A9"/>
    <w:rsid w:val="00B66CF2"/>
    <w:rsid w:val="00B673AC"/>
    <w:rsid w:val="00B70947"/>
    <w:rsid w:val="00B71A20"/>
    <w:rsid w:val="00B735A7"/>
    <w:rsid w:val="00B7531E"/>
    <w:rsid w:val="00B95180"/>
    <w:rsid w:val="00B9545A"/>
    <w:rsid w:val="00B95F53"/>
    <w:rsid w:val="00BA2B41"/>
    <w:rsid w:val="00BA77A1"/>
    <w:rsid w:val="00BB20C4"/>
    <w:rsid w:val="00BB5E6F"/>
    <w:rsid w:val="00BC12E6"/>
    <w:rsid w:val="00BC1DC7"/>
    <w:rsid w:val="00BC369B"/>
    <w:rsid w:val="00BC47BB"/>
    <w:rsid w:val="00BD5210"/>
    <w:rsid w:val="00BD5734"/>
    <w:rsid w:val="00BD6718"/>
    <w:rsid w:val="00BE191E"/>
    <w:rsid w:val="00BE50D2"/>
    <w:rsid w:val="00BE7B7B"/>
    <w:rsid w:val="00BF23A6"/>
    <w:rsid w:val="00BF3032"/>
    <w:rsid w:val="00C00AC9"/>
    <w:rsid w:val="00C015E0"/>
    <w:rsid w:val="00C02FB3"/>
    <w:rsid w:val="00C034D2"/>
    <w:rsid w:val="00C06974"/>
    <w:rsid w:val="00C1279D"/>
    <w:rsid w:val="00C16D85"/>
    <w:rsid w:val="00C16F94"/>
    <w:rsid w:val="00C25007"/>
    <w:rsid w:val="00C25C7F"/>
    <w:rsid w:val="00C33517"/>
    <w:rsid w:val="00C368F3"/>
    <w:rsid w:val="00C404F6"/>
    <w:rsid w:val="00C4298C"/>
    <w:rsid w:val="00C56397"/>
    <w:rsid w:val="00C574A0"/>
    <w:rsid w:val="00C64A9A"/>
    <w:rsid w:val="00C650D2"/>
    <w:rsid w:val="00C651B7"/>
    <w:rsid w:val="00C76996"/>
    <w:rsid w:val="00C80C92"/>
    <w:rsid w:val="00C96CCC"/>
    <w:rsid w:val="00CA01D6"/>
    <w:rsid w:val="00CA1752"/>
    <w:rsid w:val="00CA557C"/>
    <w:rsid w:val="00CB1791"/>
    <w:rsid w:val="00CB3D19"/>
    <w:rsid w:val="00CC6211"/>
    <w:rsid w:val="00CC6855"/>
    <w:rsid w:val="00CC6FA7"/>
    <w:rsid w:val="00CD18AA"/>
    <w:rsid w:val="00CD21DE"/>
    <w:rsid w:val="00CD5D4B"/>
    <w:rsid w:val="00CD7187"/>
    <w:rsid w:val="00CE1572"/>
    <w:rsid w:val="00CE5BE8"/>
    <w:rsid w:val="00CE798B"/>
    <w:rsid w:val="00CF22AE"/>
    <w:rsid w:val="00CF3913"/>
    <w:rsid w:val="00CF453B"/>
    <w:rsid w:val="00CF70C4"/>
    <w:rsid w:val="00CF73BE"/>
    <w:rsid w:val="00D06A07"/>
    <w:rsid w:val="00D076D6"/>
    <w:rsid w:val="00D10026"/>
    <w:rsid w:val="00D146BA"/>
    <w:rsid w:val="00D17D59"/>
    <w:rsid w:val="00D20508"/>
    <w:rsid w:val="00D21540"/>
    <w:rsid w:val="00D22831"/>
    <w:rsid w:val="00D22CA2"/>
    <w:rsid w:val="00D24418"/>
    <w:rsid w:val="00D249CD"/>
    <w:rsid w:val="00D27CA4"/>
    <w:rsid w:val="00D332EE"/>
    <w:rsid w:val="00D41F14"/>
    <w:rsid w:val="00D46EA1"/>
    <w:rsid w:val="00D50CA3"/>
    <w:rsid w:val="00D61A90"/>
    <w:rsid w:val="00D62952"/>
    <w:rsid w:val="00D62E75"/>
    <w:rsid w:val="00D7120A"/>
    <w:rsid w:val="00D7355D"/>
    <w:rsid w:val="00D91613"/>
    <w:rsid w:val="00D92AE3"/>
    <w:rsid w:val="00D932A5"/>
    <w:rsid w:val="00D94122"/>
    <w:rsid w:val="00D96C61"/>
    <w:rsid w:val="00DA075A"/>
    <w:rsid w:val="00DA172F"/>
    <w:rsid w:val="00DA2AC8"/>
    <w:rsid w:val="00DA2DF9"/>
    <w:rsid w:val="00DA3654"/>
    <w:rsid w:val="00DA6739"/>
    <w:rsid w:val="00DB13AE"/>
    <w:rsid w:val="00DC2062"/>
    <w:rsid w:val="00DC5D25"/>
    <w:rsid w:val="00DD0085"/>
    <w:rsid w:val="00DD4785"/>
    <w:rsid w:val="00DE0050"/>
    <w:rsid w:val="00DE186A"/>
    <w:rsid w:val="00DE29CF"/>
    <w:rsid w:val="00DE34F5"/>
    <w:rsid w:val="00DE391F"/>
    <w:rsid w:val="00DE3C1C"/>
    <w:rsid w:val="00DF432E"/>
    <w:rsid w:val="00E056C2"/>
    <w:rsid w:val="00E07992"/>
    <w:rsid w:val="00E135BD"/>
    <w:rsid w:val="00E13BA0"/>
    <w:rsid w:val="00E161EE"/>
    <w:rsid w:val="00E20B60"/>
    <w:rsid w:val="00E26F83"/>
    <w:rsid w:val="00E311BA"/>
    <w:rsid w:val="00E33153"/>
    <w:rsid w:val="00E352E0"/>
    <w:rsid w:val="00E40F13"/>
    <w:rsid w:val="00E40FC9"/>
    <w:rsid w:val="00E4541C"/>
    <w:rsid w:val="00E51BA1"/>
    <w:rsid w:val="00E54481"/>
    <w:rsid w:val="00E64685"/>
    <w:rsid w:val="00E86299"/>
    <w:rsid w:val="00E87CE8"/>
    <w:rsid w:val="00E90103"/>
    <w:rsid w:val="00E96363"/>
    <w:rsid w:val="00EA11E6"/>
    <w:rsid w:val="00EB0E51"/>
    <w:rsid w:val="00EC3C29"/>
    <w:rsid w:val="00EC5B6A"/>
    <w:rsid w:val="00ED068C"/>
    <w:rsid w:val="00ED0A15"/>
    <w:rsid w:val="00EF0832"/>
    <w:rsid w:val="00EF34F8"/>
    <w:rsid w:val="00F01449"/>
    <w:rsid w:val="00F06583"/>
    <w:rsid w:val="00F13E4D"/>
    <w:rsid w:val="00F207A1"/>
    <w:rsid w:val="00F2127B"/>
    <w:rsid w:val="00F22778"/>
    <w:rsid w:val="00F22969"/>
    <w:rsid w:val="00F22E3C"/>
    <w:rsid w:val="00F356EC"/>
    <w:rsid w:val="00F37220"/>
    <w:rsid w:val="00F42D54"/>
    <w:rsid w:val="00F439E4"/>
    <w:rsid w:val="00F4566F"/>
    <w:rsid w:val="00F51C6D"/>
    <w:rsid w:val="00F547FF"/>
    <w:rsid w:val="00F54D02"/>
    <w:rsid w:val="00F612A4"/>
    <w:rsid w:val="00F70A5E"/>
    <w:rsid w:val="00F72804"/>
    <w:rsid w:val="00F72D0F"/>
    <w:rsid w:val="00F74DC8"/>
    <w:rsid w:val="00F77D36"/>
    <w:rsid w:val="00F90AD8"/>
    <w:rsid w:val="00F90F19"/>
    <w:rsid w:val="00F9435F"/>
    <w:rsid w:val="00F9508E"/>
    <w:rsid w:val="00FA361C"/>
    <w:rsid w:val="00FA7B40"/>
    <w:rsid w:val="00FB284D"/>
    <w:rsid w:val="00FB2CE5"/>
    <w:rsid w:val="00FC1180"/>
    <w:rsid w:val="00FC2B0A"/>
    <w:rsid w:val="00FC43AF"/>
    <w:rsid w:val="00FD13E9"/>
    <w:rsid w:val="00FD144A"/>
    <w:rsid w:val="00FD7A7D"/>
    <w:rsid w:val="00FE40FD"/>
    <w:rsid w:val="00FE6AA0"/>
    <w:rsid w:val="00FF0416"/>
    <w:rsid w:val="00FF1F73"/>
    <w:rsid w:val="00FF556C"/>
    <w:rsid w:val="015E1842"/>
    <w:rsid w:val="016C25C7"/>
    <w:rsid w:val="01C11962"/>
    <w:rsid w:val="01DB2C70"/>
    <w:rsid w:val="01FB5981"/>
    <w:rsid w:val="02022B34"/>
    <w:rsid w:val="02210625"/>
    <w:rsid w:val="025B633C"/>
    <w:rsid w:val="02E66AE4"/>
    <w:rsid w:val="03F418A9"/>
    <w:rsid w:val="04A54EA9"/>
    <w:rsid w:val="04C55C3E"/>
    <w:rsid w:val="054A5E82"/>
    <w:rsid w:val="05914119"/>
    <w:rsid w:val="05984AD4"/>
    <w:rsid w:val="05E77556"/>
    <w:rsid w:val="06CB0B96"/>
    <w:rsid w:val="075D3DD1"/>
    <w:rsid w:val="08B90EB7"/>
    <w:rsid w:val="08C4413A"/>
    <w:rsid w:val="09CB7265"/>
    <w:rsid w:val="09EE6CA0"/>
    <w:rsid w:val="0BEF00E2"/>
    <w:rsid w:val="0C1564DE"/>
    <w:rsid w:val="0CB0685E"/>
    <w:rsid w:val="0CBB1CC9"/>
    <w:rsid w:val="0CC63A71"/>
    <w:rsid w:val="0CD27D85"/>
    <w:rsid w:val="0D492E9A"/>
    <w:rsid w:val="0DED02B5"/>
    <w:rsid w:val="0E8970F5"/>
    <w:rsid w:val="0EED14A4"/>
    <w:rsid w:val="0F614886"/>
    <w:rsid w:val="0F6621B7"/>
    <w:rsid w:val="0F8E3E7A"/>
    <w:rsid w:val="0FC348F6"/>
    <w:rsid w:val="109035CD"/>
    <w:rsid w:val="1103254A"/>
    <w:rsid w:val="11243442"/>
    <w:rsid w:val="11CF5F77"/>
    <w:rsid w:val="1216178E"/>
    <w:rsid w:val="12213FA8"/>
    <w:rsid w:val="1225251C"/>
    <w:rsid w:val="12CE5940"/>
    <w:rsid w:val="13390624"/>
    <w:rsid w:val="139B4BA1"/>
    <w:rsid w:val="13B60C45"/>
    <w:rsid w:val="14882A01"/>
    <w:rsid w:val="148D59EC"/>
    <w:rsid w:val="15167321"/>
    <w:rsid w:val="153C0730"/>
    <w:rsid w:val="15EF09E0"/>
    <w:rsid w:val="16142F4A"/>
    <w:rsid w:val="163D3CF0"/>
    <w:rsid w:val="16544211"/>
    <w:rsid w:val="16CE4D95"/>
    <w:rsid w:val="17193671"/>
    <w:rsid w:val="173B68A8"/>
    <w:rsid w:val="17CC2250"/>
    <w:rsid w:val="17D6045E"/>
    <w:rsid w:val="18191C1A"/>
    <w:rsid w:val="18674BEA"/>
    <w:rsid w:val="18B23B4B"/>
    <w:rsid w:val="18C76185"/>
    <w:rsid w:val="197679BA"/>
    <w:rsid w:val="1A721F7A"/>
    <w:rsid w:val="1A92107F"/>
    <w:rsid w:val="1A926303"/>
    <w:rsid w:val="1ABB7036"/>
    <w:rsid w:val="1BED1B2F"/>
    <w:rsid w:val="1C993C27"/>
    <w:rsid w:val="1DAB5082"/>
    <w:rsid w:val="1DD100D0"/>
    <w:rsid w:val="1E294B47"/>
    <w:rsid w:val="1E4E240A"/>
    <w:rsid w:val="1E7772C1"/>
    <w:rsid w:val="1EA3032D"/>
    <w:rsid w:val="1FD830C9"/>
    <w:rsid w:val="204F6ABB"/>
    <w:rsid w:val="207B5116"/>
    <w:rsid w:val="20E23B37"/>
    <w:rsid w:val="21496422"/>
    <w:rsid w:val="21D46375"/>
    <w:rsid w:val="22515B77"/>
    <w:rsid w:val="22B2303C"/>
    <w:rsid w:val="230A785F"/>
    <w:rsid w:val="23706DFA"/>
    <w:rsid w:val="23F35F2B"/>
    <w:rsid w:val="2495308C"/>
    <w:rsid w:val="24AA4B04"/>
    <w:rsid w:val="24BE0DAC"/>
    <w:rsid w:val="24FE3ADA"/>
    <w:rsid w:val="252E2C1E"/>
    <w:rsid w:val="25A736E1"/>
    <w:rsid w:val="25C935E9"/>
    <w:rsid w:val="262D7099"/>
    <w:rsid w:val="263F58E3"/>
    <w:rsid w:val="2829083D"/>
    <w:rsid w:val="29256442"/>
    <w:rsid w:val="29346D40"/>
    <w:rsid w:val="2966725D"/>
    <w:rsid w:val="297206A8"/>
    <w:rsid w:val="298D51F8"/>
    <w:rsid w:val="2B327826"/>
    <w:rsid w:val="2BEE432F"/>
    <w:rsid w:val="2C00277A"/>
    <w:rsid w:val="2CB86D8A"/>
    <w:rsid w:val="2D816A6E"/>
    <w:rsid w:val="2DB2389D"/>
    <w:rsid w:val="2DBE4734"/>
    <w:rsid w:val="2E512E88"/>
    <w:rsid w:val="2E7858E0"/>
    <w:rsid w:val="2EC9229A"/>
    <w:rsid w:val="2ECD0DFE"/>
    <w:rsid w:val="2ECF4CA5"/>
    <w:rsid w:val="2F287757"/>
    <w:rsid w:val="2F2D509D"/>
    <w:rsid w:val="30523374"/>
    <w:rsid w:val="30775A6B"/>
    <w:rsid w:val="308066F7"/>
    <w:rsid w:val="310D3A9D"/>
    <w:rsid w:val="31347C3B"/>
    <w:rsid w:val="318F2878"/>
    <w:rsid w:val="31EC54B1"/>
    <w:rsid w:val="32117A21"/>
    <w:rsid w:val="32400B72"/>
    <w:rsid w:val="327C4C46"/>
    <w:rsid w:val="32B31C95"/>
    <w:rsid w:val="33CF0220"/>
    <w:rsid w:val="33D53A3F"/>
    <w:rsid w:val="352B6AFF"/>
    <w:rsid w:val="356137EB"/>
    <w:rsid w:val="35870BE8"/>
    <w:rsid w:val="35A2506B"/>
    <w:rsid w:val="35AA236B"/>
    <w:rsid w:val="35D71179"/>
    <w:rsid w:val="360A4CDA"/>
    <w:rsid w:val="365C7002"/>
    <w:rsid w:val="369F695F"/>
    <w:rsid w:val="36E57DBE"/>
    <w:rsid w:val="370A236E"/>
    <w:rsid w:val="371B0FE8"/>
    <w:rsid w:val="37E74776"/>
    <w:rsid w:val="383E746D"/>
    <w:rsid w:val="390600CC"/>
    <w:rsid w:val="39DE024E"/>
    <w:rsid w:val="3ABB2C9B"/>
    <w:rsid w:val="3AFE1FE4"/>
    <w:rsid w:val="3C252E1A"/>
    <w:rsid w:val="3C4A619D"/>
    <w:rsid w:val="3CAF21B5"/>
    <w:rsid w:val="3D4462AD"/>
    <w:rsid w:val="3D5458EA"/>
    <w:rsid w:val="3DC97ABD"/>
    <w:rsid w:val="3DF220C8"/>
    <w:rsid w:val="3E3254E5"/>
    <w:rsid w:val="3F76595D"/>
    <w:rsid w:val="3FD15FB3"/>
    <w:rsid w:val="408E714D"/>
    <w:rsid w:val="40A6333C"/>
    <w:rsid w:val="40BF2F13"/>
    <w:rsid w:val="414E378C"/>
    <w:rsid w:val="41636DBB"/>
    <w:rsid w:val="41710552"/>
    <w:rsid w:val="419B3FAC"/>
    <w:rsid w:val="434002AA"/>
    <w:rsid w:val="43707FA6"/>
    <w:rsid w:val="43EB78AE"/>
    <w:rsid w:val="4434181A"/>
    <w:rsid w:val="44845D06"/>
    <w:rsid w:val="46592B17"/>
    <w:rsid w:val="46911BAA"/>
    <w:rsid w:val="47417E82"/>
    <w:rsid w:val="4773177B"/>
    <w:rsid w:val="47977E9A"/>
    <w:rsid w:val="47D33671"/>
    <w:rsid w:val="47E84FBF"/>
    <w:rsid w:val="47FC7443"/>
    <w:rsid w:val="48042368"/>
    <w:rsid w:val="485F5610"/>
    <w:rsid w:val="48B001DF"/>
    <w:rsid w:val="48CF4605"/>
    <w:rsid w:val="48FE0169"/>
    <w:rsid w:val="4A236F35"/>
    <w:rsid w:val="4A406311"/>
    <w:rsid w:val="4A5D78A0"/>
    <w:rsid w:val="4A922C20"/>
    <w:rsid w:val="4B081E7E"/>
    <w:rsid w:val="4BE82694"/>
    <w:rsid w:val="4BF36495"/>
    <w:rsid w:val="4BFA5AE7"/>
    <w:rsid w:val="4C9A6388"/>
    <w:rsid w:val="4D4F7D5E"/>
    <w:rsid w:val="4D6C2D05"/>
    <w:rsid w:val="4DA231F0"/>
    <w:rsid w:val="4E235986"/>
    <w:rsid w:val="4E6D2BB6"/>
    <w:rsid w:val="4EAF79B8"/>
    <w:rsid w:val="4ED1389E"/>
    <w:rsid w:val="4F124E97"/>
    <w:rsid w:val="4F745C45"/>
    <w:rsid w:val="4FCB0696"/>
    <w:rsid w:val="4FD41DEF"/>
    <w:rsid w:val="4FE355E6"/>
    <w:rsid w:val="4FF21938"/>
    <w:rsid w:val="5011414B"/>
    <w:rsid w:val="508C61A1"/>
    <w:rsid w:val="513B5C76"/>
    <w:rsid w:val="52096481"/>
    <w:rsid w:val="52654C76"/>
    <w:rsid w:val="52A6300A"/>
    <w:rsid w:val="52E178E0"/>
    <w:rsid w:val="5394276A"/>
    <w:rsid w:val="53A37386"/>
    <w:rsid w:val="54786441"/>
    <w:rsid w:val="54A37382"/>
    <w:rsid w:val="54BB3E9C"/>
    <w:rsid w:val="54BD10F9"/>
    <w:rsid w:val="56773088"/>
    <w:rsid w:val="56872A22"/>
    <w:rsid w:val="569A47A8"/>
    <w:rsid w:val="57014CA6"/>
    <w:rsid w:val="57312E3A"/>
    <w:rsid w:val="574B60FA"/>
    <w:rsid w:val="579748CE"/>
    <w:rsid w:val="57A34451"/>
    <w:rsid w:val="57C11CAC"/>
    <w:rsid w:val="58BD2098"/>
    <w:rsid w:val="58C61E79"/>
    <w:rsid w:val="59B12978"/>
    <w:rsid w:val="59CF042F"/>
    <w:rsid w:val="5A3431DE"/>
    <w:rsid w:val="5A3F302F"/>
    <w:rsid w:val="5AA03808"/>
    <w:rsid w:val="5AAB5107"/>
    <w:rsid w:val="5B730CA8"/>
    <w:rsid w:val="5B7761B0"/>
    <w:rsid w:val="5BF3322A"/>
    <w:rsid w:val="5BF8126D"/>
    <w:rsid w:val="5C1A0834"/>
    <w:rsid w:val="5C65291D"/>
    <w:rsid w:val="5C942044"/>
    <w:rsid w:val="5CBF07AB"/>
    <w:rsid w:val="5CCE2A56"/>
    <w:rsid w:val="5D383310"/>
    <w:rsid w:val="5D452F43"/>
    <w:rsid w:val="5D97175F"/>
    <w:rsid w:val="5DB13A08"/>
    <w:rsid w:val="5DC002AB"/>
    <w:rsid w:val="5DDA11DB"/>
    <w:rsid w:val="5DF66876"/>
    <w:rsid w:val="5EBB7D14"/>
    <w:rsid w:val="5F107C3F"/>
    <w:rsid w:val="5F3C5A9F"/>
    <w:rsid w:val="5F43024C"/>
    <w:rsid w:val="5F790C56"/>
    <w:rsid w:val="5F811D37"/>
    <w:rsid w:val="5FA1741F"/>
    <w:rsid w:val="60A96B43"/>
    <w:rsid w:val="60C26423"/>
    <w:rsid w:val="60EC6DF3"/>
    <w:rsid w:val="60EF5890"/>
    <w:rsid w:val="617E52E2"/>
    <w:rsid w:val="61B800DA"/>
    <w:rsid w:val="628F69C5"/>
    <w:rsid w:val="62993A7C"/>
    <w:rsid w:val="62FD36ED"/>
    <w:rsid w:val="63276B7D"/>
    <w:rsid w:val="637555FC"/>
    <w:rsid w:val="645417EB"/>
    <w:rsid w:val="64AB5CF7"/>
    <w:rsid w:val="65160B9B"/>
    <w:rsid w:val="65165661"/>
    <w:rsid w:val="65B42C46"/>
    <w:rsid w:val="666E4E7C"/>
    <w:rsid w:val="67DF0A57"/>
    <w:rsid w:val="68186BC2"/>
    <w:rsid w:val="68AA3610"/>
    <w:rsid w:val="68CE54C2"/>
    <w:rsid w:val="69274557"/>
    <w:rsid w:val="69A81316"/>
    <w:rsid w:val="6A682879"/>
    <w:rsid w:val="6A696279"/>
    <w:rsid w:val="6A8955C1"/>
    <w:rsid w:val="6AB94177"/>
    <w:rsid w:val="6BA35B72"/>
    <w:rsid w:val="6BC3143A"/>
    <w:rsid w:val="6BCB694A"/>
    <w:rsid w:val="6D2B74B3"/>
    <w:rsid w:val="6DF23D56"/>
    <w:rsid w:val="6E343FC5"/>
    <w:rsid w:val="6E7F019A"/>
    <w:rsid w:val="6E8505CD"/>
    <w:rsid w:val="6EE45779"/>
    <w:rsid w:val="6EEC0419"/>
    <w:rsid w:val="6F5F366D"/>
    <w:rsid w:val="6FB414F9"/>
    <w:rsid w:val="6FE76383"/>
    <w:rsid w:val="7020137A"/>
    <w:rsid w:val="707117B7"/>
    <w:rsid w:val="70DB5380"/>
    <w:rsid w:val="70E214EE"/>
    <w:rsid w:val="71484198"/>
    <w:rsid w:val="71484277"/>
    <w:rsid w:val="717763E0"/>
    <w:rsid w:val="719F67A9"/>
    <w:rsid w:val="71A039CA"/>
    <w:rsid w:val="72720DA8"/>
    <w:rsid w:val="728237ED"/>
    <w:rsid w:val="72D964EB"/>
    <w:rsid w:val="751A48A4"/>
    <w:rsid w:val="752D2605"/>
    <w:rsid w:val="75C36266"/>
    <w:rsid w:val="76037B74"/>
    <w:rsid w:val="78650DEF"/>
    <w:rsid w:val="788E737B"/>
    <w:rsid w:val="78D55489"/>
    <w:rsid w:val="78D93E53"/>
    <w:rsid w:val="79D305F5"/>
    <w:rsid w:val="7A3331F8"/>
    <w:rsid w:val="7AF156D3"/>
    <w:rsid w:val="7B793006"/>
    <w:rsid w:val="7BD35234"/>
    <w:rsid w:val="7C10732E"/>
    <w:rsid w:val="7C4161AE"/>
    <w:rsid w:val="7CCE3A4D"/>
    <w:rsid w:val="7D4A641F"/>
    <w:rsid w:val="7D994AF3"/>
    <w:rsid w:val="7DB6029F"/>
    <w:rsid w:val="7DF72A58"/>
    <w:rsid w:val="7E2A21C6"/>
    <w:rsid w:val="7E2D2649"/>
    <w:rsid w:val="7EE965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semiHidden="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name="table of authorities"/>
    <w:lsdException w:qFormat="1" w:unhideWhenUsed="0" w:uiPriority="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0" w:semiHidden="0" w:name="Hyperlink"/>
    <w:lsdException w:qFormat="1" w:uiPriority="0"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qFormat="1" w:unhideWhenUsed="0" w:uiPriority="99" w:semiHidden="0" w:name="HTML Preformatted"/>
    <w:lsdException w:uiPriority="99" w:name="HTML Sample"/>
    <w:lsdException w:qFormat="1" w:unhideWhenUsed="0" w:uiPriority="0" w:semiHidden="0" w:name="HTML Typewriter"/>
    <w:lsdException w:qFormat="1"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0"/>
    <w:qFormat/>
    <w:uiPriority w:val="0"/>
    <w:pPr>
      <w:keepNext/>
      <w:keepLines/>
      <w:tabs>
        <w:tab w:val="left" w:pos="1440"/>
      </w:tabs>
      <w:spacing w:before="340" w:after="330" w:line="576" w:lineRule="auto"/>
      <w:ind w:left="432" w:hanging="432"/>
      <w:outlineLvl w:val="0"/>
    </w:pPr>
    <w:rPr>
      <w:b/>
      <w:bCs/>
      <w:kern w:val="44"/>
      <w:sz w:val="44"/>
      <w:szCs w:val="44"/>
    </w:rPr>
  </w:style>
  <w:style w:type="paragraph" w:styleId="3">
    <w:name w:val="heading 2"/>
    <w:basedOn w:val="1"/>
    <w:next w:val="1"/>
    <w:link w:val="125"/>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189"/>
    <w:qFormat/>
    <w:uiPriority w:val="0"/>
    <w:pPr>
      <w:keepNext/>
      <w:keepLines/>
      <w:spacing w:before="260" w:after="260" w:line="416" w:lineRule="auto"/>
      <w:outlineLvl w:val="2"/>
    </w:pPr>
    <w:rPr>
      <w:b/>
      <w:bCs/>
      <w:sz w:val="32"/>
      <w:szCs w:val="32"/>
    </w:rPr>
  </w:style>
  <w:style w:type="paragraph" w:styleId="5">
    <w:name w:val="heading 4"/>
    <w:basedOn w:val="1"/>
    <w:next w:val="1"/>
    <w:link w:val="115"/>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45"/>
    <w:qFormat/>
    <w:uiPriority w:val="0"/>
    <w:pPr>
      <w:keepNext/>
      <w:keepLines/>
      <w:tabs>
        <w:tab w:val="left" w:pos="1008"/>
      </w:tabs>
      <w:spacing w:before="280" w:after="290" w:line="372" w:lineRule="auto"/>
      <w:ind w:left="1008" w:hanging="1008"/>
      <w:outlineLvl w:val="4"/>
    </w:pPr>
    <w:rPr>
      <w:b/>
      <w:sz w:val="28"/>
      <w:szCs w:val="20"/>
    </w:rPr>
  </w:style>
  <w:style w:type="paragraph" w:styleId="7">
    <w:name w:val="heading 6"/>
    <w:basedOn w:val="1"/>
    <w:next w:val="1"/>
    <w:link w:val="191"/>
    <w:qFormat/>
    <w:uiPriority w:val="0"/>
    <w:pPr>
      <w:keepNext/>
      <w:keepLines/>
      <w:tabs>
        <w:tab w:val="left" w:pos="1152"/>
      </w:tabs>
      <w:spacing w:before="240" w:after="64" w:line="317" w:lineRule="auto"/>
      <w:ind w:left="1152" w:hanging="1152"/>
      <w:outlineLvl w:val="5"/>
    </w:pPr>
    <w:rPr>
      <w:rFonts w:ascii="Arial" w:hAnsi="Arial" w:eastAsia="黑体"/>
      <w:b/>
      <w:sz w:val="24"/>
      <w:szCs w:val="20"/>
    </w:rPr>
  </w:style>
  <w:style w:type="paragraph" w:styleId="8">
    <w:name w:val="heading 7"/>
    <w:basedOn w:val="1"/>
    <w:next w:val="1"/>
    <w:link w:val="172"/>
    <w:qFormat/>
    <w:uiPriority w:val="0"/>
    <w:pPr>
      <w:keepNext/>
      <w:keepLines/>
      <w:tabs>
        <w:tab w:val="left" w:pos="1296"/>
      </w:tabs>
      <w:spacing w:before="240" w:after="64" w:line="317" w:lineRule="auto"/>
      <w:ind w:left="1296" w:hanging="1296"/>
      <w:outlineLvl w:val="6"/>
    </w:pPr>
    <w:rPr>
      <w:b/>
      <w:sz w:val="24"/>
      <w:szCs w:val="20"/>
    </w:rPr>
  </w:style>
  <w:style w:type="paragraph" w:styleId="9">
    <w:name w:val="heading 8"/>
    <w:basedOn w:val="1"/>
    <w:next w:val="1"/>
    <w:link w:val="158"/>
    <w:qFormat/>
    <w:uiPriority w:val="0"/>
    <w:pPr>
      <w:keepNext/>
      <w:keepLines/>
      <w:tabs>
        <w:tab w:val="left" w:pos="1440"/>
      </w:tabs>
      <w:spacing w:before="240" w:after="64" w:line="317" w:lineRule="auto"/>
      <w:ind w:left="1440" w:hanging="1440"/>
      <w:outlineLvl w:val="7"/>
    </w:pPr>
    <w:rPr>
      <w:rFonts w:ascii="Arial" w:hAnsi="Arial" w:eastAsia="黑体"/>
      <w:sz w:val="24"/>
      <w:szCs w:val="20"/>
    </w:rPr>
  </w:style>
  <w:style w:type="paragraph" w:styleId="10">
    <w:name w:val="heading 9"/>
    <w:basedOn w:val="1"/>
    <w:next w:val="1"/>
    <w:link w:val="93"/>
    <w:qFormat/>
    <w:uiPriority w:val="0"/>
    <w:pPr>
      <w:keepNext/>
      <w:keepLines/>
      <w:tabs>
        <w:tab w:val="left" w:pos="1584"/>
      </w:tabs>
      <w:spacing w:before="240" w:after="64" w:line="317" w:lineRule="auto"/>
      <w:ind w:left="1584" w:hanging="1584"/>
      <w:outlineLvl w:val="8"/>
    </w:pPr>
    <w:rPr>
      <w:rFonts w:ascii="Arial" w:hAnsi="Arial" w:eastAsia="黑体"/>
      <w:szCs w:val="20"/>
    </w:rPr>
  </w:style>
  <w:style w:type="character" w:default="1" w:styleId="73">
    <w:name w:val="Default Paragraph Font"/>
    <w:semiHidden/>
    <w:unhideWhenUsed/>
    <w:qFormat/>
    <w:uiPriority w:val="1"/>
  </w:style>
  <w:style w:type="table" w:default="1" w:styleId="87">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00"/>
    <w:unhideWhenUsed/>
    <w:qFormat/>
    <w:uiPriority w:val="0"/>
    <w:rPr>
      <w:b/>
      <w:bCs/>
    </w:rPr>
  </w:style>
  <w:style w:type="paragraph" w:styleId="12">
    <w:name w:val="annotation text"/>
    <w:basedOn w:val="1"/>
    <w:link w:val="101"/>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Body Text First Indent"/>
    <w:basedOn w:val="1"/>
    <w:link w:val="160"/>
    <w:qFormat/>
    <w:uiPriority w:val="0"/>
    <w:pPr>
      <w:tabs>
        <w:tab w:val="left" w:pos="360"/>
      </w:tabs>
      <w:spacing w:line="220" w:lineRule="exact"/>
      <w:ind w:left="360" w:hanging="360" w:firstLineChars="200"/>
      <w:jc w:val="left"/>
    </w:pPr>
    <w:rPr>
      <w:color w:val="7030A0"/>
    </w:rPr>
  </w:style>
  <w:style w:type="paragraph" w:styleId="15">
    <w:name w:val="List Number 2"/>
    <w:basedOn w:val="1"/>
    <w:qFormat/>
    <w:uiPriority w:val="0"/>
    <w:pPr>
      <w:tabs>
        <w:tab w:val="left" w:pos="780"/>
      </w:tabs>
      <w:spacing w:line="360" w:lineRule="auto"/>
      <w:ind w:left="780" w:hanging="360"/>
      <w:jc w:val="left"/>
    </w:pPr>
    <w:rPr>
      <w:rFonts w:ascii="宋体" w:hAnsi="宋体"/>
      <w:color w:val="7030A0"/>
      <w:sz w:val="24"/>
      <w:szCs w:val="20"/>
    </w:rPr>
  </w:style>
  <w:style w:type="paragraph" w:styleId="16">
    <w:name w:val="table of authorities"/>
    <w:basedOn w:val="1"/>
    <w:next w:val="1"/>
    <w:semiHidden/>
    <w:qFormat/>
    <w:uiPriority w:val="0"/>
    <w:pPr>
      <w:spacing w:line="480" w:lineRule="exact"/>
      <w:ind w:left="420" w:leftChars="200" w:firstLine="200" w:firstLineChars="200"/>
      <w:jc w:val="left"/>
    </w:pPr>
    <w:rPr>
      <w:color w:val="7030A0"/>
      <w:sz w:val="24"/>
    </w:rPr>
  </w:style>
  <w:style w:type="paragraph" w:styleId="17">
    <w:name w:val="macro"/>
    <w:link w:val="122"/>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8">
    <w:name w:val="List Bullet 4"/>
    <w:basedOn w:val="1"/>
    <w:qFormat/>
    <w:uiPriority w:val="0"/>
    <w:pPr>
      <w:tabs>
        <w:tab w:val="left" w:pos="1620"/>
      </w:tabs>
      <w:spacing w:line="360" w:lineRule="auto"/>
      <w:ind w:left="1620" w:hanging="360"/>
      <w:jc w:val="left"/>
    </w:pPr>
    <w:rPr>
      <w:rFonts w:ascii="宋体" w:hAnsi="宋体"/>
      <w:color w:val="7030A0"/>
      <w:sz w:val="24"/>
      <w:szCs w:val="20"/>
    </w:rPr>
  </w:style>
  <w:style w:type="paragraph" w:styleId="19">
    <w:name w:val="index 8"/>
    <w:basedOn w:val="1"/>
    <w:next w:val="1"/>
    <w:semiHidden/>
    <w:qFormat/>
    <w:uiPriority w:val="0"/>
    <w:pPr>
      <w:spacing w:line="480" w:lineRule="exact"/>
      <w:ind w:left="1400" w:leftChars="1400" w:firstLine="200" w:firstLineChars="200"/>
      <w:jc w:val="left"/>
    </w:pPr>
    <w:rPr>
      <w:color w:val="7030A0"/>
      <w:sz w:val="24"/>
    </w:rPr>
  </w:style>
  <w:style w:type="paragraph" w:styleId="20">
    <w:name w:val="List Number"/>
    <w:basedOn w:val="1"/>
    <w:qFormat/>
    <w:uiPriority w:val="0"/>
    <w:pPr>
      <w:tabs>
        <w:tab w:val="left" w:pos="360"/>
      </w:tabs>
      <w:spacing w:line="360" w:lineRule="auto"/>
      <w:ind w:left="360" w:hanging="360"/>
      <w:jc w:val="left"/>
    </w:pPr>
    <w:rPr>
      <w:rFonts w:ascii="宋体" w:hAnsi="宋体"/>
      <w:color w:val="7030A0"/>
      <w:sz w:val="24"/>
      <w:szCs w:val="20"/>
    </w:rPr>
  </w:style>
  <w:style w:type="paragraph" w:styleId="21">
    <w:name w:val="Normal Indent"/>
    <w:basedOn w:val="1"/>
    <w:link w:val="111"/>
    <w:qFormat/>
    <w:uiPriority w:val="0"/>
    <w:pPr>
      <w:autoSpaceDE w:val="0"/>
      <w:autoSpaceDN w:val="0"/>
      <w:adjustRightInd w:val="0"/>
      <w:spacing w:line="360" w:lineRule="atLeast"/>
      <w:ind w:firstLine="420"/>
      <w:textAlignment w:val="baseline"/>
    </w:pPr>
    <w:rPr>
      <w:rFonts w:ascii="宋体"/>
      <w:kern w:val="0"/>
      <w:sz w:val="24"/>
      <w:szCs w:val="20"/>
    </w:rPr>
  </w:style>
  <w:style w:type="paragraph" w:styleId="22">
    <w:name w:val="caption"/>
    <w:basedOn w:val="1"/>
    <w:next w:val="1"/>
    <w:link w:val="143"/>
    <w:qFormat/>
    <w:uiPriority w:val="0"/>
    <w:pPr>
      <w:ind w:firstLine="6290" w:firstLineChars="2282"/>
    </w:pPr>
    <w:rPr>
      <w:b/>
      <w:bCs/>
      <w:color w:val="000080"/>
      <w:sz w:val="28"/>
    </w:rPr>
  </w:style>
  <w:style w:type="paragraph" w:styleId="23">
    <w:name w:val="index 5"/>
    <w:basedOn w:val="1"/>
    <w:next w:val="1"/>
    <w:semiHidden/>
    <w:qFormat/>
    <w:uiPriority w:val="0"/>
    <w:pPr>
      <w:spacing w:line="480" w:lineRule="exact"/>
      <w:ind w:left="800" w:leftChars="800" w:firstLine="200" w:firstLineChars="200"/>
      <w:jc w:val="left"/>
    </w:pPr>
    <w:rPr>
      <w:color w:val="7030A0"/>
      <w:sz w:val="24"/>
    </w:rPr>
  </w:style>
  <w:style w:type="paragraph" w:styleId="24">
    <w:name w:val="List Bullet"/>
    <w:basedOn w:val="1"/>
    <w:qFormat/>
    <w:uiPriority w:val="0"/>
    <w:pPr>
      <w:tabs>
        <w:tab w:val="left" w:pos="360"/>
      </w:tabs>
      <w:spacing w:line="360" w:lineRule="auto"/>
      <w:ind w:left="360" w:hanging="360"/>
      <w:jc w:val="left"/>
    </w:pPr>
    <w:rPr>
      <w:rFonts w:ascii="宋体" w:hAnsi="宋体"/>
      <w:color w:val="7030A0"/>
      <w:sz w:val="24"/>
      <w:szCs w:val="20"/>
    </w:rPr>
  </w:style>
  <w:style w:type="paragraph" w:styleId="25">
    <w:name w:val="Document Map"/>
    <w:basedOn w:val="1"/>
    <w:link w:val="192"/>
    <w:unhideWhenUsed/>
    <w:qFormat/>
    <w:uiPriority w:val="0"/>
    <w:rPr>
      <w:rFonts w:ascii="宋体"/>
      <w:sz w:val="18"/>
      <w:szCs w:val="18"/>
    </w:rPr>
  </w:style>
  <w:style w:type="paragraph" w:styleId="26">
    <w:name w:val="toa heading"/>
    <w:basedOn w:val="1"/>
    <w:next w:val="1"/>
    <w:qFormat/>
    <w:uiPriority w:val="0"/>
    <w:pPr>
      <w:spacing w:before="120"/>
    </w:pPr>
    <w:rPr>
      <w:rFonts w:ascii="Arial" w:hAnsi="Arial" w:cs="Arial"/>
      <w:sz w:val="24"/>
    </w:rPr>
  </w:style>
  <w:style w:type="paragraph" w:styleId="27">
    <w:name w:val="index 6"/>
    <w:basedOn w:val="1"/>
    <w:next w:val="1"/>
    <w:semiHidden/>
    <w:qFormat/>
    <w:uiPriority w:val="0"/>
    <w:pPr>
      <w:spacing w:line="480" w:lineRule="exact"/>
      <w:ind w:left="1000" w:leftChars="1000" w:firstLine="200" w:firstLineChars="200"/>
      <w:jc w:val="left"/>
    </w:pPr>
    <w:rPr>
      <w:color w:val="7030A0"/>
      <w:sz w:val="24"/>
    </w:rPr>
  </w:style>
  <w:style w:type="paragraph" w:styleId="28">
    <w:name w:val="Salutation"/>
    <w:basedOn w:val="1"/>
    <w:next w:val="1"/>
    <w:link w:val="94"/>
    <w:qFormat/>
    <w:uiPriority w:val="0"/>
    <w:rPr>
      <w:sz w:val="24"/>
      <w:szCs w:val="20"/>
    </w:rPr>
  </w:style>
  <w:style w:type="paragraph" w:styleId="29">
    <w:name w:val="Body Text 3"/>
    <w:basedOn w:val="1"/>
    <w:link w:val="108"/>
    <w:qFormat/>
    <w:uiPriority w:val="0"/>
    <w:pPr>
      <w:spacing w:after="120"/>
    </w:pPr>
    <w:rPr>
      <w:sz w:val="16"/>
      <w:szCs w:val="16"/>
    </w:rPr>
  </w:style>
  <w:style w:type="paragraph" w:styleId="30">
    <w:name w:val="List Bullet 3"/>
    <w:basedOn w:val="1"/>
    <w:qFormat/>
    <w:uiPriority w:val="0"/>
    <w:pPr>
      <w:tabs>
        <w:tab w:val="left" w:pos="775"/>
      </w:tabs>
      <w:spacing w:line="360" w:lineRule="auto"/>
      <w:ind w:left="775" w:hanging="360"/>
    </w:pPr>
    <w:rPr>
      <w:kern w:val="0"/>
    </w:rPr>
  </w:style>
  <w:style w:type="paragraph" w:styleId="31">
    <w:name w:val="Body Text"/>
    <w:basedOn w:val="1"/>
    <w:link w:val="161"/>
    <w:qFormat/>
    <w:uiPriority w:val="0"/>
    <w:pPr>
      <w:spacing w:line="360" w:lineRule="auto"/>
    </w:pPr>
    <w:rPr>
      <w:sz w:val="24"/>
      <w:szCs w:val="20"/>
    </w:rPr>
  </w:style>
  <w:style w:type="paragraph" w:styleId="32">
    <w:name w:val="Body Text Indent"/>
    <w:basedOn w:val="1"/>
    <w:link w:val="180"/>
    <w:qFormat/>
    <w:uiPriority w:val="0"/>
    <w:pPr>
      <w:spacing w:line="360" w:lineRule="auto"/>
    </w:pPr>
    <w:rPr>
      <w:rFonts w:ascii="宋体"/>
      <w:szCs w:val="20"/>
    </w:rPr>
  </w:style>
  <w:style w:type="paragraph" w:styleId="33">
    <w:name w:val="List Number 3"/>
    <w:basedOn w:val="1"/>
    <w:qFormat/>
    <w:uiPriority w:val="0"/>
    <w:pPr>
      <w:tabs>
        <w:tab w:val="left" w:pos="1200"/>
      </w:tabs>
      <w:spacing w:line="360" w:lineRule="auto"/>
      <w:ind w:left="1200" w:hanging="360"/>
      <w:jc w:val="left"/>
    </w:pPr>
    <w:rPr>
      <w:rFonts w:ascii="宋体" w:hAnsi="宋体"/>
      <w:color w:val="7030A0"/>
      <w:sz w:val="24"/>
      <w:szCs w:val="20"/>
    </w:rPr>
  </w:style>
  <w:style w:type="paragraph" w:styleId="34">
    <w:name w:val="List 2"/>
    <w:basedOn w:val="1"/>
    <w:qFormat/>
    <w:uiPriority w:val="0"/>
    <w:pPr>
      <w:widowControl/>
      <w:ind w:left="840" w:hanging="420"/>
      <w:jc w:val="left"/>
    </w:pPr>
    <w:rPr>
      <w:rFonts w:ascii="宋体"/>
      <w:kern w:val="0"/>
      <w:sz w:val="22"/>
      <w:szCs w:val="20"/>
    </w:rPr>
  </w:style>
  <w:style w:type="paragraph" w:styleId="35">
    <w:name w:val="List Continue"/>
    <w:basedOn w:val="1"/>
    <w:qFormat/>
    <w:uiPriority w:val="0"/>
    <w:pPr>
      <w:widowControl/>
      <w:spacing w:after="120"/>
      <w:ind w:left="420"/>
      <w:jc w:val="left"/>
    </w:pPr>
    <w:rPr>
      <w:rFonts w:ascii="宋体"/>
      <w:kern w:val="0"/>
      <w:sz w:val="22"/>
      <w:szCs w:val="20"/>
    </w:rPr>
  </w:style>
  <w:style w:type="paragraph" w:styleId="36">
    <w:name w:val="Block Text"/>
    <w:basedOn w:val="1"/>
    <w:qFormat/>
    <w:uiPriority w:val="0"/>
    <w:pPr>
      <w:tabs>
        <w:tab w:val="left" w:pos="8364"/>
      </w:tabs>
      <w:ind w:left="840" w:right="-57" w:hanging="300"/>
    </w:pPr>
    <w:rPr>
      <w:rFonts w:ascii="宋体"/>
      <w:szCs w:val="20"/>
    </w:rPr>
  </w:style>
  <w:style w:type="paragraph" w:styleId="37">
    <w:name w:val="List Bullet 2"/>
    <w:basedOn w:val="1"/>
    <w:qFormat/>
    <w:uiPriority w:val="0"/>
    <w:pPr>
      <w:tabs>
        <w:tab w:val="left" w:pos="780"/>
      </w:tabs>
      <w:spacing w:line="360" w:lineRule="auto"/>
      <w:ind w:left="780" w:hanging="360"/>
      <w:jc w:val="left"/>
    </w:pPr>
    <w:rPr>
      <w:rFonts w:ascii="宋体" w:hAnsi="宋体"/>
      <w:color w:val="7030A0"/>
      <w:sz w:val="24"/>
      <w:szCs w:val="20"/>
    </w:rPr>
  </w:style>
  <w:style w:type="paragraph" w:styleId="38">
    <w:name w:val="index 4"/>
    <w:basedOn w:val="1"/>
    <w:next w:val="1"/>
    <w:qFormat/>
    <w:uiPriority w:val="0"/>
    <w:pPr>
      <w:spacing w:line="480" w:lineRule="exact"/>
      <w:ind w:left="600" w:leftChars="600" w:firstLine="200" w:firstLineChars="200"/>
      <w:jc w:val="left"/>
    </w:pPr>
    <w:rPr>
      <w:color w:val="7030A0"/>
      <w:sz w:val="24"/>
    </w:rPr>
  </w:style>
  <w:style w:type="paragraph" w:styleId="39">
    <w:name w:val="toc 5"/>
    <w:basedOn w:val="1"/>
    <w:next w:val="1"/>
    <w:qFormat/>
    <w:uiPriority w:val="0"/>
    <w:pPr>
      <w:ind w:left="840"/>
      <w:jc w:val="left"/>
    </w:pPr>
    <w:rPr>
      <w:sz w:val="18"/>
      <w:szCs w:val="18"/>
    </w:rPr>
  </w:style>
  <w:style w:type="paragraph" w:styleId="40">
    <w:name w:val="toc 3"/>
    <w:basedOn w:val="1"/>
    <w:next w:val="1"/>
    <w:qFormat/>
    <w:uiPriority w:val="0"/>
    <w:pPr>
      <w:tabs>
        <w:tab w:val="left" w:pos="400"/>
        <w:tab w:val="left" w:pos="576"/>
        <w:tab w:val="right" w:leader="dot" w:pos="8778"/>
      </w:tabs>
      <w:ind w:left="10"/>
      <w:jc w:val="center"/>
    </w:pPr>
    <w:rPr>
      <w:rFonts w:ascii="宋体" w:hAnsi="宋体"/>
      <w:b/>
      <w:iCs/>
      <w:sz w:val="24"/>
    </w:rPr>
  </w:style>
  <w:style w:type="paragraph" w:styleId="41">
    <w:name w:val="Plain Text"/>
    <w:basedOn w:val="1"/>
    <w:link w:val="132"/>
    <w:unhideWhenUsed/>
    <w:qFormat/>
    <w:uiPriority w:val="0"/>
    <w:rPr>
      <w:rFonts w:ascii="宋体" w:hAnsi="Courier New" w:cs="Courier New"/>
      <w:szCs w:val="21"/>
    </w:rPr>
  </w:style>
  <w:style w:type="paragraph" w:styleId="42">
    <w:name w:val="List Bullet 5"/>
    <w:basedOn w:val="1"/>
    <w:qFormat/>
    <w:uiPriority w:val="0"/>
    <w:pPr>
      <w:tabs>
        <w:tab w:val="left" w:pos="2040"/>
      </w:tabs>
      <w:spacing w:line="360" w:lineRule="auto"/>
      <w:ind w:left="2040" w:hanging="360"/>
      <w:jc w:val="left"/>
    </w:pPr>
    <w:rPr>
      <w:rFonts w:ascii="宋体" w:hAnsi="宋体"/>
      <w:color w:val="7030A0"/>
      <w:sz w:val="24"/>
      <w:szCs w:val="20"/>
    </w:rPr>
  </w:style>
  <w:style w:type="paragraph" w:styleId="43">
    <w:name w:val="List Number 4"/>
    <w:basedOn w:val="1"/>
    <w:qFormat/>
    <w:uiPriority w:val="0"/>
    <w:pPr>
      <w:tabs>
        <w:tab w:val="left" w:pos="1620"/>
      </w:tabs>
      <w:spacing w:line="360" w:lineRule="auto"/>
      <w:ind w:left="1620" w:hanging="360"/>
    </w:pPr>
    <w:rPr>
      <w:rFonts w:ascii="宋体" w:hAnsi="宋体"/>
      <w:sz w:val="24"/>
      <w:szCs w:val="20"/>
    </w:rPr>
  </w:style>
  <w:style w:type="paragraph" w:styleId="44">
    <w:name w:val="toc 8"/>
    <w:basedOn w:val="1"/>
    <w:next w:val="1"/>
    <w:qFormat/>
    <w:uiPriority w:val="0"/>
    <w:pPr>
      <w:ind w:left="1470"/>
      <w:jc w:val="left"/>
    </w:pPr>
    <w:rPr>
      <w:sz w:val="18"/>
      <w:szCs w:val="18"/>
    </w:rPr>
  </w:style>
  <w:style w:type="paragraph" w:styleId="45">
    <w:name w:val="index 3"/>
    <w:basedOn w:val="1"/>
    <w:next w:val="1"/>
    <w:semiHidden/>
    <w:qFormat/>
    <w:uiPriority w:val="0"/>
    <w:pPr>
      <w:spacing w:line="480" w:lineRule="exact"/>
      <w:ind w:left="400" w:leftChars="400" w:firstLine="200" w:firstLineChars="200"/>
      <w:jc w:val="left"/>
    </w:pPr>
    <w:rPr>
      <w:color w:val="7030A0"/>
      <w:sz w:val="24"/>
    </w:rPr>
  </w:style>
  <w:style w:type="paragraph" w:styleId="46">
    <w:name w:val="Date"/>
    <w:basedOn w:val="1"/>
    <w:next w:val="1"/>
    <w:link w:val="142"/>
    <w:qFormat/>
    <w:uiPriority w:val="0"/>
    <w:pPr>
      <w:autoSpaceDE w:val="0"/>
      <w:autoSpaceDN w:val="0"/>
      <w:adjustRightInd w:val="0"/>
      <w:textAlignment w:val="baseline"/>
    </w:pPr>
    <w:rPr>
      <w:rFonts w:eastAsia="楷体_GB2312"/>
      <w:sz w:val="30"/>
      <w:szCs w:val="20"/>
    </w:rPr>
  </w:style>
  <w:style w:type="paragraph" w:styleId="47">
    <w:name w:val="Body Text Indent 2"/>
    <w:basedOn w:val="1"/>
    <w:link w:val="138"/>
    <w:qFormat/>
    <w:uiPriority w:val="0"/>
    <w:pPr>
      <w:spacing w:after="120" w:line="480" w:lineRule="auto"/>
      <w:ind w:left="420" w:leftChars="200"/>
    </w:pPr>
    <w:rPr>
      <w:szCs w:val="20"/>
    </w:rPr>
  </w:style>
  <w:style w:type="paragraph" w:styleId="48">
    <w:name w:val="endnote text"/>
    <w:basedOn w:val="1"/>
    <w:link w:val="123"/>
    <w:qFormat/>
    <w:uiPriority w:val="0"/>
    <w:pPr>
      <w:snapToGrid w:val="0"/>
      <w:spacing w:line="500" w:lineRule="exact"/>
      <w:jc w:val="left"/>
    </w:pPr>
    <w:rPr>
      <w:kern w:val="0"/>
    </w:rPr>
  </w:style>
  <w:style w:type="paragraph" w:styleId="49">
    <w:name w:val="Balloon Text"/>
    <w:basedOn w:val="1"/>
    <w:link w:val="184"/>
    <w:unhideWhenUsed/>
    <w:qFormat/>
    <w:uiPriority w:val="0"/>
    <w:rPr>
      <w:sz w:val="18"/>
      <w:szCs w:val="18"/>
    </w:rPr>
  </w:style>
  <w:style w:type="paragraph" w:styleId="50">
    <w:name w:val="footer"/>
    <w:basedOn w:val="1"/>
    <w:link w:val="186"/>
    <w:unhideWhenUsed/>
    <w:qFormat/>
    <w:uiPriority w:val="0"/>
    <w:pPr>
      <w:tabs>
        <w:tab w:val="center" w:pos="4153"/>
        <w:tab w:val="right" w:pos="8306"/>
      </w:tabs>
      <w:snapToGrid w:val="0"/>
      <w:jc w:val="left"/>
    </w:pPr>
    <w:rPr>
      <w:sz w:val="18"/>
      <w:szCs w:val="18"/>
    </w:rPr>
  </w:style>
  <w:style w:type="paragraph" w:styleId="51">
    <w:name w:val="Body Text First Indent 2"/>
    <w:basedOn w:val="32"/>
    <w:link w:val="151"/>
    <w:qFormat/>
    <w:uiPriority w:val="0"/>
    <w:pPr>
      <w:spacing w:after="120" w:line="240" w:lineRule="auto"/>
      <w:ind w:left="420" w:leftChars="200" w:firstLine="200" w:firstLineChars="200"/>
      <w:jc w:val="left"/>
    </w:pPr>
    <w:rPr>
      <w:rFonts w:hAnsi="宋体"/>
      <w:szCs w:val="24"/>
    </w:rPr>
  </w:style>
  <w:style w:type="paragraph" w:styleId="52">
    <w:name w:val="header"/>
    <w:basedOn w:val="1"/>
    <w:link w:val="155"/>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toc 1"/>
    <w:basedOn w:val="1"/>
    <w:next w:val="1"/>
    <w:qFormat/>
    <w:uiPriority w:val="0"/>
    <w:pPr>
      <w:tabs>
        <w:tab w:val="right" w:leader="dot" w:pos="8778"/>
      </w:tabs>
      <w:snapToGrid w:val="0"/>
      <w:spacing w:line="360" w:lineRule="auto"/>
      <w:jc w:val="center"/>
    </w:pPr>
    <w:rPr>
      <w:b/>
      <w:bCs/>
      <w:iCs/>
      <w:caps/>
      <w:kern w:val="0"/>
      <w:sz w:val="36"/>
      <w:szCs w:val="36"/>
    </w:rPr>
  </w:style>
  <w:style w:type="paragraph" w:styleId="54">
    <w:name w:val="toc 4"/>
    <w:basedOn w:val="1"/>
    <w:next w:val="1"/>
    <w:qFormat/>
    <w:uiPriority w:val="0"/>
    <w:pPr>
      <w:ind w:left="630"/>
      <w:jc w:val="left"/>
    </w:pPr>
    <w:rPr>
      <w:sz w:val="18"/>
      <w:szCs w:val="18"/>
    </w:rPr>
  </w:style>
  <w:style w:type="paragraph" w:styleId="55">
    <w:name w:val="index heading"/>
    <w:basedOn w:val="1"/>
    <w:next w:val="56"/>
    <w:qFormat/>
    <w:uiPriority w:val="0"/>
  </w:style>
  <w:style w:type="paragraph" w:styleId="56">
    <w:name w:val="index 1"/>
    <w:basedOn w:val="1"/>
    <w:next w:val="1"/>
    <w:qFormat/>
    <w:uiPriority w:val="0"/>
    <w:pPr>
      <w:spacing w:line="360" w:lineRule="auto"/>
      <w:ind w:left="1149" w:leftChars="547"/>
    </w:pPr>
    <w:rPr>
      <w:szCs w:val="20"/>
    </w:rPr>
  </w:style>
  <w:style w:type="paragraph" w:styleId="57">
    <w:name w:val="List Number 5"/>
    <w:basedOn w:val="1"/>
    <w:qFormat/>
    <w:uiPriority w:val="0"/>
    <w:pPr>
      <w:tabs>
        <w:tab w:val="left" w:pos="2040"/>
      </w:tabs>
      <w:spacing w:line="360" w:lineRule="auto"/>
      <w:ind w:left="2040" w:hanging="360"/>
      <w:jc w:val="left"/>
    </w:pPr>
    <w:rPr>
      <w:rFonts w:ascii="宋体" w:hAnsi="宋体"/>
      <w:color w:val="7030A0"/>
      <w:sz w:val="24"/>
      <w:szCs w:val="20"/>
    </w:rPr>
  </w:style>
  <w:style w:type="paragraph" w:styleId="58">
    <w:name w:val="List"/>
    <w:basedOn w:val="1"/>
    <w:qFormat/>
    <w:uiPriority w:val="0"/>
    <w:pPr>
      <w:ind w:left="200" w:hanging="200" w:hangingChars="200"/>
    </w:pPr>
    <w:rPr>
      <w:szCs w:val="20"/>
    </w:rPr>
  </w:style>
  <w:style w:type="paragraph" w:styleId="59">
    <w:name w:val="footnote text"/>
    <w:basedOn w:val="1"/>
    <w:link w:val="95"/>
    <w:qFormat/>
    <w:uiPriority w:val="0"/>
    <w:pPr>
      <w:adjustRightInd w:val="0"/>
      <w:spacing w:line="312" w:lineRule="atLeast"/>
      <w:jc w:val="left"/>
      <w:textAlignment w:val="baseline"/>
    </w:pPr>
    <w:rPr>
      <w:kern w:val="0"/>
      <w:sz w:val="18"/>
      <w:szCs w:val="20"/>
    </w:rPr>
  </w:style>
  <w:style w:type="paragraph" w:styleId="60">
    <w:name w:val="toc 6"/>
    <w:basedOn w:val="1"/>
    <w:next w:val="1"/>
    <w:qFormat/>
    <w:uiPriority w:val="0"/>
    <w:pPr>
      <w:ind w:left="1050"/>
      <w:jc w:val="left"/>
    </w:pPr>
    <w:rPr>
      <w:sz w:val="18"/>
      <w:szCs w:val="18"/>
    </w:rPr>
  </w:style>
  <w:style w:type="paragraph" w:styleId="61">
    <w:name w:val="Body Text Indent 3"/>
    <w:basedOn w:val="1"/>
    <w:link w:val="118"/>
    <w:qFormat/>
    <w:uiPriority w:val="0"/>
    <w:pPr>
      <w:ind w:left="1260" w:leftChars="600"/>
    </w:pPr>
    <w:rPr>
      <w:szCs w:val="20"/>
    </w:rPr>
  </w:style>
  <w:style w:type="paragraph" w:styleId="62">
    <w:name w:val="index 7"/>
    <w:basedOn w:val="1"/>
    <w:next w:val="1"/>
    <w:semiHidden/>
    <w:qFormat/>
    <w:uiPriority w:val="0"/>
    <w:pPr>
      <w:spacing w:line="480" w:lineRule="exact"/>
      <w:ind w:left="1200" w:leftChars="1200" w:firstLine="200" w:firstLineChars="200"/>
      <w:jc w:val="left"/>
    </w:pPr>
    <w:rPr>
      <w:color w:val="7030A0"/>
      <w:sz w:val="24"/>
    </w:rPr>
  </w:style>
  <w:style w:type="paragraph" w:styleId="63">
    <w:name w:val="index 9"/>
    <w:basedOn w:val="1"/>
    <w:next w:val="1"/>
    <w:semiHidden/>
    <w:qFormat/>
    <w:uiPriority w:val="0"/>
    <w:pPr>
      <w:spacing w:line="480" w:lineRule="exact"/>
      <w:ind w:left="1600" w:leftChars="1600" w:firstLine="200" w:firstLineChars="200"/>
      <w:jc w:val="left"/>
    </w:pPr>
    <w:rPr>
      <w:color w:val="7030A0"/>
      <w:sz w:val="24"/>
    </w:rPr>
  </w:style>
  <w:style w:type="paragraph" w:styleId="64">
    <w:name w:val="table of figures"/>
    <w:basedOn w:val="1"/>
    <w:next w:val="1"/>
    <w:qFormat/>
    <w:uiPriority w:val="0"/>
    <w:pPr>
      <w:spacing w:line="480" w:lineRule="exact"/>
      <w:ind w:left="200" w:leftChars="200" w:hanging="200" w:hangingChars="200"/>
      <w:jc w:val="left"/>
    </w:pPr>
    <w:rPr>
      <w:color w:val="7030A0"/>
      <w:sz w:val="24"/>
    </w:rPr>
  </w:style>
  <w:style w:type="paragraph" w:styleId="65">
    <w:name w:val="toc 2"/>
    <w:basedOn w:val="1"/>
    <w:next w:val="1"/>
    <w:qFormat/>
    <w:uiPriority w:val="0"/>
    <w:pPr>
      <w:tabs>
        <w:tab w:val="right" w:leader="dot" w:pos="8778"/>
      </w:tabs>
      <w:ind w:left="23" w:leftChars="9" w:hanging="4" w:hangingChars="2"/>
      <w:jc w:val="left"/>
    </w:pPr>
    <w:rPr>
      <w:smallCaps/>
      <w:sz w:val="20"/>
      <w:szCs w:val="20"/>
    </w:rPr>
  </w:style>
  <w:style w:type="paragraph" w:styleId="66">
    <w:name w:val="toc 9"/>
    <w:basedOn w:val="1"/>
    <w:next w:val="1"/>
    <w:qFormat/>
    <w:uiPriority w:val="0"/>
    <w:pPr>
      <w:ind w:left="1680"/>
      <w:jc w:val="left"/>
    </w:pPr>
    <w:rPr>
      <w:sz w:val="18"/>
      <w:szCs w:val="18"/>
    </w:rPr>
  </w:style>
  <w:style w:type="paragraph" w:styleId="67">
    <w:name w:val="Body Text 2"/>
    <w:basedOn w:val="1"/>
    <w:link w:val="126"/>
    <w:qFormat/>
    <w:uiPriority w:val="0"/>
    <w:pPr>
      <w:spacing w:after="120" w:line="480" w:lineRule="auto"/>
    </w:pPr>
    <w:rPr>
      <w:szCs w:val="20"/>
    </w:rPr>
  </w:style>
  <w:style w:type="paragraph" w:styleId="68">
    <w:name w:val="Message Header"/>
    <w:basedOn w:val="1"/>
    <w:link w:val="130"/>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left"/>
    </w:pPr>
    <w:rPr>
      <w:rFonts w:ascii="Arial" w:hAnsi="Arial" w:cs="Arial"/>
      <w:color w:val="7030A0"/>
      <w:sz w:val="24"/>
    </w:rPr>
  </w:style>
  <w:style w:type="paragraph" w:styleId="69">
    <w:name w:val="HTML Preformatted"/>
    <w:basedOn w:val="1"/>
    <w:link w:val="18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200" w:firstLineChars="200"/>
      <w:jc w:val="left"/>
    </w:pPr>
    <w:rPr>
      <w:rFonts w:ascii="Arial" w:hAnsi="Arial"/>
      <w:kern w:val="0"/>
      <w:szCs w:val="21"/>
    </w:rPr>
  </w:style>
  <w:style w:type="paragraph" w:styleId="70">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71">
    <w:name w:val="index 2"/>
    <w:basedOn w:val="1"/>
    <w:next w:val="1"/>
    <w:semiHidden/>
    <w:qFormat/>
    <w:uiPriority w:val="0"/>
    <w:pPr>
      <w:spacing w:line="480" w:lineRule="exact"/>
      <w:ind w:left="200" w:leftChars="200" w:firstLine="200" w:firstLineChars="200"/>
      <w:jc w:val="left"/>
    </w:pPr>
    <w:rPr>
      <w:color w:val="7030A0"/>
      <w:sz w:val="24"/>
    </w:rPr>
  </w:style>
  <w:style w:type="paragraph" w:styleId="72">
    <w:name w:val="Title"/>
    <w:basedOn w:val="1"/>
    <w:link w:val="140"/>
    <w:qFormat/>
    <w:uiPriority w:val="0"/>
    <w:pPr>
      <w:widowControl/>
      <w:spacing w:before="240" w:after="60"/>
      <w:jc w:val="center"/>
      <w:outlineLvl w:val="0"/>
    </w:pPr>
    <w:rPr>
      <w:rFonts w:ascii="Arial" w:hAnsi="Arial" w:eastAsia="楷体_GB2312"/>
      <w:b/>
      <w:kern w:val="0"/>
      <w:sz w:val="32"/>
      <w:szCs w:val="20"/>
    </w:rPr>
  </w:style>
  <w:style w:type="character" w:styleId="74">
    <w:name w:val="Strong"/>
    <w:qFormat/>
    <w:uiPriority w:val="0"/>
    <w:rPr>
      <w:b/>
      <w:bCs/>
    </w:rPr>
  </w:style>
  <w:style w:type="character" w:styleId="75">
    <w:name w:val="endnote reference"/>
    <w:qFormat/>
    <w:uiPriority w:val="0"/>
    <w:rPr>
      <w:vertAlign w:val="superscript"/>
    </w:rPr>
  </w:style>
  <w:style w:type="character" w:styleId="76">
    <w:name w:val="page number"/>
    <w:basedOn w:val="73"/>
    <w:qFormat/>
    <w:uiPriority w:val="0"/>
  </w:style>
  <w:style w:type="character" w:styleId="77">
    <w:name w:val="FollowedHyperlink"/>
    <w:basedOn w:val="73"/>
    <w:unhideWhenUsed/>
    <w:qFormat/>
    <w:uiPriority w:val="0"/>
    <w:rPr>
      <w:rFonts w:hint="eastAsia" w:ascii="宋体" w:hAnsi="宋体" w:eastAsia="宋体" w:cs="宋体"/>
      <w:color w:val="004A85"/>
      <w:sz w:val="18"/>
      <w:szCs w:val="18"/>
      <w:u w:val="single"/>
    </w:rPr>
  </w:style>
  <w:style w:type="character" w:styleId="78">
    <w:name w:val="Emphasis"/>
    <w:basedOn w:val="73"/>
    <w:qFormat/>
    <w:uiPriority w:val="20"/>
  </w:style>
  <w:style w:type="character" w:styleId="79">
    <w:name w:val="HTML Definition"/>
    <w:basedOn w:val="73"/>
    <w:semiHidden/>
    <w:unhideWhenUsed/>
    <w:qFormat/>
    <w:uiPriority w:val="99"/>
  </w:style>
  <w:style w:type="character" w:styleId="80">
    <w:name w:val="HTML Typewriter"/>
    <w:qFormat/>
    <w:uiPriority w:val="0"/>
    <w:rPr>
      <w:rFonts w:ascii="黑体" w:hAnsi="Courier New" w:eastAsia="黑体" w:cs="Courier New"/>
      <w:sz w:val="20"/>
      <w:szCs w:val="20"/>
    </w:rPr>
  </w:style>
  <w:style w:type="character" w:styleId="81">
    <w:name w:val="HTML Variable"/>
    <w:basedOn w:val="73"/>
    <w:semiHidden/>
    <w:unhideWhenUsed/>
    <w:qFormat/>
    <w:uiPriority w:val="99"/>
  </w:style>
  <w:style w:type="character" w:styleId="82">
    <w:name w:val="Hyperlink"/>
    <w:basedOn w:val="73"/>
    <w:unhideWhenUsed/>
    <w:qFormat/>
    <w:uiPriority w:val="0"/>
    <w:rPr>
      <w:rFonts w:hint="eastAsia" w:ascii="宋体" w:hAnsi="宋体" w:eastAsia="宋体" w:cs="宋体"/>
      <w:color w:val="004A85"/>
      <w:sz w:val="18"/>
      <w:szCs w:val="18"/>
      <w:u w:val="single"/>
    </w:rPr>
  </w:style>
  <w:style w:type="character" w:styleId="83">
    <w:name w:val="HTML Code"/>
    <w:basedOn w:val="73"/>
    <w:semiHidden/>
    <w:unhideWhenUsed/>
    <w:qFormat/>
    <w:uiPriority w:val="99"/>
    <w:rPr>
      <w:rFonts w:ascii="Courier New" w:hAnsi="Courier New"/>
      <w:sz w:val="20"/>
    </w:rPr>
  </w:style>
  <w:style w:type="character" w:styleId="84">
    <w:name w:val="annotation reference"/>
    <w:basedOn w:val="73"/>
    <w:qFormat/>
    <w:uiPriority w:val="0"/>
    <w:rPr>
      <w:sz w:val="21"/>
      <w:szCs w:val="21"/>
    </w:rPr>
  </w:style>
  <w:style w:type="character" w:styleId="85">
    <w:name w:val="HTML Cite"/>
    <w:basedOn w:val="73"/>
    <w:semiHidden/>
    <w:unhideWhenUsed/>
    <w:qFormat/>
    <w:uiPriority w:val="99"/>
  </w:style>
  <w:style w:type="character" w:styleId="86">
    <w:name w:val="footnote reference"/>
    <w:qFormat/>
    <w:uiPriority w:val="0"/>
    <w:rPr>
      <w:vertAlign w:val="superscript"/>
    </w:rPr>
  </w:style>
  <w:style w:type="table" w:styleId="88">
    <w:name w:val="Table Grid"/>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9">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90">
    <w:name w:val="标题4"/>
    <w:basedOn w:val="1"/>
    <w:next w:val="1"/>
    <w:qFormat/>
    <w:uiPriority w:val="0"/>
    <w:pPr>
      <w:keepNext/>
      <w:spacing w:line="360" w:lineRule="auto"/>
      <w:ind w:firstLine="200" w:firstLineChars="200"/>
      <w:jc w:val="left"/>
      <w:outlineLvl w:val="3"/>
    </w:pPr>
    <w:rPr>
      <w:b/>
      <w:kern w:val="0"/>
      <w:sz w:val="30"/>
    </w:rPr>
  </w:style>
  <w:style w:type="character" w:customStyle="1" w:styleId="91">
    <w:name w:val="四级标题格式 Char"/>
    <w:link w:val="92"/>
    <w:qFormat/>
    <w:uiPriority w:val="0"/>
    <w:rPr>
      <w:rFonts w:ascii="Times New Roman" w:hAnsi="Times New Roman" w:eastAsia="黑体"/>
      <w:bCs/>
      <w:kern w:val="2"/>
      <w:sz w:val="28"/>
      <w:szCs w:val="28"/>
    </w:rPr>
  </w:style>
  <w:style w:type="paragraph" w:customStyle="1" w:styleId="92">
    <w:name w:val="四级标题格式"/>
    <w:basedOn w:val="5"/>
    <w:link w:val="91"/>
    <w:qFormat/>
    <w:uiPriority w:val="0"/>
    <w:pPr>
      <w:keepNext w:val="0"/>
      <w:keepLines w:val="0"/>
      <w:spacing w:before="0" w:afterLines="100" w:line="240" w:lineRule="auto"/>
      <w:jc w:val="left"/>
    </w:pPr>
    <w:rPr>
      <w:rFonts w:ascii="Times New Roman" w:hAnsi="Times New Roman" w:eastAsia="黑体"/>
      <w:b w:val="0"/>
    </w:rPr>
  </w:style>
  <w:style w:type="character" w:customStyle="1" w:styleId="93">
    <w:name w:val="标题 9 Char"/>
    <w:basedOn w:val="73"/>
    <w:link w:val="10"/>
    <w:qFormat/>
    <w:uiPriority w:val="0"/>
    <w:rPr>
      <w:rFonts w:ascii="Arial" w:hAnsi="Arial" w:eastAsia="黑体"/>
      <w:kern w:val="2"/>
      <w:sz w:val="21"/>
    </w:rPr>
  </w:style>
  <w:style w:type="character" w:customStyle="1" w:styleId="94">
    <w:name w:val="称呼 Char"/>
    <w:basedOn w:val="73"/>
    <w:link w:val="28"/>
    <w:qFormat/>
    <w:uiPriority w:val="0"/>
    <w:rPr>
      <w:rFonts w:ascii="Times New Roman" w:hAnsi="Times New Roman"/>
      <w:kern w:val="2"/>
      <w:sz w:val="24"/>
    </w:rPr>
  </w:style>
  <w:style w:type="character" w:customStyle="1" w:styleId="95">
    <w:name w:val="脚注文本 Char"/>
    <w:basedOn w:val="73"/>
    <w:link w:val="59"/>
    <w:qFormat/>
    <w:uiPriority w:val="0"/>
    <w:rPr>
      <w:rFonts w:ascii="Times New Roman" w:hAnsi="Times New Roman"/>
      <w:sz w:val="18"/>
    </w:rPr>
  </w:style>
  <w:style w:type="character" w:customStyle="1" w:styleId="96">
    <w:name w:val="标题 5 Char1"/>
    <w:link w:val="6"/>
    <w:qFormat/>
    <w:uiPriority w:val="0"/>
    <w:rPr>
      <w:rFonts w:ascii="Times New Roman" w:hAnsi="Times New Roman"/>
      <w:b/>
      <w:kern w:val="2"/>
      <w:sz w:val="28"/>
    </w:rPr>
  </w:style>
  <w:style w:type="character" w:customStyle="1" w:styleId="97">
    <w:name w:val="样式 标题 31.1条标题1.1.1二级节名h3Heading 3 - oldheading 3H3H31H3... Char Char"/>
    <w:qFormat/>
    <w:uiPriority w:val="0"/>
    <w:rPr>
      <w:rFonts w:ascii="宋体" w:hAnsi="宋体" w:eastAsia="黑体"/>
      <w:kern w:val="2"/>
      <w:sz w:val="24"/>
      <w:szCs w:val="21"/>
    </w:rPr>
  </w:style>
  <w:style w:type="character" w:customStyle="1" w:styleId="98">
    <w:name w:val="标题3 Char"/>
    <w:link w:val="99"/>
    <w:qFormat/>
    <w:uiPriority w:val="0"/>
    <w:rPr>
      <w:rFonts w:ascii="Times New Roman" w:hAnsi="Times New Roman"/>
      <w:sz w:val="24"/>
    </w:rPr>
  </w:style>
  <w:style w:type="paragraph" w:customStyle="1" w:styleId="99">
    <w:name w:val="标题3"/>
    <w:basedOn w:val="4"/>
    <w:link w:val="98"/>
    <w:qFormat/>
    <w:uiPriority w:val="0"/>
    <w:pPr>
      <w:keepLines w:val="0"/>
      <w:tabs>
        <w:tab w:val="left" w:pos="360"/>
        <w:tab w:val="left" w:pos="840"/>
        <w:tab w:val="left" w:pos="2160"/>
      </w:tabs>
      <w:adjustRightInd w:val="0"/>
      <w:spacing w:before="0" w:after="0" w:line="360" w:lineRule="auto"/>
      <w:textAlignment w:val="baseline"/>
    </w:pPr>
    <w:rPr>
      <w:b w:val="0"/>
      <w:bCs w:val="0"/>
      <w:kern w:val="0"/>
      <w:sz w:val="24"/>
      <w:szCs w:val="20"/>
    </w:rPr>
  </w:style>
  <w:style w:type="character" w:customStyle="1" w:styleId="100">
    <w:name w:val="批注主题 Char"/>
    <w:basedOn w:val="101"/>
    <w:link w:val="11"/>
    <w:qFormat/>
    <w:uiPriority w:val="0"/>
    <w:rPr>
      <w:b/>
      <w:bCs/>
      <w:kern w:val="2"/>
      <w:sz w:val="21"/>
    </w:rPr>
  </w:style>
  <w:style w:type="character" w:customStyle="1" w:styleId="101">
    <w:name w:val="批注文字 Char"/>
    <w:basedOn w:val="73"/>
    <w:link w:val="12"/>
    <w:qFormat/>
    <w:uiPriority w:val="0"/>
    <w:rPr>
      <w:rFonts w:ascii="Times New Roman" w:hAnsi="Times New Roman" w:eastAsia="宋体" w:cs="Times New Roman"/>
      <w:szCs w:val="24"/>
    </w:rPr>
  </w:style>
  <w:style w:type="character" w:customStyle="1" w:styleId="102">
    <w:name w:val="selected"/>
    <w:basedOn w:val="73"/>
    <w:qFormat/>
    <w:uiPriority w:val="0"/>
    <w:rPr>
      <w:shd w:val="clear" w:color="auto" w:fill="B00006"/>
    </w:rPr>
  </w:style>
  <w:style w:type="character" w:customStyle="1" w:styleId="103">
    <w:name w:val="样式 宋体 行距: 固定值 24 磅 Char"/>
    <w:link w:val="104"/>
    <w:qFormat/>
    <w:uiPriority w:val="0"/>
    <w:rPr>
      <w:rFonts w:ascii="宋体" w:hAnsi="Times New Roman"/>
      <w:color w:val="7030A0"/>
      <w:kern w:val="2"/>
      <w:sz w:val="28"/>
    </w:rPr>
  </w:style>
  <w:style w:type="paragraph" w:customStyle="1" w:styleId="104">
    <w:name w:val="样式 宋体 行距: 固定值 24 磅"/>
    <w:basedOn w:val="1"/>
    <w:link w:val="103"/>
    <w:qFormat/>
    <w:uiPriority w:val="0"/>
    <w:pPr>
      <w:spacing w:line="480" w:lineRule="exact"/>
      <w:ind w:firstLine="585" w:firstLineChars="200"/>
      <w:jc w:val="left"/>
    </w:pPr>
    <w:rPr>
      <w:rFonts w:ascii="宋体"/>
      <w:color w:val="7030A0"/>
      <w:sz w:val="28"/>
      <w:szCs w:val="20"/>
    </w:rPr>
  </w:style>
  <w:style w:type="character" w:customStyle="1" w:styleId="105">
    <w:name w:val="样式 首行缩进:  2 字符 Char1"/>
    <w:link w:val="106"/>
    <w:qFormat/>
    <w:uiPriority w:val="0"/>
    <w:rPr>
      <w:rFonts w:ascii="Times New Roman" w:hAnsi="Times New Roman"/>
      <w:color w:val="7030A0"/>
      <w:kern w:val="2"/>
      <w:sz w:val="24"/>
    </w:rPr>
  </w:style>
  <w:style w:type="paragraph" w:customStyle="1" w:styleId="106">
    <w:name w:val="样式 首行缩进:  2 字符"/>
    <w:basedOn w:val="1"/>
    <w:link w:val="105"/>
    <w:qFormat/>
    <w:uiPriority w:val="0"/>
    <w:pPr>
      <w:spacing w:line="480" w:lineRule="exact"/>
      <w:ind w:firstLine="480" w:firstLineChars="200"/>
      <w:jc w:val="left"/>
    </w:pPr>
    <w:rPr>
      <w:color w:val="7030A0"/>
      <w:sz w:val="24"/>
      <w:szCs w:val="20"/>
    </w:rPr>
  </w:style>
  <w:style w:type="character" w:customStyle="1" w:styleId="107">
    <w:name w:val="日期 Char1"/>
    <w:basedOn w:val="73"/>
    <w:semiHidden/>
    <w:qFormat/>
    <w:uiPriority w:val="99"/>
    <w:rPr>
      <w:rFonts w:ascii="Times New Roman" w:hAnsi="Times New Roman"/>
      <w:kern w:val="2"/>
      <w:sz w:val="21"/>
      <w:szCs w:val="24"/>
    </w:rPr>
  </w:style>
  <w:style w:type="character" w:customStyle="1" w:styleId="108">
    <w:name w:val="正文文本 3 Char"/>
    <w:basedOn w:val="73"/>
    <w:link w:val="29"/>
    <w:qFormat/>
    <w:uiPriority w:val="0"/>
    <w:rPr>
      <w:rFonts w:ascii="Times New Roman" w:hAnsi="Times New Roman"/>
      <w:kern w:val="2"/>
      <w:sz w:val="16"/>
      <w:szCs w:val="16"/>
    </w:rPr>
  </w:style>
  <w:style w:type="character" w:customStyle="1" w:styleId="109">
    <w:name w:val="正文－wjnew Char Char"/>
    <w:link w:val="110"/>
    <w:qFormat/>
    <w:uiPriority w:val="0"/>
    <w:rPr>
      <w:rFonts w:ascii="宋体" w:cs="宋体"/>
      <w:kern w:val="2"/>
      <w:sz w:val="21"/>
      <w:szCs w:val="21"/>
    </w:rPr>
  </w:style>
  <w:style w:type="paragraph" w:customStyle="1" w:styleId="110">
    <w:name w:val="正文－wjnew"/>
    <w:basedOn w:val="1"/>
    <w:link w:val="109"/>
    <w:qFormat/>
    <w:uiPriority w:val="0"/>
    <w:pPr>
      <w:adjustRightInd w:val="0"/>
      <w:snapToGrid w:val="0"/>
      <w:spacing w:line="360" w:lineRule="auto"/>
      <w:ind w:firstLine="420"/>
    </w:pPr>
    <w:rPr>
      <w:rFonts w:ascii="宋体"/>
      <w:szCs w:val="21"/>
    </w:rPr>
  </w:style>
  <w:style w:type="character" w:customStyle="1" w:styleId="111">
    <w:name w:val="正文缩进 Char"/>
    <w:link w:val="21"/>
    <w:qFormat/>
    <w:uiPriority w:val="0"/>
    <w:rPr>
      <w:rFonts w:ascii="宋体" w:hAnsi="Times New Roman"/>
      <w:sz w:val="24"/>
    </w:rPr>
  </w:style>
  <w:style w:type="character" w:customStyle="1" w:styleId="112">
    <w:name w:val="标题 4 Char1"/>
    <w:qFormat/>
    <w:uiPriority w:val="0"/>
    <w:rPr>
      <w:rFonts w:ascii="宋体" w:hAnsi="宋体"/>
      <w:b/>
      <w:bCs/>
      <w:kern w:val="2"/>
      <w:sz w:val="21"/>
    </w:rPr>
  </w:style>
  <w:style w:type="character" w:customStyle="1" w:styleId="113">
    <w:name w:val="(1) Char Char"/>
    <w:link w:val="114"/>
    <w:qFormat/>
    <w:uiPriority w:val="0"/>
    <w:rPr>
      <w:rFonts w:ascii="宋体" w:hAnsi="宋体"/>
      <w:kern w:val="2"/>
      <w:sz w:val="24"/>
      <w:szCs w:val="24"/>
    </w:rPr>
  </w:style>
  <w:style w:type="paragraph" w:customStyle="1" w:styleId="114">
    <w:name w:val="(1)"/>
    <w:basedOn w:val="1"/>
    <w:next w:val="1"/>
    <w:link w:val="113"/>
    <w:qFormat/>
    <w:uiPriority w:val="0"/>
    <w:pPr>
      <w:tabs>
        <w:tab w:val="left" w:pos="813"/>
      </w:tabs>
      <w:spacing w:line="360" w:lineRule="auto"/>
      <w:ind w:left="813" w:hanging="567"/>
    </w:pPr>
    <w:rPr>
      <w:rFonts w:ascii="宋体" w:hAnsi="宋体"/>
      <w:sz w:val="24"/>
    </w:rPr>
  </w:style>
  <w:style w:type="character" w:customStyle="1" w:styleId="115">
    <w:name w:val="标题 4 Char"/>
    <w:basedOn w:val="73"/>
    <w:link w:val="5"/>
    <w:qFormat/>
    <w:uiPriority w:val="0"/>
    <w:rPr>
      <w:rFonts w:ascii="Cambria" w:hAnsi="Cambria" w:eastAsia="宋体" w:cs="Times New Roman"/>
      <w:b/>
      <w:bCs/>
      <w:kern w:val="2"/>
      <w:sz w:val="28"/>
      <w:szCs w:val="28"/>
    </w:rPr>
  </w:style>
  <w:style w:type="character" w:customStyle="1" w:styleId="116">
    <w:name w:val="样式 标题 2标题 1.1head:2#2 headlinehheadlineS&amp;R2ERMH2Head 2 +... Char Char"/>
    <w:qFormat/>
    <w:uiPriority w:val="0"/>
    <w:rPr>
      <w:rFonts w:ascii="Arial" w:hAnsi="Arial" w:eastAsia="宋体"/>
      <w:b/>
      <w:bCs/>
      <w:sz w:val="24"/>
      <w:lang w:val="en-US" w:eastAsia="zh-CN" w:bidi="ar-SA"/>
    </w:rPr>
  </w:style>
  <w:style w:type="character" w:customStyle="1" w:styleId="117">
    <w:name w:val="樣式 標題 3 + (中文) MS Gothic 10.5 點 Char Char Char Char Char Char Char Char"/>
    <w:qFormat/>
    <w:uiPriority w:val="0"/>
    <w:rPr>
      <w:rFonts w:hAnsi="PMingLiU" w:eastAsia="MS Gothic"/>
      <w:snapToGrid w:val="0"/>
      <w:kern w:val="2"/>
      <w:sz w:val="24"/>
      <w:lang w:val="en-AU" w:eastAsia="zh-TW"/>
    </w:rPr>
  </w:style>
  <w:style w:type="character" w:customStyle="1" w:styleId="118">
    <w:name w:val="正文文本缩进 3 Char"/>
    <w:basedOn w:val="73"/>
    <w:link w:val="61"/>
    <w:qFormat/>
    <w:uiPriority w:val="0"/>
    <w:rPr>
      <w:rFonts w:ascii="Times New Roman" w:hAnsi="Times New Roman"/>
      <w:kern w:val="2"/>
      <w:sz w:val="21"/>
    </w:rPr>
  </w:style>
  <w:style w:type="character" w:customStyle="1" w:styleId="119">
    <w:name w:val="正文 BJ15 Char Char"/>
    <w:link w:val="120"/>
    <w:qFormat/>
    <w:uiPriority w:val="0"/>
    <w:rPr>
      <w:rFonts w:ascii="Times New Roman" w:hAnsi="Times New Roman"/>
      <w:kern w:val="2"/>
      <w:sz w:val="24"/>
      <w:szCs w:val="24"/>
    </w:rPr>
  </w:style>
  <w:style w:type="paragraph" w:customStyle="1" w:styleId="120">
    <w:name w:val="正文 BJ15"/>
    <w:basedOn w:val="1"/>
    <w:link w:val="119"/>
    <w:qFormat/>
    <w:uiPriority w:val="0"/>
    <w:pPr>
      <w:adjustRightInd w:val="0"/>
      <w:snapToGrid w:val="0"/>
      <w:spacing w:line="360" w:lineRule="auto"/>
      <w:ind w:firstLine="200" w:firstLineChars="200"/>
      <w:jc w:val="left"/>
    </w:pPr>
    <w:rPr>
      <w:sz w:val="24"/>
    </w:rPr>
  </w:style>
  <w:style w:type="character" w:customStyle="1" w:styleId="121">
    <w:name w:val="纯文本 Char Char"/>
    <w:qFormat/>
    <w:uiPriority w:val="0"/>
    <w:rPr>
      <w:rFonts w:ascii="宋体" w:hAnsi="Courier New" w:eastAsia="宋体" w:cs="Century"/>
      <w:kern w:val="2"/>
      <w:sz w:val="21"/>
      <w:szCs w:val="21"/>
      <w:lang w:val="en-US" w:eastAsia="zh-CN" w:bidi="ar-SA"/>
    </w:rPr>
  </w:style>
  <w:style w:type="character" w:customStyle="1" w:styleId="122">
    <w:name w:val="宏文本 Char"/>
    <w:basedOn w:val="73"/>
    <w:link w:val="17"/>
    <w:semiHidden/>
    <w:qFormat/>
    <w:uiPriority w:val="0"/>
    <w:rPr>
      <w:rFonts w:ascii="Courier New" w:hAnsi="Courier New" w:cs="Courier New"/>
      <w:kern w:val="2"/>
      <w:sz w:val="24"/>
      <w:szCs w:val="24"/>
      <w:lang w:val="en-US" w:eastAsia="zh-CN" w:bidi="ar-SA"/>
    </w:rPr>
  </w:style>
  <w:style w:type="character" w:customStyle="1" w:styleId="123">
    <w:name w:val="尾注文本 Char"/>
    <w:basedOn w:val="73"/>
    <w:link w:val="48"/>
    <w:qFormat/>
    <w:uiPriority w:val="0"/>
    <w:rPr>
      <w:rFonts w:ascii="Times New Roman" w:hAnsi="Times New Roman"/>
      <w:sz w:val="21"/>
      <w:szCs w:val="24"/>
    </w:rPr>
  </w:style>
  <w:style w:type="character" w:customStyle="1" w:styleId="124">
    <w:name w:val="样式 楷体_GB2312 二号 加粗 Char"/>
    <w:qFormat/>
    <w:uiPriority w:val="0"/>
    <w:rPr>
      <w:rFonts w:ascii="楷体_GB2312" w:hAnsi="Arial" w:eastAsia="楷体_GB2312" w:cs="Arial"/>
      <w:b/>
      <w:kern w:val="2"/>
      <w:sz w:val="44"/>
      <w:szCs w:val="24"/>
      <w:lang w:val="en-US" w:eastAsia="zh-CN" w:bidi="ar-SA"/>
    </w:rPr>
  </w:style>
  <w:style w:type="character" w:customStyle="1" w:styleId="125">
    <w:name w:val="标题 2 Char"/>
    <w:basedOn w:val="73"/>
    <w:link w:val="3"/>
    <w:qFormat/>
    <w:uiPriority w:val="0"/>
    <w:rPr>
      <w:rFonts w:ascii="Arial" w:hAnsi="Arial" w:eastAsia="黑体"/>
      <w:b/>
      <w:bCs/>
      <w:kern w:val="2"/>
      <w:sz w:val="32"/>
      <w:szCs w:val="32"/>
    </w:rPr>
  </w:style>
  <w:style w:type="character" w:customStyle="1" w:styleId="126">
    <w:name w:val="正文文本 2 Char"/>
    <w:basedOn w:val="73"/>
    <w:link w:val="67"/>
    <w:qFormat/>
    <w:uiPriority w:val="0"/>
    <w:rPr>
      <w:rFonts w:ascii="Times New Roman" w:hAnsi="Times New Roman"/>
      <w:kern w:val="2"/>
      <w:sz w:val="21"/>
    </w:rPr>
  </w:style>
  <w:style w:type="character" w:customStyle="1" w:styleId="127">
    <w:name w:val="1.1 Char"/>
    <w:qFormat/>
    <w:uiPriority w:val="0"/>
    <w:rPr>
      <w:rFonts w:ascii="宋体" w:eastAsia="宋体"/>
      <w:b/>
      <w:bCs/>
      <w:kern w:val="2"/>
      <w:sz w:val="24"/>
      <w:szCs w:val="32"/>
      <w:lang w:val="en-US" w:eastAsia="zh-CN" w:bidi="ar-SA"/>
    </w:rPr>
  </w:style>
  <w:style w:type="character" w:customStyle="1" w:styleId="128">
    <w:name w:val="正文文本 Char1"/>
    <w:qFormat/>
    <w:uiPriority w:val="0"/>
    <w:rPr>
      <w:rFonts w:ascii="Times New Roman" w:hAnsi="Times New Roman"/>
      <w:kern w:val="2"/>
      <w:sz w:val="24"/>
    </w:rPr>
  </w:style>
  <w:style w:type="character" w:customStyle="1" w:styleId="129">
    <w:name w:val="普通文字 Char Char"/>
    <w:qFormat/>
    <w:uiPriority w:val="0"/>
    <w:rPr>
      <w:rFonts w:ascii="宋体" w:hAnsi="Courier New" w:eastAsia="宋体"/>
      <w:kern w:val="2"/>
      <w:sz w:val="21"/>
      <w:lang w:val="en-US" w:eastAsia="zh-CN" w:bidi="ar-SA"/>
    </w:rPr>
  </w:style>
  <w:style w:type="character" w:customStyle="1" w:styleId="130">
    <w:name w:val="信息标题 Char"/>
    <w:basedOn w:val="73"/>
    <w:link w:val="68"/>
    <w:qFormat/>
    <w:uiPriority w:val="0"/>
    <w:rPr>
      <w:rFonts w:ascii="Arial" w:hAnsi="Arial" w:cs="Arial"/>
      <w:color w:val="7030A0"/>
      <w:kern w:val="2"/>
      <w:sz w:val="24"/>
      <w:szCs w:val="24"/>
      <w:shd w:val="pct20" w:color="auto" w:fill="auto"/>
    </w:rPr>
  </w:style>
  <w:style w:type="character" w:customStyle="1" w:styleId="131">
    <w:name w:val="样式 二号 红色 边框:: (单实线 自动设置  0.5 磅 行宽)"/>
    <w:qFormat/>
    <w:uiPriority w:val="0"/>
    <w:rPr>
      <w:rFonts w:eastAsia="宋体"/>
      <w:color w:val="0000FF"/>
      <w:sz w:val="44"/>
      <w:bdr w:val="single" w:color="0000FF" w:sz="4" w:space="0"/>
    </w:rPr>
  </w:style>
  <w:style w:type="character" w:customStyle="1" w:styleId="132">
    <w:name w:val="纯文本 Char"/>
    <w:basedOn w:val="73"/>
    <w:link w:val="41"/>
    <w:qFormat/>
    <w:uiPriority w:val="99"/>
    <w:rPr>
      <w:rFonts w:ascii="宋体" w:hAnsi="Courier New" w:cs="Courier New"/>
      <w:kern w:val="2"/>
      <w:sz w:val="21"/>
      <w:szCs w:val="21"/>
    </w:rPr>
  </w:style>
  <w:style w:type="character" w:customStyle="1" w:styleId="133">
    <w:name w:val="displayarti"/>
    <w:basedOn w:val="73"/>
    <w:qFormat/>
    <w:uiPriority w:val="0"/>
    <w:rPr>
      <w:color w:val="FFFFFF"/>
      <w:shd w:val="clear" w:color="auto" w:fill="A00000"/>
    </w:rPr>
  </w:style>
  <w:style w:type="character" w:customStyle="1" w:styleId="134">
    <w:name w:val="正文－zlb Char Char"/>
    <w:link w:val="135"/>
    <w:qFormat/>
    <w:uiPriority w:val="0"/>
    <w:rPr>
      <w:rFonts w:ascii="宋体" w:cs="宋体"/>
      <w:kern w:val="2"/>
      <w:sz w:val="24"/>
      <w:szCs w:val="24"/>
    </w:rPr>
  </w:style>
  <w:style w:type="paragraph" w:customStyle="1" w:styleId="135">
    <w:name w:val="正文－zlb"/>
    <w:basedOn w:val="1"/>
    <w:link w:val="134"/>
    <w:qFormat/>
    <w:uiPriority w:val="0"/>
    <w:pPr>
      <w:adjustRightInd w:val="0"/>
      <w:snapToGrid w:val="0"/>
      <w:spacing w:line="360" w:lineRule="auto"/>
      <w:ind w:firstLine="420"/>
    </w:pPr>
    <w:rPr>
      <w:rFonts w:ascii="宋体"/>
      <w:sz w:val="24"/>
    </w:rPr>
  </w:style>
  <w:style w:type="character" w:customStyle="1" w:styleId="136">
    <w:name w:val="Char Char11"/>
    <w:qFormat/>
    <w:uiPriority w:val="0"/>
    <w:rPr>
      <w:rFonts w:eastAsia="宋体"/>
      <w:b/>
      <w:bCs/>
      <w:kern w:val="2"/>
      <w:sz w:val="24"/>
      <w:szCs w:val="24"/>
      <w:lang w:val="en-US" w:eastAsia="zh-CN" w:bidi="ar-SA"/>
    </w:rPr>
  </w:style>
  <w:style w:type="character" w:customStyle="1" w:styleId="137">
    <w:name w:val="正文（首行缩进两字） Char"/>
    <w:qFormat/>
    <w:uiPriority w:val="0"/>
    <w:rPr>
      <w:rFonts w:eastAsia="宋体"/>
      <w:sz w:val="32"/>
      <w:lang w:val="en-US" w:eastAsia="zh-CN" w:bidi="ar-SA"/>
    </w:rPr>
  </w:style>
  <w:style w:type="character" w:customStyle="1" w:styleId="138">
    <w:name w:val="正文文本缩进 2 Char"/>
    <w:basedOn w:val="73"/>
    <w:link w:val="47"/>
    <w:qFormat/>
    <w:uiPriority w:val="0"/>
    <w:rPr>
      <w:rFonts w:ascii="Times New Roman" w:hAnsi="Times New Roman"/>
      <w:kern w:val="2"/>
      <w:sz w:val="21"/>
    </w:rPr>
  </w:style>
  <w:style w:type="character" w:customStyle="1" w:styleId="139">
    <w:name w:val="正文文本缩进 Char"/>
    <w:basedOn w:val="73"/>
    <w:qFormat/>
    <w:uiPriority w:val="0"/>
    <w:rPr>
      <w:rFonts w:ascii="Times New Roman" w:hAnsi="Times New Roman"/>
      <w:kern w:val="2"/>
      <w:sz w:val="21"/>
      <w:szCs w:val="24"/>
    </w:rPr>
  </w:style>
  <w:style w:type="character" w:customStyle="1" w:styleId="140">
    <w:name w:val="标题 Char"/>
    <w:basedOn w:val="73"/>
    <w:link w:val="72"/>
    <w:qFormat/>
    <w:uiPriority w:val="0"/>
    <w:rPr>
      <w:rFonts w:ascii="Arial" w:hAnsi="Arial" w:eastAsia="楷体_GB2312"/>
      <w:b/>
      <w:sz w:val="32"/>
    </w:rPr>
  </w:style>
  <w:style w:type="character" w:customStyle="1" w:styleId="141">
    <w:name w:val="b Char"/>
    <w:qFormat/>
    <w:uiPriority w:val="0"/>
    <w:rPr>
      <w:rFonts w:eastAsia="宋体"/>
      <w:b/>
      <w:bCs/>
      <w:kern w:val="2"/>
      <w:sz w:val="28"/>
      <w:szCs w:val="28"/>
      <w:lang w:val="en-US" w:eastAsia="zh-CN" w:bidi="ar-SA"/>
    </w:rPr>
  </w:style>
  <w:style w:type="character" w:customStyle="1" w:styleId="142">
    <w:name w:val="日期 Char"/>
    <w:link w:val="46"/>
    <w:qFormat/>
    <w:uiPriority w:val="0"/>
    <w:rPr>
      <w:rFonts w:eastAsia="楷体_GB2312"/>
      <w:kern w:val="2"/>
      <w:sz w:val="30"/>
    </w:rPr>
  </w:style>
  <w:style w:type="character" w:customStyle="1" w:styleId="143">
    <w:name w:val="题注 Char"/>
    <w:link w:val="22"/>
    <w:qFormat/>
    <w:uiPriority w:val="0"/>
    <w:rPr>
      <w:rFonts w:ascii="Times New Roman" w:hAnsi="Times New Roman"/>
      <w:b/>
      <w:bCs/>
      <w:color w:val="000080"/>
      <w:kern w:val="2"/>
      <w:sz w:val="28"/>
      <w:szCs w:val="24"/>
    </w:rPr>
  </w:style>
  <w:style w:type="character" w:customStyle="1" w:styleId="144">
    <w:name w:val="正文段落格式 Char Char"/>
    <w:qFormat/>
    <w:uiPriority w:val="0"/>
    <w:rPr>
      <w:rFonts w:cs="宋体"/>
      <w:color w:val="7030A0"/>
      <w:kern w:val="2"/>
      <w:sz w:val="24"/>
    </w:rPr>
  </w:style>
  <w:style w:type="character" w:customStyle="1" w:styleId="145">
    <w:name w:val="标题 5 Char"/>
    <w:basedOn w:val="73"/>
    <w:link w:val="6"/>
    <w:semiHidden/>
    <w:qFormat/>
    <w:uiPriority w:val="9"/>
    <w:rPr>
      <w:rFonts w:ascii="Times New Roman" w:hAnsi="Times New Roman"/>
      <w:b/>
      <w:bCs/>
      <w:kern w:val="2"/>
      <w:sz w:val="28"/>
      <w:szCs w:val="28"/>
    </w:rPr>
  </w:style>
  <w:style w:type="character" w:customStyle="1" w:styleId="146">
    <w:name w:val="图表标题 BJ8 Char Char"/>
    <w:link w:val="147"/>
    <w:qFormat/>
    <w:uiPriority w:val="0"/>
    <w:rPr>
      <w:rFonts w:ascii="Times New Roman" w:hAnsi="Times New Roman" w:eastAsia="黑体"/>
      <w:kern w:val="2"/>
      <w:sz w:val="24"/>
    </w:rPr>
  </w:style>
  <w:style w:type="paragraph" w:customStyle="1" w:styleId="147">
    <w:name w:val="图表标题 BJ8"/>
    <w:basedOn w:val="1"/>
    <w:link w:val="146"/>
    <w:qFormat/>
    <w:uiPriority w:val="0"/>
    <w:pPr>
      <w:adjustRightInd w:val="0"/>
      <w:snapToGrid w:val="0"/>
      <w:ind w:firstLine="200" w:firstLineChars="200"/>
      <w:jc w:val="center"/>
    </w:pPr>
    <w:rPr>
      <w:rFonts w:eastAsia="黑体"/>
      <w:sz w:val="24"/>
      <w:szCs w:val="20"/>
    </w:rPr>
  </w:style>
  <w:style w:type="character" w:customStyle="1" w:styleId="148">
    <w:name w:val="应答文本 Char Char"/>
    <w:qFormat/>
    <w:uiPriority w:val="0"/>
    <w:rPr>
      <w:rFonts w:ascii="Arial" w:hAnsi="Arial" w:eastAsia="楷体_GB2312" w:cs="宋体"/>
      <w:spacing w:val="10"/>
      <w:sz w:val="21"/>
      <w:lang w:val="en-US" w:eastAsia="zh-CN" w:bidi="ar-SA"/>
    </w:rPr>
  </w:style>
  <w:style w:type="character" w:customStyle="1" w:styleId="149">
    <w:name w:val="列表框2 Char"/>
    <w:link w:val="150"/>
    <w:qFormat/>
    <w:uiPriority w:val="0"/>
    <w:rPr>
      <w:snapToGrid w:val="0"/>
      <w:color w:val="7030A0"/>
      <w:spacing w:val="10"/>
      <w:sz w:val="24"/>
      <w:szCs w:val="24"/>
    </w:rPr>
  </w:style>
  <w:style w:type="paragraph" w:customStyle="1" w:styleId="150">
    <w:name w:val="列表框2"/>
    <w:basedOn w:val="1"/>
    <w:link w:val="149"/>
    <w:qFormat/>
    <w:uiPriority w:val="0"/>
    <w:pPr>
      <w:tabs>
        <w:tab w:val="left" w:pos="360"/>
        <w:tab w:val="left" w:pos="1628"/>
        <w:tab w:val="left" w:pos="2086"/>
      </w:tabs>
      <w:adjustRightInd w:val="0"/>
      <w:snapToGrid w:val="0"/>
      <w:ind w:left="1748" w:right="210" w:rightChars="100" w:hanging="434" w:firstLineChars="200"/>
      <w:jc w:val="left"/>
    </w:pPr>
    <w:rPr>
      <w:snapToGrid w:val="0"/>
      <w:color w:val="7030A0"/>
      <w:spacing w:val="10"/>
      <w:kern w:val="0"/>
      <w:sz w:val="24"/>
    </w:rPr>
  </w:style>
  <w:style w:type="character" w:customStyle="1" w:styleId="151">
    <w:name w:val="正文首行缩进 2 Char"/>
    <w:basedOn w:val="139"/>
    <w:link w:val="51"/>
    <w:qFormat/>
    <w:uiPriority w:val="0"/>
    <w:rPr>
      <w:rFonts w:ascii="宋体" w:hAnsi="宋体"/>
    </w:rPr>
  </w:style>
  <w:style w:type="character" w:customStyle="1" w:styleId="152">
    <w:name w:val="sub-dash Char"/>
    <w:qFormat/>
    <w:uiPriority w:val="0"/>
    <w:rPr>
      <w:rFonts w:ascii="Arial" w:hAnsi="Arial" w:eastAsia="黑体"/>
      <w:b/>
      <w:bCs/>
      <w:kern w:val="2"/>
      <w:sz w:val="24"/>
      <w:szCs w:val="24"/>
      <w:lang w:val="en-US" w:eastAsia="zh-CN" w:bidi="ar-SA"/>
    </w:rPr>
  </w:style>
  <w:style w:type="character" w:customStyle="1" w:styleId="153">
    <w:name w:val="五级标题格式 Char"/>
    <w:link w:val="154"/>
    <w:qFormat/>
    <w:uiPriority w:val="0"/>
    <w:rPr>
      <w:rFonts w:ascii="Times New Roman" w:hAnsi="Times New Roman"/>
      <w:b/>
      <w:bCs/>
      <w:kern w:val="2"/>
      <w:sz w:val="24"/>
      <w:szCs w:val="28"/>
    </w:rPr>
  </w:style>
  <w:style w:type="paragraph" w:customStyle="1" w:styleId="154">
    <w:name w:val="五级标题格式"/>
    <w:basedOn w:val="6"/>
    <w:link w:val="153"/>
    <w:qFormat/>
    <w:uiPriority w:val="0"/>
    <w:pPr>
      <w:keepNext w:val="0"/>
      <w:keepLines w:val="0"/>
      <w:tabs>
        <w:tab w:val="clear" w:pos="1008"/>
      </w:tabs>
      <w:spacing w:before="0" w:afterLines="50" w:line="240" w:lineRule="auto"/>
      <w:ind w:left="0" w:firstLine="0"/>
      <w:jc w:val="left"/>
    </w:pPr>
    <w:rPr>
      <w:bCs/>
      <w:sz w:val="24"/>
      <w:szCs w:val="28"/>
    </w:rPr>
  </w:style>
  <w:style w:type="character" w:customStyle="1" w:styleId="155">
    <w:name w:val="页眉 Char"/>
    <w:basedOn w:val="73"/>
    <w:link w:val="52"/>
    <w:qFormat/>
    <w:uiPriority w:val="0"/>
    <w:rPr>
      <w:rFonts w:ascii="Times New Roman" w:hAnsi="Times New Roman"/>
      <w:kern w:val="2"/>
      <w:sz w:val="18"/>
      <w:szCs w:val="18"/>
    </w:rPr>
  </w:style>
  <w:style w:type="character" w:customStyle="1" w:styleId="156">
    <w:name w:val="Char Char111"/>
    <w:qFormat/>
    <w:uiPriority w:val="0"/>
    <w:rPr>
      <w:rFonts w:eastAsia="宋体"/>
      <w:b/>
      <w:bCs/>
      <w:kern w:val="2"/>
      <w:sz w:val="24"/>
      <w:szCs w:val="24"/>
      <w:lang w:val="en-US" w:eastAsia="zh-CN" w:bidi="ar-SA"/>
    </w:rPr>
  </w:style>
  <w:style w:type="character" w:customStyle="1" w:styleId="157">
    <w:name w:val="表格文字图表文字 Char Char"/>
    <w:qFormat/>
    <w:uiPriority w:val="0"/>
    <w:rPr>
      <w:color w:val="7030A0"/>
      <w:kern w:val="2"/>
      <w:sz w:val="21"/>
    </w:rPr>
  </w:style>
  <w:style w:type="character" w:customStyle="1" w:styleId="158">
    <w:name w:val="标题 8 Char"/>
    <w:basedOn w:val="73"/>
    <w:link w:val="9"/>
    <w:qFormat/>
    <w:uiPriority w:val="0"/>
    <w:rPr>
      <w:rFonts w:ascii="Arial" w:hAnsi="Arial" w:eastAsia="黑体"/>
      <w:kern w:val="2"/>
      <w:sz w:val="24"/>
    </w:rPr>
  </w:style>
  <w:style w:type="character" w:customStyle="1" w:styleId="159">
    <w:name w:val="占位符文本1"/>
    <w:basedOn w:val="73"/>
    <w:semiHidden/>
    <w:qFormat/>
    <w:uiPriority w:val="99"/>
    <w:rPr>
      <w:color w:val="808080"/>
    </w:rPr>
  </w:style>
  <w:style w:type="character" w:customStyle="1" w:styleId="160">
    <w:name w:val="正文首行缩进 Char"/>
    <w:basedOn w:val="161"/>
    <w:link w:val="14"/>
    <w:qFormat/>
    <w:uiPriority w:val="0"/>
    <w:rPr>
      <w:color w:val="7030A0"/>
    </w:rPr>
  </w:style>
  <w:style w:type="character" w:customStyle="1" w:styleId="161">
    <w:name w:val="正文文本 Char"/>
    <w:basedOn w:val="73"/>
    <w:link w:val="31"/>
    <w:qFormat/>
    <w:uiPriority w:val="0"/>
    <w:rPr>
      <w:rFonts w:ascii="Times New Roman" w:hAnsi="Times New Roman"/>
      <w:kern w:val="2"/>
      <w:sz w:val="21"/>
      <w:szCs w:val="24"/>
    </w:rPr>
  </w:style>
  <w:style w:type="character" w:customStyle="1" w:styleId="162">
    <w:name w:val="正文段落格式 Char"/>
    <w:link w:val="163"/>
    <w:qFormat/>
    <w:uiPriority w:val="0"/>
    <w:rPr>
      <w:rFonts w:ascii="Times New Roman" w:hAnsi="Times New Roman"/>
      <w:color w:val="7030A0"/>
      <w:kern w:val="2"/>
      <w:sz w:val="24"/>
    </w:rPr>
  </w:style>
  <w:style w:type="paragraph" w:customStyle="1" w:styleId="163">
    <w:name w:val="正文段落格式"/>
    <w:basedOn w:val="106"/>
    <w:link w:val="162"/>
    <w:qFormat/>
    <w:uiPriority w:val="0"/>
    <w:pPr>
      <w:spacing w:afterLines="50" w:line="336" w:lineRule="auto"/>
    </w:pPr>
  </w:style>
  <w:style w:type="character" w:customStyle="1" w:styleId="164">
    <w:name w:val="表格文字 BJ8 Char Char"/>
    <w:link w:val="165"/>
    <w:qFormat/>
    <w:uiPriority w:val="0"/>
    <w:rPr>
      <w:rFonts w:ascii="Times New Roman" w:hAnsi="Times New Roman"/>
      <w:kern w:val="2"/>
      <w:sz w:val="21"/>
      <w:szCs w:val="21"/>
    </w:rPr>
  </w:style>
  <w:style w:type="paragraph" w:customStyle="1" w:styleId="165">
    <w:name w:val="表格文字 BJ8"/>
    <w:basedOn w:val="1"/>
    <w:link w:val="164"/>
    <w:qFormat/>
    <w:uiPriority w:val="0"/>
    <w:pPr>
      <w:adjustRightInd w:val="0"/>
      <w:snapToGrid w:val="0"/>
      <w:spacing w:line="400" w:lineRule="exact"/>
      <w:ind w:firstLine="200" w:firstLineChars="200"/>
      <w:jc w:val="center"/>
    </w:pPr>
    <w:rPr>
      <w:szCs w:val="21"/>
    </w:rPr>
  </w:style>
  <w:style w:type="character" w:customStyle="1" w:styleId="166">
    <w:name w:val="gpa"/>
    <w:basedOn w:val="73"/>
    <w:qFormat/>
    <w:uiPriority w:val="0"/>
    <w:rPr>
      <w:rFonts w:ascii="Arial" w:hAnsi="Arial" w:cs="Arial"/>
      <w:sz w:val="12"/>
      <w:szCs w:val="12"/>
    </w:rPr>
  </w:style>
  <w:style w:type="character" w:customStyle="1" w:styleId="167">
    <w:name w:val="样式 标题 31.1条标题1.1.1二级节名h3Heading 3 - oldheading 3H3H31H3... Char"/>
    <w:link w:val="168"/>
    <w:qFormat/>
    <w:uiPriority w:val="0"/>
    <w:rPr>
      <w:rFonts w:ascii="宋体" w:hAnsi="宋体" w:eastAsia="黑体"/>
      <w:kern w:val="2"/>
      <w:sz w:val="24"/>
      <w:szCs w:val="21"/>
    </w:rPr>
  </w:style>
  <w:style w:type="paragraph" w:customStyle="1" w:styleId="168">
    <w:name w:val="样式 标题 31.1条标题1.1.1二级节名h3Heading 3 - oldheading 3H3H31H3..."/>
    <w:basedOn w:val="4"/>
    <w:link w:val="167"/>
    <w:qFormat/>
    <w:uiPriority w:val="0"/>
    <w:pPr>
      <w:keepNext w:val="0"/>
      <w:keepLines w:val="0"/>
      <w:spacing w:before="240" w:after="120" w:line="480" w:lineRule="exact"/>
      <w:jc w:val="left"/>
    </w:pPr>
    <w:rPr>
      <w:rFonts w:ascii="宋体" w:hAnsi="宋体" w:eastAsia="黑体"/>
      <w:b w:val="0"/>
      <w:bCs w:val="0"/>
      <w:sz w:val="24"/>
      <w:szCs w:val="21"/>
    </w:rPr>
  </w:style>
  <w:style w:type="character" w:customStyle="1" w:styleId="169">
    <w:name w:val="标题2 Char Char"/>
    <w:link w:val="170"/>
    <w:qFormat/>
    <w:uiPriority w:val="0"/>
    <w:rPr>
      <w:rFonts w:ascii="宋体" w:hAnsi="Times New Roman"/>
      <w:b/>
      <w:color w:val="92D050"/>
      <w:kern w:val="44"/>
      <w:sz w:val="30"/>
    </w:rPr>
  </w:style>
  <w:style w:type="paragraph" w:customStyle="1" w:styleId="170">
    <w:name w:val="标题2"/>
    <w:basedOn w:val="2"/>
    <w:link w:val="169"/>
    <w:qFormat/>
    <w:uiPriority w:val="0"/>
    <w:pPr>
      <w:spacing w:before="0" w:after="0" w:line="312" w:lineRule="auto"/>
      <w:ind w:left="0" w:firstLine="0"/>
      <w:jc w:val="center"/>
    </w:pPr>
    <w:rPr>
      <w:rFonts w:ascii="宋体"/>
      <w:bCs w:val="0"/>
      <w:color w:val="92D050"/>
      <w:sz w:val="30"/>
      <w:szCs w:val="20"/>
    </w:rPr>
  </w:style>
  <w:style w:type="character" w:customStyle="1" w:styleId="171">
    <w:name w:val="Char Char2"/>
    <w:qFormat/>
    <w:uiPriority w:val="0"/>
    <w:rPr>
      <w:rFonts w:eastAsia="仿宋_GB2312"/>
      <w:kern w:val="2"/>
      <w:sz w:val="28"/>
      <w:lang w:val="en-US" w:eastAsia="zh-CN" w:bidi="ar-SA"/>
    </w:rPr>
  </w:style>
  <w:style w:type="character" w:customStyle="1" w:styleId="172">
    <w:name w:val="标题 7 Char"/>
    <w:basedOn w:val="73"/>
    <w:link w:val="8"/>
    <w:qFormat/>
    <w:uiPriority w:val="0"/>
    <w:rPr>
      <w:rFonts w:ascii="Times New Roman" w:hAnsi="Times New Roman"/>
      <w:b/>
      <w:kern w:val="2"/>
      <w:sz w:val="24"/>
    </w:rPr>
  </w:style>
  <w:style w:type="character" w:customStyle="1" w:styleId="173">
    <w:name w:val="2 headline Char Char"/>
    <w:qFormat/>
    <w:uiPriority w:val="0"/>
    <w:rPr>
      <w:rFonts w:eastAsia="黑体"/>
      <w:bCs/>
      <w:kern w:val="2"/>
      <w:sz w:val="28"/>
      <w:szCs w:val="28"/>
      <w:lang w:val="en-US" w:eastAsia="zh-CN" w:bidi="ar-SA"/>
    </w:rPr>
  </w:style>
  <w:style w:type="character" w:customStyle="1" w:styleId="174">
    <w:name w:val="正文 QD3 Char Char"/>
    <w:link w:val="175"/>
    <w:qFormat/>
    <w:uiPriority w:val="0"/>
    <w:rPr>
      <w:rFonts w:ascii="Times New Roman" w:hAnsi="Times New Roman"/>
      <w:kern w:val="2"/>
      <w:sz w:val="24"/>
      <w:szCs w:val="24"/>
    </w:rPr>
  </w:style>
  <w:style w:type="paragraph" w:customStyle="1" w:styleId="175">
    <w:name w:val="正文 QD3"/>
    <w:basedOn w:val="1"/>
    <w:link w:val="174"/>
    <w:qFormat/>
    <w:uiPriority w:val="0"/>
    <w:pPr>
      <w:adjustRightInd w:val="0"/>
      <w:snapToGrid w:val="0"/>
      <w:spacing w:line="360" w:lineRule="auto"/>
      <w:ind w:firstLine="200" w:firstLineChars="200"/>
      <w:jc w:val="left"/>
    </w:pPr>
    <w:rPr>
      <w:sz w:val="24"/>
    </w:rPr>
  </w:style>
  <w:style w:type="character" w:customStyle="1" w:styleId="176">
    <w:name w:val="正文 BJ8 Char Char"/>
    <w:link w:val="177"/>
    <w:qFormat/>
    <w:uiPriority w:val="0"/>
    <w:rPr>
      <w:rFonts w:ascii="Times New Roman" w:hAnsi="Times New Roman"/>
      <w:color w:val="7030A0"/>
      <w:kern w:val="2"/>
      <w:sz w:val="24"/>
      <w:szCs w:val="24"/>
    </w:rPr>
  </w:style>
  <w:style w:type="paragraph" w:customStyle="1" w:styleId="177">
    <w:name w:val="正文 BJ8"/>
    <w:basedOn w:val="1"/>
    <w:link w:val="176"/>
    <w:qFormat/>
    <w:uiPriority w:val="0"/>
    <w:pPr>
      <w:adjustRightInd w:val="0"/>
      <w:snapToGrid w:val="0"/>
      <w:spacing w:line="360" w:lineRule="auto"/>
      <w:ind w:firstLine="200" w:firstLineChars="200"/>
      <w:jc w:val="left"/>
    </w:pPr>
    <w:rPr>
      <w:color w:val="7030A0"/>
      <w:sz w:val="24"/>
    </w:rPr>
  </w:style>
  <w:style w:type="character" w:customStyle="1" w:styleId="178">
    <w:name w:val="书籍标题1"/>
    <w:qFormat/>
    <w:uiPriority w:val="33"/>
    <w:rPr>
      <w:b/>
      <w:bCs/>
      <w:smallCaps/>
      <w:spacing w:val="5"/>
    </w:rPr>
  </w:style>
  <w:style w:type="character" w:customStyle="1" w:styleId="179">
    <w:name w:val="Char Char8"/>
    <w:qFormat/>
    <w:uiPriority w:val="0"/>
    <w:rPr>
      <w:rFonts w:eastAsia="宋体"/>
      <w:kern w:val="2"/>
      <w:sz w:val="21"/>
      <w:lang w:val="en-US" w:eastAsia="zh-CN" w:bidi="ar-SA"/>
    </w:rPr>
  </w:style>
  <w:style w:type="character" w:customStyle="1" w:styleId="180">
    <w:name w:val="正文文本缩进 Char1"/>
    <w:link w:val="32"/>
    <w:qFormat/>
    <w:uiPriority w:val="0"/>
    <w:rPr>
      <w:rFonts w:ascii="宋体" w:hAnsi="Times New Roman"/>
      <w:kern w:val="2"/>
      <w:sz w:val="21"/>
    </w:rPr>
  </w:style>
  <w:style w:type="character" w:customStyle="1" w:styleId="181">
    <w:name w:val="正文1 Char"/>
    <w:link w:val="182"/>
    <w:qFormat/>
    <w:uiPriority w:val="0"/>
    <w:rPr>
      <w:rFonts w:ascii="Times New Roman" w:hAnsi="Times New Roman"/>
      <w:kern w:val="2"/>
      <w:sz w:val="24"/>
    </w:rPr>
  </w:style>
  <w:style w:type="paragraph" w:customStyle="1" w:styleId="182">
    <w:name w:val="正文1"/>
    <w:basedOn w:val="1"/>
    <w:link w:val="181"/>
    <w:qFormat/>
    <w:uiPriority w:val="0"/>
    <w:pPr>
      <w:tabs>
        <w:tab w:val="left" w:pos="720"/>
        <w:tab w:val="right" w:pos="1191"/>
      </w:tabs>
      <w:spacing w:line="360" w:lineRule="auto"/>
      <w:ind w:left="720" w:hanging="360"/>
    </w:pPr>
    <w:rPr>
      <w:sz w:val="24"/>
      <w:szCs w:val="20"/>
    </w:rPr>
  </w:style>
  <w:style w:type="character" w:customStyle="1" w:styleId="183">
    <w:name w:val="HTML 预设格式 Char"/>
    <w:basedOn w:val="73"/>
    <w:link w:val="69"/>
    <w:qFormat/>
    <w:uiPriority w:val="99"/>
    <w:rPr>
      <w:rFonts w:ascii="Arial" w:hAnsi="Arial"/>
      <w:sz w:val="21"/>
      <w:szCs w:val="21"/>
    </w:rPr>
  </w:style>
  <w:style w:type="character" w:customStyle="1" w:styleId="184">
    <w:name w:val="批注框文本 Char"/>
    <w:basedOn w:val="73"/>
    <w:link w:val="49"/>
    <w:qFormat/>
    <w:uiPriority w:val="0"/>
    <w:rPr>
      <w:rFonts w:ascii="Times New Roman" w:hAnsi="Times New Roman" w:eastAsia="宋体" w:cs="Times New Roman"/>
      <w:sz w:val="18"/>
      <w:szCs w:val="18"/>
    </w:rPr>
  </w:style>
  <w:style w:type="character" w:customStyle="1" w:styleId="185">
    <w:name w:val="正文1 Char Char"/>
    <w:qFormat/>
    <w:uiPriority w:val="0"/>
    <w:rPr>
      <w:rFonts w:ascii="宋体" w:hAnsi="宋体"/>
      <w:kern w:val="10"/>
      <w:sz w:val="21"/>
      <w:szCs w:val="24"/>
    </w:rPr>
  </w:style>
  <w:style w:type="character" w:customStyle="1" w:styleId="186">
    <w:name w:val="页脚 Char"/>
    <w:basedOn w:val="73"/>
    <w:link w:val="50"/>
    <w:qFormat/>
    <w:uiPriority w:val="99"/>
    <w:rPr>
      <w:rFonts w:ascii="Times New Roman" w:hAnsi="Times New Roman"/>
      <w:kern w:val="2"/>
      <w:sz w:val="18"/>
      <w:szCs w:val="18"/>
    </w:rPr>
  </w:style>
  <w:style w:type="character" w:customStyle="1" w:styleId="187">
    <w:name w:val="列表框2 Char Char"/>
    <w:qFormat/>
    <w:uiPriority w:val="0"/>
    <w:rPr>
      <w:snapToGrid/>
      <w:color w:val="7030A0"/>
      <w:spacing w:val="10"/>
      <w:sz w:val="24"/>
      <w:szCs w:val="24"/>
    </w:rPr>
  </w:style>
  <w:style w:type="character" w:customStyle="1" w:styleId="188">
    <w:name w:val="标题3 Char Char"/>
    <w:qFormat/>
    <w:uiPriority w:val="0"/>
    <w:rPr>
      <w:rFonts w:ascii="宋体" w:hAnsi="宋体"/>
      <w:b/>
      <w:bCs/>
      <w:color w:val="92D050"/>
      <w:kern w:val="44"/>
      <w:sz w:val="24"/>
      <w:szCs w:val="21"/>
    </w:rPr>
  </w:style>
  <w:style w:type="character" w:customStyle="1" w:styleId="189">
    <w:name w:val="标题 3 Char"/>
    <w:basedOn w:val="73"/>
    <w:link w:val="4"/>
    <w:qFormat/>
    <w:uiPriority w:val="0"/>
    <w:rPr>
      <w:rFonts w:ascii="Times New Roman" w:hAnsi="Times New Roman"/>
      <w:b/>
      <w:bCs/>
      <w:kern w:val="2"/>
      <w:sz w:val="32"/>
      <w:szCs w:val="32"/>
    </w:rPr>
  </w:style>
  <w:style w:type="character" w:customStyle="1" w:styleId="190">
    <w:name w:val="标题 1 Char"/>
    <w:basedOn w:val="73"/>
    <w:link w:val="2"/>
    <w:qFormat/>
    <w:uiPriority w:val="0"/>
    <w:rPr>
      <w:rFonts w:ascii="Times New Roman" w:hAnsi="Times New Roman"/>
      <w:b/>
      <w:bCs/>
      <w:kern w:val="44"/>
      <w:sz w:val="44"/>
      <w:szCs w:val="44"/>
    </w:rPr>
  </w:style>
  <w:style w:type="character" w:customStyle="1" w:styleId="191">
    <w:name w:val="标题 6 Char"/>
    <w:basedOn w:val="73"/>
    <w:link w:val="7"/>
    <w:qFormat/>
    <w:uiPriority w:val="0"/>
    <w:rPr>
      <w:rFonts w:ascii="Arial" w:hAnsi="Arial" w:eastAsia="黑体"/>
      <w:b/>
      <w:kern w:val="2"/>
      <w:sz w:val="24"/>
    </w:rPr>
  </w:style>
  <w:style w:type="character" w:customStyle="1" w:styleId="192">
    <w:name w:val="文档结构图 Char"/>
    <w:basedOn w:val="73"/>
    <w:link w:val="25"/>
    <w:qFormat/>
    <w:uiPriority w:val="0"/>
    <w:rPr>
      <w:rFonts w:ascii="宋体" w:hAnsi="Times New Roman" w:eastAsia="宋体" w:cs="Times New Roman"/>
      <w:sz w:val="18"/>
      <w:szCs w:val="18"/>
    </w:rPr>
  </w:style>
  <w:style w:type="character" w:customStyle="1" w:styleId="193">
    <w:name w:val="样式 宋体 行距: 固定值 24 磅 Char Char"/>
    <w:qFormat/>
    <w:uiPriority w:val="0"/>
    <w:rPr>
      <w:rFonts w:ascii="宋体" w:cs="宋体"/>
      <w:color w:val="7030A0"/>
      <w:kern w:val="2"/>
      <w:sz w:val="28"/>
    </w:rPr>
  </w:style>
  <w:style w:type="character" w:customStyle="1" w:styleId="194">
    <w:name w:val="样式 Char Char"/>
    <w:link w:val="195"/>
    <w:qFormat/>
    <w:uiPriority w:val="0"/>
    <w:rPr>
      <w:rFonts w:ascii="宋体" w:hAnsi="宋体" w:cs="宋体"/>
      <w:sz w:val="24"/>
      <w:szCs w:val="24"/>
      <w:lang w:val="en-US" w:eastAsia="zh-CN" w:bidi="ar-SA"/>
    </w:rPr>
  </w:style>
  <w:style w:type="paragraph" w:customStyle="1" w:styleId="195">
    <w:name w:val="样式"/>
    <w:link w:val="194"/>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96">
    <w:name w:val="无编号正文 Char Char"/>
    <w:link w:val="197"/>
    <w:qFormat/>
    <w:uiPriority w:val="0"/>
    <w:rPr>
      <w:rFonts w:ascii="宋体" w:hAnsi="宋体"/>
      <w:sz w:val="24"/>
      <w:szCs w:val="24"/>
    </w:rPr>
  </w:style>
  <w:style w:type="paragraph" w:customStyle="1" w:styleId="197">
    <w:name w:val="无编号正文"/>
    <w:basedOn w:val="31"/>
    <w:next w:val="1"/>
    <w:link w:val="196"/>
    <w:qFormat/>
    <w:uiPriority w:val="0"/>
    <w:pPr>
      <w:ind w:left="200" w:leftChars="200" w:firstLine="200" w:firstLineChars="200"/>
    </w:pPr>
    <w:rPr>
      <w:rFonts w:ascii="宋体" w:hAnsi="宋体"/>
      <w:kern w:val="0"/>
      <w:szCs w:val="24"/>
    </w:rPr>
  </w:style>
  <w:style w:type="character" w:customStyle="1" w:styleId="198">
    <w:name w:val="表图名称 Char Char"/>
    <w:link w:val="199"/>
    <w:qFormat/>
    <w:uiPriority w:val="0"/>
    <w:rPr>
      <w:rFonts w:ascii="黑体" w:hAnsi="宋体" w:eastAsia="黑体"/>
      <w:kern w:val="2"/>
      <w:sz w:val="24"/>
      <w:szCs w:val="24"/>
      <w:lang w:val="en-US" w:eastAsia="zh-CN" w:bidi="ar-SA"/>
    </w:rPr>
  </w:style>
  <w:style w:type="paragraph" w:customStyle="1" w:styleId="199">
    <w:name w:val="表图名称"/>
    <w:link w:val="198"/>
    <w:qFormat/>
    <w:uiPriority w:val="0"/>
    <w:pPr>
      <w:widowControl w:val="0"/>
      <w:tabs>
        <w:tab w:val="left" w:pos="6120"/>
        <w:tab w:val="left" w:pos="13784"/>
      </w:tabs>
      <w:adjustRightInd w:val="0"/>
      <w:snapToGrid w:val="0"/>
      <w:spacing w:line="360" w:lineRule="auto"/>
      <w:jc w:val="center"/>
    </w:pPr>
    <w:rPr>
      <w:rFonts w:ascii="黑体" w:hAnsi="宋体" w:eastAsia="黑体" w:cs="Times New Roman"/>
      <w:kern w:val="2"/>
      <w:sz w:val="24"/>
      <w:szCs w:val="24"/>
      <w:lang w:val="en-US" w:eastAsia="zh-CN" w:bidi="ar-SA"/>
    </w:rPr>
  </w:style>
  <w:style w:type="character" w:customStyle="1" w:styleId="200">
    <w:name w:val="列表框1 Char Char"/>
    <w:qFormat/>
    <w:uiPriority w:val="0"/>
    <w:rPr>
      <w:rFonts w:ascii="Arial" w:hAnsi="Arial" w:eastAsia="楷体_GB2312" w:cs="Arial"/>
      <w:spacing w:val="10"/>
      <w:sz w:val="21"/>
      <w:lang w:val="en-US" w:eastAsia="zh-CN" w:bidi="ar-SA"/>
    </w:rPr>
  </w:style>
  <w:style w:type="character" w:customStyle="1" w:styleId="201">
    <w:name w:val="表格文字图表文字 Char"/>
    <w:link w:val="202"/>
    <w:qFormat/>
    <w:uiPriority w:val="0"/>
    <w:rPr>
      <w:rFonts w:ascii="Times New Roman" w:hAnsi="Times New Roman"/>
      <w:color w:val="7030A0"/>
      <w:kern w:val="2"/>
      <w:sz w:val="21"/>
    </w:rPr>
  </w:style>
  <w:style w:type="paragraph" w:customStyle="1" w:styleId="202">
    <w:name w:val="表格文字图表文字"/>
    <w:basedOn w:val="1"/>
    <w:link w:val="201"/>
    <w:qFormat/>
    <w:uiPriority w:val="0"/>
    <w:pPr>
      <w:snapToGrid w:val="0"/>
      <w:ind w:firstLine="200" w:firstLineChars="200"/>
      <w:jc w:val="center"/>
    </w:pPr>
    <w:rPr>
      <w:color w:val="7030A0"/>
      <w:szCs w:val="20"/>
    </w:rPr>
  </w:style>
  <w:style w:type="character" w:customStyle="1" w:styleId="203">
    <w:name w:val="批注文字 Char1"/>
    <w:semiHidden/>
    <w:qFormat/>
    <w:uiPriority w:val="0"/>
    <w:rPr>
      <w:kern w:val="2"/>
      <w:sz w:val="24"/>
      <w:szCs w:val="24"/>
    </w:rPr>
  </w:style>
  <w:style w:type="paragraph" w:customStyle="1" w:styleId="204">
    <w:name w:val="xl51"/>
    <w:basedOn w:val="1"/>
    <w:qFormat/>
    <w:uiPriority w:val="0"/>
    <w:pPr>
      <w:widowControl/>
      <w:pBdr>
        <w:top w:val="single" w:color="auto" w:sz="4" w:space="0"/>
        <w:bottom w:val="single" w:color="auto" w:sz="4" w:space="0"/>
        <w:right w:val="single" w:color="auto" w:sz="4" w:space="0"/>
      </w:pBdr>
      <w:spacing w:before="100" w:after="100"/>
      <w:ind w:firstLine="200" w:firstLineChars="200"/>
      <w:jc w:val="center"/>
    </w:pPr>
    <w:rPr>
      <w:rFonts w:ascii="Arial Unicode MS" w:hAnsi="Arial Unicode MS" w:eastAsia="Arial Unicode MS"/>
      <w:color w:val="7030A0"/>
      <w:kern w:val="0"/>
      <w:szCs w:val="20"/>
    </w:rPr>
  </w:style>
  <w:style w:type="paragraph" w:customStyle="1" w:styleId="205">
    <w:name w:val="通用"/>
    <w:basedOn w:val="1"/>
    <w:qFormat/>
    <w:uiPriority w:val="0"/>
    <w:pPr>
      <w:spacing w:line="360" w:lineRule="auto"/>
      <w:ind w:left="840" w:leftChars="400"/>
    </w:pPr>
    <w:rPr>
      <w:rFonts w:ascii="宋体" w:hAnsi="宋体"/>
      <w:szCs w:val="20"/>
    </w:rPr>
  </w:style>
  <w:style w:type="paragraph" w:customStyle="1" w:styleId="206">
    <w:name w:val="样式 目录 1 + 首行缩进:  2 字符"/>
    <w:basedOn w:val="1"/>
    <w:qFormat/>
    <w:uiPriority w:val="0"/>
    <w:pPr>
      <w:adjustRightInd w:val="0"/>
      <w:snapToGrid w:val="0"/>
      <w:spacing w:line="360" w:lineRule="auto"/>
      <w:ind w:firstLine="200" w:firstLineChars="200"/>
      <w:jc w:val="center"/>
    </w:pPr>
    <w:rPr>
      <w:rFonts w:cs="宋体"/>
      <w:b/>
      <w:bCs/>
      <w:caps/>
      <w:color w:val="7030A0"/>
      <w:sz w:val="30"/>
      <w:szCs w:val="28"/>
    </w:rPr>
  </w:style>
  <w:style w:type="paragraph" w:customStyle="1" w:styleId="207">
    <w:name w:val="1"/>
    <w:basedOn w:val="1"/>
    <w:next w:val="67"/>
    <w:qFormat/>
    <w:uiPriority w:val="0"/>
    <w:pPr>
      <w:spacing w:after="120" w:line="480" w:lineRule="auto"/>
      <w:ind w:firstLine="200" w:firstLineChars="200"/>
      <w:jc w:val="left"/>
    </w:pPr>
    <w:rPr>
      <w:color w:val="7030A0"/>
    </w:rPr>
  </w:style>
  <w:style w:type="paragraph" w:customStyle="1" w:styleId="20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 w:val="20"/>
      <w:szCs w:val="20"/>
    </w:rPr>
  </w:style>
  <w:style w:type="paragraph" w:customStyle="1" w:styleId="209">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210">
    <w:name w:val="zhengwen"/>
    <w:basedOn w:val="1"/>
    <w:qFormat/>
    <w:uiPriority w:val="0"/>
    <w:pPr>
      <w:tabs>
        <w:tab w:val="left" w:pos="1077"/>
      </w:tabs>
      <w:adjustRightInd w:val="0"/>
      <w:snapToGrid w:val="0"/>
      <w:spacing w:line="520" w:lineRule="exact"/>
      <w:ind w:left="1077" w:firstLine="200" w:firstLineChars="200"/>
      <w:jc w:val="left"/>
    </w:pPr>
    <w:rPr>
      <w:bCs/>
      <w:color w:val="7030A0"/>
      <w:sz w:val="28"/>
    </w:rPr>
  </w:style>
  <w:style w:type="paragraph" w:customStyle="1" w:styleId="211">
    <w:name w:val="样式 宋体 行距: 1.5 倍行距"/>
    <w:basedOn w:val="1"/>
    <w:qFormat/>
    <w:uiPriority w:val="0"/>
    <w:pPr>
      <w:ind w:firstLine="200" w:firstLineChars="200"/>
      <w:jc w:val="left"/>
    </w:pPr>
    <w:rPr>
      <w:rFonts w:ascii="宋体" w:hAnsi="宋体"/>
      <w:color w:val="7030A0"/>
      <w:szCs w:val="20"/>
    </w:rPr>
  </w:style>
  <w:style w:type="paragraph" w:customStyle="1" w:styleId="212">
    <w:name w:val="样式 左侧:  2 字符 段前: 0.5 行"/>
    <w:basedOn w:val="1"/>
    <w:qFormat/>
    <w:uiPriority w:val="0"/>
    <w:pPr>
      <w:spacing w:beforeLines="50"/>
      <w:ind w:firstLine="200" w:firstLineChars="200"/>
    </w:pPr>
    <w:rPr>
      <w:rFonts w:ascii="宋体" w:cs="宋体"/>
      <w:sz w:val="24"/>
      <w:szCs w:val="20"/>
    </w:rPr>
  </w:style>
  <w:style w:type="paragraph" w:customStyle="1" w:styleId="213">
    <w:name w:val="八级正文格式"/>
    <w:basedOn w:val="163"/>
    <w:qFormat/>
    <w:uiPriority w:val="0"/>
    <w:pPr>
      <w:spacing w:after="120"/>
      <w:ind w:firstLine="0" w:firstLineChars="0"/>
    </w:pPr>
  </w:style>
  <w:style w:type="paragraph" w:customStyle="1" w:styleId="21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Cs w:val="21"/>
    </w:rPr>
  </w:style>
  <w:style w:type="paragraph" w:customStyle="1" w:styleId="215">
    <w:name w:val="样式 样式 列表框 Char Char Char Char Char + 段后: 0.5 行 + 左侧:  6 字符 首行缩进..."/>
    <w:basedOn w:val="216"/>
    <w:qFormat/>
    <w:uiPriority w:val="0"/>
    <w:pPr>
      <w:tabs>
        <w:tab w:val="left" w:pos="420"/>
        <w:tab w:val="left" w:pos="2297"/>
      </w:tabs>
      <w:ind w:left="2297" w:leftChars="0" w:hanging="420" w:firstLineChars="0"/>
    </w:pPr>
  </w:style>
  <w:style w:type="paragraph" w:customStyle="1" w:styleId="216">
    <w:name w:val="样式 列表框 Char Char Char Char Char + 段后: 0.5 行"/>
    <w:basedOn w:val="217"/>
    <w:qFormat/>
    <w:uiPriority w:val="0"/>
    <w:pPr>
      <w:tabs>
        <w:tab w:val="left" w:pos="420"/>
      </w:tabs>
      <w:spacing w:after="156"/>
    </w:pPr>
    <w:rPr>
      <w:szCs w:val="20"/>
    </w:rPr>
  </w:style>
  <w:style w:type="paragraph" w:customStyle="1" w:styleId="217">
    <w:name w:val="正常文本 Char Char Char Char Char Char Char Char Char Char Char Char Char Char"/>
    <w:basedOn w:val="1"/>
    <w:qFormat/>
    <w:uiPriority w:val="0"/>
    <w:pPr>
      <w:spacing w:afterLines="50" w:line="320" w:lineRule="exact"/>
      <w:ind w:left="600" w:leftChars="600" w:firstLine="208" w:firstLineChars="208"/>
      <w:jc w:val="left"/>
    </w:pPr>
    <w:rPr>
      <w:rFonts w:ascii="宋体" w:hAnsi="宋体" w:eastAsia="楷体_GB2312"/>
      <w:color w:val="7030A0"/>
      <w:szCs w:val="18"/>
    </w:rPr>
  </w:style>
  <w:style w:type="paragraph" w:customStyle="1" w:styleId="218">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19">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22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kern w:val="0"/>
      <w:sz w:val="24"/>
    </w:rPr>
  </w:style>
  <w:style w:type="paragraph" w:customStyle="1" w:styleId="221">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222">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223">
    <w:name w:val="正文文本缩进 21"/>
    <w:basedOn w:val="1"/>
    <w:qFormat/>
    <w:uiPriority w:val="0"/>
    <w:pPr>
      <w:autoSpaceDE w:val="0"/>
      <w:autoSpaceDN w:val="0"/>
      <w:adjustRightInd w:val="0"/>
      <w:spacing w:line="360" w:lineRule="auto"/>
      <w:ind w:firstLine="360" w:firstLineChars="200"/>
      <w:jc w:val="left"/>
      <w:textAlignment w:val="baseline"/>
    </w:pPr>
    <w:rPr>
      <w:rFonts w:ascii="宋体"/>
      <w:color w:val="7030A0"/>
      <w:sz w:val="24"/>
      <w:szCs w:val="20"/>
    </w:rPr>
  </w:style>
  <w:style w:type="paragraph" w:customStyle="1" w:styleId="224">
    <w:name w:val="批注框文本1"/>
    <w:basedOn w:val="1"/>
    <w:qFormat/>
    <w:uiPriority w:val="0"/>
    <w:rPr>
      <w:sz w:val="16"/>
      <w:szCs w:val="16"/>
    </w:rPr>
  </w:style>
  <w:style w:type="paragraph" w:customStyle="1" w:styleId="225">
    <w:name w:val="*"/>
    <w:basedOn w:val="1"/>
    <w:qFormat/>
    <w:uiPriority w:val="0"/>
    <w:pPr>
      <w:spacing w:line="360" w:lineRule="auto"/>
    </w:pPr>
    <w:rPr>
      <w:rFonts w:ascii="宋体" w:hAnsi="宋体"/>
      <w:kern w:val="0"/>
      <w:sz w:val="24"/>
    </w:rPr>
  </w:style>
  <w:style w:type="paragraph" w:customStyle="1" w:styleId="22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227">
    <w:name w:val="表格标题"/>
    <w:basedOn w:val="6"/>
    <w:qFormat/>
    <w:uiPriority w:val="0"/>
    <w:pPr>
      <w:keepNext w:val="0"/>
      <w:keepLines w:val="0"/>
      <w:tabs>
        <w:tab w:val="clear" w:pos="1008"/>
      </w:tabs>
      <w:spacing w:before="0" w:after="0" w:line="240" w:lineRule="auto"/>
      <w:ind w:left="0" w:firstLine="0"/>
      <w:jc w:val="center"/>
      <w:outlineLvl w:val="8"/>
    </w:pPr>
    <w:rPr>
      <w:b w:val="0"/>
      <w:bCs/>
      <w:sz w:val="21"/>
      <w:szCs w:val="28"/>
      <w:lang w:val="zh-CN"/>
    </w:rPr>
  </w:style>
  <w:style w:type="paragraph" w:customStyle="1" w:styleId="228">
    <w:name w:val="七级标题格式"/>
    <w:basedOn w:val="1"/>
    <w:qFormat/>
    <w:uiPriority w:val="0"/>
    <w:pPr>
      <w:spacing w:afterLines="50" w:line="336" w:lineRule="auto"/>
      <w:ind w:firstLine="200" w:firstLineChars="200"/>
      <w:jc w:val="left"/>
      <w:outlineLvl w:val="6"/>
    </w:pPr>
    <w:rPr>
      <w:color w:val="7030A0"/>
      <w:sz w:val="24"/>
    </w:rPr>
  </w:style>
  <w:style w:type="paragraph" w:customStyle="1" w:styleId="229">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230">
    <w:name w:val="表格文字"/>
    <w:basedOn w:val="202"/>
    <w:qFormat/>
    <w:uiPriority w:val="0"/>
  </w:style>
  <w:style w:type="paragraph" w:customStyle="1" w:styleId="231">
    <w:name w:val="二级标题格式"/>
    <w:basedOn w:val="3"/>
    <w:qFormat/>
    <w:uiPriority w:val="0"/>
    <w:pPr>
      <w:keepNext w:val="0"/>
      <w:keepLines w:val="0"/>
      <w:spacing w:before="0" w:afterLines="100" w:line="240" w:lineRule="auto"/>
      <w:jc w:val="left"/>
    </w:pPr>
    <w:rPr>
      <w:rFonts w:ascii="Times New Roman" w:hAnsi="Times New Roman"/>
      <w:b w:val="0"/>
      <w:color w:val="C00000"/>
      <w:sz w:val="28"/>
      <w:szCs w:val="28"/>
    </w:rPr>
  </w:style>
  <w:style w:type="paragraph" w:customStyle="1" w:styleId="232">
    <w:name w:val="样式 标题 1标题 1 1编号标题1标题1 + 宋体 加粗"/>
    <w:basedOn w:val="2"/>
    <w:qFormat/>
    <w:uiPriority w:val="0"/>
    <w:pPr>
      <w:keepNext w:val="0"/>
      <w:tabs>
        <w:tab w:val="left" w:pos="2340"/>
        <w:tab w:val="clear" w:pos="1440"/>
      </w:tabs>
      <w:spacing w:before="240" w:afterLines="50" w:line="360" w:lineRule="exact"/>
      <w:ind w:left="1304" w:hanging="1304"/>
      <w:jc w:val="left"/>
    </w:pPr>
    <w:rPr>
      <w:rFonts w:ascii="宋体" w:hAnsi="宋体" w:cs="Arial"/>
      <w:sz w:val="28"/>
      <w:szCs w:val="28"/>
    </w:rPr>
  </w:style>
  <w:style w:type="paragraph" w:customStyle="1" w:styleId="233">
    <w:name w:val="xl3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34">
    <w:name w:val="列表框 Char Char Char Char Char"/>
    <w:basedOn w:val="217"/>
    <w:next w:val="217"/>
    <w:qFormat/>
    <w:uiPriority w:val="0"/>
    <w:pPr>
      <w:tabs>
        <w:tab w:val="left" w:pos="450"/>
        <w:tab w:val="left" w:pos="874"/>
      </w:tabs>
      <w:adjustRightInd w:val="0"/>
      <w:snapToGrid w:val="0"/>
      <w:ind w:left="874" w:leftChars="0" w:right="-5" w:rightChars="-5" w:hanging="420" w:firstLineChars="0"/>
    </w:pPr>
    <w:rPr>
      <w:rFonts w:ascii="Times New Roman" w:hAnsi="Times New Roman"/>
      <w:szCs w:val="21"/>
    </w:rPr>
  </w:style>
  <w:style w:type="paragraph" w:customStyle="1" w:styleId="235">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236">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23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38">
    <w:name w:val="Sprechblasentext"/>
    <w:basedOn w:val="1"/>
    <w:qFormat/>
    <w:uiPriority w:val="0"/>
    <w:pPr>
      <w:spacing w:line="300" w:lineRule="atLeast"/>
      <w:ind w:firstLine="709"/>
    </w:pPr>
    <w:rPr>
      <w:rFonts w:ascii="Tahoma" w:hAnsi="Tahoma" w:cs="Tahoma"/>
      <w:sz w:val="16"/>
      <w:szCs w:val="16"/>
    </w:rPr>
  </w:style>
  <w:style w:type="paragraph" w:customStyle="1" w:styleId="239">
    <w:name w:val="p0"/>
    <w:basedOn w:val="1"/>
    <w:qFormat/>
    <w:uiPriority w:val="0"/>
    <w:pPr>
      <w:widowControl/>
    </w:pPr>
    <w:rPr>
      <w:kern w:val="0"/>
      <w:szCs w:val="21"/>
    </w:rPr>
  </w:style>
  <w:style w:type="paragraph" w:customStyle="1" w:styleId="240">
    <w:name w:val="样式 样式 标题 3 + 段前: 1 行 段后: 0.5 行 + 段前: 1 行 段后: 0.5 行"/>
    <w:basedOn w:val="1"/>
    <w:qFormat/>
    <w:uiPriority w:val="0"/>
    <w:pPr>
      <w:keepNext/>
      <w:keepLines/>
      <w:spacing w:beforeLines="100" w:afterLines="50"/>
      <w:ind w:firstLine="200" w:firstLineChars="200"/>
      <w:jc w:val="left"/>
      <w:outlineLvl w:val="2"/>
    </w:pPr>
    <w:rPr>
      <w:rFonts w:eastAsia="黑体" w:cs="宋体"/>
      <w:bCs/>
      <w:color w:val="7030A0"/>
      <w:sz w:val="22"/>
      <w:szCs w:val="22"/>
    </w:rPr>
  </w:style>
  <w:style w:type="paragraph" w:customStyle="1" w:styleId="241">
    <w:name w:val="表格正文"/>
    <w:basedOn w:val="1"/>
    <w:next w:val="1"/>
    <w:qFormat/>
    <w:uiPriority w:val="0"/>
    <w:pPr>
      <w:adjustRightInd w:val="0"/>
      <w:snapToGrid w:val="0"/>
      <w:jc w:val="center"/>
    </w:pPr>
    <w:rPr>
      <w:color w:val="548DD4"/>
    </w:rPr>
  </w:style>
  <w:style w:type="paragraph" w:customStyle="1" w:styleId="242">
    <w:name w:val="样式1"/>
    <w:basedOn w:val="52"/>
    <w:next w:val="1"/>
    <w:qFormat/>
    <w:uiPriority w:val="0"/>
    <w:pPr>
      <w:jc w:val="left"/>
    </w:pPr>
  </w:style>
  <w:style w:type="paragraph" w:customStyle="1" w:styleId="243">
    <w:name w:val="_Style 19"/>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4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246">
    <w:name w:val="Body text 1"/>
    <w:basedOn w:val="1"/>
    <w:qFormat/>
    <w:uiPriority w:val="0"/>
    <w:pPr>
      <w:tabs>
        <w:tab w:val="left" w:pos="1134"/>
      </w:tabs>
      <w:autoSpaceDE w:val="0"/>
      <w:autoSpaceDN w:val="0"/>
      <w:adjustRightInd w:val="0"/>
      <w:spacing w:before="170" w:line="300" w:lineRule="atLeast"/>
      <w:ind w:left="1134" w:hanging="1134"/>
    </w:pPr>
    <w:rPr>
      <w:color w:val="000000"/>
      <w:kern w:val="0"/>
      <w:sz w:val="24"/>
      <w:szCs w:val="20"/>
    </w:rPr>
  </w:style>
  <w:style w:type="paragraph" w:customStyle="1" w:styleId="24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48">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249">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黑体" w:hAnsi="宋体" w:eastAsia="黑体" w:cs="宋体"/>
      <w:kern w:val="0"/>
      <w:szCs w:val="21"/>
    </w:rPr>
  </w:style>
  <w:style w:type="paragraph" w:customStyle="1" w:styleId="250">
    <w:name w:val="默认段落字体 Para Char Char Char Char Char Char Char"/>
    <w:basedOn w:val="1"/>
    <w:qFormat/>
    <w:uiPriority w:val="0"/>
    <w:pPr>
      <w:tabs>
        <w:tab w:val="left" w:pos="4665"/>
        <w:tab w:val="left" w:pos="8970"/>
      </w:tabs>
      <w:ind w:firstLine="400"/>
    </w:pPr>
    <w:rPr>
      <w:szCs w:val="20"/>
    </w:rPr>
  </w:style>
  <w:style w:type="paragraph" w:customStyle="1" w:styleId="251">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252">
    <w:name w:val="xl40"/>
    <w:basedOn w:val="1"/>
    <w:qFormat/>
    <w:uiPriority w:val="0"/>
    <w:pPr>
      <w:widowControl/>
      <w:pBdr>
        <w:top w:val="single" w:color="auto" w:sz="4" w:space="0"/>
        <w:bottom w:val="single" w:color="auto" w:sz="4" w:space="0"/>
      </w:pBdr>
      <w:spacing w:before="100" w:beforeAutospacing="1" w:after="100" w:afterAutospacing="1"/>
      <w:jc w:val="left"/>
    </w:pPr>
    <w:rPr>
      <w:kern w:val="0"/>
      <w:sz w:val="24"/>
    </w:rPr>
  </w:style>
  <w:style w:type="paragraph" w:customStyle="1" w:styleId="253">
    <w:name w:val="招标文件》"/>
    <w:basedOn w:val="254"/>
    <w:qFormat/>
    <w:uiPriority w:val="0"/>
    <w:pPr>
      <w:tabs>
        <w:tab w:val="left" w:pos="560"/>
      </w:tabs>
      <w:ind w:left="200" w:firstLine="0" w:firstLineChars="0"/>
    </w:pPr>
  </w:style>
  <w:style w:type="paragraph" w:customStyle="1" w:styleId="254">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55">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256">
    <w:name w:val="列出段落1"/>
    <w:basedOn w:val="1"/>
    <w:qFormat/>
    <w:uiPriority w:val="34"/>
    <w:pPr>
      <w:ind w:firstLine="420" w:firstLineChars="200"/>
    </w:pPr>
    <w:rPr>
      <w:szCs w:val="20"/>
    </w:rPr>
  </w:style>
  <w:style w:type="paragraph" w:customStyle="1" w:styleId="257">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258">
    <w:name w:val="font7"/>
    <w:basedOn w:val="1"/>
    <w:qFormat/>
    <w:uiPriority w:val="0"/>
    <w:pPr>
      <w:widowControl/>
      <w:spacing w:before="100" w:beforeAutospacing="1" w:after="100" w:afterAutospacing="1"/>
      <w:jc w:val="left"/>
    </w:pPr>
    <w:rPr>
      <w:rFonts w:ascii="宋体" w:hAnsi="宋体" w:cs="宋体"/>
      <w:kern w:val="0"/>
      <w:szCs w:val="21"/>
    </w:rPr>
  </w:style>
  <w:style w:type="paragraph" w:customStyle="1" w:styleId="259">
    <w:name w:val="xl52"/>
    <w:basedOn w:val="1"/>
    <w:qFormat/>
    <w:uiPriority w:val="0"/>
    <w:pPr>
      <w:widowControl/>
      <w:pBdr>
        <w:top w:val="single" w:color="auto" w:sz="4" w:space="0"/>
        <w:left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60">
    <w:name w:val="正文3"/>
    <w:qFormat/>
    <w:uiPriority w:val="0"/>
    <w:pPr>
      <w:spacing w:line="400" w:lineRule="exact"/>
      <w:ind w:firstLine="200" w:firstLineChars="200"/>
      <w:jc w:val="both"/>
    </w:pPr>
    <w:rPr>
      <w:rFonts w:ascii="Times New Roman" w:hAnsi="Times New Roman" w:eastAsia="宋体" w:cs="Times New Roman"/>
      <w:kern w:val="2"/>
      <w:sz w:val="24"/>
      <w:lang w:val="en-US" w:eastAsia="zh-CN" w:bidi="ar-SA"/>
    </w:rPr>
  </w:style>
  <w:style w:type="paragraph" w:customStyle="1" w:styleId="261">
    <w:name w:val="Char1 Char Char1 Char Char Char Char Char Char"/>
    <w:basedOn w:val="1"/>
    <w:qFormat/>
    <w:uiPriority w:val="0"/>
  </w:style>
  <w:style w:type="paragraph" w:customStyle="1" w:styleId="262">
    <w:name w:val="正文文本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263">
    <w:name w:val="样式 标题 5 + 右侧:  -0.18 字符"/>
    <w:basedOn w:val="1"/>
    <w:qFormat/>
    <w:uiPriority w:val="0"/>
    <w:pPr>
      <w:tabs>
        <w:tab w:val="left" w:pos="1008"/>
      </w:tabs>
      <w:ind w:left="1134" w:hanging="1134"/>
    </w:pPr>
  </w:style>
  <w:style w:type="paragraph" w:customStyle="1" w:styleId="264">
    <w:name w:val="xl24"/>
    <w:basedOn w:val="1"/>
    <w:qFormat/>
    <w:uiPriority w:val="0"/>
    <w:pPr>
      <w:widowControl/>
      <w:spacing w:before="100" w:beforeAutospacing="1" w:after="100" w:afterAutospacing="1"/>
      <w:jc w:val="left"/>
    </w:pPr>
    <w:rPr>
      <w:kern w:val="0"/>
      <w:sz w:val="24"/>
    </w:rPr>
  </w:style>
  <w:style w:type="paragraph" w:customStyle="1" w:styleId="265">
    <w:name w:val="xl28"/>
    <w:basedOn w:val="1"/>
    <w:qFormat/>
    <w:uiPriority w:val="0"/>
    <w:pPr>
      <w:widowControl/>
      <w:spacing w:before="100" w:beforeAutospacing="1" w:after="100" w:afterAutospacing="1"/>
      <w:jc w:val="center"/>
    </w:pPr>
    <w:rPr>
      <w:kern w:val="0"/>
      <w:sz w:val="24"/>
    </w:rPr>
  </w:style>
  <w:style w:type="paragraph" w:customStyle="1" w:styleId="266">
    <w:name w:val="默认段落字体 Para Char Char Char Char"/>
    <w:basedOn w:val="1"/>
    <w:qFormat/>
    <w:uiPriority w:val="0"/>
    <w:rPr>
      <w:szCs w:val="20"/>
    </w:rPr>
  </w:style>
  <w:style w:type="paragraph" w:customStyle="1" w:styleId="267">
    <w:name w:val="註解方塊文字"/>
    <w:basedOn w:val="1"/>
    <w:qFormat/>
    <w:uiPriority w:val="0"/>
    <w:pPr>
      <w:widowControl/>
      <w:jc w:val="left"/>
    </w:pPr>
    <w:rPr>
      <w:rFonts w:ascii="Arial" w:hAnsi="Arial" w:eastAsia="PMingLiU"/>
      <w:kern w:val="0"/>
      <w:sz w:val="18"/>
      <w:szCs w:val="18"/>
      <w:lang w:eastAsia="zh-HK"/>
    </w:rPr>
  </w:style>
  <w:style w:type="paragraph" w:customStyle="1" w:styleId="268">
    <w:name w:val="标题四"/>
    <w:basedOn w:val="269"/>
    <w:semiHidden/>
    <w:qFormat/>
    <w:uiPriority w:val="0"/>
    <w:pPr>
      <w:tabs>
        <w:tab w:val="left" w:pos="0"/>
      </w:tabs>
      <w:spacing w:line="360" w:lineRule="auto"/>
      <w:ind w:left="0"/>
    </w:pPr>
    <w:rPr>
      <w:rFonts w:ascii="Tahoma" w:hAnsi="Tahoma"/>
      <w:sz w:val="24"/>
      <w:szCs w:val="24"/>
    </w:rPr>
  </w:style>
  <w:style w:type="paragraph" w:customStyle="1" w:styleId="269">
    <w:name w:val="招标文件1.1.1"/>
    <w:qFormat/>
    <w:uiPriority w:val="0"/>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0">
    <w:name w:val="font5"/>
    <w:basedOn w:val="1"/>
    <w:qFormat/>
    <w:uiPriority w:val="0"/>
    <w:pPr>
      <w:widowControl/>
      <w:spacing w:before="100" w:beforeAutospacing="1" w:after="100" w:afterAutospacing="1"/>
      <w:jc w:val="left"/>
    </w:pPr>
    <w:rPr>
      <w:b/>
      <w:bCs/>
      <w:kern w:val="0"/>
      <w:sz w:val="22"/>
      <w:szCs w:val="22"/>
    </w:rPr>
  </w:style>
  <w:style w:type="paragraph" w:customStyle="1" w:styleId="271">
    <w:name w:val="Char Char Char Char Char"/>
    <w:basedOn w:val="1"/>
    <w:qFormat/>
    <w:uiPriority w:val="0"/>
    <w:pPr>
      <w:ind w:firstLine="200" w:firstLineChars="200"/>
      <w:jc w:val="left"/>
    </w:pPr>
    <w:rPr>
      <w:rFonts w:ascii="Tahoma" w:hAnsi="Tahoma"/>
      <w:color w:val="7030A0"/>
      <w:sz w:val="24"/>
      <w:szCs w:val="20"/>
    </w:rPr>
  </w:style>
  <w:style w:type="paragraph" w:customStyle="1" w:styleId="27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273">
    <w:name w:val="样式 标题 4 + 段前: 自动"/>
    <w:basedOn w:val="5"/>
    <w:qFormat/>
    <w:uiPriority w:val="0"/>
    <w:pPr>
      <w:tabs>
        <w:tab w:val="left" w:pos="1062"/>
      </w:tabs>
      <w:spacing w:beforeLines="50" w:after="0" w:line="400" w:lineRule="exact"/>
      <w:ind w:left="1062" w:hanging="864"/>
    </w:pPr>
    <w:rPr>
      <w:rFonts w:ascii="宋体" w:hAnsi="Arial" w:cs="宋体"/>
      <w:sz w:val="24"/>
      <w:szCs w:val="24"/>
    </w:rPr>
  </w:style>
  <w:style w:type="paragraph" w:customStyle="1" w:styleId="274">
    <w:name w:val="顺序编号-zlb"/>
    <w:basedOn w:val="275"/>
    <w:qFormat/>
    <w:uiPriority w:val="0"/>
    <w:pPr>
      <w:tabs>
        <w:tab w:val="left" w:pos="0"/>
      </w:tabs>
      <w:ind w:firstLine="425"/>
      <w:outlineLvl w:val="8"/>
    </w:pPr>
  </w:style>
  <w:style w:type="paragraph" w:customStyle="1" w:styleId="275">
    <w:name w:val="级别4"/>
    <w:basedOn w:val="276"/>
    <w:qFormat/>
    <w:uiPriority w:val="0"/>
    <w:pPr>
      <w:tabs>
        <w:tab w:val="left" w:pos="0"/>
      </w:tabs>
      <w:outlineLvl w:val="3"/>
    </w:pPr>
    <w:rPr>
      <w:b w:val="0"/>
      <w:kern w:val="0"/>
    </w:rPr>
  </w:style>
  <w:style w:type="paragraph" w:customStyle="1" w:styleId="276">
    <w:name w:val="级别2"/>
    <w:basedOn w:val="2"/>
    <w:qFormat/>
    <w:uiPriority w:val="0"/>
    <w:pPr>
      <w:keepNext w:val="0"/>
      <w:keepLines w:val="0"/>
      <w:tabs>
        <w:tab w:val="left" w:pos="0"/>
        <w:tab w:val="clear" w:pos="1440"/>
      </w:tabs>
      <w:adjustRightInd w:val="0"/>
      <w:snapToGrid w:val="0"/>
      <w:spacing w:before="0" w:after="0" w:line="360" w:lineRule="auto"/>
      <w:ind w:left="0" w:firstLine="0"/>
      <w:outlineLvl w:val="1"/>
    </w:pPr>
    <w:rPr>
      <w:rFonts w:ascii="宋体" w:hAnsi="宋体"/>
      <w:bCs w:val="0"/>
      <w:sz w:val="24"/>
      <w:szCs w:val="24"/>
    </w:rPr>
  </w:style>
  <w:style w:type="paragraph" w:customStyle="1" w:styleId="27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78">
    <w:name w:val="专用"/>
    <w:basedOn w:val="1"/>
    <w:qFormat/>
    <w:uiPriority w:val="0"/>
    <w:pPr>
      <w:spacing w:afterLines="100"/>
      <w:ind w:left="838" w:hanging="838" w:hangingChars="262"/>
    </w:pPr>
    <w:rPr>
      <w:rFonts w:ascii="宋体"/>
      <w:b/>
      <w:color w:val="000000"/>
      <w:sz w:val="32"/>
      <w:szCs w:val="20"/>
    </w:rPr>
  </w:style>
  <w:style w:type="paragraph" w:customStyle="1" w:styleId="279">
    <w:name w:val="xl56"/>
    <w:basedOn w:val="1"/>
    <w:qFormat/>
    <w:uiPriority w:val="0"/>
    <w:pPr>
      <w:widowControl/>
      <w:pBdr>
        <w:top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80">
    <w:name w:val="llp2"/>
    <w:basedOn w:val="1"/>
    <w:qFormat/>
    <w:uiPriority w:val="0"/>
    <w:pPr>
      <w:spacing w:beforeLines="100" w:afterLines="100" w:line="240" w:lineRule="atLeast"/>
      <w:ind w:firstLine="200" w:firstLineChars="200"/>
      <w:jc w:val="left"/>
      <w:outlineLvl w:val="1"/>
    </w:pPr>
    <w:rPr>
      <w:rFonts w:eastAsia="黑体"/>
      <w:color w:val="7030A0"/>
      <w:sz w:val="32"/>
      <w:szCs w:val="32"/>
    </w:rPr>
  </w:style>
  <w:style w:type="paragraph" w:customStyle="1" w:styleId="281">
    <w:name w:val="Sub title 1"/>
    <w:basedOn w:val="262"/>
    <w:qFormat/>
    <w:uiPriority w:val="0"/>
    <w:pPr>
      <w:tabs>
        <w:tab w:val="left" w:pos="1304"/>
      </w:tabs>
      <w:ind w:left="1304" w:hanging="170"/>
    </w:pPr>
    <w:rPr>
      <w:color w:val="auto"/>
    </w:rPr>
  </w:style>
  <w:style w:type="paragraph" w:customStyle="1" w:styleId="282">
    <w:name w:val="xl47"/>
    <w:basedOn w:val="1"/>
    <w:qFormat/>
    <w:uiPriority w:val="0"/>
    <w:pPr>
      <w:widowControl/>
      <w:pBdr>
        <w:left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83">
    <w:name w:val="样式 样式 首行缩进:  2 字符 + 首行缩进:  2 字符"/>
    <w:basedOn w:val="1"/>
    <w:qFormat/>
    <w:uiPriority w:val="0"/>
    <w:pPr>
      <w:spacing w:line="360" w:lineRule="auto"/>
      <w:ind w:firstLine="200" w:firstLineChars="200"/>
      <w:jc w:val="left"/>
    </w:pPr>
    <w:rPr>
      <w:rFonts w:cs="宋体"/>
      <w:color w:val="7030A0"/>
      <w:szCs w:val="20"/>
    </w:rPr>
  </w:style>
  <w:style w:type="paragraph" w:customStyle="1" w:styleId="284">
    <w:name w:val="正缩2字符"/>
    <w:basedOn w:val="1"/>
    <w:qFormat/>
    <w:uiPriority w:val="0"/>
    <w:pPr>
      <w:spacing w:line="480" w:lineRule="exact"/>
      <w:ind w:firstLine="200" w:firstLineChars="200"/>
    </w:pPr>
    <w:rPr>
      <w:sz w:val="24"/>
    </w:rPr>
  </w:style>
  <w:style w:type="paragraph" w:customStyle="1" w:styleId="285">
    <w:name w:val="招标文件1.1.1.1"/>
    <w:basedOn w:val="1"/>
    <w:qFormat/>
    <w:uiPriority w:val="0"/>
    <w:pPr>
      <w:spacing w:before="120" w:after="120" w:line="480" w:lineRule="exact"/>
      <w:ind w:left="200" w:firstLine="200" w:firstLineChars="200"/>
      <w:jc w:val="left"/>
      <w:outlineLvl w:val="4"/>
    </w:pPr>
    <w:rPr>
      <w:rFonts w:ascii="宋体"/>
      <w:b/>
      <w:color w:val="7030A0"/>
      <w:spacing w:val="10"/>
      <w:w w:val="95"/>
    </w:rPr>
  </w:style>
  <w:style w:type="paragraph" w:customStyle="1" w:styleId="286">
    <w:name w:val="样式 样式 宋体 小四 左侧:  1.85 厘米 段前: 11.15 磅 段后: 11.15 磅 + 图案: 清除 (白色)"/>
    <w:basedOn w:val="1"/>
    <w:qFormat/>
    <w:uiPriority w:val="0"/>
    <w:pPr>
      <w:snapToGrid w:val="0"/>
      <w:ind w:left="1049" w:firstLine="200" w:firstLineChars="200"/>
      <w:jc w:val="left"/>
    </w:pPr>
    <w:rPr>
      <w:color w:val="7030A0"/>
      <w:sz w:val="24"/>
      <w:shd w:val="clear" w:color="auto" w:fill="FFFFFF"/>
    </w:rPr>
  </w:style>
  <w:style w:type="paragraph" w:customStyle="1" w:styleId="287">
    <w:name w:val="标书正文1"/>
    <w:basedOn w:val="1"/>
    <w:qFormat/>
    <w:uiPriority w:val="0"/>
    <w:pPr>
      <w:tabs>
        <w:tab w:val="left" w:pos="1438"/>
      </w:tabs>
      <w:spacing w:before="100" w:after="100" w:line="360" w:lineRule="auto"/>
      <w:ind w:left="1438" w:hanging="720"/>
    </w:pPr>
    <w:rPr>
      <w:rFonts w:ascii="宋体" w:hAnsi="宋体"/>
    </w:rPr>
  </w:style>
  <w:style w:type="paragraph" w:customStyle="1" w:styleId="28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89">
    <w:name w:val="级别3"/>
    <w:basedOn w:val="276"/>
    <w:qFormat/>
    <w:uiPriority w:val="0"/>
    <w:pPr>
      <w:ind w:firstLine="425"/>
      <w:outlineLvl w:val="2"/>
    </w:pPr>
    <w:rPr>
      <w:b w:val="0"/>
    </w:rPr>
  </w:style>
  <w:style w:type="paragraph" w:customStyle="1" w:styleId="290">
    <w:name w:val="招标文件1）"/>
    <w:qFormat/>
    <w:uiPriority w:val="0"/>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291">
    <w:name w:val="样式 标题 3列表编号33 bulletb23 bullet1b1213 bullet2b2223 bul...2"/>
    <w:basedOn w:val="1"/>
    <w:qFormat/>
    <w:uiPriority w:val="0"/>
    <w:pPr>
      <w:ind w:left="1320" w:hanging="420" w:firstLineChars="200"/>
      <w:jc w:val="left"/>
    </w:pPr>
    <w:rPr>
      <w:color w:val="7030A0"/>
    </w:rPr>
  </w:style>
  <w:style w:type="paragraph" w:customStyle="1" w:styleId="292">
    <w:name w:val="xl53"/>
    <w:basedOn w:val="1"/>
    <w:qFormat/>
    <w:uiPriority w:val="0"/>
    <w:pPr>
      <w:widowControl/>
      <w:pBdr>
        <w:left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93">
    <w:name w:val="附图 BJ8"/>
    <w:basedOn w:val="1"/>
    <w:qFormat/>
    <w:uiPriority w:val="0"/>
    <w:pPr>
      <w:adjustRightInd w:val="0"/>
      <w:snapToGrid w:val="0"/>
      <w:ind w:firstLine="200" w:firstLineChars="200"/>
      <w:jc w:val="center"/>
    </w:pPr>
    <w:rPr>
      <w:rFonts w:hAnsi="Arial"/>
      <w:color w:val="7030A0"/>
      <w:kern w:val="0"/>
    </w:rPr>
  </w:style>
  <w:style w:type="paragraph" w:customStyle="1" w:styleId="294">
    <w:name w:val="xl54"/>
    <w:basedOn w:val="1"/>
    <w:qFormat/>
    <w:uiPriority w:val="0"/>
    <w:pPr>
      <w:widowControl/>
      <w:pBdr>
        <w:left w:val="single" w:color="auto" w:sz="4" w:space="0"/>
        <w:bottom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95">
    <w:name w:val="招标文件1"/>
    <w:basedOn w:val="1"/>
    <w:qFormat/>
    <w:uiPriority w:val="0"/>
    <w:pPr>
      <w:tabs>
        <w:tab w:val="left" w:pos="420"/>
      </w:tabs>
      <w:spacing w:before="120" w:after="120" w:line="480" w:lineRule="exact"/>
      <w:ind w:left="200" w:firstLine="200" w:firstLineChars="200"/>
      <w:jc w:val="left"/>
      <w:outlineLvl w:val="1"/>
    </w:pPr>
    <w:rPr>
      <w:rFonts w:ascii="宋体"/>
      <w:b/>
      <w:color w:val="7030A0"/>
      <w:spacing w:val="10"/>
      <w:w w:val="95"/>
      <w:kern w:val="0"/>
      <w:sz w:val="28"/>
    </w:rPr>
  </w:style>
  <w:style w:type="paragraph" w:customStyle="1" w:styleId="296">
    <w:name w:val="Report Level 1"/>
    <w:basedOn w:val="1"/>
    <w:next w:val="297"/>
    <w:qFormat/>
    <w:uiPriority w:val="0"/>
    <w:pPr>
      <w:keepNext/>
      <w:widowControl/>
      <w:tabs>
        <w:tab w:val="left" w:pos="1080"/>
      </w:tabs>
      <w:spacing w:before="240" w:after="240" w:line="360" w:lineRule="auto"/>
      <w:ind w:left="1080" w:hanging="1080" w:firstLineChars="200"/>
      <w:jc w:val="left"/>
      <w:outlineLvl w:val="0"/>
    </w:pPr>
    <w:rPr>
      <w:rFonts w:ascii="Arial" w:hAnsi="Arial"/>
      <w:b/>
      <w:caps/>
      <w:color w:val="7030A0"/>
      <w:kern w:val="0"/>
      <w:sz w:val="24"/>
      <w:szCs w:val="21"/>
      <w:lang w:val="en-GB"/>
    </w:rPr>
  </w:style>
  <w:style w:type="paragraph" w:customStyle="1" w:styleId="297">
    <w:name w:val="Report Text"/>
    <w:basedOn w:val="1"/>
    <w:qFormat/>
    <w:uiPriority w:val="0"/>
    <w:pPr>
      <w:widowControl/>
      <w:spacing w:after="138"/>
      <w:ind w:left="1080" w:firstLine="200" w:firstLineChars="200"/>
      <w:jc w:val="left"/>
    </w:pPr>
    <w:rPr>
      <w:color w:val="7030A0"/>
      <w:kern w:val="0"/>
      <w:sz w:val="22"/>
      <w:szCs w:val="20"/>
      <w:lang w:val="en-GB" w:eastAsia="en-US"/>
    </w:rPr>
  </w:style>
  <w:style w:type="paragraph" w:customStyle="1" w:styleId="298">
    <w:name w:val="xl59"/>
    <w:basedOn w:val="1"/>
    <w:qFormat/>
    <w:uiPriority w:val="0"/>
    <w:pPr>
      <w:widowControl/>
      <w:pBdr>
        <w:bottom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99">
    <w:name w:val="xl45"/>
    <w:basedOn w:val="1"/>
    <w:qFormat/>
    <w:uiPriority w:val="0"/>
    <w:pPr>
      <w:widowControl/>
      <w:pBdr>
        <w:bottom w:val="single" w:color="auto" w:sz="4" w:space="0"/>
        <w:right w:val="single" w:color="auto" w:sz="4" w:space="0"/>
      </w:pBdr>
      <w:spacing w:before="100" w:after="100"/>
      <w:ind w:firstLine="200" w:firstLineChars="200"/>
      <w:jc w:val="center"/>
      <w:textAlignment w:val="center"/>
    </w:pPr>
    <w:rPr>
      <w:rFonts w:eastAsia="Arial Unicode MS"/>
      <w:color w:val="7030A0"/>
      <w:kern w:val="0"/>
      <w:sz w:val="22"/>
      <w:szCs w:val="20"/>
    </w:rPr>
  </w:style>
  <w:style w:type="paragraph" w:customStyle="1" w:styleId="30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301">
    <w:name w:val="xl58"/>
    <w:basedOn w:val="1"/>
    <w:qFormat/>
    <w:uiPriority w:val="0"/>
    <w:pPr>
      <w:widowControl/>
      <w:pBdr>
        <w:left w:val="single" w:color="auto" w:sz="4" w:space="0"/>
        <w:bottom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302">
    <w:name w:val="级别5"/>
    <w:basedOn w:val="275"/>
    <w:qFormat/>
    <w:uiPriority w:val="0"/>
    <w:pPr>
      <w:outlineLvl w:val="4"/>
    </w:pPr>
  </w:style>
  <w:style w:type="paragraph" w:customStyle="1" w:styleId="30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ind w:firstLine="200" w:firstLineChars="200"/>
      <w:jc w:val="center"/>
    </w:pPr>
    <w:rPr>
      <w:rFonts w:eastAsia="Arial Unicode MS"/>
      <w:color w:val="7030A0"/>
      <w:kern w:val="0"/>
      <w:szCs w:val="20"/>
    </w:rPr>
  </w:style>
  <w:style w:type="paragraph" w:customStyle="1" w:styleId="304">
    <w:name w:val="级别1"/>
    <w:basedOn w:val="2"/>
    <w:qFormat/>
    <w:uiPriority w:val="0"/>
    <w:pPr>
      <w:keepNext w:val="0"/>
      <w:keepLines w:val="0"/>
      <w:tabs>
        <w:tab w:val="left" w:pos="-1620"/>
        <w:tab w:val="clear" w:pos="1440"/>
      </w:tabs>
      <w:adjustRightInd w:val="0"/>
      <w:snapToGrid w:val="0"/>
      <w:spacing w:before="0" w:after="0" w:line="360" w:lineRule="auto"/>
      <w:ind w:left="2098" w:hanging="2098"/>
    </w:pPr>
    <w:rPr>
      <w:rFonts w:ascii="宋体" w:hAnsi="宋体"/>
      <w:bCs w:val="0"/>
      <w:sz w:val="28"/>
      <w:szCs w:val="28"/>
    </w:rPr>
  </w:style>
  <w:style w:type="paragraph" w:customStyle="1" w:styleId="305">
    <w:name w:val="纯文本1"/>
    <w:basedOn w:val="1"/>
    <w:qFormat/>
    <w:uiPriority w:val="0"/>
    <w:pPr>
      <w:adjustRightInd w:val="0"/>
      <w:spacing w:line="312" w:lineRule="atLeast"/>
      <w:ind w:firstLine="567" w:firstLineChars="200"/>
      <w:jc w:val="left"/>
      <w:textAlignment w:val="baseline"/>
    </w:pPr>
    <w:rPr>
      <w:rFonts w:ascii="宋体" w:hAnsi="Courier New"/>
      <w:color w:val="7030A0"/>
      <w:kern w:val="0"/>
      <w:sz w:val="28"/>
    </w:rPr>
  </w:style>
  <w:style w:type="paragraph" w:customStyle="1" w:styleId="306">
    <w:name w:val="应答文本"/>
    <w:basedOn w:val="1"/>
    <w:qFormat/>
    <w:uiPriority w:val="0"/>
    <w:pPr>
      <w:adjustRightInd w:val="0"/>
      <w:spacing w:afterLines="50" w:line="320" w:lineRule="exact"/>
      <w:ind w:left="480" w:leftChars="200" w:firstLine="460" w:firstLineChars="200"/>
      <w:jc w:val="left"/>
    </w:pPr>
    <w:rPr>
      <w:rFonts w:ascii="Arial" w:hAnsi="Arial" w:eastAsia="楷体_GB2312" w:cs="宋体"/>
      <w:color w:val="7030A0"/>
      <w:spacing w:val="10"/>
      <w:kern w:val="0"/>
      <w:szCs w:val="20"/>
    </w:rPr>
  </w:style>
  <w:style w:type="paragraph" w:customStyle="1" w:styleId="307">
    <w:name w:val="标准"/>
    <w:basedOn w:val="1"/>
    <w:qFormat/>
    <w:uiPriority w:val="0"/>
    <w:pPr>
      <w:adjustRightInd w:val="0"/>
      <w:spacing w:line="312" w:lineRule="atLeast"/>
      <w:jc w:val="center"/>
      <w:textAlignment w:val="baseline"/>
    </w:pPr>
    <w:rPr>
      <w:kern w:val="24"/>
      <w:sz w:val="24"/>
    </w:rPr>
  </w:style>
  <w:style w:type="paragraph" w:customStyle="1" w:styleId="308">
    <w:name w:val="1.1"/>
    <w:basedOn w:val="3"/>
    <w:qFormat/>
    <w:uiPriority w:val="0"/>
    <w:pPr>
      <w:keepNext w:val="0"/>
      <w:keepLines w:val="0"/>
      <w:tabs>
        <w:tab w:val="left" w:pos="180"/>
      </w:tabs>
      <w:autoSpaceDE w:val="0"/>
      <w:autoSpaceDN w:val="0"/>
      <w:adjustRightInd w:val="0"/>
      <w:spacing w:before="0" w:after="0" w:line="360" w:lineRule="auto"/>
      <w:jc w:val="left"/>
      <w:outlineLvl w:val="2"/>
    </w:pPr>
    <w:rPr>
      <w:rFonts w:ascii="宋体" w:hAnsi="宋体"/>
      <w:bCs w:val="0"/>
      <w:kern w:val="0"/>
      <w:sz w:val="21"/>
      <w:szCs w:val="20"/>
    </w:rPr>
  </w:style>
  <w:style w:type="paragraph" w:customStyle="1" w:styleId="309">
    <w:name w:val="Char Char Char Char"/>
    <w:basedOn w:val="25"/>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310">
    <w:name w:val="标题2 Char"/>
    <w:basedOn w:val="3"/>
    <w:qFormat/>
    <w:uiPriority w:val="0"/>
    <w:pPr>
      <w:tabs>
        <w:tab w:val="left" w:pos="709"/>
      </w:tabs>
      <w:adjustRightInd w:val="0"/>
      <w:spacing w:before="0" w:after="0" w:line="360" w:lineRule="auto"/>
      <w:ind w:left="709" w:hanging="709"/>
      <w:textAlignment w:val="baseline"/>
    </w:pPr>
    <w:rPr>
      <w:rFonts w:eastAsia="仿宋_GB2312" w:cs="Arial"/>
      <w:b w:val="0"/>
      <w:bCs w:val="0"/>
      <w:kern w:val="0"/>
      <w:sz w:val="21"/>
      <w:szCs w:val="24"/>
    </w:rPr>
  </w:style>
  <w:style w:type="paragraph" w:customStyle="1" w:styleId="311">
    <w:name w:val="样式 标题2 + 字距调整8 磅"/>
    <w:basedOn w:val="310"/>
    <w:qFormat/>
    <w:uiPriority w:val="0"/>
    <w:pPr>
      <w:tabs>
        <w:tab w:val="clear" w:pos="709"/>
      </w:tabs>
    </w:pPr>
    <w:rPr>
      <w:kern w:val="16"/>
    </w:rPr>
  </w:style>
  <w:style w:type="paragraph" w:customStyle="1" w:styleId="312">
    <w:name w:val="Char Char Char Char Char Char1 Char Char Char Char"/>
    <w:basedOn w:val="1"/>
    <w:qFormat/>
    <w:uiPriority w:val="0"/>
    <w:rPr>
      <w:rFonts w:ascii="仿宋_GB2312" w:eastAsia="仿宋_GB2312"/>
      <w:b/>
      <w:sz w:val="32"/>
      <w:szCs w:val="32"/>
    </w:rPr>
  </w:style>
  <w:style w:type="paragraph" w:customStyle="1" w:styleId="313">
    <w:name w:val="xl32"/>
    <w:basedOn w:val="1"/>
    <w:qFormat/>
    <w:uiPriority w:val="0"/>
    <w:pPr>
      <w:widowControl/>
      <w:spacing w:before="100" w:beforeAutospacing="1" w:after="100" w:afterAutospacing="1"/>
      <w:jc w:val="center"/>
    </w:pPr>
    <w:rPr>
      <w:b/>
      <w:bCs/>
      <w:kern w:val="0"/>
      <w:sz w:val="24"/>
      <w:u w:val="single"/>
    </w:rPr>
  </w:style>
  <w:style w:type="paragraph" w:customStyle="1" w:styleId="31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5">
    <w:name w:val="图1"/>
    <w:basedOn w:val="1"/>
    <w:next w:val="1"/>
    <w:qFormat/>
    <w:uiPriority w:val="0"/>
    <w:pPr>
      <w:tabs>
        <w:tab w:val="left" w:pos="1440"/>
      </w:tabs>
      <w:spacing w:beforeLines="50" w:afterLines="100" w:line="360" w:lineRule="auto"/>
      <w:ind w:left="1105" w:hanging="748"/>
      <w:jc w:val="center"/>
    </w:pPr>
    <w:rPr>
      <w:kern w:val="0"/>
    </w:rPr>
  </w:style>
  <w:style w:type="paragraph" w:customStyle="1" w:styleId="316">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17">
    <w:name w:val="级别6"/>
    <w:basedOn w:val="302"/>
    <w:qFormat/>
    <w:uiPriority w:val="0"/>
    <w:pPr>
      <w:tabs>
        <w:tab w:val="left" w:pos="405"/>
        <w:tab w:val="clear" w:pos="0"/>
      </w:tabs>
      <w:ind w:left="409" w:hanging="23"/>
      <w:outlineLvl w:val="5"/>
    </w:pPr>
  </w:style>
  <w:style w:type="paragraph" w:customStyle="1" w:styleId="318">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319">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320">
    <w:name w:val="样式 标题 2标题 1.1head:2#2 headlinehheadlineS&amp;R2ERMH2Head 2 +..."/>
    <w:basedOn w:val="3"/>
    <w:qFormat/>
    <w:uiPriority w:val="0"/>
    <w:pPr>
      <w:tabs>
        <w:tab w:val="left" w:pos="907"/>
      </w:tabs>
      <w:autoSpaceDE w:val="0"/>
      <w:autoSpaceDN w:val="0"/>
      <w:adjustRightInd w:val="0"/>
      <w:spacing w:before="120" w:after="120" w:line="360" w:lineRule="auto"/>
      <w:ind w:left="907" w:hanging="907"/>
      <w:jc w:val="center"/>
      <w:textAlignment w:val="baseline"/>
    </w:pPr>
    <w:rPr>
      <w:rFonts w:eastAsia="宋体"/>
      <w:kern w:val="0"/>
      <w:sz w:val="24"/>
      <w:szCs w:val="20"/>
    </w:rPr>
  </w:style>
  <w:style w:type="paragraph" w:customStyle="1" w:styleId="32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322">
    <w:name w:val="样式4"/>
    <w:basedOn w:val="1"/>
    <w:next w:val="3"/>
    <w:qFormat/>
    <w:uiPriority w:val="0"/>
    <w:pPr>
      <w:tabs>
        <w:tab w:val="left" w:pos="360"/>
      </w:tabs>
      <w:spacing w:line="360" w:lineRule="auto"/>
      <w:ind w:left="360" w:hanging="360"/>
    </w:pPr>
    <w:rPr>
      <w:rFonts w:ascii="宋体" w:hAnsi="宋体"/>
      <w:b/>
      <w:sz w:val="28"/>
      <w:szCs w:val="20"/>
    </w:rPr>
  </w:style>
  <w:style w:type="paragraph" w:customStyle="1" w:styleId="323">
    <w:name w:val="一"/>
    <w:basedOn w:val="2"/>
    <w:qFormat/>
    <w:uiPriority w:val="0"/>
    <w:pPr>
      <w:keepNext w:val="0"/>
      <w:keepLines w:val="0"/>
      <w:autoSpaceDE w:val="0"/>
      <w:autoSpaceDN w:val="0"/>
      <w:adjustRightInd w:val="0"/>
      <w:spacing w:before="0" w:after="0" w:line="360" w:lineRule="auto"/>
      <w:jc w:val="left"/>
    </w:pPr>
    <w:rPr>
      <w:rFonts w:ascii="宋体" w:hAnsi="宋体"/>
      <w:kern w:val="0"/>
      <w:sz w:val="28"/>
      <w:szCs w:val="20"/>
    </w:rPr>
  </w:style>
  <w:style w:type="paragraph" w:customStyle="1" w:styleId="324">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325">
    <w:name w:val="xl50"/>
    <w:basedOn w:val="1"/>
    <w:qFormat/>
    <w:uiPriority w:val="0"/>
    <w:pPr>
      <w:widowControl/>
      <w:pBdr>
        <w:top w:val="single" w:color="auto" w:sz="4" w:space="0"/>
        <w:bottom w:val="single" w:color="auto" w:sz="4" w:space="0"/>
      </w:pBdr>
      <w:spacing w:before="100" w:after="100"/>
      <w:ind w:firstLine="200" w:firstLineChars="200"/>
      <w:jc w:val="center"/>
    </w:pPr>
    <w:rPr>
      <w:rFonts w:ascii="Arial Unicode MS" w:hAnsi="Arial Unicode MS" w:eastAsia="Arial Unicode MS"/>
      <w:color w:val="7030A0"/>
      <w:kern w:val="0"/>
      <w:szCs w:val="20"/>
    </w:rPr>
  </w:style>
  <w:style w:type="paragraph" w:customStyle="1" w:styleId="326">
    <w:name w:val="font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327">
    <w:name w:val="xl49"/>
    <w:basedOn w:val="1"/>
    <w:qFormat/>
    <w:uiPriority w:val="0"/>
    <w:pPr>
      <w:widowControl/>
      <w:pBdr>
        <w:top w:val="single" w:color="auto" w:sz="4" w:space="0"/>
        <w:left w:val="single" w:color="auto" w:sz="4" w:space="0"/>
        <w:bottom w:val="single" w:color="auto" w:sz="4" w:space="0"/>
      </w:pBdr>
      <w:spacing w:before="100" w:after="100"/>
      <w:ind w:firstLine="200" w:firstLineChars="200"/>
      <w:jc w:val="center"/>
    </w:pPr>
    <w:rPr>
      <w:rFonts w:ascii="Arial Unicode MS" w:hAnsi="Arial Unicode MS" w:eastAsia="Arial Unicode MS"/>
      <w:color w:val="7030A0"/>
      <w:kern w:val="0"/>
      <w:szCs w:val="20"/>
    </w:rPr>
  </w:style>
  <w:style w:type="paragraph" w:customStyle="1" w:styleId="328">
    <w:name w:val="三点段 Char"/>
    <w:basedOn w:val="1"/>
    <w:qFormat/>
    <w:uiPriority w:val="0"/>
    <w:pPr>
      <w:spacing w:line="360" w:lineRule="auto"/>
      <w:ind w:left="1200" w:hanging="1200" w:hangingChars="500"/>
    </w:pPr>
    <w:rPr>
      <w:rFonts w:hint="eastAsia" w:ascii="宋体"/>
      <w:sz w:val="24"/>
    </w:rPr>
  </w:style>
  <w:style w:type="paragraph" w:customStyle="1" w:styleId="329">
    <w:name w:val="样式2"/>
    <w:basedOn w:val="1"/>
    <w:qFormat/>
    <w:uiPriority w:val="0"/>
    <w:pPr>
      <w:adjustRightInd w:val="0"/>
      <w:spacing w:before="120" w:after="120" w:line="312" w:lineRule="atLeast"/>
      <w:jc w:val="center"/>
      <w:textAlignment w:val="baseline"/>
    </w:pPr>
    <w:rPr>
      <w:kern w:val="0"/>
      <w:sz w:val="24"/>
      <w:szCs w:val="20"/>
    </w:rPr>
  </w:style>
  <w:style w:type="paragraph" w:customStyle="1" w:styleId="330">
    <w:name w:val="小标题一"/>
    <w:basedOn w:val="1"/>
    <w:next w:val="1"/>
    <w:qFormat/>
    <w:uiPriority w:val="0"/>
    <w:pPr>
      <w:tabs>
        <w:tab w:val="left" w:pos="1080"/>
      </w:tabs>
      <w:spacing w:line="500" w:lineRule="exact"/>
      <w:ind w:left="1080" w:hanging="1080"/>
    </w:pPr>
    <w:rPr>
      <w:sz w:val="28"/>
      <w:szCs w:val="20"/>
    </w:rPr>
  </w:style>
  <w:style w:type="paragraph" w:customStyle="1" w:styleId="331">
    <w:name w:val="Char"/>
    <w:basedOn w:val="1"/>
    <w:qFormat/>
    <w:uiPriority w:val="0"/>
    <w:rPr>
      <w:rFonts w:ascii="仿宋_GB2312" w:eastAsia="仿宋_GB2312"/>
      <w:b/>
      <w:sz w:val="32"/>
      <w:szCs w:val="32"/>
    </w:rPr>
  </w:style>
  <w:style w:type="paragraph" w:customStyle="1" w:styleId="332">
    <w:name w:val="文档正文"/>
    <w:basedOn w:val="1"/>
    <w:qFormat/>
    <w:uiPriority w:val="0"/>
    <w:pPr>
      <w:spacing w:line="360" w:lineRule="auto"/>
      <w:ind w:firstLine="200" w:firstLineChars="200"/>
    </w:pPr>
    <w:rPr>
      <w:rFonts w:ascii="宋体" w:hAnsi="宋体"/>
      <w:sz w:val="24"/>
    </w:rPr>
  </w:style>
  <w:style w:type="paragraph" w:customStyle="1" w:styleId="333">
    <w:name w:val="标题1"/>
    <w:basedOn w:val="2"/>
    <w:qFormat/>
    <w:uiPriority w:val="0"/>
    <w:pPr>
      <w:tabs>
        <w:tab w:val="left" w:pos="450"/>
        <w:tab w:val="left" w:pos="709"/>
        <w:tab w:val="left" w:pos="907"/>
        <w:tab w:val="clear" w:pos="1440"/>
      </w:tabs>
      <w:adjustRightInd w:val="0"/>
      <w:spacing w:before="120" w:after="0" w:line="360" w:lineRule="auto"/>
      <w:ind w:left="450" w:hanging="450"/>
      <w:textAlignment w:val="baseline"/>
    </w:pPr>
    <w:rPr>
      <w:rFonts w:ascii="宋体" w:hAnsi="宋体"/>
      <w:bCs w:val="0"/>
      <w:sz w:val="28"/>
      <w:szCs w:val="20"/>
    </w:rPr>
  </w:style>
  <w:style w:type="paragraph" w:customStyle="1" w:styleId="334">
    <w:name w:val="合同书"/>
    <w:basedOn w:val="1"/>
    <w:qFormat/>
    <w:uiPriority w:val="0"/>
    <w:pPr>
      <w:spacing w:afterLines="100"/>
      <w:jc w:val="center"/>
    </w:pPr>
    <w:rPr>
      <w:rFonts w:hAnsi="宋体"/>
      <w:b/>
      <w:color w:val="000000"/>
      <w:sz w:val="44"/>
      <w:szCs w:val="44"/>
    </w:rPr>
  </w:style>
  <w:style w:type="paragraph" w:customStyle="1" w:styleId="335">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336">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337">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338">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339">
    <w:name w:val="Char Char Char Char Char Char Char"/>
    <w:basedOn w:val="1"/>
    <w:qFormat/>
    <w:uiPriority w:val="0"/>
    <w:rPr>
      <w:rFonts w:ascii="仿宋_GB2312" w:eastAsia="仿宋_GB2312"/>
      <w:b/>
      <w:sz w:val="32"/>
      <w:szCs w:val="32"/>
    </w:rPr>
  </w:style>
  <w:style w:type="paragraph" w:customStyle="1" w:styleId="340">
    <w:name w:val="样式 目录 1 + 左侧:  3 字符"/>
    <w:basedOn w:val="53"/>
    <w:qFormat/>
    <w:uiPriority w:val="0"/>
    <w:pPr>
      <w:tabs>
        <w:tab w:val="left" w:pos="425"/>
        <w:tab w:val="left" w:pos="1680"/>
        <w:tab w:val="right" w:leader="dot" w:pos="8495"/>
        <w:tab w:val="right" w:pos="9060"/>
        <w:tab w:val="clear" w:pos="8778"/>
      </w:tabs>
      <w:snapToGrid/>
      <w:spacing w:line="240" w:lineRule="auto"/>
      <w:ind w:left="425" w:hanging="425"/>
    </w:pPr>
    <w:rPr>
      <w:bCs w:val="0"/>
      <w:iCs w:val="0"/>
      <w:caps w:val="0"/>
      <w:color w:val="7030A0"/>
      <w:kern w:val="2"/>
      <w:sz w:val="21"/>
      <w:szCs w:val="20"/>
    </w:rPr>
  </w:style>
  <w:style w:type="paragraph" w:customStyle="1" w:styleId="341">
    <w:name w:val="章节标题 BJ8"/>
    <w:basedOn w:val="177"/>
    <w:next w:val="177"/>
    <w:qFormat/>
    <w:uiPriority w:val="0"/>
    <w:pPr>
      <w:ind w:firstLine="0" w:firstLineChars="0"/>
      <w:jc w:val="center"/>
    </w:pPr>
    <w:rPr>
      <w:rFonts w:eastAsia="黑体"/>
      <w:b/>
      <w:sz w:val="44"/>
      <w:szCs w:val="84"/>
    </w:rPr>
  </w:style>
  <w:style w:type="paragraph" w:customStyle="1" w:styleId="34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343">
    <w:name w:val="表格"/>
    <w:basedOn w:val="1"/>
    <w:qFormat/>
    <w:uiPriority w:val="0"/>
    <w:pPr>
      <w:widowControl/>
      <w:snapToGrid w:val="0"/>
      <w:spacing w:before="60" w:after="60"/>
      <w:jc w:val="left"/>
    </w:pPr>
    <w:rPr>
      <w:rFonts w:ascii="宋体"/>
      <w:sz w:val="20"/>
      <w:szCs w:val="20"/>
    </w:rPr>
  </w:style>
  <w:style w:type="paragraph" w:customStyle="1" w:styleId="344">
    <w:name w:val="xl2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34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4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47">
    <w:name w:val="条文 表"/>
    <w:next w:val="1"/>
    <w:qFormat/>
    <w:uiPriority w:val="0"/>
    <w:pPr>
      <w:jc w:val="center"/>
    </w:pPr>
    <w:rPr>
      <w:rFonts w:ascii="Times New Roman" w:hAnsi="Times New Roman" w:eastAsia="黑体" w:cs="Times New Roman"/>
      <w:sz w:val="21"/>
      <w:lang w:val="en-US" w:eastAsia="zh-CN" w:bidi="ar-SA"/>
    </w:rPr>
  </w:style>
  <w:style w:type="paragraph" w:customStyle="1" w:styleId="348">
    <w:name w:val="大标题"/>
    <w:qFormat/>
    <w:uiPriority w:val="0"/>
    <w:pPr>
      <w:tabs>
        <w:tab w:val="left" w:pos="1134"/>
      </w:tabs>
      <w:snapToGrid w:val="0"/>
      <w:spacing w:before="240" w:after="240" w:line="288" w:lineRule="auto"/>
    </w:pPr>
    <w:rPr>
      <w:rFonts w:ascii="黑体" w:hAnsi="Times New Roman" w:eastAsia="黑体" w:cs="Times New Roman"/>
      <w:sz w:val="24"/>
      <w:lang w:val="en-US" w:eastAsia="zh-CN" w:bidi="ar-SA"/>
    </w:rPr>
  </w:style>
  <w:style w:type="paragraph" w:customStyle="1" w:styleId="349">
    <w:name w:val="重点"/>
    <w:basedOn w:val="1"/>
    <w:qFormat/>
    <w:uiPriority w:val="0"/>
    <w:pPr>
      <w:tabs>
        <w:tab w:val="left" w:pos="0"/>
        <w:tab w:val="left" w:pos="814"/>
      </w:tabs>
      <w:adjustRightInd w:val="0"/>
      <w:snapToGrid w:val="0"/>
      <w:spacing w:line="560" w:lineRule="atLeast"/>
      <w:ind w:left="737" w:hanging="283" w:firstLineChars="200"/>
      <w:jc w:val="left"/>
    </w:pPr>
    <w:rPr>
      <w:color w:val="7030A0"/>
      <w:kern w:val="24"/>
      <w:sz w:val="30"/>
      <w:szCs w:val="20"/>
    </w:rPr>
  </w:style>
  <w:style w:type="paragraph" w:customStyle="1" w:styleId="350">
    <w:name w:val="青岛正文"/>
    <w:basedOn w:val="1"/>
    <w:qFormat/>
    <w:uiPriority w:val="0"/>
    <w:pPr>
      <w:spacing w:line="360" w:lineRule="auto"/>
    </w:pPr>
    <w:rPr>
      <w:sz w:val="28"/>
    </w:rPr>
  </w:style>
  <w:style w:type="paragraph" w:customStyle="1" w:styleId="351">
    <w:name w:val="样式 样式 列表框 Char Char Char Char Char + 右侧:  -0.05 字符 段后: 0.5 行 + 右..."/>
    <w:basedOn w:val="352"/>
    <w:qFormat/>
    <w:uiPriority w:val="0"/>
    <w:pPr>
      <w:tabs>
        <w:tab w:val="left" w:pos="375"/>
        <w:tab w:val="left" w:pos="630"/>
      </w:tabs>
    </w:pPr>
  </w:style>
  <w:style w:type="paragraph" w:customStyle="1" w:styleId="352">
    <w:name w:val="样式 列表框 Char Char Char Char Char + 右侧:  -0.05 字符 段后: 0.5 行"/>
    <w:basedOn w:val="234"/>
    <w:qFormat/>
    <w:uiPriority w:val="0"/>
    <w:pPr>
      <w:tabs>
        <w:tab w:val="left" w:pos="375"/>
        <w:tab w:val="clear" w:pos="450"/>
        <w:tab w:val="clear" w:pos="874"/>
      </w:tabs>
      <w:ind w:left="0" w:firstLine="0"/>
    </w:pPr>
    <w:rPr>
      <w:szCs w:val="20"/>
    </w:rPr>
  </w:style>
  <w:style w:type="paragraph" w:customStyle="1" w:styleId="353">
    <w:name w:val="xl39"/>
    <w:basedOn w:val="1"/>
    <w:qFormat/>
    <w:uiPriority w:val="0"/>
    <w:pPr>
      <w:widowControl/>
      <w:pBdr>
        <w:top w:val="single" w:color="auto" w:sz="4" w:space="0"/>
        <w:bottom w:val="single" w:color="auto" w:sz="4" w:space="0"/>
      </w:pBdr>
      <w:spacing w:before="100" w:beforeAutospacing="1" w:after="100" w:afterAutospacing="1"/>
      <w:jc w:val="left"/>
    </w:pPr>
    <w:rPr>
      <w:kern w:val="0"/>
      <w:sz w:val="24"/>
    </w:rPr>
  </w:style>
  <w:style w:type="paragraph" w:customStyle="1" w:styleId="354">
    <w:name w:val="正文文本 21"/>
    <w:basedOn w:val="1"/>
    <w:qFormat/>
    <w:uiPriority w:val="0"/>
    <w:pPr>
      <w:autoSpaceDE w:val="0"/>
      <w:autoSpaceDN w:val="0"/>
      <w:adjustRightInd w:val="0"/>
      <w:ind w:left="525" w:firstLine="525" w:firstLineChars="200"/>
      <w:jc w:val="left"/>
      <w:textAlignment w:val="baseline"/>
    </w:pPr>
    <w:rPr>
      <w:color w:val="7030A0"/>
      <w:szCs w:val="20"/>
    </w:rPr>
  </w:style>
  <w:style w:type="paragraph" w:customStyle="1" w:styleId="355">
    <w:name w:val="Report Heading"/>
    <w:basedOn w:val="1"/>
    <w:next w:val="1"/>
    <w:qFormat/>
    <w:uiPriority w:val="0"/>
    <w:pPr>
      <w:keepNext/>
      <w:widowControl/>
      <w:spacing w:before="120" w:after="138"/>
      <w:ind w:left="1080" w:firstLine="200" w:firstLineChars="200"/>
      <w:jc w:val="left"/>
    </w:pPr>
    <w:rPr>
      <w:rFonts w:ascii="Arial" w:hAnsi="Arial"/>
      <w:b/>
      <w:color w:val="7030A0"/>
      <w:kern w:val="0"/>
      <w:sz w:val="22"/>
      <w:szCs w:val="20"/>
      <w:lang w:val="en-GB"/>
    </w:rPr>
  </w:style>
  <w:style w:type="paragraph" w:customStyle="1" w:styleId="356">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357">
    <w:name w:val="修订1"/>
    <w:qFormat/>
    <w:uiPriority w:val="0"/>
    <w:rPr>
      <w:rFonts w:ascii="Times New Roman" w:hAnsi="Times New Roman" w:eastAsia="宋体" w:cs="Times New Roman"/>
      <w:kern w:val="2"/>
      <w:sz w:val="21"/>
      <w:lang w:val="en-US" w:eastAsia="zh-CN" w:bidi="ar-SA"/>
    </w:rPr>
  </w:style>
  <w:style w:type="paragraph" w:customStyle="1" w:styleId="358">
    <w:name w:val="正文C"/>
    <w:qFormat/>
    <w:uiPriority w:val="0"/>
    <w:pPr>
      <w:widowControl w:val="0"/>
      <w:adjustRightInd w:val="0"/>
      <w:snapToGrid w:val="0"/>
      <w:spacing w:line="360" w:lineRule="auto"/>
      <w:ind w:right="31" w:rightChars="15" w:firstLine="420" w:firstLineChars="200"/>
      <w:jc w:val="both"/>
    </w:pPr>
    <w:rPr>
      <w:rFonts w:ascii="Times New Roman" w:hAnsi="Times New Roman" w:eastAsia="宋体" w:cs="宋体"/>
      <w:kern w:val="44"/>
      <w:sz w:val="24"/>
      <w:lang w:val="en-US" w:eastAsia="zh-CN" w:bidi="ar-SA"/>
    </w:rPr>
  </w:style>
  <w:style w:type="paragraph" w:customStyle="1" w:styleId="359">
    <w:name w:val="文档结构图2"/>
    <w:basedOn w:val="1"/>
    <w:qFormat/>
    <w:uiPriority w:val="0"/>
    <w:pPr>
      <w:shd w:val="clear" w:color="auto" w:fill="000080"/>
      <w:autoSpaceDE w:val="0"/>
      <w:autoSpaceDN w:val="0"/>
      <w:adjustRightInd w:val="0"/>
      <w:ind w:firstLine="200" w:firstLineChars="200"/>
      <w:jc w:val="left"/>
      <w:textAlignment w:val="baseline"/>
    </w:pPr>
    <w:rPr>
      <w:color w:val="7030A0"/>
      <w:szCs w:val="20"/>
    </w:rPr>
  </w:style>
  <w:style w:type="paragraph" w:customStyle="1" w:styleId="360">
    <w:name w:val="Char Char Char Char11"/>
    <w:basedOn w:val="1"/>
    <w:qFormat/>
    <w:uiPriority w:val="0"/>
    <w:pPr>
      <w:ind w:firstLine="200" w:firstLineChars="200"/>
      <w:jc w:val="left"/>
    </w:pPr>
    <w:rPr>
      <w:rFonts w:ascii="仿宋_GB2312" w:eastAsia="仿宋_GB2312"/>
      <w:b/>
      <w:color w:val="7030A0"/>
      <w:sz w:val="32"/>
      <w:szCs w:val="32"/>
    </w:rPr>
  </w:style>
  <w:style w:type="paragraph" w:customStyle="1" w:styleId="361">
    <w:name w:val="样式 标题 2标题 1.1编号标题2head:2#2 headlinehheadlineS&amp;R2ERMH2He..."/>
    <w:basedOn w:val="3"/>
    <w:qFormat/>
    <w:uiPriority w:val="0"/>
    <w:pPr>
      <w:keepNext w:val="0"/>
      <w:keepLines w:val="0"/>
      <w:spacing w:before="120" w:after="120" w:line="500" w:lineRule="exact"/>
      <w:jc w:val="left"/>
    </w:pPr>
    <w:rPr>
      <w:rFonts w:cs="宋体"/>
      <w:color w:val="C00000"/>
      <w:kern w:val="44"/>
      <w:sz w:val="28"/>
      <w:szCs w:val="20"/>
    </w:rPr>
  </w:style>
  <w:style w:type="paragraph" w:customStyle="1" w:styleId="362">
    <w:name w:val="章节标题 QD3"/>
    <w:basedOn w:val="175"/>
    <w:next w:val="175"/>
    <w:qFormat/>
    <w:uiPriority w:val="0"/>
    <w:pPr>
      <w:ind w:firstLine="0" w:firstLineChars="0"/>
      <w:jc w:val="center"/>
    </w:pPr>
    <w:rPr>
      <w:rFonts w:eastAsia="黑体"/>
      <w:b/>
      <w:sz w:val="44"/>
      <w:szCs w:val="84"/>
    </w:rPr>
  </w:style>
  <w:style w:type="paragraph" w:customStyle="1" w:styleId="363">
    <w:name w:val="Char2"/>
    <w:basedOn w:val="1"/>
    <w:qFormat/>
    <w:uiPriority w:val="0"/>
    <w:pPr>
      <w:widowControl/>
      <w:spacing w:after="160" w:line="240" w:lineRule="exact"/>
      <w:ind w:firstLine="200" w:firstLineChars="200"/>
      <w:jc w:val="left"/>
    </w:pPr>
    <w:rPr>
      <w:rFonts w:ascii="Verdana" w:hAnsi="Verdana" w:eastAsia="仿宋_GB2312"/>
      <w:color w:val="7030A0"/>
      <w:kern w:val="0"/>
      <w:sz w:val="24"/>
      <w:szCs w:val="20"/>
      <w:lang w:eastAsia="en-US"/>
    </w:rPr>
  </w:style>
  <w:style w:type="paragraph" w:customStyle="1" w:styleId="364">
    <w:name w:val="xiao b"/>
    <w:basedOn w:val="1"/>
    <w:qFormat/>
    <w:uiPriority w:val="0"/>
    <w:pPr>
      <w:ind w:firstLine="200" w:firstLineChars="200"/>
      <w:jc w:val="center"/>
    </w:pPr>
    <w:rPr>
      <w:rFonts w:eastAsia="黑体"/>
      <w:color w:val="7030A0"/>
      <w:sz w:val="24"/>
      <w:szCs w:val="20"/>
    </w:rPr>
  </w:style>
  <w:style w:type="paragraph" w:customStyle="1" w:styleId="365">
    <w:name w:val="样式 标题 4 + 加粗"/>
    <w:basedOn w:val="5"/>
    <w:qFormat/>
    <w:uiPriority w:val="0"/>
    <w:pPr>
      <w:keepNext w:val="0"/>
      <w:keepLines w:val="0"/>
      <w:spacing w:before="120" w:after="0" w:line="240" w:lineRule="auto"/>
      <w:jc w:val="left"/>
    </w:pPr>
    <w:rPr>
      <w:rFonts w:ascii="Times New Roman" w:hAnsi="Times New Roman"/>
      <w:b w:val="0"/>
      <w:color w:val="00B050"/>
      <w:sz w:val="24"/>
    </w:rPr>
  </w:style>
  <w:style w:type="paragraph" w:customStyle="1" w:styleId="366">
    <w:name w:val="Plain Text1"/>
    <w:basedOn w:val="1"/>
    <w:qFormat/>
    <w:uiPriority w:val="0"/>
    <w:pPr>
      <w:adjustRightInd w:val="0"/>
      <w:spacing w:line="312" w:lineRule="atLeast"/>
      <w:ind w:firstLine="200" w:firstLineChars="200"/>
      <w:jc w:val="left"/>
      <w:textAlignment w:val="baseline"/>
    </w:pPr>
    <w:rPr>
      <w:rFonts w:ascii="宋体" w:hAnsi="Courier New"/>
      <w:color w:val="7030A0"/>
      <w:kern w:val="0"/>
      <w:sz w:val="28"/>
      <w:szCs w:val="20"/>
    </w:rPr>
  </w:style>
  <w:style w:type="paragraph" w:customStyle="1" w:styleId="367">
    <w:name w:val="Char Char Char Char1"/>
    <w:basedOn w:val="1"/>
    <w:qFormat/>
    <w:uiPriority w:val="0"/>
    <w:pPr>
      <w:ind w:firstLine="200" w:firstLineChars="200"/>
      <w:jc w:val="left"/>
    </w:pPr>
    <w:rPr>
      <w:rFonts w:ascii="仿宋_GB2312" w:eastAsia="仿宋_GB2312"/>
      <w:b/>
      <w:color w:val="7030A0"/>
      <w:sz w:val="32"/>
      <w:szCs w:val="32"/>
    </w:rPr>
  </w:style>
  <w:style w:type="paragraph" w:customStyle="1" w:styleId="368">
    <w:name w:val="Plain Text2"/>
    <w:basedOn w:val="1"/>
    <w:qFormat/>
    <w:uiPriority w:val="0"/>
    <w:pPr>
      <w:adjustRightInd w:val="0"/>
      <w:spacing w:line="312" w:lineRule="atLeast"/>
      <w:ind w:firstLine="200" w:firstLineChars="200"/>
      <w:jc w:val="left"/>
      <w:textAlignment w:val="baseline"/>
    </w:pPr>
    <w:rPr>
      <w:rFonts w:ascii="宋体" w:hAnsi="Courier New"/>
      <w:color w:val="7030A0"/>
      <w:kern w:val="0"/>
      <w:sz w:val="28"/>
      <w:szCs w:val="20"/>
    </w:rPr>
  </w:style>
  <w:style w:type="paragraph" w:customStyle="1" w:styleId="369">
    <w:name w:val="正文2"/>
    <w:basedOn w:val="31"/>
    <w:qFormat/>
    <w:uiPriority w:val="0"/>
    <w:pPr>
      <w:ind w:firstLine="480" w:firstLineChars="200"/>
      <w:jc w:val="left"/>
    </w:pPr>
    <w:rPr>
      <w:rFonts w:ascii="宋体"/>
      <w:color w:val="7030A0"/>
      <w:szCs w:val="24"/>
    </w:rPr>
  </w:style>
  <w:style w:type="paragraph" w:customStyle="1" w:styleId="370">
    <w:name w:val="列表框1"/>
    <w:basedOn w:val="306"/>
    <w:next w:val="306"/>
    <w:qFormat/>
    <w:uiPriority w:val="0"/>
    <w:pPr>
      <w:tabs>
        <w:tab w:val="left" w:pos="960"/>
        <w:tab w:val="left" w:pos="1314"/>
      </w:tabs>
      <w:snapToGrid w:val="0"/>
      <w:ind w:left="1328" w:leftChars="397" w:hanging="375" w:hangingChars="163"/>
    </w:pPr>
    <w:rPr>
      <w:rFonts w:cs="Arial"/>
    </w:rPr>
  </w:style>
  <w:style w:type="paragraph" w:customStyle="1" w:styleId="371">
    <w:name w:val="Body text"/>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372">
    <w:name w:val="五级"/>
    <w:basedOn w:val="3"/>
    <w:qFormat/>
    <w:uiPriority w:val="0"/>
    <w:pPr>
      <w:keepNext w:val="0"/>
      <w:keepLines w:val="0"/>
      <w:tabs>
        <w:tab w:val="left" w:pos="851"/>
      </w:tabs>
      <w:spacing w:before="0" w:after="0" w:line="360" w:lineRule="auto"/>
      <w:ind w:left="851" w:hanging="851"/>
      <w:jc w:val="left"/>
    </w:pPr>
    <w:rPr>
      <w:rFonts w:ascii="宋体" w:hAnsi="宋体" w:eastAsia="宋体"/>
      <w:b w:val="0"/>
      <w:color w:val="C00000"/>
      <w:sz w:val="24"/>
    </w:rPr>
  </w:style>
  <w:style w:type="paragraph" w:customStyle="1" w:styleId="373">
    <w:name w:val="1."/>
    <w:basedOn w:val="1"/>
    <w:qFormat/>
    <w:uiPriority w:val="0"/>
    <w:pPr>
      <w:tabs>
        <w:tab w:val="left" w:pos="0"/>
        <w:tab w:val="left" w:pos="426"/>
      </w:tabs>
      <w:adjustRightInd w:val="0"/>
      <w:spacing w:before="60" w:after="60" w:line="360" w:lineRule="atLeast"/>
      <w:ind w:left="426" w:hanging="426" w:firstLineChars="200"/>
      <w:jc w:val="left"/>
      <w:textAlignment w:val="baseline"/>
    </w:pPr>
    <w:rPr>
      <w:rFonts w:ascii="Arial" w:hAnsi="Arial"/>
      <w:color w:val="7030A0"/>
      <w:kern w:val="0"/>
      <w:szCs w:val="20"/>
    </w:rPr>
  </w:style>
  <w:style w:type="paragraph" w:customStyle="1" w:styleId="374">
    <w:name w:val="xl57"/>
    <w:basedOn w:val="1"/>
    <w:qFormat/>
    <w:uiPriority w:val="0"/>
    <w:pPr>
      <w:widowControl/>
      <w:pBdr>
        <w:top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375">
    <w:name w:val="正文点缩进"/>
    <w:basedOn w:val="1"/>
    <w:qFormat/>
    <w:uiPriority w:val="0"/>
    <w:pPr>
      <w:widowControl/>
      <w:tabs>
        <w:tab w:val="left" w:pos="1758"/>
      </w:tabs>
      <w:snapToGrid w:val="0"/>
      <w:spacing w:after="60" w:line="288" w:lineRule="auto"/>
      <w:ind w:firstLine="200" w:firstLineChars="200"/>
      <w:jc w:val="left"/>
    </w:pPr>
    <w:rPr>
      <w:rFonts w:ascii="宋体"/>
      <w:color w:val="7030A0"/>
      <w:sz w:val="22"/>
      <w:szCs w:val="20"/>
      <w:shd w:val="clear" w:color="auto" w:fill="FFFFFF"/>
    </w:rPr>
  </w:style>
  <w:style w:type="paragraph" w:customStyle="1" w:styleId="376">
    <w:name w:val="xl41"/>
    <w:basedOn w:val="1"/>
    <w:qFormat/>
    <w:uiPriority w:val="0"/>
    <w:pPr>
      <w:widowControl/>
      <w:spacing w:before="100" w:beforeAutospacing="1" w:after="100" w:afterAutospacing="1"/>
      <w:ind w:firstLine="200" w:firstLineChars="200"/>
      <w:jc w:val="center"/>
      <w:textAlignment w:val="center"/>
    </w:pPr>
    <w:rPr>
      <w:rFonts w:ascii="宋体" w:hAnsi="宋体"/>
      <w:color w:val="7030A0"/>
      <w:kern w:val="0"/>
      <w:szCs w:val="21"/>
    </w:rPr>
  </w:style>
  <w:style w:type="paragraph" w:customStyle="1" w:styleId="377">
    <w:name w:val="样式 左侧:  2 字符 首行缩进:  0.85 厘米"/>
    <w:basedOn w:val="1"/>
    <w:qFormat/>
    <w:uiPriority w:val="0"/>
    <w:pPr>
      <w:adjustRightInd w:val="0"/>
      <w:snapToGrid w:val="0"/>
      <w:spacing w:line="360" w:lineRule="auto"/>
      <w:ind w:firstLine="425" w:firstLineChars="200"/>
      <w:jc w:val="left"/>
    </w:pPr>
    <w:rPr>
      <w:rFonts w:ascii="宋体" w:hAnsi="宋体" w:cs="宋体"/>
      <w:color w:val="7030A0"/>
      <w:szCs w:val="20"/>
    </w:rPr>
  </w:style>
  <w:style w:type="paragraph" w:customStyle="1" w:styleId="378">
    <w:name w:val="xl55"/>
    <w:basedOn w:val="1"/>
    <w:qFormat/>
    <w:uiPriority w:val="0"/>
    <w:pPr>
      <w:widowControl/>
      <w:pBdr>
        <w:top w:val="single" w:color="auto" w:sz="4" w:space="0"/>
        <w:lef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379">
    <w:name w:val="Char Char Char Char Char Char Char Char"/>
    <w:basedOn w:val="1"/>
    <w:qFormat/>
    <w:uiPriority w:val="0"/>
    <w:pPr>
      <w:ind w:firstLine="200" w:firstLineChars="200"/>
      <w:jc w:val="left"/>
    </w:pPr>
    <w:rPr>
      <w:rFonts w:ascii="Tahoma" w:hAnsi="Tahoma"/>
      <w:color w:val="7030A0"/>
      <w:sz w:val="24"/>
      <w:szCs w:val="20"/>
    </w:rPr>
  </w:style>
  <w:style w:type="paragraph" w:customStyle="1" w:styleId="380">
    <w:name w:val="StandardOhneEinzug"/>
    <w:basedOn w:val="1"/>
    <w:qFormat/>
    <w:uiPriority w:val="0"/>
    <w:pPr>
      <w:widowControl/>
      <w:tabs>
        <w:tab w:val="left" w:pos="560"/>
      </w:tabs>
      <w:spacing w:after="240" w:line="288" w:lineRule="auto"/>
      <w:ind w:left="200" w:firstLine="200" w:firstLineChars="200"/>
      <w:jc w:val="left"/>
    </w:pPr>
    <w:rPr>
      <w:rFonts w:ascii="Arial" w:hAnsi="Arial"/>
      <w:color w:val="7030A0"/>
      <w:kern w:val="0"/>
      <w:sz w:val="22"/>
      <w:szCs w:val="20"/>
      <w:lang w:val="de-DE"/>
    </w:rPr>
  </w:style>
  <w:style w:type="paragraph" w:customStyle="1" w:styleId="381">
    <w:name w:val="投标正文"/>
    <w:basedOn w:val="1"/>
    <w:qFormat/>
    <w:uiPriority w:val="0"/>
    <w:pPr>
      <w:spacing w:line="360" w:lineRule="auto"/>
      <w:ind w:firstLine="200" w:firstLineChars="200"/>
      <w:jc w:val="left"/>
    </w:pPr>
    <w:rPr>
      <w:rFonts w:eastAsia="黑体"/>
      <w:color w:val="7030A0"/>
      <w:spacing w:val="20"/>
      <w:sz w:val="32"/>
      <w:szCs w:val="32"/>
    </w:rPr>
  </w:style>
  <w:style w:type="paragraph" w:customStyle="1" w:styleId="382">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383">
    <w:name w:val="标书正文"/>
    <w:basedOn w:val="1"/>
    <w:qFormat/>
    <w:uiPriority w:val="0"/>
    <w:pPr>
      <w:spacing w:before="100" w:after="100" w:line="440" w:lineRule="atLeast"/>
      <w:ind w:left="176" w:firstLine="200" w:firstLineChars="200"/>
      <w:jc w:val="left"/>
    </w:pPr>
    <w:rPr>
      <w:rFonts w:ascii="宋体" w:hAnsi="宋体"/>
      <w:color w:val="7030A0"/>
      <w:spacing w:val="20"/>
      <w:sz w:val="24"/>
    </w:rPr>
  </w:style>
  <w:style w:type="paragraph" w:customStyle="1" w:styleId="384">
    <w:name w:val="xl44"/>
    <w:basedOn w:val="1"/>
    <w:qFormat/>
    <w:uiPriority w:val="0"/>
    <w:pPr>
      <w:widowControl/>
      <w:pBdr>
        <w:right w:val="single" w:color="auto" w:sz="4" w:space="0"/>
      </w:pBdr>
      <w:spacing w:before="100" w:after="100"/>
      <w:ind w:firstLine="200" w:firstLineChars="200"/>
      <w:jc w:val="center"/>
    </w:pPr>
    <w:rPr>
      <w:rFonts w:ascii="宋体" w:hAnsi="宋体"/>
      <w:color w:val="7030A0"/>
      <w:kern w:val="0"/>
      <w:sz w:val="24"/>
      <w:szCs w:val="20"/>
    </w:rPr>
  </w:style>
  <w:style w:type="paragraph" w:customStyle="1" w:styleId="385">
    <w:name w:val="招标文件1.1"/>
    <w:qFormat/>
    <w:uiPriority w:val="0"/>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386">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ind w:firstLine="200" w:firstLineChars="200"/>
      <w:jc w:val="center"/>
      <w:textAlignment w:val="center"/>
    </w:pPr>
    <w:rPr>
      <w:rFonts w:eastAsia="Arial Unicode MS"/>
      <w:color w:val="7030A0"/>
      <w:kern w:val="0"/>
      <w:szCs w:val="20"/>
    </w:rPr>
  </w:style>
  <w:style w:type="paragraph" w:customStyle="1" w:styleId="387">
    <w:name w:val="xl46"/>
    <w:basedOn w:val="1"/>
    <w:qFormat/>
    <w:uiPriority w:val="0"/>
    <w:pPr>
      <w:widowControl/>
      <w:pBdr>
        <w:top w:val="single" w:color="auto" w:sz="4" w:space="0"/>
        <w:left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388">
    <w:name w:val="xl48"/>
    <w:basedOn w:val="1"/>
    <w:qFormat/>
    <w:uiPriority w:val="0"/>
    <w:pPr>
      <w:widowControl/>
      <w:pBdr>
        <w:left w:val="single" w:color="auto" w:sz="4" w:space="0"/>
        <w:bottom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389">
    <w:name w:val="xl60"/>
    <w:basedOn w:val="1"/>
    <w:qFormat/>
    <w:uiPriority w:val="0"/>
    <w:pPr>
      <w:widowControl/>
      <w:pBdr>
        <w:top w:val="single" w:color="auto" w:sz="4" w:space="0"/>
        <w:left w:val="single" w:color="auto" w:sz="4" w:space="0"/>
        <w:bottom w:val="single" w:color="auto" w:sz="4" w:space="0"/>
      </w:pBdr>
      <w:spacing w:before="100" w:after="100"/>
      <w:ind w:firstLine="200" w:firstLineChars="200"/>
      <w:jc w:val="center"/>
      <w:textAlignment w:val="center"/>
    </w:pPr>
    <w:rPr>
      <w:rFonts w:eastAsia="Arial Unicode MS"/>
      <w:color w:val="7030A0"/>
      <w:kern w:val="0"/>
      <w:szCs w:val="20"/>
    </w:rPr>
  </w:style>
  <w:style w:type="paragraph" w:customStyle="1" w:styleId="390">
    <w:name w:val="样式 目录 1"/>
    <w:basedOn w:val="53"/>
    <w:qFormat/>
    <w:uiPriority w:val="0"/>
    <w:pPr>
      <w:tabs>
        <w:tab w:val="left" w:pos="420"/>
        <w:tab w:val="left" w:pos="525"/>
        <w:tab w:val="left" w:pos="1680"/>
        <w:tab w:val="right" w:leader="dot" w:pos="8495"/>
        <w:tab w:val="right" w:pos="9060"/>
        <w:tab w:val="clear" w:pos="8778"/>
      </w:tabs>
      <w:snapToGrid/>
      <w:spacing w:line="240" w:lineRule="auto"/>
      <w:ind w:left="525" w:hanging="425"/>
    </w:pPr>
    <w:rPr>
      <w:bCs w:val="0"/>
      <w:iCs w:val="0"/>
      <w:caps w:val="0"/>
      <w:color w:val="7030A0"/>
      <w:kern w:val="2"/>
      <w:sz w:val="21"/>
      <w:szCs w:val="20"/>
    </w:rPr>
  </w:style>
  <w:style w:type="paragraph" w:customStyle="1" w:styleId="391">
    <w:name w:val="A-12"/>
    <w:basedOn w:val="1"/>
    <w:qFormat/>
    <w:uiPriority w:val="0"/>
    <w:pPr>
      <w:widowControl/>
      <w:ind w:firstLine="200" w:firstLineChars="200"/>
      <w:jc w:val="left"/>
    </w:pPr>
    <w:rPr>
      <w:rFonts w:ascii="Arial" w:hAnsi="Arial"/>
      <w:color w:val="7030A0"/>
      <w:kern w:val="0"/>
      <w:sz w:val="24"/>
      <w:szCs w:val="20"/>
      <w:lang w:val="en-GB"/>
    </w:rPr>
  </w:style>
  <w:style w:type="paragraph" w:customStyle="1" w:styleId="392">
    <w:name w:val="样式 样式 样式 宋体 小四 左侧:  1.85 厘米 段前: 11.15 磅 段后: 11.15 磅 + 图案: 清除 (白色..."/>
    <w:basedOn w:val="286"/>
    <w:qFormat/>
    <w:uiPriority w:val="0"/>
    <w:pPr>
      <w:spacing w:beforeLines="50" w:afterLines="50"/>
      <w:ind w:left="318"/>
    </w:pPr>
    <w:rPr>
      <w:szCs w:val="20"/>
    </w:rPr>
  </w:style>
  <w:style w:type="paragraph" w:customStyle="1" w:styleId="393">
    <w:name w:val="无间隔1"/>
    <w:qFormat/>
    <w:uiPriority w:val="1"/>
    <w:pPr>
      <w:widowControl w:val="0"/>
      <w:ind w:firstLine="200" w:firstLineChars="200"/>
    </w:pPr>
    <w:rPr>
      <w:rFonts w:ascii="Times New Roman" w:hAnsi="Times New Roman" w:eastAsia="宋体" w:cs="Times New Roman"/>
      <w:color w:val="7030A0"/>
      <w:kern w:val="2"/>
      <w:sz w:val="24"/>
      <w:szCs w:val="24"/>
      <w:lang w:val="en-US" w:eastAsia="zh-CN" w:bidi="ar-SA"/>
    </w:rPr>
  </w:style>
  <w:style w:type="paragraph" w:customStyle="1" w:styleId="394">
    <w:name w:val="正文文本缩进 32"/>
    <w:basedOn w:val="1"/>
    <w:qFormat/>
    <w:uiPriority w:val="0"/>
    <w:pPr>
      <w:autoSpaceDE w:val="0"/>
      <w:autoSpaceDN w:val="0"/>
      <w:adjustRightInd w:val="0"/>
      <w:ind w:firstLine="525" w:firstLineChars="200"/>
      <w:jc w:val="left"/>
      <w:textAlignment w:val="baseline"/>
    </w:pPr>
    <w:rPr>
      <w:color w:val="7030A0"/>
      <w:sz w:val="24"/>
      <w:szCs w:val="20"/>
    </w:rPr>
  </w:style>
  <w:style w:type="paragraph" w:customStyle="1" w:styleId="395">
    <w:name w:val="一级条标题"/>
    <w:basedOn w:val="1"/>
    <w:next w:val="1"/>
    <w:qFormat/>
    <w:uiPriority w:val="0"/>
    <w:pPr>
      <w:widowControl/>
      <w:tabs>
        <w:tab w:val="left" w:pos="425"/>
        <w:tab w:val="left" w:pos="525"/>
      </w:tabs>
      <w:ind w:left="425" w:hanging="425" w:firstLineChars="200"/>
      <w:jc w:val="left"/>
      <w:outlineLvl w:val="2"/>
    </w:pPr>
    <w:rPr>
      <w:rFonts w:ascii="黑体" w:eastAsia="黑体"/>
      <w:color w:val="7030A0"/>
      <w:kern w:val="0"/>
      <w:szCs w:val="20"/>
    </w:rPr>
  </w:style>
  <w:style w:type="paragraph" w:customStyle="1" w:styleId="396">
    <w:name w:val="样式 样式 正文（首行缩进两字） + 宋体 小四 首行缩进:  0 厘米 段前: 11.15 磅 段后: 11.15 磅 + 左...1"/>
    <w:basedOn w:val="1"/>
    <w:qFormat/>
    <w:uiPriority w:val="0"/>
    <w:pPr>
      <w:tabs>
        <w:tab w:val="left" w:pos="425"/>
        <w:tab w:val="left" w:pos="720"/>
      </w:tabs>
      <w:snapToGrid w:val="0"/>
      <w:spacing w:before="223" w:after="223"/>
      <w:ind w:left="200" w:leftChars="200" w:firstLine="200" w:firstLineChars="200"/>
      <w:jc w:val="left"/>
    </w:pPr>
    <w:rPr>
      <w:rFonts w:ascii="宋体" w:hAnsi="宋体"/>
      <w:color w:val="7030A0"/>
      <w:sz w:val="24"/>
      <w:szCs w:val="20"/>
    </w:rPr>
  </w:style>
  <w:style w:type="paragraph" w:customStyle="1" w:styleId="397">
    <w:name w:val="Char Char Char Char Char Char Char Char1"/>
    <w:basedOn w:val="1"/>
    <w:qFormat/>
    <w:uiPriority w:val="0"/>
    <w:pPr>
      <w:ind w:firstLine="200" w:firstLineChars="200"/>
      <w:jc w:val="left"/>
    </w:pPr>
    <w:rPr>
      <w:rFonts w:ascii="Tahoma" w:hAnsi="Tahoma"/>
      <w:color w:val="7030A0"/>
      <w:sz w:val="24"/>
      <w:szCs w:val="20"/>
    </w:rPr>
  </w:style>
  <w:style w:type="paragraph" w:customStyle="1" w:styleId="398">
    <w:name w:val="三级条标题"/>
    <w:basedOn w:val="399"/>
    <w:next w:val="1"/>
    <w:qFormat/>
    <w:uiPriority w:val="0"/>
    <w:pPr>
      <w:tabs>
        <w:tab w:val="left" w:pos="425"/>
      </w:tabs>
      <w:outlineLvl w:val="4"/>
    </w:pPr>
  </w:style>
  <w:style w:type="paragraph" w:customStyle="1" w:styleId="399">
    <w:name w:val="二级条标题"/>
    <w:basedOn w:val="395"/>
    <w:next w:val="1"/>
    <w:qFormat/>
    <w:uiPriority w:val="0"/>
    <w:pPr>
      <w:tabs>
        <w:tab w:val="clear" w:pos="525"/>
      </w:tabs>
      <w:ind w:firstLine="0" w:firstLineChars="0"/>
      <w:outlineLvl w:val="3"/>
    </w:pPr>
  </w:style>
  <w:style w:type="paragraph" w:customStyle="1" w:styleId="400">
    <w:name w:val="样式 宋体 小四 左 图案: 清除 (白色) 行距: 1.5 倍行距"/>
    <w:basedOn w:val="1"/>
    <w:qFormat/>
    <w:uiPriority w:val="0"/>
    <w:pPr>
      <w:tabs>
        <w:tab w:val="left" w:pos="840"/>
      </w:tabs>
      <w:spacing w:beforeLines="50" w:afterLines="50"/>
      <w:ind w:firstLine="200" w:firstLineChars="200"/>
      <w:jc w:val="left"/>
    </w:pPr>
    <w:rPr>
      <w:rFonts w:ascii="宋体" w:hAnsi="宋体"/>
      <w:color w:val="7030A0"/>
      <w:sz w:val="24"/>
      <w:szCs w:val="20"/>
      <w:shd w:val="clear" w:color="auto" w:fill="FFFFFF"/>
    </w:rPr>
  </w:style>
  <w:style w:type="paragraph" w:customStyle="1" w:styleId="401">
    <w:name w:val="四级条标题"/>
    <w:basedOn w:val="398"/>
    <w:next w:val="1"/>
    <w:qFormat/>
    <w:uiPriority w:val="0"/>
    <w:pPr>
      <w:outlineLvl w:val="5"/>
    </w:pPr>
  </w:style>
  <w:style w:type="paragraph" w:customStyle="1" w:styleId="402">
    <w:name w:val="六级标题格式"/>
    <w:basedOn w:val="1"/>
    <w:qFormat/>
    <w:uiPriority w:val="0"/>
    <w:pPr>
      <w:spacing w:afterLines="50" w:line="336" w:lineRule="auto"/>
      <w:ind w:firstLine="200" w:firstLineChars="200"/>
      <w:jc w:val="left"/>
      <w:outlineLvl w:val="5"/>
    </w:pPr>
    <w:rPr>
      <w:color w:val="7030A0"/>
      <w:sz w:val="24"/>
    </w:rPr>
  </w:style>
  <w:style w:type="paragraph" w:customStyle="1" w:styleId="403">
    <w:name w:val="附图 BJ15"/>
    <w:basedOn w:val="1"/>
    <w:qFormat/>
    <w:uiPriority w:val="0"/>
    <w:pPr>
      <w:adjustRightInd w:val="0"/>
      <w:snapToGrid w:val="0"/>
      <w:ind w:firstLine="200" w:firstLineChars="200"/>
      <w:jc w:val="center"/>
    </w:pPr>
    <w:rPr>
      <w:rFonts w:hAnsi="Arial"/>
      <w:color w:val="7030A0"/>
      <w:kern w:val="0"/>
    </w:rPr>
  </w:style>
  <w:style w:type="paragraph" w:customStyle="1" w:styleId="404">
    <w:name w:val="正文文本缩进 31"/>
    <w:basedOn w:val="1"/>
    <w:qFormat/>
    <w:uiPriority w:val="0"/>
    <w:pPr>
      <w:autoSpaceDE w:val="0"/>
      <w:autoSpaceDN w:val="0"/>
      <w:adjustRightInd w:val="0"/>
      <w:ind w:firstLine="525" w:firstLineChars="200"/>
      <w:jc w:val="left"/>
      <w:textAlignment w:val="baseline"/>
    </w:pPr>
    <w:rPr>
      <w:color w:val="7030A0"/>
      <w:sz w:val="24"/>
      <w:szCs w:val="20"/>
    </w:rPr>
  </w:style>
  <w:style w:type="paragraph" w:customStyle="1" w:styleId="405">
    <w:name w:val="TOC 标题1"/>
    <w:basedOn w:val="2"/>
    <w:next w:val="1"/>
    <w:qFormat/>
    <w:uiPriority w:val="0"/>
    <w:pPr>
      <w:widowControl/>
      <w:spacing w:before="480" w:after="0" w:line="276" w:lineRule="auto"/>
      <w:ind w:left="0" w:firstLine="0"/>
      <w:jc w:val="left"/>
      <w:outlineLvl w:val="9"/>
    </w:pPr>
    <w:rPr>
      <w:rFonts w:ascii="Cambria" w:hAnsi="Cambria"/>
      <w:color w:val="365F91"/>
      <w:kern w:val="0"/>
      <w:sz w:val="30"/>
      <w:szCs w:val="28"/>
    </w:rPr>
  </w:style>
  <w:style w:type="paragraph" w:customStyle="1" w:styleId="406">
    <w:name w:val="Report Level 2"/>
    <w:basedOn w:val="296"/>
    <w:next w:val="297"/>
    <w:qFormat/>
    <w:uiPriority w:val="0"/>
    <w:pPr>
      <w:tabs>
        <w:tab w:val="left" w:pos="1500"/>
        <w:tab w:val="clear" w:pos="1080"/>
      </w:tabs>
      <w:ind w:left="1500"/>
      <w:outlineLvl w:val="1"/>
    </w:pPr>
    <w:rPr>
      <w:caps w:val="0"/>
    </w:rPr>
  </w:style>
  <w:style w:type="paragraph" w:customStyle="1" w:styleId="407">
    <w:name w:val="Report Level 3"/>
    <w:basedOn w:val="296"/>
    <w:next w:val="297"/>
    <w:qFormat/>
    <w:uiPriority w:val="0"/>
    <w:pPr>
      <w:tabs>
        <w:tab w:val="left" w:pos="1889"/>
        <w:tab w:val="clear" w:pos="1080"/>
      </w:tabs>
      <w:spacing w:before="120"/>
      <w:ind w:left="1889" w:hanging="420"/>
      <w:outlineLvl w:val="2"/>
    </w:pPr>
    <w:rPr>
      <w:caps w:val="0"/>
      <w:sz w:val="20"/>
    </w:rPr>
  </w:style>
  <w:style w:type="paragraph" w:customStyle="1" w:styleId="408">
    <w:name w:val="Report Level 4"/>
    <w:basedOn w:val="407"/>
    <w:next w:val="297"/>
    <w:qFormat/>
    <w:uiPriority w:val="0"/>
    <w:pPr>
      <w:tabs>
        <w:tab w:val="left" w:pos="720"/>
        <w:tab w:val="left" w:pos="2309"/>
        <w:tab w:val="clear" w:pos="1889"/>
      </w:tabs>
      <w:ind w:left="720" w:hanging="720"/>
      <w:outlineLvl w:val="3"/>
    </w:pPr>
    <w:rPr>
      <w:rFonts w:ascii="Times New Roman" w:hAnsi="Times New Roman"/>
    </w:rPr>
  </w:style>
  <w:style w:type="paragraph" w:customStyle="1" w:styleId="409">
    <w:name w:val="样式3"/>
    <w:basedOn w:val="4"/>
    <w:next w:val="1"/>
    <w:qFormat/>
    <w:uiPriority w:val="0"/>
    <w:pPr>
      <w:tabs>
        <w:tab w:val="left" w:pos="709"/>
      </w:tabs>
      <w:spacing w:before="0" w:after="0" w:line="240" w:lineRule="auto"/>
      <w:ind w:left="709" w:hanging="709"/>
      <w:jc w:val="left"/>
    </w:pPr>
    <w:rPr>
      <w:rFonts w:ascii="Tahoma" w:hAnsi="Tahoma"/>
      <w:b w:val="0"/>
      <w:bCs w:val="0"/>
      <w:sz w:val="28"/>
      <w:szCs w:val="20"/>
    </w:rPr>
  </w:style>
  <w:style w:type="paragraph" w:customStyle="1" w:styleId="410">
    <w:name w:val="小标4"/>
    <w:basedOn w:val="1"/>
    <w:next w:val="1"/>
    <w:qFormat/>
    <w:uiPriority w:val="0"/>
    <w:pPr>
      <w:tabs>
        <w:tab w:val="left" w:pos="900"/>
      </w:tabs>
      <w:spacing w:line="400" w:lineRule="exact"/>
      <w:ind w:left="900" w:firstLine="200" w:firstLineChars="200"/>
      <w:jc w:val="left"/>
    </w:pPr>
    <w:rPr>
      <w:rFonts w:ascii="宋体"/>
      <w:color w:val="7030A0"/>
      <w:sz w:val="24"/>
    </w:rPr>
  </w:style>
  <w:style w:type="paragraph" w:customStyle="1" w:styleId="411">
    <w:name w:val="样式 标题2 1.1 + 段前: 0 磅 段后: 0 磅"/>
    <w:basedOn w:val="1"/>
    <w:qFormat/>
    <w:uiPriority w:val="0"/>
    <w:pPr>
      <w:keepNext/>
      <w:tabs>
        <w:tab w:val="left" w:pos="567"/>
      </w:tabs>
      <w:spacing w:line="480" w:lineRule="atLeast"/>
      <w:ind w:left="567" w:hanging="567" w:firstLineChars="200"/>
      <w:jc w:val="left"/>
      <w:outlineLvl w:val="1"/>
    </w:pPr>
    <w:rPr>
      <w:color w:val="7030A0"/>
      <w:sz w:val="28"/>
      <w:szCs w:val="20"/>
    </w:rPr>
  </w:style>
  <w:style w:type="paragraph" w:customStyle="1" w:styleId="412">
    <w:name w:val="表格文字格式"/>
    <w:basedOn w:val="1"/>
    <w:qFormat/>
    <w:uiPriority w:val="0"/>
    <w:pPr>
      <w:snapToGrid w:val="0"/>
      <w:jc w:val="center"/>
    </w:pPr>
    <w:rPr>
      <w:rFonts w:cs="宋体"/>
      <w:szCs w:val="20"/>
    </w:rPr>
  </w:style>
  <w:style w:type="paragraph" w:customStyle="1" w:styleId="413">
    <w:name w:val="正文文本 22"/>
    <w:basedOn w:val="1"/>
    <w:qFormat/>
    <w:uiPriority w:val="0"/>
    <w:pPr>
      <w:autoSpaceDE w:val="0"/>
      <w:autoSpaceDN w:val="0"/>
      <w:adjustRightInd w:val="0"/>
      <w:ind w:left="525" w:firstLine="525" w:firstLineChars="200"/>
      <w:jc w:val="left"/>
      <w:textAlignment w:val="baseline"/>
    </w:pPr>
    <w:rPr>
      <w:color w:val="7030A0"/>
      <w:szCs w:val="20"/>
    </w:rPr>
  </w:style>
  <w:style w:type="paragraph" w:customStyle="1" w:styleId="414">
    <w:name w:val="样式 宋体 小四 首行缩进:  0.93 厘米 段前: 11.15 磅 段后: 11.15 磅1 Char"/>
    <w:basedOn w:val="1"/>
    <w:qFormat/>
    <w:uiPriority w:val="0"/>
    <w:pPr>
      <w:adjustRightInd w:val="0"/>
      <w:snapToGrid w:val="0"/>
      <w:ind w:left="200" w:leftChars="200" w:firstLine="200" w:firstLineChars="200"/>
      <w:jc w:val="left"/>
    </w:pPr>
    <w:rPr>
      <w:rFonts w:ascii="宋体"/>
      <w:color w:val="7030A0"/>
      <w:sz w:val="24"/>
      <w:szCs w:val="20"/>
    </w:rPr>
  </w:style>
  <w:style w:type="paragraph" w:customStyle="1" w:styleId="415">
    <w:name w:val="五级条标题"/>
    <w:basedOn w:val="401"/>
    <w:next w:val="1"/>
    <w:qFormat/>
    <w:uiPriority w:val="0"/>
    <w:pPr>
      <w:outlineLvl w:val="6"/>
    </w:pPr>
  </w:style>
  <w:style w:type="paragraph" w:customStyle="1" w:styleId="416">
    <w:name w:val="文档结构图1"/>
    <w:basedOn w:val="1"/>
    <w:qFormat/>
    <w:uiPriority w:val="0"/>
    <w:pPr>
      <w:shd w:val="clear" w:color="auto" w:fill="000080"/>
      <w:autoSpaceDE w:val="0"/>
      <w:autoSpaceDN w:val="0"/>
      <w:adjustRightInd w:val="0"/>
      <w:ind w:firstLine="200" w:firstLineChars="200"/>
      <w:jc w:val="left"/>
      <w:textAlignment w:val="baseline"/>
    </w:pPr>
    <w:rPr>
      <w:color w:val="7030A0"/>
      <w:szCs w:val="20"/>
    </w:rPr>
  </w:style>
  <w:style w:type="paragraph" w:customStyle="1" w:styleId="417">
    <w:name w:val="註解方塊文字2"/>
    <w:basedOn w:val="1"/>
    <w:semiHidden/>
    <w:qFormat/>
    <w:uiPriority w:val="0"/>
    <w:rPr>
      <w:rFonts w:ascii="Arial" w:hAnsi="Arial" w:eastAsia="PMingLiU"/>
      <w:color w:val="7030A0"/>
      <w:sz w:val="18"/>
      <w:szCs w:val="18"/>
    </w:rPr>
  </w:style>
  <w:style w:type="paragraph" w:customStyle="1" w:styleId="418">
    <w:name w:val="正文文本缩进 22"/>
    <w:basedOn w:val="1"/>
    <w:qFormat/>
    <w:uiPriority w:val="0"/>
    <w:pPr>
      <w:autoSpaceDE w:val="0"/>
      <w:autoSpaceDN w:val="0"/>
      <w:adjustRightInd w:val="0"/>
      <w:ind w:firstLine="420" w:firstLineChars="200"/>
      <w:jc w:val="left"/>
      <w:textAlignment w:val="baseline"/>
    </w:pPr>
    <w:rPr>
      <w:color w:val="7030A0"/>
      <w:szCs w:val="20"/>
    </w:rPr>
  </w:style>
  <w:style w:type="paragraph" w:customStyle="1" w:styleId="419">
    <w:name w:val="纯文本2"/>
    <w:basedOn w:val="1"/>
    <w:qFormat/>
    <w:uiPriority w:val="0"/>
    <w:pPr>
      <w:adjustRightInd w:val="0"/>
      <w:spacing w:line="312" w:lineRule="atLeast"/>
      <w:ind w:firstLine="200" w:firstLineChars="200"/>
      <w:jc w:val="left"/>
      <w:textAlignment w:val="baseline"/>
    </w:pPr>
    <w:rPr>
      <w:rFonts w:ascii="宋体" w:hAnsi="Courier New"/>
      <w:color w:val="7030A0"/>
      <w:kern w:val="0"/>
      <w:sz w:val="28"/>
      <w:szCs w:val="20"/>
    </w:rPr>
  </w:style>
  <w:style w:type="paragraph" w:customStyle="1" w:styleId="420">
    <w:name w:val="三级标题格式"/>
    <w:basedOn w:val="4"/>
    <w:qFormat/>
    <w:uiPriority w:val="0"/>
    <w:pPr>
      <w:keepNext w:val="0"/>
      <w:keepLines w:val="0"/>
      <w:spacing w:before="0" w:afterLines="100" w:line="240" w:lineRule="auto"/>
      <w:jc w:val="left"/>
    </w:pPr>
    <w:rPr>
      <w:rFonts w:eastAsia="黑体"/>
      <w:b w:val="0"/>
      <w:sz w:val="28"/>
      <w:szCs w:val="28"/>
    </w:rPr>
  </w:style>
  <w:style w:type="table" w:customStyle="1" w:styleId="421">
    <w:name w:val="样式-表格"/>
    <w:basedOn w:val="87"/>
    <w:qFormat/>
    <w:uiPriority w:val="0"/>
    <w:rPr>
      <w:sz w:val="21"/>
    </w:rPr>
    <w:tblPr>
      <w:jc w:val="center"/>
      <w:tblLayout w:type="fixed"/>
      <w:tblCellMar>
        <w:top w:w="0" w:type="dxa"/>
        <w:left w:w="108" w:type="dxa"/>
        <w:bottom w:w="0" w:type="dxa"/>
        <w:right w:w="108" w:type="dxa"/>
      </w:tblCellMar>
    </w:tblPr>
    <w:trPr>
      <w:jc w:val="center"/>
    </w:trPr>
    <w:tcPr>
      <w:vAlign w:val="center"/>
    </w:tcPr>
  </w:style>
  <w:style w:type="character" w:customStyle="1" w:styleId="422">
    <w:name w:val="正文缩进 Char Char"/>
    <w:link w:val="423"/>
    <w:qFormat/>
    <w:uiPriority w:val="0"/>
    <w:rPr>
      <w:kern w:val="2"/>
      <w:sz w:val="21"/>
      <w:szCs w:val="24"/>
    </w:rPr>
  </w:style>
  <w:style w:type="paragraph" w:customStyle="1" w:styleId="423">
    <w:name w:val="正文缩进1"/>
    <w:basedOn w:val="1"/>
    <w:link w:val="422"/>
    <w:qFormat/>
    <w:uiPriority w:val="0"/>
    <w:pPr>
      <w:spacing w:line="360" w:lineRule="auto"/>
      <w:ind w:firstLine="420"/>
    </w:pPr>
  </w:style>
  <w:style w:type="paragraph" w:customStyle="1" w:styleId="424">
    <w:name w:val="图文"/>
    <w:basedOn w:val="1"/>
    <w:qFormat/>
    <w:uiPriority w:val="0"/>
    <w:pPr>
      <w:adjustRightInd w:val="0"/>
      <w:snapToGrid w:val="0"/>
      <w:spacing w:after="50" w:line="360" w:lineRule="auto"/>
    </w:pPr>
    <w:rPr>
      <w:sz w:val="24"/>
    </w:rPr>
  </w:style>
  <w:style w:type="paragraph" w:styleId="425">
    <w:name w:val="List Paragraph"/>
    <w:basedOn w:val="1"/>
    <w:unhideWhenUsed/>
    <w:qFormat/>
    <w:uiPriority w:val="34"/>
    <w:pPr>
      <w:ind w:firstLine="420" w:firstLineChars="200"/>
    </w:pPr>
  </w:style>
  <w:style w:type="character" w:customStyle="1" w:styleId="426">
    <w:name w:val="Char Char"/>
    <w:basedOn w:val="73"/>
    <w:qFormat/>
    <w:uiPriority w:val="0"/>
    <w:rPr>
      <w:rFonts w:ascii="Arial" w:hAnsi="Arial" w:eastAsia="黑体"/>
      <w:b/>
      <w:bCs/>
      <w:kern w:val="2"/>
      <w:sz w:val="32"/>
      <w:szCs w:val="32"/>
      <w:lang w:val="en-US" w:eastAsia="zh-CN" w:bidi="ar-SA"/>
    </w:rPr>
  </w:style>
  <w:style w:type="character" w:customStyle="1" w:styleId="427">
    <w:name w:val="font161"/>
    <w:basedOn w:val="73"/>
    <w:qFormat/>
    <w:uiPriority w:val="0"/>
    <w:rPr>
      <w:b/>
      <w:bCs/>
      <w:sz w:val="32"/>
      <w:szCs w:val="32"/>
    </w:rPr>
  </w:style>
  <w:style w:type="character" w:customStyle="1" w:styleId="428">
    <w:name w:val="Char Char7"/>
    <w:basedOn w:val="73"/>
    <w:qFormat/>
    <w:uiPriority w:val="0"/>
    <w:rPr>
      <w:rFonts w:ascii="Arial" w:hAnsi="Arial" w:eastAsia="黑体"/>
      <w:b/>
      <w:bCs/>
      <w:kern w:val="2"/>
      <w:sz w:val="32"/>
      <w:szCs w:val="32"/>
      <w:lang w:val="en-US" w:eastAsia="zh-CN" w:bidi="ar-SA"/>
    </w:rPr>
  </w:style>
  <w:style w:type="paragraph" w:customStyle="1" w:styleId="42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30">
    <w:name w:val="样式 标题 1 + 黑体 三号 非加粗 居中 段前: 6 磅 段后: 6 磅 行距: 固定值 20 磅"/>
    <w:basedOn w:val="2"/>
    <w:qFormat/>
    <w:uiPriority w:val="0"/>
    <w:pPr>
      <w:tabs>
        <w:tab w:val="clear" w:pos="1440"/>
      </w:tabs>
      <w:spacing w:before="120" w:after="120" w:line="400" w:lineRule="exact"/>
      <w:ind w:left="0" w:firstLine="0"/>
      <w:jc w:val="center"/>
    </w:pPr>
    <w:rPr>
      <w:rFonts w:ascii="黑体" w:hAnsi="黑体" w:eastAsia="黑体" w:cs="宋体"/>
      <w:b w:val="0"/>
      <w:bCs w:val="0"/>
      <w:sz w:val="32"/>
      <w:szCs w:val="20"/>
    </w:rPr>
  </w:style>
  <w:style w:type="paragraph" w:customStyle="1" w:styleId="431">
    <w:name w:val="样式 标题 3 + (中文) 黑体 小四 非加粗 段前: 7.8 磅 段后: 0 磅 行距: 固定值 20 磅"/>
    <w:basedOn w:val="4"/>
    <w:link w:val="433"/>
    <w:qFormat/>
    <w:uiPriority w:val="0"/>
    <w:pPr>
      <w:spacing w:before="0" w:after="0" w:line="400" w:lineRule="exact"/>
    </w:pPr>
    <w:rPr>
      <w:rFonts w:eastAsia="黑体" w:cs="宋体"/>
      <w:b w:val="0"/>
      <w:bCs w:val="0"/>
      <w:sz w:val="24"/>
      <w:szCs w:val="20"/>
    </w:rPr>
  </w:style>
  <w:style w:type="paragraph" w:customStyle="1" w:styleId="432">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character" w:customStyle="1" w:styleId="433">
    <w:name w:val="样式 标题 3 + (中文) 黑体 小四 非加粗 段前: 7.8 磅 段后: 0 磅 行距: 固定值 20 磅 Char Char"/>
    <w:link w:val="431"/>
    <w:qFormat/>
    <w:uiPriority w:val="0"/>
    <w:rPr>
      <w:rFonts w:eastAsia="黑体" w:cs="宋体"/>
      <w:kern w:val="2"/>
      <w:sz w:val="24"/>
    </w:rPr>
  </w:style>
  <w:style w:type="paragraph" w:customStyle="1" w:styleId="434">
    <w:name w:val="WPSOffice手动目录 1"/>
    <w:qFormat/>
    <w:uiPriority w:val="0"/>
    <w:rPr>
      <w:rFonts w:ascii="Calibri" w:hAnsi="Calibri" w:eastAsia="宋体" w:cs="Times New Roman"/>
      <w:lang w:val="en-US" w:eastAsia="zh-CN" w:bidi="ar-SA"/>
    </w:rPr>
  </w:style>
  <w:style w:type="paragraph" w:customStyle="1" w:styleId="435">
    <w:name w:val="WPSOffice手动目录 2"/>
    <w:qFormat/>
    <w:uiPriority w:val="0"/>
    <w:pPr>
      <w:ind w:left="200" w:leftChars="200"/>
    </w:pPr>
    <w:rPr>
      <w:rFonts w:ascii="Calibri" w:hAnsi="Calibri" w:eastAsia="宋体" w:cs="Times New Roman"/>
      <w:lang w:val="en-US" w:eastAsia="zh-CN" w:bidi="ar-SA"/>
    </w:rPr>
  </w:style>
  <w:style w:type="character" w:customStyle="1" w:styleId="436">
    <w:name w:val="del2"/>
    <w:basedOn w:val="73"/>
    <w:qFormat/>
    <w:uiPriority w:val="0"/>
  </w:style>
  <w:style w:type="character" w:customStyle="1" w:styleId="437">
    <w:name w:val="morewin"/>
    <w:basedOn w:val="73"/>
    <w:qFormat/>
    <w:uiPriority w:val="0"/>
  </w:style>
  <w:style w:type="character" w:customStyle="1" w:styleId="438">
    <w:name w:val="label"/>
    <w:basedOn w:val="73"/>
    <w:qFormat/>
    <w:uiPriority w:val="0"/>
  </w:style>
  <w:style w:type="character" w:customStyle="1" w:styleId="439">
    <w:name w:val="error"/>
    <w:basedOn w:val="73"/>
    <w:qFormat/>
    <w:uiPriority w:val="0"/>
    <w:rPr>
      <w:color w:val="CC0000"/>
    </w:rPr>
  </w:style>
  <w:style w:type="character" w:customStyle="1" w:styleId="440">
    <w:name w:val="open"/>
    <w:basedOn w:val="73"/>
    <w:qFormat/>
    <w:uiPriority w:val="0"/>
  </w:style>
  <w:style w:type="character" w:customStyle="1" w:styleId="441">
    <w:name w:val="mod"/>
    <w:basedOn w:val="73"/>
    <w:qFormat/>
    <w:uiPriority w:val="0"/>
  </w:style>
  <w:style w:type="character" w:customStyle="1" w:styleId="442">
    <w:name w:val="add"/>
    <w:basedOn w:val="73"/>
    <w:qFormat/>
    <w:uiPriority w:val="0"/>
  </w:style>
  <w:style w:type="character" w:customStyle="1" w:styleId="443">
    <w:name w:val="refresh"/>
    <w:basedOn w:val="73"/>
    <w:qFormat/>
    <w:uiPriority w:val="0"/>
  </w:style>
  <w:style w:type="character" w:customStyle="1" w:styleId="444">
    <w:name w:val="pagebanner"/>
    <w:basedOn w:val="73"/>
    <w:qFormat/>
    <w:uiPriority w:val="0"/>
  </w:style>
  <w:style w:type="character" w:customStyle="1" w:styleId="445">
    <w:name w:val="pagelinks"/>
    <w:basedOn w:val="7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7362B6-62D3-41CF-9211-46769EBC2BF8}">
  <ds:schemaRefs/>
</ds:datastoreItem>
</file>

<file path=docProps/app.xml><?xml version="1.0" encoding="utf-8"?>
<Properties xmlns="http://schemas.openxmlformats.org/officeDocument/2006/extended-properties" xmlns:vt="http://schemas.openxmlformats.org/officeDocument/2006/docPropsVTypes">
  <Template>Normal</Template>
  <Company>zzz</Company>
  <Pages>84</Pages>
  <Words>7135</Words>
  <Characters>40675</Characters>
  <Lines>338</Lines>
  <Paragraphs>95</Paragraphs>
  <TotalTime>4</TotalTime>
  <ScaleCrop>false</ScaleCrop>
  <LinksUpToDate>false</LinksUpToDate>
  <CharactersWithSpaces>47715</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2018-11-02T02:37:00Z</dcterms:created>
  <dc:creator>wmq</dc:creator>
  <cp:lastModifiedBy>Administrator</cp:lastModifiedBy>
  <cp:lastPrinted>2018-03-16T01:37:00Z</cp:lastPrinted>
  <dcterms:modified xsi:type="dcterms:W3CDTF">2018-12-03T03:05:09Z</dcterms:modified>
  <dc:title>适用一般货物采购/非建筑设备货物采购含安装等伴随服务</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