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sz w:val="36"/>
        </w:rPr>
      </w:pPr>
      <w:r>
        <w:rPr>
          <w:rFonts w:ascii="华文中宋" w:hAnsi="华文中宋" w:eastAsia="华文中宋"/>
          <w:sz w:val="36"/>
        </w:rPr>
        <w:drawing>
          <wp:inline distT="0" distB="0" distL="0" distR="0">
            <wp:extent cx="685800" cy="542925"/>
            <wp:effectExtent l="19050" t="0" r="0" b="0"/>
            <wp:docPr id="1" name="图片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con"/>
                    <pic:cNvPicPr>
                      <a:picLocks noChangeAspect="1" noChangeArrowheads="1"/>
                    </pic:cNvPicPr>
                  </pic:nvPicPr>
                  <pic:blipFill>
                    <a:blip r:embed="rId6" cstate="print"/>
                    <a:srcRect/>
                    <a:stretch>
                      <a:fillRect/>
                    </a:stretch>
                  </pic:blipFill>
                  <pic:spPr>
                    <a:xfrm>
                      <a:off x="0" y="0"/>
                      <a:ext cx="685800" cy="542925"/>
                    </a:xfrm>
                    <a:prstGeom prst="rect">
                      <a:avLst/>
                    </a:prstGeom>
                    <a:noFill/>
                    <a:ln w="9525" cmpd="sng">
                      <a:noFill/>
                      <a:miter lim="800000"/>
                      <a:headEnd/>
                      <a:tailEnd/>
                    </a:ln>
                  </pic:spPr>
                </pic:pic>
              </a:graphicData>
            </a:graphic>
          </wp:inline>
        </w:drawing>
      </w:r>
    </w:p>
    <w:p>
      <w:pPr>
        <w:pStyle w:val="22"/>
        <w:ind w:firstLine="0" w:firstLineChars="0"/>
        <w:jc w:val="left"/>
        <w:rPr>
          <w:rFonts w:ascii="黑体"/>
          <w:b w:val="0"/>
          <w:color w:val="auto"/>
          <w:sz w:val="52"/>
        </w:rPr>
      </w:pPr>
      <w:r>
        <w:rPr>
          <w:color w:val="auto"/>
        </w:rPr>
        <w:t>GXTC</w:t>
      </w:r>
    </w:p>
    <w:p>
      <w:pPr>
        <w:jc w:val="center"/>
        <w:rPr>
          <w:rFonts w:eastAsia="黑体"/>
          <w:b/>
          <w:bCs/>
          <w:sz w:val="84"/>
        </w:rPr>
      </w:pPr>
    </w:p>
    <w:p>
      <w:pPr>
        <w:jc w:val="center"/>
        <w:rPr>
          <w:rFonts w:eastAsia="黑体"/>
          <w:b/>
          <w:bCs/>
          <w:sz w:val="48"/>
          <w:szCs w:val="48"/>
        </w:rPr>
      </w:pPr>
    </w:p>
    <w:p>
      <w:pPr>
        <w:jc w:val="center"/>
        <w:rPr>
          <w:rFonts w:eastAsia="黑体"/>
          <w:b/>
          <w:bCs/>
          <w:sz w:val="48"/>
          <w:szCs w:val="48"/>
        </w:rPr>
      </w:pPr>
      <w:r>
        <w:rPr>
          <w:rFonts w:eastAsia="黑体"/>
          <w:b/>
          <w:bCs/>
          <w:sz w:val="48"/>
          <w:szCs w:val="48"/>
        </w:rPr>
        <w:t>政府采购竞争性谈判</w:t>
      </w:r>
    </w:p>
    <w:p>
      <w:pPr>
        <w:jc w:val="center"/>
        <w:rPr>
          <w:rFonts w:eastAsia="黑体"/>
          <w:b/>
          <w:bCs/>
          <w:sz w:val="48"/>
          <w:szCs w:val="48"/>
        </w:rPr>
      </w:pPr>
    </w:p>
    <w:p>
      <w:pPr>
        <w:jc w:val="center"/>
        <w:rPr>
          <w:rFonts w:eastAsia="黑体"/>
          <w:b/>
          <w:bCs/>
          <w:sz w:val="84"/>
        </w:rPr>
      </w:pPr>
      <w:r>
        <w:rPr>
          <w:rFonts w:hint="eastAsia" w:eastAsia="黑体"/>
          <w:b/>
          <w:bCs/>
          <w:sz w:val="84"/>
        </w:rPr>
        <w:t>谈 判 文 件</w:t>
      </w:r>
    </w:p>
    <w:p>
      <w:pPr>
        <w:adjustRightInd w:val="0"/>
        <w:jc w:val="center"/>
        <w:textAlignment w:val="baseline"/>
        <w:rPr>
          <w:b/>
          <w:bCs/>
          <w:sz w:val="36"/>
        </w:rPr>
      </w:pPr>
    </w:p>
    <w:p>
      <w:pPr>
        <w:adjustRightInd w:val="0"/>
        <w:ind w:firstLine="1084" w:firstLineChars="300"/>
        <w:jc w:val="left"/>
        <w:textAlignment w:val="baseline"/>
        <w:rPr>
          <w:b/>
          <w:bCs/>
          <w:sz w:val="36"/>
        </w:rPr>
      </w:pPr>
    </w:p>
    <w:p>
      <w:pPr>
        <w:adjustRightInd w:val="0"/>
        <w:jc w:val="center"/>
        <w:textAlignment w:val="baseline"/>
        <w:rPr>
          <w:b/>
          <w:bCs/>
          <w:sz w:val="32"/>
          <w:szCs w:val="32"/>
        </w:rPr>
      </w:pPr>
      <w:r>
        <w:rPr>
          <w:rFonts w:hint="eastAsia"/>
          <w:b/>
          <w:bCs/>
          <w:sz w:val="32"/>
          <w:szCs w:val="32"/>
        </w:rPr>
        <w:t>项目编号：GXTC-CZ-1885004</w:t>
      </w:r>
    </w:p>
    <w:p>
      <w:pPr>
        <w:adjustRightInd w:val="0"/>
        <w:jc w:val="center"/>
        <w:textAlignment w:val="baseline"/>
        <w:rPr>
          <w:b/>
          <w:bCs/>
          <w:sz w:val="32"/>
          <w:szCs w:val="32"/>
          <w:lang w:val="zh-CN"/>
        </w:rPr>
      </w:pPr>
      <w:r>
        <w:rPr>
          <w:rFonts w:hint="eastAsia"/>
          <w:b/>
          <w:bCs/>
          <w:sz w:val="32"/>
          <w:szCs w:val="32"/>
        </w:rPr>
        <w:t>项目名称：文昌市潭牛镇大庙村农村生活污水治理项目</w:t>
      </w:r>
    </w:p>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p>
    <w:tbl>
      <w:tblPr>
        <w:tblStyle w:val="88"/>
        <w:tblW w:w="74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Pr>
          <w:p>
            <w:pPr>
              <w:autoSpaceDE w:val="0"/>
              <w:autoSpaceDN w:val="0"/>
              <w:adjustRightInd w:val="0"/>
              <w:snapToGrid w:val="0"/>
              <w:spacing w:afterLines="50"/>
              <w:jc w:val="center"/>
              <w:rPr>
                <w:rFonts w:ascii="宋体" w:hAnsi="宋体" w:cs="黑体"/>
                <w:kern w:val="0"/>
                <w:sz w:val="32"/>
                <w:szCs w:val="32"/>
              </w:rPr>
            </w:pPr>
            <w:r>
              <w:rPr>
                <w:rFonts w:hint="eastAsia" w:ascii="宋体" w:hAnsi="宋体" w:cs="黑体"/>
                <w:kern w:val="0"/>
                <w:sz w:val="32"/>
                <w:szCs w:val="32"/>
              </w:rPr>
              <w:t>采   购   人：</w:t>
            </w:r>
          </w:p>
        </w:tc>
        <w:tc>
          <w:tcPr>
            <w:tcW w:w="4814" w:type="dxa"/>
          </w:tcPr>
          <w:p>
            <w:pPr>
              <w:autoSpaceDE w:val="0"/>
              <w:autoSpaceDN w:val="0"/>
              <w:adjustRightInd w:val="0"/>
              <w:snapToGrid w:val="0"/>
              <w:spacing w:afterLines="50"/>
              <w:jc w:val="left"/>
              <w:rPr>
                <w:rFonts w:ascii="宋体" w:hAnsi="宋体" w:cs="黑体"/>
                <w:kern w:val="0"/>
                <w:sz w:val="32"/>
                <w:szCs w:val="32"/>
              </w:rPr>
            </w:pPr>
            <w:r>
              <w:rPr>
                <w:rFonts w:hint="eastAsia" w:ascii="宋体" w:hAnsi="宋体" w:cs="黑体"/>
                <w:kern w:val="0"/>
                <w:sz w:val="32"/>
                <w:szCs w:val="32"/>
              </w:rPr>
              <w:t>文昌市生态环境保护局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0" w:type="dxa"/>
          </w:tcPr>
          <w:p>
            <w:pPr>
              <w:autoSpaceDE w:val="0"/>
              <w:autoSpaceDN w:val="0"/>
              <w:adjustRightInd w:val="0"/>
              <w:snapToGrid w:val="0"/>
              <w:spacing w:afterLines="50"/>
              <w:jc w:val="center"/>
              <w:rPr>
                <w:rFonts w:ascii="宋体" w:hAnsi="宋体" w:cs="黑体"/>
                <w:kern w:val="0"/>
                <w:sz w:val="32"/>
                <w:szCs w:val="32"/>
              </w:rPr>
            </w:pPr>
            <w:r>
              <w:rPr>
                <w:rFonts w:hint="eastAsia" w:ascii="宋体" w:hAnsi="宋体" w:cs="黑体"/>
                <w:kern w:val="0"/>
                <w:sz w:val="32"/>
                <w:szCs w:val="32"/>
              </w:rPr>
              <w:t>采购代理机构：</w:t>
            </w:r>
          </w:p>
        </w:tc>
        <w:tc>
          <w:tcPr>
            <w:tcW w:w="4814" w:type="dxa"/>
          </w:tcPr>
          <w:p>
            <w:pPr>
              <w:autoSpaceDE w:val="0"/>
              <w:autoSpaceDN w:val="0"/>
              <w:adjustRightInd w:val="0"/>
              <w:snapToGrid w:val="0"/>
              <w:spacing w:afterLines="50"/>
              <w:jc w:val="left"/>
              <w:rPr>
                <w:rFonts w:ascii="宋体" w:hAnsi="宋体" w:cs="黑体"/>
                <w:kern w:val="0"/>
                <w:sz w:val="32"/>
                <w:szCs w:val="32"/>
              </w:rPr>
            </w:pPr>
            <w:r>
              <w:rPr>
                <w:rFonts w:hint="eastAsia" w:ascii="宋体" w:hAnsi="宋体" w:cs="黑体"/>
                <w:kern w:val="0"/>
                <w:sz w:val="32"/>
                <w:szCs w:val="32"/>
              </w:rPr>
              <w:t>国信招标集团股份有限公司</w:t>
            </w:r>
          </w:p>
        </w:tc>
      </w:tr>
    </w:tbl>
    <w:p>
      <w:pPr>
        <w:autoSpaceDE w:val="0"/>
        <w:autoSpaceDN w:val="0"/>
        <w:adjustRightInd w:val="0"/>
        <w:snapToGrid w:val="0"/>
        <w:spacing w:afterLines="50"/>
        <w:jc w:val="center"/>
        <w:rPr>
          <w:rFonts w:ascii="宋体" w:hAnsi="宋体" w:cs="黑体"/>
          <w:kern w:val="0"/>
          <w:sz w:val="32"/>
          <w:szCs w:val="32"/>
        </w:rPr>
      </w:pPr>
    </w:p>
    <w:p>
      <w:pPr>
        <w:autoSpaceDE w:val="0"/>
        <w:autoSpaceDN w:val="0"/>
        <w:adjustRightInd w:val="0"/>
        <w:snapToGrid w:val="0"/>
        <w:spacing w:afterLines="50"/>
        <w:jc w:val="center"/>
        <w:rPr>
          <w:rFonts w:ascii="宋体" w:hAnsi="宋体" w:cs="黑体"/>
          <w:kern w:val="0"/>
          <w:sz w:val="32"/>
          <w:szCs w:val="32"/>
        </w:rPr>
      </w:pPr>
      <w:r>
        <w:rPr>
          <w:rFonts w:hint="eastAsia" w:ascii="宋体" w:hAnsi="宋体" w:cs="黑体"/>
          <w:kern w:val="0"/>
          <w:sz w:val="32"/>
          <w:szCs w:val="32"/>
        </w:rPr>
        <w:t>2018年11月2</w:t>
      </w:r>
      <w:r>
        <w:rPr>
          <w:rFonts w:hint="eastAsia" w:ascii="宋体" w:hAnsi="宋体" w:cs="黑体"/>
          <w:kern w:val="0"/>
          <w:sz w:val="32"/>
          <w:szCs w:val="32"/>
          <w:lang w:val="en-US" w:eastAsia="zh-CN"/>
        </w:rPr>
        <w:t>7</w:t>
      </w:r>
      <w:r>
        <w:rPr>
          <w:rFonts w:hint="eastAsia" w:ascii="宋体" w:hAnsi="宋体" w:cs="黑体"/>
          <w:kern w:val="0"/>
          <w:sz w:val="32"/>
          <w:szCs w:val="32"/>
        </w:rPr>
        <w:t>日</w:t>
      </w:r>
    </w:p>
    <w:p>
      <w:pPr>
        <w:widowControl/>
        <w:jc w:val="left"/>
        <w:rPr>
          <w:b/>
          <w:bCs/>
          <w:sz w:val="52"/>
          <w:szCs w:val="52"/>
        </w:rPr>
      </w:pPr>
      <w:r>
        <w:rPr>
          <w:rFonts w:ascii="宋体" w:hAnsi="宋体" w:cs="黑体"/>
          <w:kern w:val="0"/>
          <w:sz w:val="32"/>
          <w:szCs w:val="32"/>
        </w:rPr>
        <w:br w:type="page"/>
      </w:r>
    </w:p>
    <w:sdt>
      <w:sdtPr>
        <w:rPr>
          <w:rFonts w:ascii="宋体" w:hAnsi="宋体"/>
          <w:b/>
          <w:bCs/>
          <w:sz w:val="52"/>
          <w:szCs w:val="52"/>
        </w:rPr>
        <w:id w:val="147472837"/>
        <w:docPartObj>
          <w:docPartGallery w:val="Table of Contents"/>
          <w:docPartUnique/>
        </w:docPartObj>
      </w:sdtPr>
      <w:sdtEndPr>
        <w:rPr>
          <w:rFonts w:ascii="宋体" w:hAnsi="宋体" w:cs="黑体"/>
          <w:b/>
          <w:bCs/>
          <w:kern w:val="0"/>
          <w:sz w:val="21"/>
          <w:szCs w:val="32"/>
        </w:rPr>
      </w:sdtEndPr>
      <w:sdtContent>
        <w:p>
          <w:pPr>
            <w:spacing w:before="0" w:beforeLines="0" w:after="0" w:afterLines="0" w:line="240" w:lineRule="auto"/>
            <w:ind w:left="0" w:leftChars="0" w:right="0" w:rightChars="0" w:firstLine="0" w:firstLineChars="0"/>
            <w:jc w:val="center"/>
          </w:pPr>
          <w:bookmarkStart w:id="0" w:name="_Toc12919"/>
          <w:bookmarkEnd w:id="0"/>
          <w:r>
            <w:rPr>
              <w:rFonts w:ascii="宋体" w:hAnsi="宋体" w:eastAsia="宋体"/>
              <w:b/>
              <w:bCs/>
              <w:sz w:val="52"/>
              <w:szCs w:val="52"/>
            </w:rPr>
            <w:t>目录</w:t>
          </w:r>
          <w:r>
            <w:rPr>
              <w:rFonts w:ascii="宋体" w:hAnsi="宋体" w:cs="黑体"/>
              <w:sz w:val="32"/>
              <w:szCs w:val="32"/>
            </w:rPr>
            <w:fldChar w:fldCharType="begin"/>
          </w:r>
          <w:r>
            <w:rPr>
              <w:rFonts w:ascii="宋体" w:hAnsi="宋体" w:cs="黑体"/>
              <w:sz w:val="32"/>
              <w:szCs w:val="32"/>
            </w:rPr>
            <w:instrText xml:space="preserve">TOC \o "1-3" \h \u </w:instrText>
          </w:r>
          <w:r>
            <w:rPr>
              <w:rFonts w:ascii="宋体" w:hAnsi="宋体" w:cs="黑体"/>
              <w:sz w:val="32"/>
              <w:szCs w:val="32"/>
            </w:rPr>
            <w:fldChar w:fldCharType="separate"/>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_Toc7980 </w:instrText>
          </w:r>
          <w:r>
            <w:rPr>
              <w:rFonts w:ascii="宋体" w:hAnsi="宋体" w:cs="黑体"/>
              <w:kern w:val="0"/>
              <w:sz w:val="24"/>
              <w:szCs w:val="24"/>
            </w:rPr>
            <w:fldChar w:fldCharType="separate"/>
          </w:r>
          <w:r>
            <w:rPr>
              <w:rFonts w:hint="eastAsia" w:ascii="宋体" w:hAnsi="宋体" w:cs="黑体"/>
              <w:bCs/>
              <w:kern w:val="0"/>
              <w:sz w:val="24"/>
              <w:szCs w:val="24"/>
            </w:rPr>
            <w:t>第一章  竞争性谈判公告</w:t>
          </w:r>
          <w:r>
            <w:rPr>
              <w:sz w:val="24"/>
              <w:szCs w:val="24"/>
            </w:rPr>
            <w:tab/>
          </w:r>
          <w:r>
            <w:rPr>
              <w:sz w:val="24"/>
              <w:szCs w:val="24"/>
            </w:rPr>
            <w:fldChar w:fldCharType="begin"/>
          </w:r>
          <w:r>
            <w:rPr>
              <w:sz w:val="24"/>
              <w:szCs w:val="24"/>
            </w:rPr>
            <w:instrText xml:space="preserve"> PAGEREF _Toc7980 </w:instrText>
          </w:r>
          <w:r>
            <w:rPr>
              <w:sz w:val="24"/>
              <w:szCs w:val="24"/>
            </w:rPr>
            <w:fldChar w:fldCharType="separate"/>
          </w:r>
          <w:r>
            <w:rPr>
              <w:sz w:val="24"/>
              <w:szCs w:val="24"/>
            </w:rPr>
            <w:t>4</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_Toc25924 </w:instrText>
          </w:r>
          <w:r>
            <w:rPr>
              <w:rFonts w:ascii="宋体" w:hAnsi="宋体" w:cs="黑体"/>
              <w:kern w:val="0"/>
              <w:sz w:val="24"/>
              <w:szCs w:val="24"/>
            </w:rPr>
            <w:fldChar w:fldCharType="separate"/>
          </w:r>
          <w:r>
            <w:rPr>
              <w:rFonts w:hint="eastAsia" w:ascii="宋体" w:hAnsi="宋体" w:cs="黑体"/>
              <w:kern w:val="0"/>
              <w:sz w:val="24"/>
              <w:szCs w:val="24"/>
            </w:rPr>
            <w:t>第二章</w:t>
          </w:r>
          <w:r>
            <w:rPr>
              <w:rFonts w:hint="eastAsia" w:ascii="宋体" w:hAnsi="宋体" w:cs="黑体"/>
              <w:kern w:val="0"/>
              <w:sz w:val="24"/>
              <w:szCs w:val="24"/>
              <w:lang w:val="en-US" w:eastAsia="zh-CN"/>
            </w:rPr>
            <w:t xml:space="preserve">  </w:t>
          </w:r>
          <w:r>
            <w:rPr>
              <w:rFonts w:hint="eastAsia" w:ascii="宋体" w:hAnsi="宋体" w:cs="黑体"/>
              <w:kern w:val="0"/>
              <w:sz w:val="24"/>
              <w:szCs w:val="24"/>
            </w:rPr>
            <w:t>供应商须知</w:t>
          </w:r>
          <w:r>
            <w:rPr>
              <w:sz w:val="24"/>
              <w:szCs w:val="24"/>
            </w:rPr>
            <w:tab/>
          </w:r>
          <w:r>
            <w:rPr>
              <w:sz w:val="24"/>
              <w:szCs w:val="24"/>
            </w:rPr>
            <w:fldChar w:fldCharType="begin"/>
          </w:r>
          <w:r>
            <w:rPr>
              <w:sz w:val="24"/>
              <w:szCs w:val="24"/>
            </w:rPr>
            <w:instrText xml:space="preserve"> PAGEREF _Toc25924 </w:instrText>
          </w:r>
          <w:r>
            <w:rPr>
              <w:sz w:val="24"/>
              <w:szCs w:val="24"/>
            </w:rPr>
            <w:fldChar w:fldCharType="separate"/>
          </w:r>
          <w:r>
            <w:rPr>
              <w:sz w:val="24"/>
              <w:szCs w:val="24"/>
            </w:rPr>
            <w:t>7</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_Toc31428 </w:instrText>
          </w:r>
          <w:r>
            <w:rPr>
              <w:rFonts w:ascii="宋体" w:hAnsi="宋体" w:cs="黑体"/>
              <w:kern w:val="0"/>
              <w:sz w:val="24"/>
              <w:szCs w:val="24"/>
            </w:rPr>
            <w:fldChar w:fldCharType="separate"/>
          </w:r>
          <w:r>
            <w:rPr>
              <w:rFonts w:hint="eastAsia" w:ascii="宋体" w:hAnsi="宋体" w:cs="黑体"/>
              <w:kern w:val="0"/>
              <w:sz w:val="24"/>
              <w:szCs w:val="24"/>
            </w:rPr>
            <w:t>（一）供应商须知前附表</w:t>
          </w:r>
          <w:r>
            <w:rPr>
              <w:sz w:val="24"/>
              <w:szCs w:val="24"/>
            </w:rPr>
            <w:tab/>
          </w:r>
          <w:r>
            <w:rPr>
              <w:sz w:val="24"/>
              <w:szCs w:val="24"/>
            </w:rPr>
            <w:fldChar w:fldCharType="begin"/>
          </w:r>
          <w:r>
            <w:rPr>
              <w:sz w:val="24"/>
              <w:szCs w:val="24"/>
            </w:rPr>
            <w:instrText xml:space="preserve"> PAGEREF _Toc31428 </w:instrText>
          </w:r>
          <w:r>
            <w:rPr>
              <w:sz w:val="24"/>
              <w:szCs w:val="24"/>
            </w:rPr>
            <w:fldChar w:fldCharType="separate"/>
          </w:r>
          <w:r>
            <w:rPr>
              <w:sz w:val="24"/>
              <w:szCs w:val="24"/>
            </w:rPr>
            <w:t>7</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_Toc14530 </w:instrText>
          </w:r>
          <w:r>
            <w:rPr>
              <w:rFonts w:ascii="宋体" w:hAnsi="宋体" w:cs="黑体"/>
              <w:kern w:val="0"/>
              <w:sz w:val="24"/>
              <w:szCs w:val="24"/>
            </w:rPr>
            <w:fldChar w:fldCharType="separate"/>
          </w:r>
          <w:r>
            <w:rPr>
              <w:rFonts w:hint="eastAsia" w:ascii="宋体" w:hAnsi="宋体" w:cs="黑体"/>
              <w:kern w:val="0"/>
              <w:sz w:val="24"/>
              <w:szCs w:val="24"/>
            </w:rPr>
            <w:t>（二）供应商须知</w:t>
          </w:r>
          <w:r>
            <w:rPr>
              <w:sz w:val="24"/>
              <w:szCs w:val="24"/>
            </w:rPr>
            <w:tab/>
          </w:r>
          <w:r>
            <w:rPr>
              <w:sz w:val="24"/>
              <w:szCs w:val="24"/>
            </w:rPr>
            <w:fldChar w:fldCharType="begin"/>
          </w:r>
          <w:r>
            <w:rPr>
              <w:sz w:val="24"/>
              <w:szCs w:val="24"/>
            </w:rPr>
            <w:instrText xml:space="preserve"> PAGEREF _Toc14530 </w:instrText>
          </w:r>
          <w:r>
            <w:rPr>
              <w:sz w:val="24"/>
              <w:szCs w:val="24"/>
            </w:rPr>
            <w:fldChar w:fldCharType="separate"/>
          </w:r>
          <w:r>
            <w:rPr>
              <w:sz w:val="24"/>
              <w:szCs w:val="24"/>
            </w:rPr>
            <w:t>9</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_Toc2762 </w:instrText>
          </w:r>
          <w:r>
            <w:rPr>
              <w:rFonts w:ascii="宋体" w:hAnsi="宋体" w:cs="黑体"/>
              <w:kern w:val="0"/>
              <w:sz w:val="24"/>
              <w:szCs w:val="24"/>
            </w:rPr>
            <w:fldChar w:fldCharType="separate"/>
          </w:r>
          <w:r>
            <w:rPr>
              <w:rFonts w:hint="eastAsia" w:ascii="宋体" w:hAnsi="宋体" w:cs="黑体"/>
              <w:kern w:val="0"/>
              <w:sz w:val="24"/>
              <w:szCs w:val="24"/>
            </w:rPr>
            <w:t xml:space="preserve">第三章 </w:t>
          </w:r>
          <w:r>
            <w:rPr>
              <w:rFonts w:hint="eastAsia" w:ascii="宋体" w:hAnsi="宋体" w:cs="黑体"/>
              <w:kern w:val="0"/>
              <w:sz w:val="24"/>
              <w:szCs w:val="24"/>
              <w:lang w:val="en-US" w:eastAsia="zh-CN"/>
            </w:rPr>
            <w:t xml:space="preserve"> </w:t>
          </w:r>
          <w:r>
            <w:rPr>
              <w:rFonts w:hint="eastAsia" w:ascii="宋体" w:hAnsi="宋体" w:cs="黑体"/>
              <w:kern w:val="0"/>
              <w:sz w:val="24"/>
              <w:szCs w:val="24"/>
            </w:rPr>
            <w:t>评审办法和标准</w:t>
          </w:r>
          <w:r>
            <w:rPr>
              <w:sz w:val="24"/>
              <w:szCs w:val="24"/>
            </w:rPr>
            <w:tab/>
          </w:r>
          <w:r>
            <w:rPr>
              <w:sz w:val="24"/>
              <w:szCs w:val="24"/>
            </w:rPr>
            <w:fldChar w:fldCharType="begin"/>
          </w:r>
          <w:r>
            <w:rPr>
              <w:sz w:val="24"/>
              <w:szCs w:val="24"/>
            </w:rPr>
            <w:instrText xml:space="preserve"> PAGEREF _Toc2762 </w:instrText>
          </w:r>
          <w:r>
            <w:rPr>
              <w:sz w:val="24"/>
              <w:szCs w:val="24"/>
            </w:rPr>
            <w:fldChar w:fldCharType="separate"/>
          </w:r>
          <w:r>
            <w:rPr>
              <w:sz w:val="24"/>
              <w:szCs w:val="24"/>
            </w:rPr>
            <w:t>19</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_Toc4808 </w:instrText>
          </w:r>
          <w:r>
            <w:rPr>
              <w:rFonts w:ascii="宋体" w:hAnsi="宋体" w:cs="黑体"/>
              <w:kern w:val="0"/>
              <w:sz w:val="24"/>
              <w:szCs w:val="24"/>
            </w:rPr>
            <w:fldChar w:fldCharType="separate"/>
          </w:r>
          <w:r>
            <w:rPr>
              <w:rFonts w:hint="eastAsia"/>
              <w:sz w:val="24"/>
              <w:szCs w:val="24"/>
            </w:rPr>
            <w:t xml:space="preserve">第四章 </w:t>
          </w:r>
          <w:r>
            <w:rPr>
              <w:rFonts w:hint="eastAsia"/>
              <w:sz w:val="24"/>
              <w:szCs w:val="24"/>
              <w:lang w:val="en-US" w:eastAsia="zh-CN"/>
            </w:rPr>
            <w:t xml:space="preserve"> </w:t>
          </w:r>
          <w:r>
            <w:rPr>
              <w:rFonts w:hint="eastAsia"/>
              <w:sz w:val="24"/>
              <w:szCs w:val="24"/>
            </w:rPr>
            <w:t>合同条款及格式</w:t>
          </w:r>
          <w:r>
            <w:rPr>
              <w:sz w:val="24"/>
              <w:szCs w:val="24"/>
            </w:rPr>
            <w:tab/>
          </w:r>
          <w:r>
            <w:rPr>
              <w:sz w:val="24"/>
              <w:szCs w:val="24"/>
            </w:rPr>
            <w:fldChar w:fldCharType="begin"/>
          </w:r>
          <w:r>
            <w:rPr>
              <w:sz w:val="24"/>
              <w:szCs w:val="24"/>
            </w:rPr>
            <w:instrText xml:space="preserve"> PAGEREF _Toc4808 </w:instrText>
          </w:r>
          <w:r>
            <w:rPr>
              <w:sz w:val="24"/>
              <w:szCs w:val="24"/>
            </w:rPr>
            <w:fldChar w:fldCharType="separate"/>
          </w:r>
          <w:r>
            <w:rPr>
              <w:sz w:val="24"/>
              <w:szCs w:val="24"/>
            </w:rPr>
            <w:t>24</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_Toc21532 </w:instrText>
          </w:r>
          <w:r>
            <w:rPr>
              <w:rFonts w:hint="eastAsia" w:ascii="宋体" w:hAnsi="宋体" w:cs="黑体"/>
              <w:kern w:val="0"/>
              <w:sz w:val="24"/>
              <w:szCs w:val="24"/>
            </w:rPr>
            <w:fldChar w:fldCharType="separate"/>
          </w:r>
          <w:r>
            <w:rPr>
              <w:rFonts w:hint="eastAsia" w:ascii="宋体" w:hAnsi="宋体" w:cs="黑体"/>
              <w:kern w:val="0"/>
              <w:sz w:val="24"/>
              <w:szCs w:val="24"/>
            </w:rPr>
            <w:t>第一节</w:t>
          </w:r>
          <w:r>
            <w:rPr>
              <w:rFonts w:hint="eastAsia" w:ascii="宋体" w:hAnsi="宋体" w:cs="黑体"/>
              <w:kern w:val="0"/>
              <w:sz w:val="24"/>
              <w:szCs w:val="24"/>
              <w:lang w:val="en-US" w:eastAsia="zh-CN"/>
            </w:rPr>
            <w:t xml:space="preserve"> </w:t>
          </w:r>
          <w:r>
            <w:rPr>
              <w:rFonts w:hint="eastAsia" w:ascii="宋体" w:hAnsi="宋体" w:cs="黑体"/>
              <w:kern w:val="0"/>
              <w:sz w:val="24"/>
              <w:szCs w:val="24"/>
            </w:rPr>
            <w:t xml:space="preserve"> 通用合同条款</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_Toc21532 </w:instrText>
          </w:r>
          <w:r>
            <w:rPr>
              <w:rFonts w:hint="eastAsia" w:ascii="宋体" w:hAnsi="宋体" w:cs="黑体"/>
              <w:kern w:val="0"/>
              <w:sz w:val="24"/>
              <w:szCs w:val="24"/>
            </w:rPr>
            <w:fldChar w:fldCharType="separate"/>
          </w:r>
          <w:r>
            <w:rPr>
              <w:rFonts w:hint="eastAsia" w:ascii="宋体" w:hAnsi="宋体" w:cs="黑体"/>
              <w:kern w:val="0"/>
              <w:sz w:val="24"/>
              <w:szCs w:val="24"/>
            </w:rPr>
            <w:t>24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_Toc19221 </w:instrText>
          </w:r>
          <w:r>
            <w:rPr>
              <w:rFonts w:hint="eastAsia" w:ascii="宋体" w:hAnsi="宋体" w:cs="黑体"/>
              <w:kern w:val="0"/>
              <w:sz w:val="24"/>
              <w:szCs w:val="24"/>
            </w:rPr>
            <w:fldChar w:fldCharType="separate"/>
          </w:r>
          <w:r>
            <w:rPr>
              <w:rFonts w:hint="eastAsia" w:ascii="宋体" w:hAnsi="宋体" w:cs="黑体"/>
              <w:kern w:val="0"/>
              <w:sz w:val="24"/>
              <w:szCs w:val="24"/>
            </w:rPr>
            <w:t xml:space="preserve">第二节 </w:t>
          </w:r>
          <w:r>
            <w:rPr>
              <w:rFonts w:hint="eastAsia" w:ascii="宋体" w:hAnsi="宋体" w:cs="黑体"/>
              <w:kern w:val="0"/>
              <w:sz w:val="24"/>
              <w:szCs w:val="24"/>
              <w:lang w:val="en-US" w:eastAsia="zh-CN"/>
            </w:rPr>
            <w:t xml:space="preserve"> </w:t>
          </w:r>
          <w:r>
            <w:rPr>
              <w:rFonts w:hint="eastAsia" w:ascii="宋体" w:hAnsi="宋体" w:cs="黑体"/>
              <w:kern w:val="0"/>
              <w:sz w:val="24"/>
              <w:szCs w:val="24"/>
            </w:rPr>
            <w:t>专用合同条款</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_Toc19221 </w:instrText>
          </w:r>
          <w:r>
            <w:rPr>
              <w:rFonts w:hint="eastAsia" w:ascii="宋体" w:hAnsi="宋体" w:cs="黑体"/>
              <w:kern w:val="0"/>
              <w:sz w:val="24"/>
              <w:szCs w:val="24"/>
            </w:rPr>
            <w:fldChar w:fldCharType="separate"/>
          </w:r>
          <w:r>
            <w:rPr>
              <w:rFonts w:hint="eastAsia" w:ascii="宋体" w:hAnsi="宋体" w:cs="黑体"/>
              <w:kern w:val="0"/>
              <w:sz w:val="24"/>
              <w:szCs w:val="24"/>
            </w:rPr>
            <w:t>39</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_Toc19082 </w:instrText>
          </w:r>
          <w:r>
            <w:rPr>
              <w:rFonts w:hint="eastAsia" w:ascii="宋体" w:hAnsi="宋体" w:cs="黑体"/>
              <w:kern w:val="0"/>
              <w:sz w:val="24"/>
              <w:szCs w:val="24"/>
            </w:rPr>
            <w:fldChar w:fldCharType="separate"/>
          </w:r>
          <w:r>
            <w:rPr>
              <w:rFonts w:hint="eastAsia" w:ascii="宋体" w:hAnsi="宋体" w:cs="黑体"/>
              <w:kern w:val="0"/>
              <w:sz w:val="24"/>
              <w:szCs w:val="24"/>
            </w:rPr>
            <w:t>第三节</w:t>
          </w:r>
          <w:r>
            <w:rPr>
              <w:rFonts w:hint="eastAsia" w:ascii="宋体" w:hAnsi="宋体" w:cs="黑体"/>
              <w:kern w:val="0"/>
              <w:sz w:val="24"/>
              <w:szCs w:val="24"/>
              <w:lang w:val="en-US" w:eastAsia="zh-CN"/>
            </w:rPr>
            <w:t xml:space="preserve">  </w:t>
          </w:r>
          <w:r>
            <w:rPr>
              <w:rFonts w:hint="eastAsia" w:ascii="宋体" w:hAnsi="宋体" w:cs="黑体"/>
              <w:kern w:val="0"/>
              <w:sz w:val="24"/>
              <w:szCs w:val="24"/>
            </w:rPr>
            <w:t>合同附件格式</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_Toc19082 </w:instrText>
          </w:r>
          <w:r>
            <w:rPr>
              <w:rFonts w:hint="eastAsia" w:ascii="宋体" w:hAnsi="宋体" w:cs="黑体"/>
              <w:kern w:val="0"/>
              <w:sz w:val="24"/>
              <w:szCs w:val="24"/>
            </w:rPr>
            <w:fldChar w:fldCharType="separate"/>
          </w:r>
          <w:r>
            <w:rPr>
              <w:rFonts w:hint="eastAsia" w:ascii="宋体" w:hAnsi="宋体" w:cs="黑体"/>
              <w:kern w:val="0"/>
              <w:sz w:val="24"/>
              <w:szCs w:val="24"/>
            </w:rPr>
            <w:t>44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_Toc8628 </w:instrText>
          </w:r>
          <w:r>
            <w:rPr>
              <w:rFonts w:ascii="宋体" w:hAnsi="宋体" w:cs="黑体"/>
              <w:kern w:val="0"/>
              <w:sz w:val="24"/>
              <w:szCs w:val="24"/>
            </w:rPr>
            <w:fldChar w:fldCharType="separate"/>
          </w:r>
          <w:r>
            <w:rPr>
              <w:rFonts w:ascii="宋体" w:hAnsi="宋体" w:cs="宋体"/>
              <w:sz w:val="24"/>
              <w:szCs w:val="24"/>
            </w:rPr>
            <w:t>第五章</w:t>
          </w:r>
          <w:r>
            <w:rPr>
              <w:rFonts w:hint="eastAsia" w:ascii="宋体" w:hAnsi="宋体" w:cs="宋体"/>
              <w:sz w:val="24"/>
              <w:szCs w:val="24"/>
              <w:lang w:val="en-US" w:eastAsia="zh-CN"/>
            </w:rPr>
            <w:t xml:space="preserve">  </w:t>
          </w:r>
          <w:r>
            <w:rPr>
              <w:rFonts w:hint="eastAsia" w:ascii="宋体" w:hAnsi="宋体" w:cs="宋体"/>
              <w:sz w:val="24"/>
              <w:szCs w:val="24"/>
            </w:rPr>
            <w:t>工程量清单（综合单价）</w:t>
          </w:r>
          <w:r>
            <w:rPr>
              <w:sz w:val="24"/>
              <w:szCs w:val="24"/>
            </w:rPr>
            <w:tab/>
          </w:r>
          <w:r>
            <w:rPr>
              <w:sz w:val="24"/>
              <w:szCs w:val="24"/>
            </w:rPr>
            <w:fldChar w:fldCharType="begin"/>
          </w:r>
          <w:r>
            <w:rPr>
              <w:sz w:val="24"/>
              <w:szCs w:val="24"/>
            </w:rPr>
            <w:instrText xml:space="preserve"> PAGEREF _Toc8628 </w:instrText>
          </w:r>
          <w:r>
            <w:rPr>
              <w:sz w:val="24"/>
              <w:szCs w:val="24"/>
            </w:rPr>
            <w:fldChar w:fldCharType="separate"/>
          </w:r>
          <w:r>
            <w:rPr>
              <w:sz w:val="24"/>
              <w:szCs w:val="24"/>
            </w:rPr>
            <w:t>51</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_Toc28310 </w:instrText>
          </w:r>
          <w:r>
            <w:rPr>
              <w:rFonts w:ascii="宋体" w:hAnsi="宋体" w:cs="黑体"/>
              <w:kern w:val="0"/>
              <w:sz w:val="24"/>
              <w:szCs w:val="24"/>
            </w:rPr>
            <w:fldChar w:fldCharType="separate"/>
          </w:r>
          <w:r>
            <w:rPr>
              <w:rFonts w:hint="eastAsia"/>
              <w:sz w:val="24"/>
              <w:szCs w:val="24"/>
              <w:highlight w:val="none"/>
            </w:rPr>
            <w:t>第六章</w:t>
          </w:r>
          <w:r>
            <w:rPr>
              <w:sz w:val="24"/>
              <w:szCs w:val="24"/>
              <w:highlight w:val="none"/>
            </w:rPr>
            <w:t xml:space="preserve"> </w:t>
          </w:r>
          <w:r>
            <w:rPr>
              <w:rFonts w:hint="eastAsia"/>
              <w:sz w:val="24"/>
              <w:szCs w:val="24"/>
              <w:highlight w:val="none"/>
              <w:lang w:val="en-US" w:eastAsia="zh-CN"/>
            </w:rPr>
            <w:t xml:space="preserve"> </w:t>
          </w:r>
          <w:r>
            <w:rPr>
              <w:rFonts w:hint="eastAsia"/>
              <w:sz w:val="24"/>
              <w:szCs w:val="24"/>
              <w:highlight w:val="none"/>
            </w:rPr>
            <w:t>技术标准和要求</w:t>
          </w:r>
          <w:r>
            <w:rPr>
              <w:sz w:val="24"/>
              <w:szCs w:val="24"/>
            </w:rPr>
            <w:tab/>
          </w:r>
          <w:r>
            <w:rPr>
              <w:sz w:val="24"/>
              <w:szCs w:val="24"/>
            </w:rPr>
            <w:fldChar w:fldCharType="begin"/>
          </w:r>
          <w:r>
            <w:rPr>
              <w:sz w:val="24"/>
              <w:szCs w:val="24"/>
            </w:rPr>
            <w:instrText xml:space="preserve"> PAGEREF _Toc28310 </w:instrText>
          </w:r>
          <w:r>
            <w:rPr>
              <w:sz w:val="24"/>
              <w:szCs w:val="24"/>
            </w:rPr>
            <w:fldChar w:fldCharType="separate"/>
          </w:r>
          <w:r>
            <w:rPr>
              <w:sz w:val="24"/>
              <w:szCs w:val="24"/>
            </w:rPr>
            <w:t>58</w:t>
          </w:r>
          <w:r>
            <w:rPr>
              <w:sz w:val="24"/>
              <w:szCs w:val="24"/>
            </w:rPr>
            <w:fldChar w:fldCharType="end"/>
          </w:r>
          <w:r>
            <w:rPr>
              <w:rFonts w:ascii="宋体" w:hAnsi="宋体" w:cs="黑体"/>
              <w:kern w:val="0"/>
              <w:sz w:val="24"/>
              <w:szCs w:val="24"/>
            </w:rPr>
            <w:fldChar w:fldCharType="end"/>
          </w:r>
        </w:p>
        <w:p>
          <w:pPr>
            <w:pStyle w:val="53"/>
            <w:keepNext w:val="0"/>
            <w:keepLines w:val="0"/>
            <w:pageBreakBefore w:val="0"/>
            <w:widowControl w:val="0"/>
            <w:tabs>
              <w:tab w:val="right" w:leader="dot" w:pos="9412"/>
              <w:tab w:val="clear" w:pos="8778"/>
            </w:tabs>
            <w:kinsoku/>
            <w:wordWrap/>
            <w:overflowPunct/>
            <w:topLinePunct w:val="0"/>
            <w:autoSpaceDE/>
            <w:autoSpaceDN/>
            <w:bidi w:val="0"/>
            <w:adjustRightInd/>
            <w:spacing w:line="560" w:lineRule="exact"/>
            <w:textAlignment w:val="auto"/>
            <w:outlineLvl w:val="9"/>
            <w:rPr>
              <w:sz w:val="24"/>
              <w:szCs w:val="24"/>
            </w:rPr>
          </w:pPr>
          <w:r>
            <w:rPr>
              <w:rFonts w:ascii="宋体" w:hAnsi="宋体" w:cs="黑体"/>
              <w:kern w:val="0"/>
              <w:sz w:val="24"/>
              <w:szCs w:val="24"/>
            </w:rPr>
            <w:fldChar w:fldCharType="begin"/>
          </w:r>
          <w:r>
            <w:rPr>
              <w:rFonts w:ascii="宋体" w:hAnsi="宋体" w:cs="黑体"/>
              <w:kern w:val="0"/>
              <w:sz w:val="24"/>
              <w:szCs w:val="24"/>
            </w:rPr>
            <w:instrText xml:space="preserve"> HYPERLINK \l _Toc29219 </w:instrText>
          </w:r>
          <w:r>
            <w:rPr>
              <w:rFonts w:ascii="宋体" w:hAnsi="宋体" w:cs="黑体"/>
              <w:kern w:val="0"/>
              <w:sz w:val="24"/>
              <w:szCs w:val="24"/>
            </w:rPr>
            <w:fldChar w:fldCharType="separate"/>
          </w:r>
          <w:r>
            <w:rPr>
              <w:rFonts w:hint="eastAsia"/>
              <w:sz w:val="24"/>
              <w:szCs w:val="24"/>
            </w:rPr>
            <w:t>第七章</w:t>
          </w:r>
          <w:r>
            <w:rPr>
              <w:rFonts w:hint="eastAsia"/>
              <w:sz w:val="24"/>
              <w:szCs w:val="24"/>
              <w:lang w:val="en-US" w:eastAsia="zh-CN"/>
            </w:rPr>
            <w:t xml:space="preserve">  </w:t>
          </w:r>
          <w:r>
            <w:rPr>
              <w:rFonts w:hint="eastAsia"/>
              <w:sz w:val="24"/>
              <w:szCs w:val="24"/>
            </w:rPr>
            <w:t>响应文件格式</w:t>
          </w:r>
          <w:r>
            <w:rPr>
              <w:sz w:val="24"/>
              <w:szCs w:val="24"/>
            </w:rPr>
            <w:tab/>
          </w:r>
          <w:r>
            <w:rPr>
              <w:sz w:val="24"/>
              <w:szCs w:val="24"/>
            </w:rPr>
            <w:fldChar w:fldCharType="begin"/>
          </w:r>
          <w:r>
            <w:rPr>
              <w:sz w:val="24"/>
              <w:szCs w:val="24"/>
            </w:rPr>
            <w:instrText xml:space="preserve"> PAGEREF _Toc29219 </w:instrText>
          </w:r>
          <w:r>
            <w:rPr>
              <w:sz w:val="24"/>
              <w:szCs w:val="24"/>
            </w:rPr>
            <w:fldChar w:fldCharType="separate"/>
          </w:r>
          <w:r>
            <w:rPr>
              <w:sz w:val="24"/>
              <w:szCs w:val="24"/>
            </w:rPr>
            <w:t>59</w:t>
          </w:r>
          <w:r>
            <w:rPr>
              <w:sz w:val="24"/>
              <w:szCs w:val="24"/>
            </w:rPr>
            <w:fldChar w:fldCharType="end"/>
          </w:r>
          <w:r>
            <w:rPr>
              <w:rFonts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_Toc10540 </w:instrText>
          </w:r>
          <w:r>
            <w:rPr>
              <w:rFonts w:hint="eastAsia" w:ascii="宋体" w:hAnsi="宋体" w:cs="黑体"/>
              <w:kern w:val="0"/>
              <w:sz w:val="24"/>
              <w:szCs w:val="24"/>
            </w:rPr>
            <w:fldChar w:fldCharType="separate"/>
          </w:r>
          <w:r>
            <w:rPr>
              <w:rFonts w:hint="eastAsia" w:ascii="宋体" w:hAnsi="宋体" w:cs="黑体"/>
              <w:kern w:val="0"/>
              <w:sz w:val="24"/>
              <w:szCs w:val="24"/>
            </w:rPr>
            <w:t>评审索引</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_Toc10540 </w:instrText>
          </w:r>
          <w:r>
            <w:rPr>
              <w:rFonts w:hint="eastAsia" w:ascii="宋体" w:hAnsi="宋体" w:cs="黑体"/>
              <w:kern w:val="0"/>
              <w:sz w:val="24"/>
              <w:szCs w:val="24"/>
            </w:rPr>
            <w:fldChar w:fldCharType="separate"/>
          </w:r>
          <w:r>
            <w:rPr>
              <w:rFonts w:hint="eastAsia" w:ascii="宋体" w:hAnsi="宋体" w:cs="黑体"/>
              <w:kern w:val="0"/>
              <w:sz w:val="24"/>
              <w:szCs w:val="24"/>
            </w:rPr>
            <w:t>60</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_Toc16438 </w:instrText>
          </w:r>
          <w:r>
            <w:rPr>
              <w:rFonts w:hint="eastAsia" w:ascii="宋体" w:hAnsi="宋体" w:cs="黑体"/>
              <w:kern w:val="0"/>
              <w:sz w:val="24"/>
              <w:szCs w:val="24"/>
            </w:rPr>
            <w:fldChar w:fldCharType="separate"/>
          </w:r>
          <w:r>
            <w:rPr>
              <w:rFonts w:hint="eastAsia" w:ascii="宋体" w:hAnsi="宋体" w:cs="黑体"/>
              <w:kern w:val="0"/>
              <w:sz w:val="24"/>
              <w:szCs w:val="24"/>
            </w:rPr>
            <w:t>附件1 报价函及报价函附录</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_Toc16438 </w:instrText>
          </w:r>
          <w:r>
            <w:rPr>
              <w:rFonts w:hint="eastAsia" w:ascii="宋体" w:hAnsi="宋体" w:cs="黑体"/>
              <w:kern w:val="0"/>
              <w:sz w:val="24"/>
              <w:szCs w:val="24"/>
            </w:rPr>
            <w:fldChar w:fldCharType="separate"/>
          </w:r>
          <w:r>
            <w:rPr>
              <w:rFonts w:hint="eastAsia" w:ascii="宋体" w:hAnsi="宋体" w:cs="黑体"/>
              <w:kern w:val="0"/>
              <w:sz w:val="24"/>
              <w:szCs w:val="24"/>
            </w:rPr>
            <w:t>61</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_Toc794 </w:instrText>
          </w:r>
          <w:r>
            <w:rPr>
              <w:rFonts w:hint="eastAsia" w:ascii="宋体" w:hAnsi="宋体" w:cs="黑体"/>
              <w:kern w:val="0"/>
              <w:sz w:val="24"/>
              <w:szCs w:val="24"/>
            </w:rPr>
            <w:fldChar w:fldCharType="separate"/>
          </w:r>
          <w:r>
            <w:rPr>
              <w:rFonts w:hint="eastAsia" w:ascii="宋体" w:hAnsi="宋体" w:cs="黑体"/>
              <w:kern w:val="0"/>
              <w:sz w:val="24"/>
              <w:szCs w:val="24"/>
            </w:rPr>
            <w:t>附件2 法定代表人身份证明</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_Toc794 </w:instrText>
          </w:r>
          <w:r>
            <w:rPr>
              <w:rFonts w:hint="eastAsia" w:ascii="宋体" w:hAnsi="宋体" w:cs="黑体"/>
              <w:kern w:val="0"/>
              <w:sz w:val="24"/>
              <w:szCs w:val="24"/>
            </w:rPr>
            <w:fldChar w:fldCharType="separate"/>
          </w:r>
          <w:r>
            <w:rPr>
              <w:rFonts w:hint="eastAsia" w:ascii="宋体" w:hAnsi="宋体" w:cs="黑体"/>
              <w:kern w:val="0"/>
              <w:sz w:val="24"/>
              <w:szCs w:val="24"/>
            </w:rPr>
            <w:t>63</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_Toc11542 </w:instrText>
          </w:r>
          <w:r>
            <w:rPr>
              <w:rFonts w:hint="eastAsia" w:ascii="宋体" w:hAnsi="宋体" w:cs="黑体"/>
              <w:kern w:val="0"/>
              <w:sz w:val="24"/>
              <w:szCs w:val="24"/>
            </w:rPr>
            <w:fldChar w:fldCharType="separate"/>
          </w:r>
          <w:r>
            <w:rPr>
              <w:rFonts w:hint="eastAsia" w:ascii="宋体" w:hAnsi="宋体" w:cs="黑体"/>
              <w:kern w:val="0"/>
              <w:sz w:val="24"/>
              <w:szCs w:val="24"/>
            </w:rPr>
            <w:t>附件3 授权委托书</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_Toc11542 </w:instrText>
          </w:r>
          <w:r>
            <w:rPr>
              <w:rFonts w:hint="eastAsia" w:ascii="宋体" w:hAnsi="宋体" w:cs="黑体"/>
              <w:kern w:val="0"/>
              <w:sz w:val="24"/>
              <w:szCs w:val="24"/>
            </w:rPr>
            <w:fldChar w:fldCharType="separate"/>
          </w:r>
          <w:r>
            <w:rPr>
              <w:rFonts w:hint="eastAsia" w:ascii="宋体" w:hAnsi="宋体" w:cs="黑体"/>
              <w:kern w:val="0"/>
              <w:sz w:val="24"/>
              <w:szCs w:val="24"/>
            </w:rPr>
            <w:t>64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_Toc30492 </w:instrText>
          </w:r>
          <w:r>
            <w:rPr>
              <w:rFonts w:hint="eastAsia" w:ascii="宋体" w:hAnsi="宋体" w:cs="黑体"/>
              <w:kern w:val="0"/>
              <w:sz w:val="24"/>
              <w:szCs w:val="24"/>
            </w:rPr>
            <w:fldChar w:fldCharType="separate"/>
          </w:r>
          <w:r>
            <w:rPr>
              <w:rFonts w:hint="eastAsia" w:ascii="宋体" w:hAnsi="宋体" w:cs="黑体"/>
              <w:kern w:val="0"/>
              <w:sz w:val="24"/>
              <w:szCs w:val="24"/>
            </w:rPr>
            <w:t>附件4 谈判保证金</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_Toc30492 </w:instrText>
          </w:r>
          <w:r>
            <w:rPr>
              <w:rFonts w:hint="eastAsia" w:ascii="宋体" w:hAnsi="宋体" w:cs="黑体"/>
              <w:kern w:val="0"/>
              <w:sz w:val="24"/>
              <w:szCs w:val="24"/>
            </w:rPr>
            <w:fldChar w:fldCharType="separate"/>
          </w:r>
          <w:r>
            <w:rPr>
              <w:rFonts w:hint="eastAsia" w:ascii="宋体" w:hAnsi="宋体" w:cs="黑体"/>
              <w:kern w:val="0"/>
              <w:sz w:val="24"/>
              <w:szCs w:val="24"/>
            </w:rPr>
            <w:t>65</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_Toc8524 </w:instrText>
          </w:r>
          <w:r>
            <w:rPr>
              <w:rFonts w:hint="eastAsia" w:ascii="宋体" w:hAnsi="宋体" w:cs="黑体"/>
              <w:kern w:val="0"/>
              <w:sz w:val="24"/>
              <w:szCs w:val="24"/>
            </w:rPr>
            <w:fldChar w:fldCharType="separate"/>
          </w:r>
          <w:r>
            <w:rPr>
              <w:rFonts w:hint="eastAsia" w:ascii="宋体" w:hAnsi="宋体" w:cs="黑体"/>
              <w:kern w:val="0"/>
              <w:sz w:val="24"/>
              <w:szCs w:val="24"/>
            </w:rPr>
            <w:t>附件5 已标价工程量清单（综合单价）</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_Toc8524 </w:instrText>
          </w:r>
          <w:r>
            <w:rPr>
              <w:rFonts w:hint="eastAsia" w:ascii="宋体" w:hAnsi="宋体" w:cs="黑体"/>
              <w:kern w:val="0"/>
              <w:sz w:val="24"/>
              <w:szCs w:val="24"/>
            </w:rPr>
            <w:fldChar w:fldCharType="separate"/>
          </w:r>
          <w:r>
            <w:rPr>
              <w:rFonts w:hint="eastAsia" w:ascii="宋体" w:hAnsi="宋体" w:cs="黑体"/>
              <w:kern w:val="0"/>
              <w:sz w:val="24"/>
              <w:szCs w:val="24"/>
            </w:rPr>
            <w:t>66</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_Toc10599 </w:instrText>
          </w:r>
          <w:r>
            <w:rPr>
              <w:rFonts w:hint="eastAsia" w:ascii="宋体" w:hAnsi="宋体" w:cs="黑体"/>
              <w:kern w:val="0"/>
              <w:sz w:val="24"/>
              <w:szCs w:val="24"/>
            </w:rPr>
            <w:fldChar w:fldCharType="separate"/>
          </w:r>
          <w:r>
            <w:rPr>
              <w:rFonts w:hint="eastAsia" w:ascii="宋体" w:hAnsi="宋体" w:cs="黑体"/>
              <w:kern w:val="0"/>
              <w:sz w:val="24"/>
              <w:szCs w:val="24"/>
            </w:rPr>
            <w:t>附件6 商务、合同条款偏差表</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_Toc10599 </w:instrText>
          </w:r>
          <w:r>
            <w:rPr>
              <w:rFonts w:hint="eastAsia" w:ascii="宋体" w:hAnsi="宋体" w:cs="黑体"/>
              <w:kern w:val="0"/>
              <w:sz w:val="24"/>
              <w:szCs w:val="24"/>
            </w:rPr>
            <w:fldChar w:fldCharType="separate"/>
          </w:r>
          <w:r>
            <w:rPr>
              <w:rFonts w:hint="eastAsia" w:ascii="宋体" w:hAnsi="宋体" w:cs="黑体"/>
              <w:kern w:val="0"/>
              <w:sz w:val="24"/>
              <w:szCs w:val="24"/>
            </w:rPr>
            <w:t>67</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_Toc24256 </w:instrText>
          </w:r>
          <w:r>
            <w:rPr>
              <w:rFonts w:hint="eastAsia" w:ascii="宋体" w:hAnsi="宋体" w:cs="黑体"/>
              <w:kern w:val="0"/>
              <w:sz w:val="24"/>
              <w:szCs w:val="24"/>
            </w:rPr>
            <w:fldChar w:fldCharType="separate"/>
          </w:r>
          <w:r>
            <w:rPr>
              <w:rFonts w:hint="eastAsia" w:ascii="宋体" w:hAnsi="宋体" w:cs="黑体"/>
              <w:kern w:val="0"/>
              <w:sz w:val="24"/>
              <w:szCs w:val="24"/>
            </w:rPr>
            <w:t>附件7 资格证明文件</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_Toc24256 </w:instrText>
          </w:r>
          <w:r>
            <w:rPr>
              <w:rFonts w:hint="eastAsia" w:ascii="宋体" w:hAnsi="宋体" w:cs="黑体"/>
              <w:kern w:val="0"/>
              <w:sz w:val="24"/>
              <w:szCs w:val="24"/>
            </w:rPr>
            <w:fldChar w:fldCharType="separate"/>
          </w:r>
          <w:r>
            <w:rPr>
              <w:rFonts w:hint="eastAsia" w:ascii="宋体" w:hAnsi="宋体" w:cs="黑体"/>
              <w:kern w:val="0"/>
              <w:sz w:val="24"/>
              <w:szCs w:val="24"/>
            </w:rPr>
            <w:t>68</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_Toc29259 </w:instrText>
          </w:r>
          <w:r>
            <w:rPr>
              <w:rFonts w:hint="eastAsia" w:ascii="宋体" w:hAnsi="宋体" w:cs="黑体"/>
              <w:kern w:val="0"/>
              <w:sz w:val="24"/>
              <w:szCs w:val="24"/>
            </w:rPr>
            <w:fldChar w:fldCharType="separate"/>
          </w:r>
          <w:r>
            <w:rPr>
              <w:rFonts w:hint="eastAsia" w:ascii="宋体" w:hAnsi="宋体" w:cs="黑体"/>
              <w:kern w:val="0"/>
              <w:sz w:val="24"/>
              <w:szCs w:val="24"/>
            </w:rPr>
            <w:t>附件8 小微企业、监狱企业、残疾人福利单位的声明函或证明材料</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_Toc29259 </w:instrText>
          </w:r>
          <w:r>
            <w:rPr>
              <w:rFonts w:hint="eastAsia" w:ascii="宋体" w:hAnsi="宋体" w:cs="黑体"/>
              <w:kern w:val="0"/>
              <w:sz w:val="24"/>
              <w:szCs w:val="24"/>
            </w:rPr>
            <w:fldChar w:fldCharType="separate"/>
          </w:r>
          <w:r>
            <w:rPr>
              <w:rFonts w:hint="eastAsia" w:ascii="宋体" w:hAnsi="宋体" w:cs="黑体"/>
              <w:kern w:val="0"/>
              <w:sz w:val="24"/>
              <w:szCs w:val="24"/>
            </w:rPr>
            <w:t>79</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_Toc10017 </w:instrText>
          </w:r>
          <w:r>
            <w:rPr>
              <w:rFonts w:hint="eastAsia" w:ascii="宋体" w:hAnsi="宋体" w:cs="黑体"/>
              <w:kern w:val="0"/>
              <w:sz w:val="24"/>
              <w:szCs w:val="24"/>
            </w:rPr>
            <w:fldChar w:fldCharType="separate"/>
          </w:r>
          <w:r>
            <w:rPr>
              <w:rFonts w:hint="eastAsia" w:ascii="宋体" w:hAnsi="宋体" w:cs="黑体"/>
              <w:kern w:val="0"/>
              <w:sz w:val="24"/>
              <w:szCs w:val="24"/>
            </w:rPr>
            <w:t>附件9 供应商承诺书</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_Toc10017 </w:instrText>
          </w:r>
          <w:r>
            <w:rPr>
              <w:rFonts w:hint="eastAsia" w:ascii="宋体" w:hAnsi="宋体" w:cs="黑体"/>
              <w:kern w:val="0"/>
              <w:sz w:val="24"/>
              <w:szCs w:val="24"/>
            </w:rPr>
            <w:fldChar w:fldCharType="separate"/>
          </w:r>
          <w:r>
            <w:rPr>
              <w:rFonts w:hint="eastAsia" w:ascii="宋体" w:hAnsi="宋体" w:cs="黑体"/>
              <w:kern w:val="0"/>
              <w:sz w:val="24"/>
              <w:szCs w:val="24"/>
            </w:rPr>
            <w:t>82</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_Toc31493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0</w:t>
          </w:r>
          <w:r>
            <w:rPr>
              <w:rFonts w:hint="eastAsia" w:ascii="宋体" w:hAnsi="宋体" w:cs="黑体"/>
              <w:kern w:val="0"/>
              <w:sz w:val="24"/>
              <w:szCs w:val="24"/>
            </w:rPr>
            <w:t xml:space="preserve"> 施工组织设计</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_Toc31493 </w:instrText>
          </w:r>
          <w:r>
            <w:rPr>
              <w:rFonts w:hint="eastAsia" w:ascii="宋体" w:hAnsi="宋体" w:cs="黑体"/>
              <w:kern w:val="0"/>
              <w:sz w:val="24"/>
              <w:szCs w:val="24"/>
            </w:rPr>
            <w:fldChar w:fldCharType="separate"/>
          </w:r>
          <w:r>
            <w:rPr>
              <w:rFonts w:hint="eastAsia" w:ascii="宋体" w:hAnsi="宋体" w:cs="黑体"/>
              <w:kern w:val="0"/>
              <w:sz w:val="24"/>
              <w:szCs w:val="24"/>
            </w:rPr>
            <w:t>83</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_Toc6976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1</w:t>
          </w:r>
          <w:r>
            <w:rPr>
              <w:rFonts w:hint="eastAsia" w:ascii="宋体" w:hAnsi="宋体" w:cs="黑体"/>
              <w:kern w:val="0"/>
              <w:sz w:val="24"/>
              <w:szCs w:val="24"/>
            </w:rPr>
            <w:t xml:space="preserve"> 主要人员简历表</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_Toc6976 </w:instrText>
          </w:r>
          <w:r>
            <w:rPr>
              <w:rFonts w:hint="eastAsia" w:ascii="宋体" w:hAnsi="宋体" w:cs="黑体"/>
              <w:kern w:val="0"/>
              <w:sz w:val="24"/>
              <w:szCs w:val="24"/>
            </w:rPr>
            <w:fldChar w:fldCharType="separate"/>
          </w:r>
          <w:r>
            <w:rPr>
              <w:rFonts w:hint="eastAsia" w:ascii="宋体" w:hAnsi="宋体" w:cs="黑体"/>
              <w:kern w:val="0"/>
              <w:sz w:val="24"/>
              <w:szCs w:val="24"/>
            </w:rPr>
            <w:t>84</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rPr>
              <w:rFonts w:hint="eastAsia" w:ascii="宋体" w:hAnsi="宋体" w:cs="黑体"/>
              <w:kern w:val="0"/>
              <w:sz w:val="24"/>
              <w:szCs w:val="24"/>
            </w:rPr>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_Toc24601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2</w:t>
          </w:r>
          <w:r>
            <w:rPr>
              <w:rFonts w:hint="eastAsia" w:ascii="宋体" w:hAnsi="宋体" w:cs="黑体"/>
              <w:kern w:val="0"/>
              <w:sz w:val="24"/>
              <w:szCs w:val="24"/>
            </w:rPr>
            <w:t xml:space="preserve"> 供应商其他承诺（如</w:t>
          </w:r>
          <w:bookmarkStart w:id="641" w:name="_GoBack"/>
          <w:bookmarkEnd w:id="641"/>
          <w:r>
            <w:rPr>
              <w:rFonts w:hint="eastAsia" w:ascii="宋体" w:hAnsi="宋体" w:cs="黑体"/>
              <w:kern w:val="0"/>
              <w:sz w:val="24"/>
              <w:szCs w:val="24"/>
            </w:rPr>
            <w:t>有）</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_Toc24601 </w:instrText>
          </w:r>
          <w:r>
            <w:rPr>
              <w:rFonts w:hint="eastAsia" w:ascii="宋体" w:hAnsi="宋体" w:cs="黑体"/>
              <w:kern w:val="0"/>
              <w:sz w:val="24"/>
              <w:szCs w:val="24"/>
            </w:rPr>
            <w:fldChar w:fldCharType="separate"/>
          </w:r>
          <w:r>
            <w:rPr>
              <w:rFonts w:hint="eastAsia" w:ascii="宋体" w:hAnsi="宋体" w:cs="黑体"/>
              <w:kern w:val="0"/>
              <w:sz w:val="24"/>
              <w:szCs w:val="24"/>
            </w:rPr>
            <w:t>85</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pStyle w:val="65"/>
            <w:keepNext w:val="0"/>
            <w:keepLines w:val="0"/>
            <w:pageBreakBefore w:val="0"/>
            <w:widowControl w:val="0"/>
            <w:tabs>
              <w:tab w:val="right" w:leader="dot" w:pos="9412"/>
              <w:tab w:val="clear" w:pos="8778"/>
            </w:tabs>
            <w:kinsoku/>
            <w:wordWrap/>
            <w:overflowPunct/>
            <w:topLinePunct w:val="0"/>
            <w:autoSpaceDE/>
            <w:autoSpaceDN/>
            <w:bidi w:val="0"/>
            <w:adjustRightInd/>
            <w:snapToGrid/>
            <w:spacing w:line="560" w:lineRule="exact"/>
            <w:ind w:left="0" w:leftChars="0" w:firstLine="480" w:firstLineChars="200"/>
            <w:textAlignment w:val="auto"/>
            <w:outlineLvl w:val="9"/>
          </w:pPr>
          <w:r>
            <w:rPr>
              <w:rFonts w:hint="eastAsia" w:ascii="宋体" w:hAnsi="宋体" w:cs="黑体"/>
              <w:kern w:val="0"/>
              <w:sz w:val="24"/>
              <w:szCs w:val="24"/>
            </w:rPr>
            <w:fldChar w:fldCharType="begin"/>
          </w:r>
          <w:r>
            <w:rPr>
              <w:rFonts w:hint="eastAsia" w:ascii="宋体" w:hAnsi="宋体" w:cs="黑体"/>
              <w:kern w:val="0"/>
              <w:sz w:val="24"/>
              <w:szCs w:val="24"/>
            </w:rPr>
            <w:instrText xml:space="preserve"> HYPERLINK \l _Toc11300 </w:instrText>
          </w:r>
          <w:r>
            <w:rPr>
              <w:rFonts w:hint="eastAsia" w:ascii="宋体" w:hAnsi="宋体" w:cs="黑体"/>
              <w:kern w:val="0"/>
              <w:sz w:val="24"/>
              <w:szCs w:val="24"/>
            </w:rPr>
            <w:fldChar w:fldCharType="separate"/>
          </w:r>
          <w:r>
            <w:rPr>
              <w:rFonts w:hint="eastAsia" w:ascii="宋体" w:hAnsi="宋体" w:cs="黑体"/>
              <w:kern w:val="0"/>
              <w:sz w:val="24"/>
              <w:szCs w:val="24"/>
            </w:rPr>
            <w:t>附件1</w:t>
          </w:r>
          <w:r>
            <w:rPr>
              <w:rFonts w:hint="eastAsia" w:ascii="宋体" w:hAnsi="宋体" w:cs="黑体"/>
              <w:kern w:val="0"/>
              <w:sz w:val="24"/>
              <w:szCs w:val="24"/>
              <w:lang w:val="en-US" w:eastAsia="zh-CN"/>
            </w:rPr>
            <w:t>3</w:t>
          </w:r>
          <w:r>
            <w:rPr>
              <w:rFonts w:hint="eastAsia" w:ascii="宋体" w:hAnsi="宋体" w:cs="黑体"/>
              <w:kern w:val="0"/>
              <w:sz w:val="24"/>
              <w:szCs w:val="24"/>
            </w:rPr>
            <w:t xml:space="preserve"> 最后报价函格式</w:t>
          </w:r>
          <w:r>
            <w:rPr>
              <w:rFonts w:hint="eastAsia" w:ascii="宋体" w:hAnsi="宋体" w:cs="黑体"/>
              <w:kern w:val="0"/>
              <w:sz w:val="24"/>
              <w:szCs w:val="24"/>
            </w:rPr>
            <w:tab/>
          </w:r>
          <w:r>
            <w:rPr>
              <w:rFonts w:hint="eastAsia" w:ascii="宋体" w:hAnsi="宋体" w:cs="黑体"/>
              <w:kern w:val="0"/>
              <w:sz w:val="24"/>
              <w:szCs w:val="24"/>
            </w:rPr>
            <w:fldChar w:fldCharType="begin"/>
          </w:r>
          <w:r>
            <w:rPr>
              <w:rFonts w:hint="eastAsia" w:ascii="宋体" w:hAnsi="宋体" w:cs="黑体"/>
              <w:kern w:val="0"/>
              <w:sz w:val="24"/>
              <w:szCs w:val="24"/>
            </w:rPr>
            <w:instrText xml:space="preserve"> PAGEREF _Toc11300 </w:instrText>
          </w:r>
          <w:r>
            <w:rPr>
              <w:rFonts w:hint="eastAsia" w:ascii="宋体" w:hAnsi="宋体" w:cs="黑体"/>
              <w:kern w:val="0"/>
              <w:sz w:val="24"/>
              <w:szCs w:val="24"/>
            </w:rPr>
            <w:fldChar w:fldCharType="separate"/>
          </w:r>
          <w:r>
            <w:rPr>
              <w:rFonts w:hint="eastAsia" w:ascii="宋体" w:hAnsi="宋体" w:cs="黑体"/>
              <w:kern w:val="0"/>
              <w:sz w:val="24"/>
              <w:szCs w:val="24"/>
            </w:rPr>
            <w:t>86</w:t>
          </w:r>
          <w:r>
            <w:rPr>
              <w:rFonts w:hint="eastAsia" w:ascii="宋体" w:hAnsi="宋体" w:cs="黑体"/>
              <w:kern w:val="0"/>
              <w:sz w:val="24"/>
              <w:szCs w:val="24"/>
            </w:rPr>
            <w:fldChar w:fldCharType="end"/>
          </w:r>
          <w:r>
            <w:rPr>
              <w:rFonts w:hint="eastAsia" w:ascii="宋体" w:hAnsi="宋体" w:cs="黑体"/>
              <w:kern w:val="0"/>
              <w:sz w:val="24"/>
              <w:szCs w:val="24"/>
            </w:rPr>
            <w:fldChar w:fldCharType="end"/>
          </w:r>
        </w:p>
        <w:p>
          <w:pPr>
            <w:autoSpaceDE w:val="0"/>
            <w:autoSpaceDN w:val="0"/>
            <w:adjustRightInd w:val="0"/>
            <w:snapToGrid w:val="0"/>
            <w:spacing w:afterLines="50" w:line="440" w:lineRule="exact"/>
            <w:outlineLvl w:val="0"/>
            <w:rPr>
              <w:rFonts w:ascii="宋体" w:hAnsi="宋体" w:cs="黑体"/>
              <w:kern w:val="0"/>
              <w:sz w:val="32"/>
              <w:szCs w:val="32"/>
            </w:rPr>
            <w:sectPr>
              <w:pgSz w:w="11906" w:h="16838"/>
              <w:pgMar w:top="1440" w:right="1247" w:bottom="1361" w:left="1247" w:header="851" w:footer="992" w:gutter="0"/>
              <w:cols w:space="720" w:num="1"/>
              <w:docGrid w:type="lines" w:linePitch="312" w:charSpace="0"/>
            </w:sectPr>
          </w:pPr>
          <w:r>
            <w:rPr>
              <w:rFonts w:ascii="宋体" w:hAnsi="宋体" w:cs="黑体"/>
              <w:kern w:val="0"/>
              <w:szCs w:val="32"/>
            </w:rPr>
            <w:fldChar w:fldCharType="end"/>
          </w:r>
        </w:p>
      </w:sdtContent>
    </w:sdt>
    <w:p>
      <w:pPr>
        <w:autoSpaceDE w:val="0"/>
        <w:autoSpaceDN w:val="0"/>
        <w:adjustRightInd w:val="0"/>
        <w:snapToGrid w:val="0"/>
        <w:spacing w:afterLines="50"/>
        <w:jc w:val="center"/>
        <w:outlineLvl w:val="0"/>
        <w:rPr>
          <w:rFonts w:ascii="宋体" w:hAnsi="宋体" w:cs="黑体"/>
          <w:b/>
          <w:bCs/>
          <w:kern w:val="0"/>
          <w:sz w:val="32"/>
          <w:szCs w:val="32"/>
        </w:rPr>
      </w:pPr>
      <w:bookmarkStart w:id="1" w:name="_Toc7980"/>
      <w:r>
        <w:rPr>
          <w:rFonts w:hint="eastAsia" w:ascii="宋体" w:hAnsi="宋体" w:cs="黑体"/>
          <w:b/>
          <w:bCs/>
          <w:kern w:val="0"/>
          <w:sz w:val="32"/>
          <w:szCs w:val="32"/>
        </w:rPr>
        <w:t>第一章  竞争性谈判公告</w:t>
      </w:r>
      <w:bookmarkEnd w:id="1"/>
    </w:p>
    <w:p>
      <w:pPr>
        <w:jc w:val="center"/>
        <w:rPr>
          <w:sz w:val="24"/>
        </w:rPr>
      </w:pPr>
    </w:p>
    <w:p>
      <w:pPr>
        <w:jc w:val="center"/>
        <w:rPr>
          <w:sz w:val="24"/>
        </w:rPr>
      </w:pP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受</w:t>
      </w:r>
      <w:r>
        <w:rPr>
          <w:rFonts w:hint="eastAsia" w:ascii="宋体" w:hAnsi="宋体" w:cs="黑体"/>
          <w:kern w:val="0"/>
          <w:sz w:val="24"/>
          <w:u w:val="single"/>
        </w:rPr>
        <w:t xml:space="preserve"> 文昌市生态环境保护局 </w:t>
      </w:r>
      <w:r>
        <w:rPr>
          <w:rFonts w:hint="eastAsia" w:ascii="宋体" w:hAnsi="宋体" w:cs="黑体"/>
          <w:kern w:val="0"/>
          <w:sz w:val="24"/>
        </w:rPr>
        <w:t>委托，国信招标集团股份有限公司对</w:t>
      </w:r>
      <w:r>
        <w:rPr>
          <w:rFonts w:hint="eastAsia" w:ascii="宋体" w:hAnsi="宋体" w:cs="黑体"/>
          <w:kern w:val="0"/>
          <w:sz w:val="24"/>
          <w:u w:val="single"/>
        </w:rPr>
        <w:t xml:space="preserve">文昌市潭牛镇大庙村农村生活污水治理项目 </w:t>
      </w:r>
      <w:r>
        <w:rPr>
          <w:rFonts w:hint="eastAsia" w:ascii="宋体" w:hAnsi="宋体" w:cs="黑体"/>
          <w:kern w:val="0"/>
          <w:sz w:val="24"/>
          <w:lang w:eastAsia="zh-CN"/>
        </w:rPr>
        <w:t>施工</w:t>
      </w:r>
      <w:r>
        <w:rPr>
          <w:rFonts w:hint="eastAsia" w:ascii="宋体" w:hAnsi="宋体" w:cs="黑体"/>
          <w:kern w:val="0"/>
          <w:sz w:val="24"/>
        </w:rPr>
        <w:t>（项目编号：GXTC-CZ-1885004）以竞争性谈判采购方式组织采购，欢迎符合条件的供应商参加谈判。</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采购项目的名称、预算金额及最高限价</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采购项目名称：文昌市潭牛镇大庙村农村生活污水治理项目；</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预算编号：Z210218001136；</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预算金额：836606.82元；</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最高限价：836606.82元。</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项目概况</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建设地点：海南省文昌市潭牛镇大庙村；</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采购范围：文昌市潭牛镇大庙村农村生活污水治理项目</w:t>
      </w:r>
      <w:r>
        <w:rPr>
          <w:rFonts w:hint="eastAsia" w:ascii="宋体" w:hAnsi="宋体" w:cs="黑体"/>
          <w:kern w:val="0"/>
          <w:sz w:val="24"/>
          <w:lang w:eastAsia="zh-CN"/>
        </w:rPr>
        <w:t>包括土石方工程、管道工程、土建工程、道路工程、安装工程，</w:t>
      </w:r>
      <w:r>
        <w:rPr>
          <w:rFonts w:hint="eastAsia" w:ascii="宋体" w:hAnsi="宋体" w:cs="黑体"/>
          <w:kern w:val="0"/>
          <w:sz w:val="24"/>
        </w:rPr>
        <w:t>具体详见工程量清单；</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工期：60日历天；</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计划开工日期：2018年12月12日；</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计划竣工日期：2019年2月</w:t>
      </w:r>
      <w:r>
        <w:rPr>
          <w:rFonts w:hint="eastAsia" w:ascii="宋体" w:hAnsi="宋体" w:cs="黑体"/>
          <w:kern w:val="0"/>
          <w:sz w:val="24"/>
          <w:lang w:val="en-US" w:eastAsia="zh-CN"/>
        </w:rPr>
        <w:t>9</w:t>
      </w:r>
      <w:r>
        <w:rPr>
          <w:rFonts w:hint="eastAsia" w:ascii="宋体" w:hAnsi="宋体" w:cs="黑体"/>
          <w:kern w:val="0"/>
          <w:sz w:val="24"/>
        </w:rPr>
        <w:t>日；</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ascii="宋体" w:hAnsi="宋体" w:cs="黑体"/>
          <w:kern w:val="0"/>
          <w:sz w:val="24"/>
        </w:rPr>
        <w:t>质量要求</w:t>
      </w:r>
      <w:r>
        <w:rPr>
          <w:rFonts w:hint="eastAsia" w:ascii="宋体" w:hAnsi="宋体" w:cs="黑体"/>
          <w:kern w:val="0"/>
          <w:sz w:val="24"/>
        </w:rPr>
        <w:t>：合格。</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采购项目执行政府采购政策</w:t>
      </w:r>
    </w:p>
    <w:p>
      <w:pPr>
        <w:tabs>
          <w:tab w:val="left" w:pos="709"/>
        </w:tabs>
        <w:autoSpaceDE w:val="0"/>
        <w:autoSpaceDN w:val="0"/>
        <w:adjustRightInd w:val="0"/>
        <w:snapToGrid w:val="0"/>
        <w:spacing w:line="440" w:lineRule="exact"/>
        <w:ind w:left="708" w:leftChars="337"/>
        <w:rPr>
          <w:sz w:val="24"/>
        </w:rPr>
      </w:pPr>
      <w:r>
        <w:rPr>
          <w:rFonts w:hint="eastAsia" w:ascii="宋体" w:hAnsi="宋体" w:cs="黑体"/>
          <w:kern w:val="0"/>
          <w:sz w:val="24"/>
        </w:rPr>
        <w:t>对小微企业的产品给予价格扣除（监狱企业、残疾人福利性单位视同小微企业；残疾人福利性单位属于小型、微型企业的，不重复享受政策）。</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供应商资格要求</w:t>
      </w:r>
    </w:p>
    <w:p>
      <w:pPr>
        <w:pStyle w:val="256"/>
        <w:numPr>
          <w:ilvl w:val="0"/>
          <w:numId w:val="2"/>
        </w:numPr>
        <w:tabs>
          <w:tab w:val="left" w:pos="709"/>
        </w:tabs>
        <w:autoSpaceDE w:val="0"/>
        <w:autoSpaceDN w:val="0"/>
        <w:adjustRightInd w:val="0"/>
        <w:snapToGrid w:val="0"/>
        <w:spacing w:line="440" w:lineRule="exact"/>
        <w:ind w:left="1276" w:hanging="567" w:firstLineChars="0"/>
        <w:rPr>
          <w:rFonts w:cs="黑体" w:asciiTheme="minorEastAsia" w:hAnsiTheme="minorEastAsia" w:eastAsiaTheme="minorEastAsia"/>
          <w:kern w:val="0"/>
          <w:sz w:val="24"/>
        </w:rPr>
      </w:pPr>
      <w:r>
        <w:rPr>
          <w:rFonts w:hint="eastAsia" w:asciiTheme="minorEastAsia" w:hAnsiTheme="minorEastAsia" w:eastAsiaTheme="minorEastAsia"/>
          <w:sz w:val="24"/>
        </w:rPr>
        <w:t>符合《中华人民共和国政府采购法》第二十二条（一）至（六）的规定，即：</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具有独立承担民事责任的能力；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具有良好的商业信誉和健全的财务会计制度；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具有履行合同所必需的设备和专业技术能力；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有依法缴纳税收和社会保障资金的良好记录；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参加政府采购活动前三年内，在经营活动中没有重大违法记录（重大违法记录是指供应商因违法经营受到刑事处罚或者责令停产停业、吊销许可证或者执照、较大数额罚款等行政处罚）； </w:t>
      </w:r>
    </w:p>
    <w:p>
      <w:pPr>
        <w:pStyle w:val="256"/>
        <w:numPr>
          <w:ilvl w:val="0"/>
          <w:numId w:val="3"/>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法律、行政法规规定的其他条件。</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供应商的特定资格条件：</w:t>
      </w:r>
    </w:p>
    <w:p>
      <w:pPr>
        <w:pStyle w:val="256"/>
        <w:numPr>
          <w:ilvl w:val="0"/>
          <w:numId w:val="4"/>
        </w:numPr>
        <w:tabs>
          <w:tab w:val="left" w:pos="709"/>
        </w:tabs>
        <w:autoSpaceDE w:val="0"/>
        <w:autoSpaceDN w:val="0"/>
        <w:adjustRightInd w:val="0"/>
        <w:snapToGrid w:val="0"/>
        <w:spacing w:line="440" w:lineRule="exact"/>
        <w:ind w:left="2127" w:hanging="846" w:firstLineChars="0"/>
        <w:rPr>
          <w:rFonts w:asciiTheme="minorEastAsia" w:hAnsiTheme="minorEastAsia" w:eastAsiaTheme="minorEastAsia"/>
          <w:sz w:val="24"/>
        </w:rPr>
      </w:pPr>
      <w:r>
        <w:rPr>
          <w:rFonts w:hint="eastAsia" w:asciiTheme="minorEastAsia" w:hAnsiTheme="minorEastAsia" w:eastAsiaTheme="minorEastAsia"/>
          <w:sz w:val="24"/>
        </w:rPr>
        <w:t>在中华人民共和国注册的、具有独立承担民事责任能力的法人和有效的安全生产许可证，具备市政公用工程施工总承包叁级或以上资质；</w:t>
      </w:r>
    </w:p>
    <w:p>
      <w:pPr>
        <w:pStyle w:val="256"/>
        <w:numPr>
          <w:ilvl w:val="0"/>
          <w:numId w:val="4"/>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拟派项目经理须具备市政公用工程专业二级及以上注册建造师执业资格，且未担任其他在施建设工程项目的项目经理；</w:t>
      </w:r>
    </w:p>
    <w:p>
      <w:pPr>
        <w:pStyle w:val="256"/>
        <w:numPr>
          <w:ilvl w:val="0"/>
          <w:numId w:val="4"/>
        </w:numPr>
        <w:tabs>
          <w:tab w:val="left" w:pos="709"/>
        </w:tabs>
        <w:autoSpaceDE w:val="0"/>
        <w:autoSpaceDN w:val="0"/>
        <w:adjustRightInd w:val="0"/>
        <w:snapToGrid w:val="0"/>
        <w:spacing w:line="440" w:lineRule="exact"/>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供应商须在海南省住房和城乡建设厅海南省房屋建筑工程全过程监管信息平台完成《海南省建筑企业诚信档案手册》登记，提供打印生成诚信档案手册；</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宋体" w:hAnsi="宋体" w:cs="宋体"/>
          <w:kern w:val="0"/>
          <w:sz w:val="24"/>
          <w:szCs w:val="24"/>
        </w:rPr>
        <w:t>被“信用中国”网站（</w:t>
      </w:r>
      <w:r>
        <w:fldChar w:fldCharType="begin"/>
      </w:r>
      <w:r>
        <w:instrText xml:space="preserve"> HYPERLINK "http://www.creditchina.gov.cn）中列入失信被执行人和/" </w:instrText>
      </w:r>
      <w:r>
        <w:fldChar w:fldCharType="separate"/>
      </w:r>
      <w:r>
        <w:rPr>
          <w:rStyle w:val="82"/>
          <w:rFonts w:hint="default"/>
          <w:color w:val="auto"/>
          <w:kern w:val="0"/>
          <w:sz w:val="24"/>
          <w:szCs w:val="24"/>
        </w:rPr>
        <w:t>www.creditchina.gov.cn）中列入失信被执行人和</w:t>
      </w:r>
      <w:r>
        <w:rPr>
          <w:rStyle w:val="82"/>
          <w:rFonts w:hint="default"/>
          <w:color w:val="auto"/>
          <w:kern w:val="0"/>
          <w:sz w:val="24"/>
          <w:szCs w:val="24"/>
        </w:rPr>
        <w:fldChar w:fldCharType="end"/>
      </w:r>
      <w:r>
        <w:rPr>
          <w:rFonts w:hint="eastAsia" w:ascii="宋体" w:hAnsi="宋体" w:cs="宋体"/>
          <w:kern w:val="0"/>
          <w:sz w:val="24"/>
          <w:szCs w:val="24"/>
        </w:rPr>
        <w:t>重大税收违法案件当事人名单的供应商、被中国政府采购网（www.ccgp.gov.cn）列入政府采购严重违法失信行为记录名单中被财政部门禁止参加政府采购活动的供应商（处罚决定规定的时间和地域范围内），无资格</w:t>
      </w:r>
      <w:r>
        <w:rPr>
          <w:rFonts w:hint="eastAsia" w:asciiTheme="minorEastAsia" w:hAnsiTheme="minorEastAsia" w:eastAsiaTheme="minorEastAsia" w:cstheme="minorEastAsia"/>
          <w:sz w:val="24"/>
          <w:szCs w:val="24"/>
        </w:rPr>
        <w:t>参加本项目的采购活动。</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单位负责人为同一人或者存在控股、管理关系的不同单位，不得同时参加本项目的谈判。为本项目提供整体设计、规范编制或者项目管理、监理、检测等服务的供应商，不得再参加本项目谈判。</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本项目不接受联合体。</w:t>
      </w:r>
    </w:p>
    <w:p>
      <w:pPr>
        <w:pStyle w:val="256"/>
        <w:numPr>
          <w:ilvl w:val="0"/>
          <w:numId w:val="2"/>
        </w:numPr>
        <w:tabs>
          <w:tab w:val="left" w:pos="709"/>
        </w:tabs>
        <w:autoSpaceDE w:val="0"/>
        <w:autoSpaceDN w:val="0"/>
        <w:adjustRightInd w:val="0"/>
        <w:snapToGrid w:val="0"/>
        <w:spacing w:line="440" w:lineRule="exact"/>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向采购代理机构购买了谈判文件并登记备案。</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获取谈判文件的时间期限、地点、方式及售价</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凡有意参加谈判者，请</w:t>
      </w:r>
      <w:r>
        <w:rPr>
          <w:rFonts w:hint="eastAsia" w:ascii="宋体" w:hAnsi="宋体" w:cs="黑体"/>
          <w:color w:val="auto"/>
          <w:kern w:val="0"/>
          <w:sz w:val="24"/>
          <w:highlight w:val="none"/>
        </w:rPr>
        <w:t>于2018年11月</w:t>
      </w:r>
      <w:r>
        <w:rPr>
          <w:rFonts w:hint="eastAsia" w:ascii="宋体" w:hAnsi="宋体" w:cs="黑体"/>
          <w:color w:val="auto"/>
          <w:kern w:val="0"/>
          <w:sz w:val="24"/>
          <w:highlight w:val="none"/>
          <w:lang w:val="en-US" w:eastAsia="zh-CN"/>
        </w:rPr>
        <w:t>28</w:t>
      </w:r>
      <w:r>
        <w:rPr>
          <w:rFonts w:hint="eastAsia" w:ascii="宋体" w:hAnsi="宋体" w:cs="黑体"/>
          <w:color w:val="auto"/>
          <w:kern w:val="0"/>
          <w:sz w:val="24"/>
          <w:highlight w:val="none"/>
        </w:rPr>
        <w:t>日至2018年1</w:t>
      </w:r>
      <w:r>
        <w:rPr>
          <w:rFonts w:hint="eastAsia" w:ascii="宋体" w:hAnsi="宋体" w:cs="黑体"/>
          <w:color w:val="auto"/>
          <w:kern w:val="0"/>
          <w:sz w:val="24"/>
          <w:highlight w:val="none"/>
          <w:lang w:val="en-US" w:eastAsia="zh-CN"/>
        </w:rPr>
        <w:t>2</w:t>
      </w:r>
      <w:r>
        <w:rPr>
          <w:rFonts w:hint="eastAsia" w:ascii="宋体" w:hAnsi="宋体" w:cs="黑体"/>
          <w:color w:val="auto"/>
          <w:kern w:val="0"/>
          <w:sz w:val="24"/>
          <w:highlight w:val="none"/>
        </w:rPr>
        <w:t>月</w:t>
      </w:r>
      <w:r>
        <w:rPr>
          <w:rFonts w:hint="eastAsia" w:ascii="宋体" w:hAnsi="宋体" w:cs="黑体"/>
          <w:color w:val="auto"/>
          <w:kern w:val="0"/>
          <w:sz w:val="24"/>
          <w:highlight w:val="none"/>
          <w:lang w:val="en-US" w:eastAsia="zh-CN"/>
        </w:rPr>
        <w:t>3</w:t>
      </w:r>
      <w:r>
        <w:rPr>
          <w:rFonts w:hint="eastAsia" w:ascii="宋体" w:hAnsi="宋体" w:cs="黑体"/>
          <w:color w:val="auto"/>
          <w:kern w:val="0"/>
          <w:sz w:val="24"/>
          <w:highlight w:val="none"/>
        </w:rPr>
        <w:t>日</w:t>
      </w:r>
      <w:r>
        <w:rPr>
          <w:rFonts w:hint="eastAsia" w:ascii="宋体" w:hAnsi="宋体" w:cs="黑体"/>
          <w:kern w:val="0"/>
          <w:sz w:val="24"/>
        </w:rPr>
        <w:t>（每日9:00-11:30，13:30-16:00，周六、周日及法定节假日除外），持其法人代表证明及法人代表授权及被授权人的有效身份证明原件及复印件（加盖公章），至</w:t>
      </w:r>
      <w:r>
        <w:rPr>
          <w:rFonts w:hint="eastAsia" w:ascii="宋体" w:hAnsi="宋体" w:cs="黑体"/>
          <w:kern w:val="0"/>
          <w:sz w:val="24"/>
          <w:u w:val="single"/>
        </w:rPr>
        <w:t>海口市美兰区美</w:t>
      </w:r>
      <w:r>
        <w:rPr>
          <w:rFonts w:hint="eastAsia" w:ascii="宋体" w:hAnsi="宋体" w:cs="黑体"/>
          <w:kern w:val="0"/>
          <w:sz w:val="24"/>
          <w:u w:val="single"/>
          <w:lang w:eastAsia="zh-CN"/>
        </w:rPr>
        <w:t>祥</w:t>
      </w:r>
      <w:r>
        <w:rPr>
          <w:rFonts w:hint="eastAsia" w:ascii="宋体" w:hAnsi="宋体" w:cs="黑体"/>
          <w:kern w:val="0"/>
          <w:sz w:val="24"/>
          <w:u w:val="single"/>
        </w:rPr>
        <w:t>路鑫福大厦802室</w:t>
      </w:r>
      <w:r>
        <w:rPr>
          <w:rFonts w:hint="eastAsia" w:ascii="宋体" w:hAnsi="宋体" w:cs="黑体"/>
          <w:kern w:val="0"/>
          <w:sz w:val="24"/>
        </w:rPr>
        <w:t>办理报名并获取谈判文件。</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谈判文件售价：人民币</w:t>
      </w:r>
      <w:r>
        <w:rPr>
          <w:rFonts w:hint="eastAsia" w:ascii="宋体" w:hAnsi="宋体" w:cs="黑体"/>
          <w:kern w:val="0"/>
          <w:sz w:val="24"/>
          <w:u w:val="single"/>
        </w:rPr>
        <w:t xml:space="preserve"> 300 </w:t>
      </w:r>
      <w:r>
        <w:rPr>
          <w:rFonts w:hint="eastAsia" w:ascii="宋体" w:hAnsi="宋体" w:cs="黑体"/>
          <w:kern w:val="0"/>
          <w:sz w:val="24"/>
        </w:rPr>
        <w:t>元，</w:t>
      </w:r>
      <w:r>
        <w:rPr>
          <w:rFonts w:hint="eastAsia" w:ascii="宋体" w:hAnsi="宋体" w:cs="黑体"/>
          <w:kern w:val="0"/>
          <w:sz w:val="24"/>
          <w:lang w:eastAsia="zh-CN"/>
        </w:rPr>
        <w:t>图纸押金</w:t>
      </w:r>
      <w:r>
        <w:rPr>
          <w:rFonts w:hint="eastAsia" w:ascii="宋体" w:hAnsi="宋体" w:cs="黑体"/>
          <w:kern w:val="0"/>
          <w:sz w:val="24"/>
          <w:u w:val="single"/>
          <w:lang w:val="en-US" w:eastAsia="zh-CN"/>
        </w:rPr>
        <w:t xml:space="preserve"> 0 </w:t>
      </w:r>
      <w:r>
        <w:rPr>
          <w:rFonts w:hint="eastAsia" w:ascii="宋体" w:hAnsi="宋体" w:cs="黑体"/>
          <w:kern w:val="0"/>
          <w:sz w:val="24"/>
          <w:lang w:val="en-US" w:eastAsia="zh-CN"/>
        </w:rPr>
        <w:t>元，</w:t>
      </w:r>
      <w:r>
        <w:rPr>
          <w:rFonts w:hint="eastAsia" w:ascii="宋体" w:hAnsi="宋体" w:cs="黑体"/>
          <w:kern w:val="0"/>
          <w:sz w:val="24"/>
        </w:rPr>
        <w:t>售后不退。</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公告发布媒介及公告期限</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本竞争性谈判公告在中国政府采购网（</w:t>
      </w:r>
      <w:r>
        <w:fldChar w:fldCharType="begin"/>
      </w:r>
      <w:r>
        <w:instrText xml:space="preserve"> HYPERLINK "http://www.ccgp.gov.cn）、" </w:instrText>
      </w:r>
      <w:r>
        <w:fldChar w:fldCharType="separate"/>
      </w:r>
      <w:r>
        <w:rPr>
          <w:rStyle w:val="82"/>
          <w:rFonts w:hint="default" w:cs="黑体"/>
          <w:color w:val="auto"/>
          <w:kern w:val="0"/>
          <w:sz w:val="24"/>
          <w:u w:val="none"/>
        </w:rPr>
        <w:t>www.ccgp.gov.cn）、</w:t>
      </w:r>
      <w:r>
        <w:rPr>
          <w:rStyle w:val="82"/>
          <w:rFonts w:hint="default" w:cs="黑体"/>
          <w:color w:val="auto"/>
          <w:kern w:val="0"/>
          <w:sz w:val="24"/>
          <w:u w:val="none"/>
        </w:rPr>
        <w:fldChar w:fldCharType="end"/>
      </w:r>
      <w:r>
        <w:rPr>
          <w:rFonts w:hint="eastAsia" w:ascii="宋体" w:hAnsi="宋体" w:cs="黑体"/>
          <w:kern w:val="0"/>
          <w:sz w:val="24"/>
        </w:rPr>
        <w:t>及 中国海南政府采购网（www.ccgp-hainan.gov.cn</w:t>
      </w:r>
      <w:r>
        <w:rPr>
          <w:rFonts w:ascii="宋体" w:hAnsi="宋体" w:cs="黑体"/>
          <w:kern w:val="0"/>
          <w:sz w:val="24"/>
        </w:rPr>
        <w:t>）</w:t>
      </w:r>
      <w:r>
        <w:rPr>
          <w:rFonts w:hint="eastAsia" w:ascii="宋体" w:hAnsi="宋体" w:cs="黑体"/>
          <w:kern w:val="0"/>
          <w:sz w:val="24"/>
        </w:rPr>
        <w:t>上发布。</w:t>
      </w:r>
    </w:p>
    <w:p>
      <w:pPr>
        <w:autoSpaceDE w:val="0"/>
        <w:autoSpaceDN w:val="0"/>
        <w:adjustRightInd w:val="0"/>
        <w:snapToGrid w:val="0"/>
        <w:spacing w:line="440" w:lineRule="exact"/>
        <w:ind w:firstLine="709"/>
        <w:rPr>
          <w:rFonts w:ascii="宋体" w:hAnsi="宋体" w:cs="黑体"/>
          <w:kern w:val="0"/>
          <w:sz w:val="24"/>
        </w:rPr>
      </w:pPr>
      <w:r>
        <w:rPr>
          <w:rFonts w:hint="eastAsia" w:asciiTheme="minorEastAsia" w:hAnsiTheme="minorEastAsia"/>
          <w:sz w:val="24"/>
        </w:rPr>
        <w:t>公告期限：自</w:t>
      </w:r>
      <w:r>
        <w:rPr>
          <w:rFonts w:hint="eastAsia" w:ascii="宋体" w:hAnsi="宋体" w:cs="黑体"/>
          <w:kern w:val="0"/>
          <w:sz w:val="24"/>
        </w:rPr>
        <w:t>中国政府采购网</w:t>
      </w:r>
      <w:r>
        <w:rPr>
          <w:rFonts w:hint="eastAsia" w:asciiTheme="minorEastAsia" w:hAnsiTheme="minorEastAsia"/>
          <w:sz w:val="24"/>
        </w:rPr>
        <w:t>发布公告次日起3个工作日。</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响应文件首次递交截止时间、谈判时间及地点</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响应文件首次递交截止时间：</w:t>
      </w:r>
      <w:r>
        <w:rPr>
          <w:rFonts w:hint="eastAsia" w:ascii="宋体" w:hAnsi="宋体" w:cs="黑体"/>
          <w:kern w:val="0"/>
          <w:sz w:val="24"/>
          <w:highlight w:val="none"/>
        </w:rPr>
        <w:t>2018年12月</w:t>
      </w:r>
      <w:r>
        <w:rPr>
          <w:rFonts w:hint="eastAsia" w:ascii="宋体" w:hAnsi="宋体" w:cs="黑体"/>
          <w:kern w:val="0"/>
          <w:sz w:val="24"/>
          <w:highlight w:val="none"/>
          <w:lang w:val="en-US" w:eastAsia="zh-CN"/>
        </w:rPr>
        <w:t>4</w:t>
      </w:r>
      <w:r>
        <w:rPr>
          <w:rFonts w:hint="eastAsia" w:ascii="宋体" w:hAnsi="宋体" w:cs="黑体"/>
          <w:kern w:val="0"/>
          <w:sz w:val="24"/>
          <w:highlight w:val="none"/>
        </w:rPr>
        <w:t>日</w:t>
      </w:r>
      <w:r>
        <w:rPr>
          <w:rFonts w:hint="eastAsia" w:ascii="宋体" w:hAnsi="宋体" w:cs="黑体"/>
          <w:kern w:val="0"/>
          <w:sz w:val="24"/>
          <w:highlight w:val="none"/>
          <w:lang w:val="en-US" w:eastAsia="zh-CN"/>
        </w:rPr>
        <w:t>9</w:t>
      </w:r>
      <w:r>
        <w:rPr>
          <w:rFonts w:hint="eastAsia" w:ascii="宋体" w:hAnsi="宋体" w:cs="黑体"/>
          <w:kern w:val="0"/>
          <w:sz w:val="24"/>
          <w:highlight w:val="none"/>
        </w:rPr>
        <w:t xml:space="preserve"> 时</w:t>
      </w:r>
      <w:r>
        <w:rPr>
          <w:rFonts w:hint="eastAsia" w:ascii="宋体" w:hAnsi="宋体" w:cs="黑体"/>
          <w:kern w:val="0"/>
          <w:sz w:val="24"/>
          <w:highlight w:val="none"/>
          <w:lang w:val="en-US" w:eastAsia="zh-CN"/>
        </w:rPr>
        <w:t>00</w:t>
      </w:r>
      <w:r>
        <w:rPr>
          <w:rFonts w:hint="eastAsia" w:ascii="宋体" w:hAnsi="宋体" w:cs="黑体"/>
          <w:kern w:val="0"/>
          <w:sz w:val="24"/>
          <w:highlight w:val="none"/>
        </w:rPr>
        <w:t>分</w:t>
      </w:r>
      <w:r>
        <w:rPr>
          <w:rFonts w:hint="eastAsia" w:ascii="宋体" w:hAnsi="宋体" w:cs="黑体"/>
          <w:kern w:val="0"/>
          <w:sz w:val="24"/>
        </w:rPr>
        <w:t>；</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谈判时间</w:t>
      </w:r>
      <w:r>
        <w:rPr>
          <w:rFonts w:hint="eastAsia" w:ascii="宋体" w:hAnsi="宋体" w:cs="黑体"/>
          <w:kern w:val="0"/>
          <w:sz w:val="24"/>
          <w:highlight w:val="none"/>
        </w:rPr>
        <w:t>：2018年12月</w:t>
      </w:r>
      <w:r>
        <w:rPr>
          <w:rFonts w:hint="eastAsia" w:ascii="宋体" w:hAnsi="宋体" w:cs="黑体"/>
          <w:kern w:val="0"/>
          <w:sz w:val="24"/>
          <w:highlight w:val="none"/>
          <w:lang w:val="en-US" w:eastAsia="zh-CN"/>
        </w:rPr>
        <w:t>4</w:t>
      </w:r>
      <w:r>
        <w:rPr>
          <w:rFonts w:hint="eastAsia" w:ascii="宋体" w:hAnsi="宋体" w:cs="黑体"/>
          <w:kern w:val="0"/>
          <w:sz w:val="24"/>
          <w:highlight w:val="none"/>
        </w:rPr>
        <w:t>日</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响应文件首次递交和谈判地点：海口市美兰区美</w:t>
      </w:r>
      <w:r>
        <w:rPr>
          <w:rFonts w:hint="eastAsia" w:ascii="宋体" w:hAnsi="宋体" w:cs="黑体"/>
          <w:kern w:val="0"/>
          <w:sz w:val="24"/>
          <w:lang w:eastAsia="zh-CN"/>
        </w:rPr>
        <w:t>祥</w:t>
      </w:r>
      <w:r>
        <w:rPr>
          <w:rFonts w:hint="eastAsia" w:ascii="宋体" w:hAnsi="宋体" w:cs="黑体"/>
          <w:kern w:val="0"/>
          <w:sz w:val="24"/>
        </w:rPr>
        <w:t>路鑫福大厦802室</w:t>
      </w:r>
    </w:p>
    <w:p>
      <w:pPr>
        <w:numPr>
          <w:ilvl w:val="0"/>
          <w:numId w:val="1"/>
        </w:numPr>
        <w:tabs>
          <w:tab w:val="left" w:pos="709"/>
        </w:tabs>
        <w:autoSpaceDE w:val="0"/>
        <w:autoSpaceDN w:val="0"/>
        <w:adjustRightInd w:val="0"/>
        <w:snapToGrid w:val="0"/>
        <w:spacing w:line="440" w:lineRule="exact"/>
        <w:ind w:left="709" w:hanging="709"/>
        <w:rPr>
          <w:rFonts w:ascii="宋体" w:hAnsi="宋体" w:cs="黑体"/>
          <w:kern w:val="0"/>
          <w:sz w:val="24"/>
        </w:rPr>
      </w:pPr>
      <w:r>
        <w:rPr>
          <w:rFonts w:hint="eastAsia" w:ascii="宋体" w:hAnsi="宋体" w:cs="黑体"/>
          <w:kern w:val="0"/>
          <w:sz w:val="24"/>
        </w:rPr>
        <w:t>采购人及其委托的采购代理机构的名称、地址和联系方法</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采 购 人：文昌市生态环境保护局</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地    址：文昌市文清大道与清澜路交叉口</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联 系 人：徐主任</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电    话：0898-63330081</w:t>
      </w:r>
    </w:p>
    <w:p>
      <w:pPr>
        <w:tabs>
          <w:tab w:val="left" w:pos="709"/>
        </w:tabs>
        <w:autoSpaceDE w:val="0"/>
        <w:autoSpaceDN w:val="0"/>
        <w:adjustRightInd w:val="0"/>
        <w:snapToGrid w:val="0"/>
        <w:spacing w:line="440" w:lineRule="exact"/>
        <w:ind w:left="708" w:leftChars="337"/>
        <w:rPr>
          <w:rFonts w:ascii="宋体" w:hAnsi="宋体" w:cs="黑体"/>
          <w:kern w:val="0"/>
          <w:sz w:val="24"/>
        </w:rPr>
      </w:pP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 xml:space="preserve">采购代理机构：国信招标集团股份有限公司 </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项目执行机构：国信招标集团股份有限公司海南分公司</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 xml:space="preserve">地    址：海南省海口市美兰区国兴大道美祥路8号鑫福大厦8楼802  </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联 系 人：颜女士、梁先生</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电    话：0898-65379547</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邮    编：570100</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传    真：0898-65379547</w:t>
      </w:r>
    </w:p>
    <w:p>
      <w:pPr>
        <w:tabs>
          <w:tab w:val="left" w:pos="709"/>
        </w:tabs>
        <w:autoSpaceDE w:val="0"/>
        <w:autoSpaceDN w:val="0"/>
        <w:adjustRightInd w:val="0"/>
        <w:snapToGrid w:val="0"/>
        <w:spacing w:line="440" w:lineRule="exact"/>
        <w:ind w:left="708" w:leftChars="337"/>
        <w:rPr>
          <w:rFonts w:ascii="宋体" w:hAnsi="宋体" w:cs="黑体"/>
          <w:kern w:val="0"/>
          <w:sz w:val="24"/>
        </w:rPr>
      </w:pP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账户名称：国信招标集团股份有限公司海南分公司</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开户银行：交通银行海南省分行营业部</w:t>
      </w:r>
    </w:p>
    <w:p>
      <w:pPr>
        <w:tabs>
          <w:tab w:val="left" w:pos="709"/>
        </w:tabs>
        <w:autoSpaceDE w:val="0"/>
        <w:autoSpaceDN w:val="0"/>
        <w:adjustRightInd w:val="0"/>
        <w:snapToGrid w:val="0"/>
        <w:spacing w:line="440" w:lineRule="exact"/>
        <w:ind w:left="708" w:leftChars="337"/>
        <w:rPr>
          <w:rFonts w:ascii="宋体" w:hAnsi="宋体" w:cs="黑体"/>
          <w:kern w:val="0"/>
          <w:sz w:val="24"/>
        </w:rPr>
      </w:pPr>
      <w:r>
        <w:rPr>
          <w:rFonts w:hint="eastAsia" w:ascii="宋体" w:hAnsi="宋体" w:cs="黑体"/>
          <w:kern w:val="0"/>
          <w:sz w:val="24"/>
        </w:rPr>
        <w:t>账    号： 4616 0010 0018 0102 7719 2</w:t>
      </w:r>
    </w:p>
    <w:p>
      <w:pPr>
        <w:tabs>
          <w:tab w:val="left" w:pos="709"/>
        </w:tabs>
        <w:autoSpaceDE w:val="0"/>
        <w:autoSpaceDN w:val="0"/>
        <w:adjustRightInd w:val="0"/>
        <w:snapToGrid w:val="0"/>
        <w:spacing w:line="440" w:lineRule="exact"/>
        <w:ind w:left="708" w:leftChars="337"/>
        <w:rPr>
          <w:rFonts w:ascii="宋体" w:hAnsi="宋体" w:cs="黑体"/>
          <w:b/>
          <w:bCs/>
          <w:kern w:val="0"/>
          <w:sz w:val="24"/>
        </w:rPr>
      </w:pPr>
      <w:r>
        <w:rPr>
          <w:rFonts w:hint="eastAsia" w:ascii="宋体" w:hAnsi="宋体" w:cs="黑体"/>
          <w:b/>
          <w:bCs/>
          <w:kern w:val="0"/>
          <w:sz w:val="24"/>
        </w:rPr>
        <w:t>（此账户为标书款账户）</w:t>
      </w:r>
    </w:p>
    <w:p>
      <w:pPr>
        <w:tabs>
          <w:tab w:val="left" w:pos="709"/>
        </w:tabs>
        <w:autoSpaceDE w:val="0"/>
        <w:autoSpaceDN w:val="0"/>
        <w:adjustRightInd w:val="0"/>
        <w:snapToGrid w:val="0"/>
        <w:spacing w:line="440" w:lineRule="exact"/>
        <w:ind w:left="708" w:leftChars="337"/>
        <w:rPr>
          <w:rFonts w:ascii="宋体" w:hAnsi="宋体" w:cs="黑体"/>
          <w:b/>
          <w:bCs/>
          <w:kern w:val="0"/>
          <w:szCs w:val="21"/>
        </w:rPr>
      </w:pPr>
      <w:r>
        <w:rPr>
          <w:rFonts w:hint="eastAsia" w:ascii="宋体" w:hAnsi="宋体" w:cs="黑体"/>
          <w:b/>
          <w:bCs/>
          <w:kern w:val="0"/>
          <w:sz w:val="18"/>
          <w:szCs w:val="18"/>
        </w:rPr>
        <w:t>请供应商在汇款时务必注明所参加谈判项目的编号及款项用途，否则，因款项用途不明导致谈判无效等后果由供应商自行承担。</w:t>
      </w:r>
    </w:p>
    <w:p>
      <w:pPr>
        <w:tabs>
          <w:tab w:val="left" w:pos="709"/>
        </w:tabs>
        <w:autoSpaceDE w:val="0"/>
        <w:autoSpaceDN w:val="0"/>
        <w:adjustRightInd w:val="0"/>
        <w:snapToGrid w:val="0"/>
        <w:spacing w:line="440" w:lineRule="exact"/>
        <w:ind w:left="708" w:leftChars="337"/>
        <w:rPr>
          <w:rFonts w:ascii="宋体" w:hAnsi="宋体" w:cs="黑体"/>
          <w:kern w:val="0"/>
          <w:sz w:val="24"/>
        </w:rPr>
      </w:pPr>
    </w:p>
    <w:p>
      <w:r>
        <w:rPr>
          <w:rFonts w:hint="eastAsia"/>
        </w:rPr>
        <w:br w:type="page"/>
      </w:r>
    </w:p>
    <w:p>
      <w:pPr>
        <w:autoSpaceDE w:val="0"/>
        <w:autoSpaceDN w:val="0"/>
        <w:adjustRightInd w:val="0"/>
        <w:snapToGrid w:val="0"/>
        <w:spacing w:afterLines="50"/>
        <w:jc w:val="center"/>
        <w:outlineLvl w:val="0"/>
        <w:rPr>
          <w:rFonts w:ascii="宋体" w:hAnsi="宋体" w:cs="黑体"/>
          <w:kern w:val="0"/>
          <w:sz w:val="32"/>
          <w:szCs w:val="32"/>
        </w:rPr>
      </w:pPr>
      <w:bookmarkStart w:id="2" w:name="_Toc25924"/>
      <w:r>
        <w:rPr>
          <w:rFonts w:hint="eastAsia" w:ascii="宋体" w:hAnsi="宋体" w:cs="黑体"/>
          <w:kern w:val="0"/>
          <w:sz w:val="32"/>
          <w:szCs w:val="32"/>
        </w:rPr>
        <w:t>第二章</w:t>
      </w:r>
      <w:r>
        <w:rPr>
          <w:rFonts w:hint="eastAsia" w:ascii="宋体" w:hAnsi="宋体" w:cs="黑体"/>
          <w:kern w:val="0"/>
          <w:sz w:val="32"/>
          <w:szCs w:val="32"/>
          <w:lang w:val="en-US" w:eastAsia="zh-CN"/>
        </w:rPr>
        <w:t xml:space="preserve">  </w:t>
      </w:r>
      <w:r>
        <w:rPr>
          <w:rFonts w:hint="eastAsia" w:ascii="宋体" w:hAnsi="宋体" w:cs="黑体"/>
          <w:kern w:val="0"/>
          <w:sz w:val="32"/>
          <w:szCs w:val="32"/>
        </w:rPr>
        <w:t>供应商须知</w:t>
      </w:r>
      <w:bookmarkEnd w:id="2"/>
    </w:p>
    <w:p>
      <w:pPr>
        <w:autoSpaceDE w:val="0"/>
        <w:autoSpaceDN w:val="0"/>
        <w:adjustRightInd w:val="0"/>
        <w:snapToGrid w:val="0"/>
        <w:spacing w:afterLines="50"/>
        <w:jc w:val="center"/>
        <w:outlineLvl w:val="1"/>
        <w:rPr>
          <w:rFonts w:ascii="宋体" w:hAnsi="宋体" w:cs="黑体"/>
          <w:kern w:val="0"/>
          <w:sz w:val="28"/>
          <w:szCs w:val="28"/>
        </w:rPr>
      </w:pPr>
      <w:bookmarkStart w:id="3" w:name="_Toc31428"/>
      <w:r>
        <w:rPr>
          <w:rFonts w:hint="eastAsia" w:ascii="宋体" w:hAnsi="宋体" w:cs="黑体"/>
          <w:kern w:val="0"/>
          <w:sz w:val="28"/>
          <w:szCs w:val="28"/>
        </w:rPr>
        <w:t>（一）供应商须知前附表</w:t>
      </w:r>
      <w:bookmarkEnd w:id="3"/>
    </w:p>
    <w:tbl>
      <w:tblPr>
        <w:tblStyle w:val="87"/>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1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条款号</w:t>
            </w:r>
          </w:p>
        </w:tc>
        <w:tc>
          <w:tcPr>
            <w:tcW w:w="2515"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条款名称</w:t>
            </w:r>
          </w:p>
        </w:tc>
        <w:tc>
          <w:tcPr>
            <w:tcW w:w="5675"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0"/>
              </w:rPr>
            </w:pPr>
            <w:r>
              <w:fldChar w:fldCharType="begin"/>
            </w:r>
            <w:r>
              <w:instrText xml:space="preserve"> REF _Ref527101463 \r \h  \* MERGEFORMAT </w:instrText>
            </w:r>
            <w:r>
              <w:fldChar w:fldCharType="separate"/>
            </w:r>
            <w:r>
              <w:rPr>
                <w:rFonts w:ascii="宋体" w:hAnsi="宋体" w:cs="TimesNewRomanPSMT"/>
                <w:kern w:val="0"/>
                <w:sz w:val="20"/>
                <w:szCs w:val="20"/>
              </w:rPr>
              <w:t>1.7</w:t>
            </w:r>
            <w:r>
              <w:rPr>
                <w:rFonts w:ascii="宋体" w:hAnsi="宋体" w:cs="TimesNewRomanPSMT"/>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分包</w:t>
            </w:r>
          </w:p>
        </w:tc>
        <w:tc>
          <w:tcPr>
            <w:tcW w:w="5675" w:type="dxa"/>
            <w:vAlign w:val="center"/>
          </w:tcPr>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bdr w:val="single" w:color="auto" w:sz="4" w:space="0"/>
              </w:rPr>
              <w:t xml:space="preserve"> √ </w:t>
            </w:r>
            <w:r>
              <w:rPr>
                <w:rFonts w:ascii="宋体" w:hAnsi="宋体" w:cs="TimesNewRomanPSMT"/>
                <w:kern w:val="0"/>
                <w:sz w:val="24"/>
              </w:rPr>
              <w:t>不允许</w:t>
            </w:r>
          </w:p>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rPr>
              <w:t>允  许：</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分包内容要求：</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分包金额要求：</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分包人应具有的资质：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 w:val="20"/>
                <w:szCs w:val="20"/>
              </w:rPr>
            </w:pPr>
            <w:r>
              <w:fldChar w:fldCharType="begin"/>
            </w:r>
            <w:r>
              <w:instrText xml:space="preserve"> REF _Ref527633716 \r \h  \* MERGEFORMAT </w:instrText>
            </w:r>
            <w:r>
              <w:fldChar w:fldCharType="separate"/>
            </w:r>
            <w:r>
              <w:rPr>
                <w:rFonts w:ascii="宋体" w:hAnsi="宋体" w:cs="仿宋_GB2312"/>
                <w:kern w:val="0"/>
                <w:sz w:val="20"/>
                <w:szCs w:val="20"/>
              </w:rPr>
              <w:t>1.12.1</w:t>
            </w:r>
            <w:r>
              <w:rPr>
                <w:rFonts w:ascii="宋体" w:hAnsi="宋体" w:cs="仿宋_GB2312"/>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踏勘现场</w:t>
            </w:r>
          </w:p>
        </w:tc>
        <w:tc>
          <w:tcPr>
            <w:tcW w:w="5675" w:type="dxa"/>
            <w:vAlign w:val="center"/>
          </w:tcPr>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bdr w:val="single" w:color="auto" w:sz="4" w:space="0"/>
              </w:rPr>
              <w:t xml:space="preserve"> √ </w:t>
            </w:r>
            <w:r>
              <w:rPr>
                <w:rFonts w:ascii="宋体" w:hAnsi="宋体" w:cs="TimesNewRomanPSMT"/>
                <w:kern w:val="0"/>
                <w:sz w:val="24"/>
              </w:rPr>
              <w:t>不组织</w:t>
            </w:r>
          </w:p>
          <w:p>
            <w:pPr>
              <w:autoSpaceDE w:val="0"/>
              <w:autoSpaceDN w:val="0"/>
              <w:adjustRightInd w:val="0"/>
              <w:snapToGrid w:val="0"/>
              <w:spacing w:line="440" w:lineRule="exact"/>
              <w:jc w:val="left"/>
              <w:rPr>
                <w:rFonts w:ascii="宋体" w:hAnsi="宋体" w:cs="TimesNewRomanPSMT"/>
                <w:kern w:val="0"/>
                <w:sz w:val="24"/>
              </w:rPr>
            </w:pPr>
            <w:r>
              <w:rPr>
                <w:rFonts w:hint="eastAsia" w:ascii="宋体" w:hAnsi="宋体" w:cs="TimesNewRomanPSMT"/>
                <w:kern w:val="0"/>
                <w:sz w:val="24"/>
              </w:rPr>
              <w:t>组  织：</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踏勘时间：</w:t>
            </w:r>
          </w:p>
          <w:p>
            <w:pPr>
              <w:autoSpaceDE w:val="0"/>
              <w:autoSpaceDN w:val="0"/>
              <w:adjustRightInd w:val="0"/>
              <w:snapToGrid w:val="0"/>
              <w:spacing w:line="440" w:lineRule="exact"/>
              <w:ind w:left="311" w:leftChars="148"/>
              <w:jc w:val="left"/>
              <w:rPr>
                <w:rFonts w:ascii="宋体" w:hAnsi="宋体" w:cs="TimesNewRomanPSMT"/>
                <w:kern w:val="0"/>
                <w:sz w:val="24"/>
              </w:rPr>
            </w:pPr>
            <w:r>
              <w:rPr>
                <w:rFonts w:hint="eastAsia" w:ascii="宋体" w:hAnsi="宋体" w:cs="TimesNewRomanPSMT"/>
                <w:kern w:val="0"/>
                <w:sz w:val="24"/>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 w:val="20"/>
                <w:szCs w:val="20"/>
              </w:rPr>
            </w:pPr>
            <w:r>
              <w:fldChar w:fldCharType="begin"/>
            </w:r>
            <w:r>
              <w:instrText xml:space="preserve"> REF _Ref527101604 \r \h  \* MERGEFORMAT </w:instrText>
            </w:r>
            <w:r>
              <w:fldChar w:fldCharType="separate"/>
            </w:r>
            <w:r>
              <w:rPr>
                <w:rFonts w:ascii="宋体" w:hAnsi="宋体" w:cs="仿宋_GB2312"/>
                <w:kern w:val="0"/>
                <w:sz w:val="20"/>
                <w:szCs w:val="20"/>
              </w:rPr>
              <w:t>2.2.2</w:t>
            </w:r>
            <w:r>
              <w:rPr>
                <w:rFonts w:ascii="宋体" w:hAnsi="宋体" w:cs="仿宋_GB2312"/>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供应商询问或要求澄清的截止时间</w:t>
            </w:r>
          </w:p>
        </w:tc>
        <w:tc>
          <w:tcPr>
            <w:tcW w:w="5675" w:type="dxa"/>
            <w:vAlign w:val="center"/>
          </w:tcPr>
          <w:p>
            <w:pPr>
              <w:autoSpaceDE w:val="0"/>
              <w:autoSpaceDN w:val="0"/>
              <w:adjustRightInd w:val="0"/>
              <w:snapToGrid w:val="0"/>
              <w:spacing w:line="440" w:lineRule="exact"/>
              <w:jc w:val="left"/>
              <w:rPr>
                <w:rFonts w:ascii="宋体" w:hAnsi="宋体" w:cs="仿宋_GB2312"/>
                <w:kern w:val="0"/>
                <w:sz w:val="24"/>
              </w:rPr>
            </w:pPr>
            <w:r>
              <w:rPr>
                <w:rFonts w:hint="eastAsia" w:ascii="宋体" w:hAnsi="宋体" w:cs="仿宋_GB2312"/>
                <w:kern w:val="0"/>
                <w:sz w:val="24"/>
                <w:highlight w:val="none"/>
                <w:lang w:val="en-US" w:eastAsia="zh-CN"/>
              </w:rPr>
              <w:t>2018</w:t>
            </w:r>
            <w:r>
              <w:rPr>
                <w:rFonts w:hint="eastAsia" w:ascii="宋体" w:hAnsi="宋体" w:cs="仿宋_GB2312"/>
                <w:kern w:val="0"/>
                <w:sz w:val="24"/>
                <w:highlight w:val="none"/>
              </w:rPr>
              <w:t xml:space="preserve"> 年</w:t>
            </w:r>
            <w:r>
              <w:rPr>
                <w:rFonts w:hint="eastAsia" w:ascii="宋体" w:hAnsi="宋体" w:cs="仿宋_GB2312"/>
                <w:kern w:val="0"/>
                <w:sz w:val="24"/>
                <w:highlight w:val="none"/>
                <w:lang w:val="en-US" w:eastAsia="zh-CN"/>
              </w:rPr>
              <w:t>12</w:t>
            </w:r>
            <w:r>
              <w:rPr>
                <w:rFonts w:hint="eastAsia" w:ascii="宋体" w:hAnsi="宋体" w:cs="仿宋_GB2312"/>
                <w:kern w:val="0"/>
                <w:sz w:val="24"/>
                <w:highlight w:val="none"/>
              </w:rPr>
              <w:t>月</w:t>
            </w:r>
            <w:r>
              <w:rPr>
                <w:rFonts w:hint="eastAsia" w:ascii="宋体" w:hAnsi="宋体" w:cs="仿宋_GB2312"/>
                <w:kern w:val="0"/>
                <w:sz w:val="24"/>
                <w:highlight w:val="none"/>
                <w:lang w:val="en-US" w:eastAsia="zh-CN"/>
              </w:rPr>
              <w:t>3</w:t>
            </w:r>
            <w:r>
              <w:rPr>
                <w:rFonts w:hint="eastAsia" w:ascii="宋体" w:hAnsi="宋体" w:cs="仿宋_GB2312"/>
                <w:kern w:val="0"/>
                <w:sz w:val="24"/>
                <w:highlight w:val="none"/>
              </w:rPr>
              <w:t>日</w:t>
            </w:r>
            <w:r>
              <w:rPr>
                <w:rFonts w:hint="eastAsia" w:ascii="宋体" w:hAnsi="宋体" w:cs="仿宋_GB2312"/>
                <w:kern w:val="0"/>
                <w:sz w:val="24"/>
                <w:highlight w:val="none"/>
                <w:lang w:val="en-US" w:eastAsia="zh-CN"/>
              </w:rPr>
              <w:t>17</w:t>
            </w:r>
            <w:r>
              <w:rPr>
                <w:rFonts w:hint="eastAsia" w:ascii="宋体" w:hAnsi="宋体" w:cs="仿宋_GB2312"/>
                <w:kern w:val="0"/>
                <w:sz w:val="24"/>
                <w:highlight w:val="none"/>
              </w:rPr>
              <w:t>时</w:t>
            </w:r>
            <w:r>
              <w:rPr>
                <w:rFonts w:hint="eastAsia" w:ascii="宋体" w:hAnsi="宋体" w:cs="仿宋_GB2312"/>
                <w:kern w:val="0"/>
                <w:sz w:val="24"/>
                <w:highlight w:val="none"/>
                <w:lang w:val="en-US" w:eastAsia="zh-CN"/>
              </w:rPr>
              <w:t>00</w:t>
            </w:r>
            <w:r>
              <w:rPr>
                <w:rFonts w:hint="eastAsia" w:ascii="宋体" w:hAnsi="宋体" w:cs="仿宋_GB2312"/>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_Ref527101721 \r \h  \* MERGEFORMAT </w:instrText>
            </w:r>
            <w:r>
              <w:fldChar w:fldCharType="separate"/>
            </w:r>
            <w:r>
              <w:rPr>
                <w:rFonts w:ascii="宋体" w:hAnsi="宋体" w:cs="TimesNewRomanPSMT"/>
                <w:kern w:val="0"/>
                <w:sz w:val="20"/>
                <w:szCs w:val="21"/>
              </w:rPr>
              <w:t>2.3</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4" w:name="_Toc3477"/>
            <w:bookmarkStart w:id="5" w:name="_Toc7582"/>
            <w:r>
              <w:rPr>
                <w:rFonts w:hint="eastAsia" w:ascii="宋体" w:hAnsi="宋体" w:cs="仿宋_GB2312"/>
                <w:kern w:val="0"/>
                <w:sz w:val="24"/>
              </w:rPr>
              <w:t>质疑函送达方式</w:t>
            </w:r>
            <w:bookmarkEnd w:id="4"/>
            <w:bookmarkEnd w:id="5"/>
          </w:p>
        </w:tc>
        <w:tc>
          <w:tcPr>
            <w:tcW w:w="5675" w:type="dxa"/>
            <w:vAlign w:val="center"/>
          </w:tcPr>
          <w:p>
            <w:pPr>
              <w:autoSpaceDE w:val="0"/>
              <w:autoSpaceDN w:val="0"/>
              <w:adjustRightInd w:val="0"/>
              <w:snapToGrid w:val="0"/>
              <w:spacing w:line="440" w:lineRule="exact"/>
              <w:ind w:left="27" w:leftChars="13"/>
              <w:rPr>
                <w:rFonts w:ascii="宋体" w:hAnsi="宋体" w:cs="TimesNewRomanPSMT"/>
                <w:kern w:val="0"/>
                <w:sz w:val="24"/>
              </w:rPr>
            </w:pPr>
            <w:r>
              <w:rPr>
                <w:rFonts w:hint="eastAsia" w:ascii="宋体" w:hAnsi="宋体" w:cs="TimesNewRomanPSMT"/>
                <w:kern w:val="0"/>
                <w:sz w:val="24"/>
              </w:rPr>
              <w:t>质疑提出人应将质疑函原件委派专人或通过邮寄方式</w:t>
            </w:r>
            <w:r>
              <w:rPr>
                <w:rFonts w:hint="eastAsia" w:asciiTheme="minorEastAsia" w:hAnsiTheme="minorEastAsia"/>
                <w:sz w:val="24"/>
              </w:rPr>
              <w:t>在知道或者应知其权益受到损害之日起7个工作日内</w:t>
            </w:r>
            <w:r>
              <w:rPr>
                <w:rFonts w:hint="eastAsia" w:ascii="宋体" w:hAnsi="宋体" w:cs="TimesNewRomanPSMT"/>
                <w:kern w:val="0"/>
                <w:sz w:val="24"/>
              </w:rPr>
              <w:t>送达采购代理机构。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_Ref527102185 \r \h  \* MERGEFORMAT </w:instrText>
            </w:r>
            <w:r>
              <w:fldChar w:fldCharType="separate"/>
            </w:r>
            <w:r>
              <w:rPr>
                <w:rFonts w:ascii="宋体" w:hAnsi="宋体" w:cs="TimesNewRomanPSMT"/>
                <w:kern w:val="0"/>
                <w:sz w:val="20"/>
                <w:szCs w:val="21"/>
              </w:rPr>
              <w:t>3.6.1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6" w:name="_Toc195921788"/>
            <w:bookmarkStart w:id="7" w:name="_Toc27779"/>
            <w:bookmarkStart w:id="8" w:name="_Toc31469"/>
            <w:r>
              <w:rPr>
                <w:rFonts w:hint="eastAsia" w:ascii="宋体" w:hAnsi="宋体" w:cs="仿宋_GB2312"/>
                <w:kern w:val="0"/>
                <w:sz w:val="24"/>
              </w:rPr>
              <w:t>响应文件有效期</w:t>
            </w:r>
            <w:bookmarkEnd w:id="6"/>
            <w:bookmarkEnd w:id="7"/>
            <w:bookmarkEnd w:id="8"/>
          </w:p>
        </w:tc>
        <w:tc>
          <w:tcPr>
            <w:tcW w:w="5675" w:type="dxa"/>
            <w:vAlign w:val="center"/>
          </w:tcPr>
          <w:p>
            <w:pPr>
              <w:autoSpaceDE w:val="0"/>
              <w:autoSpaceDN w:val="0"/>
              <w:adjustRightInd w:val="0"/>
              <w:snapToGrid w:val="0"/>
              <w:spacing w:line="440" w:lineRule="exact"/>
              <w:ind w:left="27" w:leftChars="13"/>
              <w:rPr>
                <w:rFonts w:ascii="宋体" w:hAnsi="宋体" w:cs="TimesNewRomanPSMT"/>
                <w:kern w:val="0"/>
                <w:sz w:val="24"/>
              </w:rPr>
            </w:pPr>
            <w:r>
              <w:rPr>
                <w:rFonts w:hint="eastAsia" w:ascii="宋体" w:hAnsi="宋体" w:cs="TimesNewRomanPSMT"/>
                <w:kern w:val="0"/>
                <w:sz w:val="24"/>
              </w:rPr>
              <w:t>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_Ref419361076 \r \h  \* MERGEFORMAT </w:instrText>
            </w:r>
            <w:r>
              <w:fldChar w:fldCharType="separate"/>
            </w:r>
            <w:r>
              <w:rPr>
                <w:rFonts w:ascii="宋体" w:hAnsi="宋体" w:cs="TimesNewRomanPSMT"/>
                <w:kern w:val="0"/>
                <w:sz w:val="20"/>
                <w:szCs w:val="21"/>
              </w:rPr>
              <w:t>3.7.1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9" w:name="_Toc1177"/>
            <w:bookmarkStart w:id="10" w:name="_Toc195921789"/>
            <w:bookmarkStart w:id="11" w:name="_Toc405"/>
            <w:r>
              <w:rPr>
                <w:rFonts w:hint="eastAsia" w:ascii="宋体" w:hAnsi="宋体" w:cs="仿宋_GB2312"/>
                <w:kern w:val="0"/>
                <w:sz w:val="24"/>
              </w:rPr>
              <w:t>谈判保证金</w:t>
            </w:r>
            <w:bookmarkEnd w:id="9"/>
            <w:bookmarkEnd w:id="10"/>
            <w:bookmarkEnd w:id="11"/>
          </w:p>
        </w:tc>
        <w:tc>
          <w:tcPr>
            <w:tcW w:w="5675" w:type="dxa"/>
            <w:vAlign w:val="center"/>
          </w:tcPr>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投标保证金的形式：银行转账</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投标保证金的金额：5000元</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指定账户名称、开户银行及账号如下：</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账户名称：国信招标集团股份有限公司海南分公司 </w:t>
            </w:r>
          </w:p>
          <w:p>
            <w:pPr>
              <w:autoSpaceDE w:val="0"/>
              <w:autoSpaceDN w:val="0"/>
              <w:adjustRightInd w:val="0"/>
              <w:snapToGrid w:val="0"/>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开户银行：中国建设银行股份有限公司海口国兴大道支行</w:t>
            </w:r>
          </w:p>
          <w:p>
            <w:pPr>
              <w:autoSpaceDE w:val="0"/>
              <w:autoSpaceDN w:val="0"/>
              <w:adjustRightInd w:val="0"/>
              <w:snapToGrid w:val="0"/>
              <w:spacing w:line="440" w:lineRule="exact"/>
              <w:rPr>
                <w:rFonts w:ascii="宋体" w:hAnsi="宋体" w:eastAsia="黑体" w:cs="TimesNewRomanPSMT"/>
                <w:kern w:val="0"/>
                <w:sz w:val="24"/>
              </w:rPr>
            </w:pPr>
            <w:r>
              <w:rPr>
                <w:rFonts w:hint="eastAsia" w:asciiTheme="minorEastAsia" w:hAnsiTheme="minorEastAsia" w:eastAsiaTheme="minorEastAsia" w:cstheme="minorEastAsia"/>
                <w:kern w:val="0"/>
                <w:sz w:val="24"/>
              </w:rPr>
              <w:t>账    号：46001002537052501643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_Ref527633691 \r \h  \* MERGEFORMAT </w:instrText>
            </w:r>
            <w:r>
              <w:fldChar w:fldCharType="separate"/>
            </w:r>
            <w:r>
              <w:rPr>
                <w:rFonts w:ascii="宋体" w:hAnsi="宋体" w:cs="TimesNewRomanPSMT"/>
                <w:kern w:val="0"/>
                <w:sz w:val="20"/>
                <w:szCs w:val="21"/>
              </w:rPr>
              <w:t>3.8.3</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响应文件副本份数</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3份。电子文档1份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_Ref527102466 \r \h  \* MERGEFORMAT </w:instrText>
            </w:r>
            <w:r>
              <w:fldChar w:fldCharType="separate"/>
            </w:r>
            <w:r>
              <w:rPr>
                <w:rFonts w:ascii="宋体" w:hAnsi="宋体" w:cs="TimesNewRomanPSMT"/>
                <w:kern w:val="0"/>
                <w:sz w:val="20"/>
                <w:szCs w:val="21"/>
              </w:rPr>
              <w:t>3.8.4</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装订要求</w:t>
            </w:r>
          </w:p>
        </w:tc>
        <w:tc>
          <w:tcPr>
            <w:tcW w:w="5675" w:type="dxa"/>
            <w:vAlign w:val="center"/>
          </w:tcPr>
          <w:p>
            <w:pPr>
              <w:autoSpaceDE w:val="0"/>
              <w:autoSpaceDN w:val="0"/>
              <w:adjustRightInd w:val="0"/>
              <w:snapToGrid w:val="0"/>
              <w:spacing w:line="440" w:lineRule="exact"/>
              <w:rPr>
                <w:rFonts w:ascii="宋体" w:hAnsi="宋体" w:cs="仿宋_GB2312"/>
                <w:i/>
                <w:kern w:val="0"/>
                <w:sz w:val="24"/>
              </w:rPr>
            </w:pPr>
            <w:r>
              <w:rPr>
                <w:rFonts w:hint="eastAsia" w:ascii="宋体" w:hAnsi="宋体" w:cs="仿宋_GB2312"/>
                <w:kern w:val="0"/>
                <w:sz w:val="24"/>
              </w:rPr>
              <w:t>应装订成册，不得采用活页方式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_Ref527102501 \r \h  \* MERGEFORMAT </w:instrText>
            </w:r>
            <w:r>
              <w:fldChar w:fldCharType="separate"/>
            </w:r>
            <w:r>
              <w:rPr>
                <w:rFonts w:ascii="宋体" w:hAnsi="宋体" w:cs="TimesNewRomanPSMT"/>
                <w:kern w:val="0"/>
                <w:sz w:val="20"/>
                <w:szCs w:val="21"/>
              </w:rPr>
              <w:t>4.1.2</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封套上写明</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采购人名称：文昌市生态环境保护局</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项目编号：</w:t>
            </w:r>
            <w:r>
              <w:rPr>
                <w:rFonts w:hint="eastAsia" w:asciiTheme="minorEastAsia" w:hAnsiTheme="minorEastAsia" w:eastAsiaTheme="minorEastAsia" w:cstheme="minorEastAsia"/>
                <w:kern w:val="0"/>
                <w:sz w:val="24"/>
              </w:rPr>
              <w:t>GXTC-CZ-1885004</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u w:val="single"/>
              </w:rPr>
              <w:t>文昌市潭牛镇大庙村农村生活污水治理项目</w:t>
            </w:r>
            <w:r>
              <w:rPr>
                <w:rFonts w:hint="eastAsia" w:ascii="宋体" w:hAnsi="宋体" w:cs="仿宋_GB2312"/>
                <w:kern w:val="0"/>
                <w:sz w:val="24"/>
              </w:rPr>
              <w:t>响应文件在</w:t>
            </w:r>
            <w:r>
              <w:rPr>
                <w:rFonts w:hint="eastAsia" w:ascii="宋体" w:hAnsi="宋体" w:cs="仿宋_GB2312"/>
                <w:kern w:val="0"/>
                <w:sz w:val="24"/>
                <w:highlight w:val="none"/>
              </w:rPr>
              <w:t>2018年</w:t>
            </w:r>
            <w:r>
              <w:rPr>
                <w:rFonts w:hint="eastAsia" w:ascii="宋体" w:hAnsi="宋体" w:cs="仿宋_GB2312"/>
                <w:kern w:val="0"/>
                <w:sz w:val="24"/>
                <w:highlight w:val="none"/>
                <w:lang w:val="en-US" w:eastAsia="zh-CN"/>
              </w:rPr>
              <w:t>12</w:t>
            </w:r>
            <w:r>
              <w:rPr>
                <w:rFonts w:hint="eastAsia" w:ascii="宋体" w:hAnsi="宋体" w:cs="仿宋_GB2312"/>
                <w:kern w:val="0"/>
                <w:sz w:val="24"/>
                <w:highlight w:val="none"/>
              </w:rPr>
              <w:t>月</w:t>
            </w:r>
            <w:r>
              <w:rPr>
                <w:rFonts w:hint="eastAsia" w:ascii="宋体" w:hAnsi="宋体" w:cs="仿宋_GB2312"/>
                <w:kern w:val="0"/>
                <w:sz w:val="24"/>
                <w:highlight w:val="none"/>
                <w:lang w:val="en-US" w:eastAsia="zh-CN"/>
              </w:rPr>
              <w:t>4</w:t>
            </w:r>
            <w:r>
              <w:rPr>
                <w:rFonts w:hint="eastAsia" w:ascii="宋体" w:hAnsi="宋体" w:cs="仿宋_GB2312"/>
                <w:kern w:val="0"/>
                <w:sz w:val="24"/>
                <w:highlight w:val="none"/>
              </w:rPr>
              <w:t>日</w:t>
            </w:r>
            <w:r>
              <w:rPr>
                <w:rFonts w:hint="eastAsia" w:ascii="宋体" w:hAnsi="宋体" w:cs="仿宋_GB2312"/>
                <w:kern w:val="0"/>
                <w:sz w:val="24"/>
                <w:highlight w:val="none"/>
                <w:lang w:val="en-US" w:eastAsia="zh-CN"/>
              </w:rPr>
              <w:t xml:space="preserve">9 </w:t>
            </w:r>
            <w:r>
              <w:rPr>
                <w:rFonts w:hint="eastAsia" w:ascii="宋体" w:hAnsi="宋体" w:cs="仿宋_GB2312"/>
                <w:kern w:val="0"/>
                <w:sz w:val="24"/>
                <w:highlight w:val="none"/>
              </w:rPr>
              <w:t>时</w:t>
            </w:r>
            <w:r>
              <w:rPr>
                <w:rFonts w:hint="eastAsia" w:ascii="宋体" w:hAnsi="宋体" w:cs="仿宋_GB2312"/>
                <w:kern w:val="0"/>
                <w:sz w:val="24"/>
                <w:highlight w:val="none"/>
                <w:lang w:val="en-US" w:eastAsia="zh-CN"/>
              </w:rPr>
              <w:t xml:space="preserve">00 </w:t>
            </w:r>
            <w:r>
              <w:rPr>
                <w:rFonts w:hint="eastAsia" w:ascii="宋体" w:hAnsi="宋体" w:cs="仿宋_GB2312"/>
                <w:kern w:val="0"/>
                <w:sz w:val="24"/>
                <w:highlight w:val="none"/>
              </w:rPr>
              <w:t>分</w:t>
            </w:r>
            <w:r>
              <w:rPr>
                <w:rFonts w:hint="eastAsia" w:ascii="宋体" w:hAnsi="宋体" w:cs="仿宋_GB2312"/>
                <w:kern w:val="0"/>
                <w:sz w:val="24"/>
              </w:rPr>
              <w:t>前不得开启</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_Ref527102573 \r \h  \* MERGEFORMAT </w:instrText>
            </w:r>
            <w:r>
              <w:fldChar w:fldCharType="separate"/>
            </w:r>
            <w:r>
              <w:rPr>
                <w:rFonts w:ascii="宋体" w:hAnsi="宋体" w:cs="TimesNewRomanPSMT"/>
                <w:kern w:val="0"/>
                <w:sz w:val="20"/>
                <w:szCs w:val="21"/>
              </w:rPr>
              <w:t>5.1.1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谈判小组成员</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ascii="宋体" w:hAnsi="宋体" w:cs="仿宋_GB2312"/>
                <w:kern w:val="0"/>
                <w:sz w:val="24"/>
              </w:rPr>
              <w:t>采购人代表</w:t>
            </w:r>
            <w:r>
              <w:rPr>
                <w:rFonts w:hint="eastAsia" w:ascii="宋体" w:hAnsi="宋体" w:cs="仿宋_GB2312"/>
                <w:kern w:val="0"/>
                <w:sz w:val="24"/>
              </w:rPr>
              <w:t>0人</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从政府采购评审专家库抽取的评审专家3人。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_Ref527102841 \r \h  \* MERGEFORMAT </w:instrText>
            </w:r>
            <w:r>
              <w:fldChar w:fldCharType="separate"/>
            </w:r>
            <w:r>
              <w:rPr>
                <w:rFonts w:ascii="宋体" w:hAnsi="宋体" w:cs="TimesNewRomanPSMT"/>
                <w:kern w:val="0"/>
                <w:sz w:val="20"/>
                <w:szCs w:val="21"/>
              </w:rPr>
              <w:t>6.1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确定成交供应商方式</w:t>
            </w:r>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□采购人</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sym w:font="Wingdings 2" w:char="0052"/>
            </w:r>
            <w:r>
              <w:rPr>
                <w:rFonts w:hint="eastAsia" w:ascii="宋体" w:hAnsi="宋体" w:cs="仿宋_GB2312"/>
                <w:kern w:val="0"/>
                <w:sz w:val="24"/>
              </w:rPr>
              <w:t>采购人授权谈判小组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_Ref421009348 \r \h  \* MERGEFORMAT </w:instrText>
            </w:r>
            <w:r>
              <w:fldChar w:fldCharType="separate"/>
            </w:r>
            <w:r>
              <w:rPr>
                <w:rFonts w:ascii="宋体" w:hAnsi="宋体" w:cs="TimesNewRomanPSMT"/>
                <w:kern w:val="0"/>
                <w:sz w:val="20"/>
                <w:szCs w:val="21"/>
              </w:rPr>
              <w:t>6.4.1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outlineLvl w:val="0"/>
              <w:rPr>
                <w:rFonts w:ascii="宋体" w:hAnsi="宋体" w:cs="仿宋_GB2312"/>
                <w:kern w:val="0"/>
                <w:sz w:val="24"/>
              </w:rPr>
            </w:pPr>
            <w:bookmarkStart w:id="12" w:name="_Toc23655"/>
            <w:bookmarkStart w:id="13" w:name="_Toc334"/>
            <w:r>
              <w:rPr>
                <w:rFonts w:hint="eastAsia" w:ascii="宋体" w:hAnsi="宋体" w:cs="仿宋_GB2312"/>
                <w:kern w:val="0"/>
                <w:sz w:val="24"/>
              </w:rPr>
              <w:t>履约保证金</w:t>
            </w:r>
            <w:bookmarkEnd w:id="12"/>
            <w:bookmarkEnd w:id="13"/>
          </w:p>
        </w:tc>
        <w:tc>
          <w:tcPr>
            <w:tcW w:w="5675" w:type="dxa"/>
            <w:vAlign w:val="center"/>
          </w:tcPr>
          <w:p>
            <w:pPr>
              <w:autoSpaceDE w:val="0"/>
              <w:autoSpaceDN w:val="0"/>
              <w:adjustRightInd w:val="0"/>
              <w:snapToGrid w:val="0"/>
              <w:spacing w:afterLines="50" w:line="440" w:lineRule="exact"/>
              <w:rPr>
                <w:rFonts w:ascii="宋体" w:hAnsi="宋体" w:cs="仿宋_GB2312"/>
                <w:kern w:val="0"/>
                <w:sz w:val="24"/>
              </w:rPr>
            </w:pPr>
            <w:r>
              <w:rPr>
                <w:rFonts w:hint="eastAsia" w:ascii="宋体" w:hAnsi="宋体" w:cs="仿宋_GB2312"/>
                <w:kern w:val="0"/>
                <w:sz w:val="24"/>
              </w:rPr>
              <w:t>履约保证金的形式：支票、汇票、本票或者金融机构、担保机构出具的保函等非现金形式</w:t>
            </w:r>
          </w:p>
          <w:p>
            <w:pPr>
              <w:autoSpaceDE w:val="0"/>
              <w:autoSpaceDN w:val="0"/>
              <w:adjustRightInd w:val="0"/>
              <w:snapToGrid w:val="0"/>
              <w:spacing w:afterLines="50" w:line="440" w:lineRule="exact"/>
              <w:rPr>
                <w:rFonts w:ascii="宋体" w:hAnsi="宋体" w:cs="仿宋_GB2312"/>
                <w:b/>
                <w:kern w:val="0"/>
                <w:sz w:val="24"/>
              </w:rPr>
            </w:pPr>
            <w:r>
              <w:rPr>
                <w:rFonts w:hint="eastAsia" w:ascii="宋体" w:hAnsi="宋体" w:cs="仿宋_GB2312"/>
                <w:kern w:val="0"/>
                <w:sz w:val="24"/>
              </w:rPr>
              <w:t>履约保证金的金额：签约合同价的5%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b/>
                <w:bCs/>
                <w:kern w:val="0"/>
                <w:sz w:val="20"/>
                <w:szCs w:val="21"/>
              </w:rPr>
            </w:pPr>
            <w:r>
              <w:fldChar w:fldCharType="begin"/>
            </w:r>
            <w:r>
              <w:instrText xml:space="preserve"> REF _Ref527103019 \r \h  \* MERGEFORMAT </w:instrText>
            </w:r>
            <w:r>
              <w:fldChar w:fldCharType="separate"/>
            </w:r>
            <w:r>
              <w:rPr>
                <w:rFonts w:ascii="宋体" w:hAnsi="宋体"/>
                <w:b/>
                <w:bCs/>
                <w:kern w:val="0"/>
                <w:sz w:val="20"/>
                <w:szCs w:val="21"/>
              </w:rPr>
              <w:t>9</w:t>
            </w:r>
            <w:r>
              <w:rPr>
                <w:rFonts w:ascii="宋体" w:hAnsi="宋体"/>
                <w:b/>
                <w:bCs/>
                <w:kern w:val="0"/>
                <w:sz w:val="20"/>
                <w:szCs w:val="21"/>
              </w:rPr>
              <w:fldChar w:fldCharType="end"/>
            </w:r>
          </w:p>
        </w:tc>
        <w:tc>
          <w:tcPr>
            <w:tcW w:w="8190" w:type="dxa"/>
            <w:gridSpan w:val="2"/>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spacing w:line="440" w:lineRule="exact"/>
              <w:jc w:val="center"/>
              <w:rPr>
                <w:rFonts w:ascii="宋体" w:hAnsi="宋体" w:cs="TimesNewRomanPSMT"/>
                <w:kern w:val="0"/>
                <w:sz w:val="20"/>
                <w:szCs w:val="21"/>
              </w:rPr>
            </w:pPr>
            <w:r>
              <w:rPr>
                <w:rFonts w:hint="eastAsia" w:ascii="宋体" w:hAnsi="宋体" w:cs="TimesNewRomanPSMT"/>
                <w:kern w:val="0"/>
                <w:sz w:val="20"/>
                <w:szCs w:val="21"/>
              </w:rPr>
              <w:t>（</w:t>
            </w:r>
            <w:r>
              <w:rPr>
                <w:rFonts w:hint="eastAsia" w:ascii="宋体" w:hAnsi="宋体" w:cs="TimesNewRomanPSMT"/>
                <w:kern w:val="0"/>
                <w:sz w:val="20"/>
                <w:szCs w:val="21"/>
                <w:lang w:val="en-US" w:eastAsia="zh-CN"/>
              </w:rPr>
              <w:t>1</w:t>
            </w:r>
            <w:r>
              <w:rPr>
                <w:rFonts w:hint="eastAsia" w:ascii="宋体" w:hAnsi="宋体" w:cs="TimesNewRomanPSMT"/>
                <w:kern w:val="0"/>
                <w:sz w:val="20"/>
                <w:szCs w:val="21"/>
              </w:rPr>
              <w:t>）</w:t>
            </w:r>
          </w:p>
        </w:tc>
        <w:tc>
          <w:tcPr>
            <w:tcW w:w="8190" w:type="dxa"/>
            <w:gridSpan w:val="2"/>
            <w:vAlign w:val="center"/>
          </w:tcPr>
          <w:p>
            <w:pPr>
              <w:autoSpaceDE w:val="0"/>
              <w:autoSpaceDN w:val="0"/>
              <w:adjustRightInd w:val="0"/>
              <w:snapToGrid w:val="0"/>
              <w:spacing w:line="440" w:lineRule="exact"/>
              <w:rPr>
                <w:rFonts w:hint="eastAsia" w:ascii="宋体" w:hAnsi="宋体"/>
                <w:sz w:val="24"/>
                <w:lang w:eastAsia="zh-CN"/>
              </w:rPr>
            </w:pPr>
            <w:r>
              <w:rPr>
                <w:rFonts w:hint="eastAsia" w:ascii="宋体" w:hAnsi="宋体"/>
                <w:b/>
                <w:sz w:val="24"/>
              </w:rPr>
              <w:t>工程承包价确定原则:</w:t>
            </w:r>
            <w:r>
              <w:rPr>
                <w:rFonts w:hint="eastAsia" w:ascii="宋体" w:hAnsi="宋体"/>
                <w:sz w:val="24"/>
              </w:rPr>
              <w:t>取成交单位的最终谈判报价为该工程的承包价</w:t>
            </w:r>
            <w:r>
              <w:rPr>
                <w:rFonts w:hint="eastAsia" w:ascii="宋体" w:hAnsi="宋体"/>
                <w:sz w:val="24"/>
                <w:lang w:eastAsia="zh-CN"/>
              </w:rPr>
              <w:t>；</w:t>
            </w:r>
          </w:p>
          <w:p>
            <w:pPr>
              <w:autoSpaceDE w:val="0"/>
              <w:autoSpaceDN w:val="0"/>
              <w:adjustRightInd w:val="0"/>
              <w:snapToGrid w:val="0"/>
              <w:spacing w:line="440" w:lineRule="exact"/>
              <w:rPr>
                <w:rFonts w:hint="eastAsia" w:ascii="宋体" w:hAnsi="宋体"/>
                <w:sz w:val="24"/>
                <w:lang w:eastAsia="zh-CN"/>
              </w:rPr>
            </w:pPr>
            <w:r>
              <w:rPr>
                <w:rFonts w:hint="eastAsia" w:ascii="宋体" w:hAnsi="宋体"/>
                <w:b/>
                <w:bCs/>
                <w:sz w:val="24"/>
                <w:lang w:eastAsia="zh-CN"/>
              </w:rPr>
              <w:t>供应商应按第五章“工程量清单”的要求填写相应表格；</w:t>
            </w:r>
          </w:p>
        </w:tc>
      </w:tr>
    </w:tbl>
    <w:p>
      <w:pPr>
        <w:autoSpaceDE w:val="0"/>
        <w:autoSpaceDN w:val="0"/>
        <w:adjustRightInd w:val="0"/>
        <w:snapToGrid w:val="0"/>
        <w:spacing w:afterLines="50"/>
        <w:jc w:val="left"/>
        <w:rPr>
          <w:rFonts w:ascii="宋体" w:hAnsi="宋体" w:cs="黑体"/>
          <w:kern w:val="0"/>
          <w:sz w:val="28"/>
          <w:szCs w:val="28"/>
        </w:rPr>
      </w:pPr>
    </w:p>
    <w:p>
      <w:pPr>
        <w:autoSpaceDE w:val="0"/>
        <w:autoSpaceDN w:val="0"/>
        <w:adjustRightInd w:val="0"/>
        <w:snapToGrid w:val="0"/>
        <w:spacing w:afterLines="50"/>
        <w:jc w:val="center"/>
        <w:outlineLvl w:val="1"/>
        <w:rPr>
          <w:rFonts w:ascii="宋体" w:hAnsi="宋体" w:cs="黑体"/>
          <w:kern w:val="0"/>
          <w:sz w:val="28"/>
          <w:szCs w:val="28"/>
        </w:rPr>
      </w:pPr>
      <w:r>
        <w:rPr>
          <w:rFonts w:ascii="宋体" w:hAnsi="宋体" w:cs="仿宋_GB2312"/>
          <w:kern w:val="0"/>
          <w:szCs w:val="21"/>
        </w:rPr>
        <w:br w:type="page"/>
      </w:r>
      <w:bookmarkStart w:id="14" w:name="_Toc14530"/>
      <w:r>
        <w:rPr>
          <w:rFonts w:hint="eastAsia" w:ascii="宋体" w:hAnsi="宋体" w:cs="黑体"/>
          <w:kern w:val="0"/>
          <w:sz w:val="28"/>
          <w:szCs w:val="28"/>
        </w:rPr>
        <w:t>（二）供应商须知</w:t>
      </w:r>
      <w:bookmarkEnd w:id="14"/>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15" w:name="_Toc22908"/>
      <w:bookmarkStart w:id="16" w:name="_Toc27825"/>
      <w:bookmarkStart w:id="17" w:name="_Toc195921793"/>
      <w:r>
        <w:rPr>
          <w:rFonts w:hint="eastAsia" w:ascii="黑体" w:hAnsi="宋体" w:eastAsia="黑体" w:cs="黑体"/>
          <w:kern w:val="0"/>
          <w:sz w:val="24"/>
        </w:rPr>
        <w:t>总则</w:t>
      </w:r>
      <w:bookmarkEnd w:id="15"/>
      <w:bookmarkEnd w:id="16"/>
      <w:bookmarkEnd w:id="17"/>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18" w:name="_Toc195921794"/>
      <w:r>
        <w:rPr>
          <w:rFonts w:hint="eastAsia" w:ascii="宋体" w:hAnsi="宋体" w:cs="黑体"/>
          <w:kern w:val="0"/>
          <w:sz w:val="24"/>
        </w:rPr>
        <w:t>项目概况</w:t>
      </w:r>
      <w:bookmarkEnd w:id="18"/>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根据《中华人民共和国政府采购法》和《中华人民共和国政府采购法实施条例》等有关法律、法规和规章的规定，对本项目通过竞争性谈判进行采购。</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采购人：</w:t>
      </w:r>
      <w:r>
        <w:rPr>
          <w:rFonts w:hint="eastAsia"/>
          <w:sz w:val="24"/>
        </w:rPr>
        <w:t>指依法进行政府采购的国家机关、事业单位、团体组织。本项目采购人见第一章 竞争性谈判公告</w:t>
      </w:r>
      <w:r>
        <w:rPr>
          <w:rFonts w:hint="eastAsia" w:ascii="宋体" w:hAnsi="宋体" w:cs="黑体"/>
          <w:kern w:val="0"/>
          <w:sz w:val="24"/>
        </w:rPr>
        <w:t>。</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采购代理机构：</w:t>
      </w:r>
      <w:r>
        <w:rPr>
          <w:rFonts w:hint="eastAsia"/>
          <w:sz w:val="24"/>
        </w:rPr>
        <w:t>指采购人委托的采购代理机构。本项目采购代理机构见第一章 竞争性谈判公告</w:t>
      </w:r>
      <w:r>
        <w:rPr>
          <w:rFonts w:hint="eastAsia" w:ascii="宋体" w:hAnsi="宋体" w:cs="黑体"/>
          <w:kern w:val="0"/>
          <w:sz w:val="24"/>
        </w:rPr>
        <w:t>。</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采购工程名称：</w:t>
      </w:r>
    </w:p>
    <w:p>
      <w:pPr>
        <w:autoSpaceDE w:val="0"/>
        <w:autoSpaceDN w:val="0"/>
        <w:adjustRightInd w:val="0"/>
        <w:snapToGrid w:val="0"/>
        <w:spacing w:afterLines="50"/>
        <w:ind w:left="1079"/>
        <w:rPr>
          <w:rFonts w:ascii="宋体" w:hAnsi="宋体"/>
          <w:sz w:val="24"/>
        </w:rPr>
      </w:pPr>
      <w:r>
        <w:rPr>
          <w:rFonts w:hint="eastAsia" w:ascii="宋体" w:hAnsi="宋体"/>
          <w:sz w:val="24"/>
        </w:rPr>
        <w:t>见</w:t>
      </w:r>
      <w:r>
        <w:rPr>
          <w:rFonts w:hint="eastAsia"/>
          <w:sz w:val="24"/>
        </w:rPr>
        <w:t>第一章 竞争性谈判公告</w:t>
      </w:r>
      <w:r>
        <w:rPr>
          <w:rFonts w:hint="eastAsia" w:ascii="宋体" w:hAnsi="宋体"/>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19" w:name="_Toc195921795"/>
      <w:r>
        <w:rPr>
          <w:rFonts w:hint="eastAsia" w:ascii="宋体" w:hAnsi="宋体" w:cs="黑体"/>
          <w:kern w:val="0"/>
          <w:sz w:val="24"/>
        </w:rPr>
        <w:t>采购预算</w:t>
      </w:r>
      <w:bookmarkEnd w:id="19"/>
      <w:r>
        <w:rPr>
          <w:rFonts w:hint="eastAsia" w:ascii="宋体" w:hAnsi="宋体" w:cs="黑体"/>
          <w:kern w:val="0"/>
          <w:sz w:val="24"/>
        </w:rPr>
        <w:t>及最高限价</w:t>
      </w:r>
    </w:p>
    <w:p>
      <w:pPr>
        <w:autoSpaceDE w:val="0"/>
        <w:autoSpaceDN w:val="0"/>
        <w:adjustRightInd w:val="0"/>
        <w:snapToGrid w:val="0"/>
        <w:spacing w:afterLines="50"/>
        <w:ind w:left="1079"/>
        <w:rPr>
          <w:rFonts w:ascii="宋体" w:hAnsi="宋体"/>
          <w:sz w:val="24"/>
        </w:rPr>
      </w:pPr>
      <w:r>
        <w:rPr>
          <w:rFonts w:hint="eastAsia" w:ascii="宋体" w:hAnsi="宋体"/>
          <w:sz w:val="24"/>
        </w:rPr>
        <w:t>见</w:t>
      </w:r>
      <w:r>
        <w:rPr>
          <w:rFonts w:hint="eastAsia"/>
          <w:sz w:val="24"/>
        </w:rPr>
        <w:t>第一章 竞争性谈判公告</w:t>
      </w:r>
      <w:r>
        <w:rPr>
          <w:rFonts w:hint="eastAsia" w:ascii="宋体" w:hAnsi="宋体"/>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0" w:name="_Toc195921796"/>
      <w:r>
        <w:rPr>
          <w:rFonts w:hint="eastAsia" w:ascii="宋体" w:hAnsi="宋体" w:cs="黑体"/>
          <w:kern w:val="0"/>
          <w:sz w:val="24"/>
        </w:rPr>
        <w:t>采购范围、工期和质量要求</w:t>
      </w:r>
      <w:bookmarkEnd w:id="20"/>
    </w:p>
    <w:p>
      <w:pPr>
        <w:autoSpaceDE w:val="0"/>
        <w:autoSpaceDN w:val="0"/>
        <w:adjustRightInd w:val="0"/>
        <w:snapToGrid w:val="0"/>
        <w:spacing w:afterLines="50"/>
        <w:ind w:left="1079"/>
        <w:rPr>
          <w:rFonts w:ascii="宋体" w:hAnsi="宋体"/>
          <w:sz w:val="24"/>
        </w:rPr>
      </w:pPr>
      <w:r>
        <w:rPr>
          <w:rFonts w:hint="eastAsia" w:ascii="宋体" w:hAnsi="宋体"/>
          <w:sz w:val="24"/>
        </w:rPr>
        <w:t>见</w:t>
      </w:r>
      <w:r>
        <w:rPr>
          <w:rFonts w:hint="eastAsia"/>
          <w:sz w:val="24"/>
        </w:rPr>
        <w:t>第一章 竞争性谈判公告</w:t>
      </w:r>
      <w:r>
        <w:rPr>
          <w:rFonts w:hint="eastAsia" w:ascii="宋体" w:hAnsi="宋体"/>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w:t>
      </w:r>
      <w:r>
        <w:rPr>
          <w:rFonts w:hint="eastAsia" w:asciiTheme="minorEastAsia" w:hAnsiTheme="minorEastAsia"/>
          <w:sz w:val="24"/>
        </w:rPr>
        <w:t>指递交响应文件的法人</w:t>
      </w:r>
      <w:r>
        <w:rPr>
          <w:rFonts w:hint="eastAsia" w:ascii="宋体" w:hAnsi="宋体" w:cs="黑体"/>
          <w:kern w:val="0"/>
          <w:sz w:val="24"/>
        </w:rPr>
        <w:t>。</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对供应商相关要求</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符合竞争性谈判公告“供应商资格要求”。</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Theme="minorEastAsia" w:hAnsiTheme="minorEastAsia"/>
          <w:sz w:val="24"/>
        </w:rPr>
        <w:t>供应商应当遵循公平竞争的原则，不得恶意串通，不得妨碍其他供应商的竞争行为，不得损害采购人或者其他供应商的合法权益。</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供应商不得以向采购人、采购代理机构、谈判小组成员行贿或者采取其他不正当手段谋取成交。</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竞争性谈判公告规定接受联合体的，还应遵守以下规定：</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联合体各方应按谈判文件提供的格式签订联合体协议书，明确联合体牵头人和各方工作内容和义务；</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sz w:val="24"/>
        </w:rPr>
        <w:t>联合体中有同类资质的供应商按照联合体分工承担相同工作的，应当按照资质等级较低的供应商确定联合体的资质等级。</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ascii="宋体" w:hAnsi="宋体"/>
          <w:sz w:val="24"/>
        </w:rPr>
        <w:t>联合体各方不得再单独参加或者与其他供应商另外组成联合体参加同一合同项下的</w:t>
      </w:r>
      <w:r>
        <w:rPr>
          <w:rFonts w:hint="eastAsia" w:ascii="宋体" w:hAnsi="宋体"/>
          <w:sz w:val="24"/>
        </w:rPr>
        <w:t>谈判。</w:t>
      </w:r>
    </w:p>
    <w:p>
      <w:pPr>
        <w:numPr>
          <w:ilvl w:val="0"/>
          <w:numId w:val="6"/>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联合体各方应当共同与采购人签订采购合同，就合同约定的事项对采购人承担连带责任。</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本项目将执行在政府采购活动中查询及使用信用记录的规定，具体要求为：</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信用信息查询的截止时点：递交首次响应文件截止时间后。</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查询渠道：“信用中国”网站（</w:t>
      </w:r>
      <w:r>
        <w:rPr>
          <w:rFonts w:ascii="宋体" w:hAnsi="宋体"/>
          <w:sz w:val="24"/>
        </w:rPr>
        <w:t xml:space="preserve">www.creditchina.gov.cn）和中国政府采购网（www.ccgp.gov.cn）； </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信用信息查询记录和证据留存具体方式：将经查询存在不良信用记录的潜在供应商的查询结果网页截图作为查询记录和证据，与其他谈判过程文件一并保存；</w:t>
      </w:r>
    </w:p>
    <w:p>
      <w:pPr>
        <w:numPr>
          <w:ilvl w:val="0"/>
          <w:numId w:val="7"/>
        </w:numPr>
        <w:tabs>
          <w:tab w:val="left" w:pos="1701"/>
        </w:tabs>
        <w:autoSpaceDE w:val="0"/>
        <w:autoSpaceDN w:val="0"/>
        <w:adjustRightInd w:val="0"/>
        <w:snapToGrid w:val="0"/>
        <w:spacing w:afterLines="50"/>
        <w:ind w:left="1701" w:hanging="622"/>
        <w:rPr>
          <w:rFonts w:ascii="宋体" w:hAnsi="宋体"/>
          <w:sz w:val="24"/>
        </w:rPr>
      </w:pPr>
      <w:r>
        <w:rPr>
          <w:rFonts w:hint="eastAsia" w:ascii="宋体" w:hAnsi="宋体"/>
          <w:sz w:val="24"/>
        </w:rPr>
        <w:t>信用信息的使用规则：</w:t>
      </w:r>
      <w:r>
        <w:rPr>
          <w:rFonts w:ascii="宋体" w:hAnsi="宋体"/>
          <w:sz w:val="24"/>
        </w:rPr>
        <w:t>本政府采购项目的供应商在</w:t>
      </w:r>
      <w:r>
        <w:rPr>
          <w:rFonts w:hint="eastAsia" w:ascii="宋体" w:hAnsi="宋体"/>
          <w:sz w:val="24"/>
        </w:rPr>
        <w:t>信用信息查询</w:t>
      </w:r>
      <w:r>
        <w:rPr>
          <w:rFonts w:ascii="宋体" w:hAnsi="宋体"/>
          <w:sz w:val="24"/>
        </w:rPr>
        <w:t>截止时点（含）之前存在</w:t>
      </w:r>
      <w:r>
        <w:rPr>
          <w:rFonts w:hint="eastAsia" w:ascii="宋体" w:hAnsi="宋体"/>
          <w:sz w:val="24"/>
        </w:rPr>
        <w:t>第一章竞争性谈判公告“供应商资格要求”中所述</w:t>
      </w:r>
      <w:r>
        <w:rPr>
          <w:rFonts w:ascii="宋体" w:hAnsi="宋体"/>
          <w:sz w:val="24"/>
        </w:rPr>
        <w:t>不良信用记录的，不得参与谈判。</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1" w:name="_Ref527101463"/>
      <w:r>
        <w:rPr>
          <w:rFonts w:hint="eastAsia" w:ascii="宋体" w:hAnsi="宋体" w:cs="黑体"/>
          <w:kern w:val="0"/>
          <w:sz w:val="24"/>
        </w:rPr>
        <w:t>分包</w:t>
      </w:r>
      <w:bookmarkEnd w:id="21"/>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供应商须知前附表规定允许分包的，供应商应根据谈判文件的规定和采购项目的实际情况，将拟在成交后将采购项目的非主体、非关键性工作分包的，在响应文件中载明分包承担主体，分包承担主体应当具备相应资质条件且不得再次分包。政府采购合同分包履行的，</w:t>
      </w:r>
      <w:r>
        <w:rPr>
          <w:rFonts w:hint="eastAsia" w:hAnsi="宋体" w:cs="宋体"/>
          <w:sz w:val="24"/>
        </w:rPr>
        <w:t>成交供应商应当对其承包的建设工程或者采购的设备的质量负责；分包人应当按照分包合同的约定对其分包工程的质量向成交供应商负责，成交供应商与分包人对分包工程的质量承担连带责任。</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2" w:name="_Toc195921799"/>
      <w:r>
        <w:rPr>
          <w:rFonts w:hint="eastAsia" w:ascii="宋体" w:hAnsi="宋体" w:cs="黑体"/>
          <w:kern w:val="0"/>
          <w:sz w:val="24"/>
        </w:rPr>
        <w:t>费用承担</w:t>
      </w:r>
      <w:bookmarkEnd w:id="22"/>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供应商准备和参加谈判活动发生的费用自理。</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3" w:name="_Toc195921800"/>
      <w:r>
        <w:rPr>
          <w:rFonts w:hint="eastAsia" w:ascii="宋体" w:hAnsi="宋体" w:cs="黑体"/>
          <w:kern w:val="0"/>
          <w:sz w:val="24"/>
        </w:rPr>
        <w:t>保密</w:t>
      </w:r>
      <w:bookmarkEnd w:id="23"/>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参与谈判活动的各方应对谈判文件和响应文件中的商业和技术等秘密保密，违者应对由此造成的后果承担法律责任。</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4" w:name="_Toc195921801"/>
      <w:r>
        <w:rPr>
          <w:rFonts w:hint="eastAsia" w:ascii="宋体" w:hAnsi="宋体" w:cs="黑体"/>
          <w:kern w:val="0"/>
          <w:sz w:val="24"/>
        </w:rPr>
        <w:t>语言文字</w:t>
      </w:r>
      <w:bookmarkEnd w:id="24"/>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除专用术语外，与谈判有关的语言均使用中文。必要时专用术语应附有中文注释。</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5" w:name="_Toc195921802"/>
      <w:r>
        <w:rPr>
          <w:rFonts w:hint="eastAsia" w:ascii="宋体" w:hAnsi="宋体" w:cs="黑体"/>
          <w:kern w:val="0"/>
          <w:sz w:val="24"/>
        </w:rPr>
        <w:t>计量单位</w:t>
      </w:r>
      <w:bookmarkEnd w:id="25"/>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所有计量均采用中华人民共和国法定计量单位。</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26" w:name="_Ref527101478"/>
      <w:r>
        <w:rPr>
          <w:rFonts w:ascii="宋体" w:hAnsi="宋体" w:cs="黑体"/>
          <w:kern w:val="0"/>
          <w:sz w:val="24"/>
        </w:rPr>
        <w:t>踏勘现场</w:t>
      </w:r>
      <w:bookmarkEnd w:id="26"/>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27" w:name="_Ref527633716"/>
      <w:r>
        <w:rPr>
          <w:rFonts w:ascii="宋体" w:hAnsi="宋体" w:cs="黑体"/>
          <w:kern w:val="0"/>
          <w:sz w:val="24"/>
        </w:rPr>
        <w:t>供应商须知前附表规定组织踏勘现场的，采购人须按照规定时间、地点组织供应商踏勘项目现场。</w:t>
      </w:r>
      <w:bookmarkEnd w:id="27"/>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供应商承担踏勘现场所发生的自身费用、责任和风险。</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采购人向供应商提供的有关现场的资料和数据，是采购人现有的能被供应商利用的资料，采购人不对供应商由此而做出的推论、理解和结论负责。</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除采购人原因外，供应商应对踏勘现场而造成的人员伤亡、财产损失以及由此引起的连带责任和费用负责。</w:t>
      </w:r>
    </w:p>
    <w:p>
      <w:pPr>
        <w:autoSpaceDE w:val="0"/>
        <w:autoSpaceDN w:val="0"/>
        <w:adjustRightInd w:val="0"/>
        <w:snapToGrid w:val="0"/>
        <w:spacing w:afterLines="50"/>
        <w:ind w:left="1134" w:leftChars="540"/>
        <w:rPr>
          <w:rFonts w:ascii="宋体" w:hAnsi="宋体" w:cs="黑体"/>
          <w:kern w:val="0"/>
          <w:sz w:val="24"/>
        </w:rPr>
      </w:pP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28" w:name="_Toc8507"/>
      <w:bookmarkStart w:id="29" w:name="_Toc22889"/>
      <w:r>
        <w:rPr>
          <w:rFonts w:hint="eastAsia" w:ascii="黑体" w:hAnsi="宋体" w:eastAsia="黑体" w:cs="黑体"/>
          <w:kern w:val="0"/>
          <w:sz w:val="24"/>
        </w:rPr>
        <w:t>谈判文件</w:t>
      </w:r>
      <w:bookmarkEnd w:id="28"/>
      <w:bookmarkEnd w:id="29"/>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0" w:name="_Toc195921808"/>
      <w:r>
        <w:rPr>
          <w:rFonts w:hint="eastAsia" w:ascii="宋体" w:hAnsi="宋体" w:cs="黑体"/>
          <w:kern w:val="0"/>
          <w:sz w:val="24"/>
        </w:rPr>
        <w:t>谈判文件的组成</w:t>
      </w:r>
      <w:bookmarkEnd w:id="30"/>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本谈判文件包括：</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竞争性谈判公告；</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供应商须知；</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评审办法和标准；</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合同条款；</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工程量清单</w:t>
      </w:r>
      <w:r>
        <w:rPr>
          <w:rFonts w:hint="eastAsia" w:ascii="宋体" w:hAnsi="宋体" w:cs="黑体"/>
          <w:kern w:val="0"/>
          <w:sz w:val="24"/>
          <w:lang w:eastAsia="zh-CN"/>
        </w:rPr>
        <w:t>；</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技术标准和要求</w:t>
      </w:r>
      <w:r>
        <w:rPr>
          <w:rFonts w:hint="eastAsia" w:ascii="宋体" w:hAnsi="宋体" w:cs="黑体"/>
          <w:kern w:val="0"/>
          <w:sz w:val="24"/>
          <w:lang w:eastAsia="zh-CN"/>
        </w:rPr>
        <w:t>；</w:t>
      </w:r>
    </w:p>
    <w:p>
      <w:pPr>
        <w:pStyle w:val="425"/>
        <w:numPr>
          <w:ilvl w:val="0"/>
          <w:numId w:val="8"/>
        </w:numPr>
        <w:autoSpaceDE w:val="0"/>
        <w:autoSpaceDN w:val="0"/>
        <w:adjustRightInd w:val="0"/>
        <w:snapToGrid w:val="0"/>
        <w:spacing w:afterLines="50"/>
        <w:ind w:left="1499" w:hanging="420" w:firstLineChars="0"/>
        <w:rPr>
          <w:rFonts w:ascii="宋体" w:hAnsi="宋体" w:cs="黑体"/>
          <w:kern w:val="0"/>
          <w:sz w:val="24"/>
        </w:rPr>
      </w:pPr>
      <w:r>
        <w:rPr>
          <w:rFonts w:hint="eastAsia" w:ascii="宋体" w:hAnsi="宋体" w:cs="黑体"/>
          <w:kern w:val="0"/>
          <w:sz w:val="24"/>
        </w:rPr>
        <w:t>响应文件格式。</w:t>
      </w:r>
    </w:p>
    <w:p>
      <w:p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根据本章第</w:t>
      </w:r>
      <w:r>
        <w:fldChar w:fldCharType="begin"/>
      </w:r>
      <w:r>
        <w:instrText xml:space="preserve"> REF _Ref527652798 \r \h  \* MERGEFORMAT </w:instrText>
      </w:r>
      <w:r>
        <w:fldChar w:fldCharType="separate"/>
      </w:r>
      <w:r>
        <w:rPr>
          <w:rFonts w:ascii="宋体" w:hAnsi="宋体" w:cs="黑体"/>
          <w:kern w:val="0"/>
          <w:sz w:val="24"/>
        </w:rPr>
        <w:t>2.2</w:t>
      </w:r>
      <w:r>
        <w:rPr>
          <w:rFonts w:ascii="宋体" w:hAnsi="宋体" w:cs="黑体"/>
          <w:kern w:val="0"/>
          <w:sz w:val="24"/>
        </w:rPr>
        <w:fldChar w:fldCharType="end"/>
      </w:r>
      <w:r>
        <w:rPr>
          <w:rFonts w:hint="eastAsia" w:ascii="宋体" w:hAnsi="宋体" w:cs="黑体"/>
          <w:kern w:val="0"/>
          <w:sz w:val="24"/>
        </w:rPr>
        <w:t>款对谈判文件所作的澄清、修改，构成谈判文件的组成部分。</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1" w:name="_Ref426441946"/>
      <w:bookmarkStart w:id="32" w:name="_Toc195921809"/>
      <w:r>
        <w:rPr>
          <w:rFonts w:hint="eastAsia" w:ascii="宋体" w:hAnsi="宋体" w:cs="黑体"/>
          <w:kern w:val="0"/>
          <w:sz w:val="24"/>
        </w:rPr>
        <w:t>谈判文件的澄清</w:t>
      </w:r>
      <w:bookmarkEnd w:id="31"/>
      <w:bookmarkEnd w:id="32"/>
      <w:r>
        <w:rPr>
          <w:rFonts w:hint="eastAsia" w:ascii="宋体" w:hAnsi="宋体" w:cs="黑体"/>
          <w:kern w:val="0"/>
          <w:sz w:val="24"/>
        </w:rPr>
        <w:t>或修改</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供应商应仔细阅读和检查谈判文件的全部内容。如发现缺页或附件不全，应及时向采购人提出，以便补齐。</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bookmarkStart w:id="33" w:name="_Ref527101604"/>
      <w:r>
        <w:rPr>
          <w:rFonts w:hint="eastAsia" w:ascii="宋体" w:hAnsi="宋体"/>
          <w:sz w:val="24"/>
        </w:rPr>
        <w:t>供应商</w:t>
      </w:r>
      <w:r>
        <w:rPr>
          <w:rFonts w:hint="eastAsia" w:ascii="宋体" w:hAnsi="宋体" w:cs="黑体"/>
          <w:kern w:val="0"/>
          <w:sz w:val="24"/>
        </w:rPr>
        <w:t>如有疑问</w:t>
      </w:r>
      <w:r>
        <w:rPr>
          <w:rFonts w:cs="宋体" w:asciiTheme="minorEastAsia" w:hAnsiTheme="minorEastAsia" w:eastAsiaTheme="minorEastAsia"/>
          <w:sz w:val="24"/>
        </w:rPr>
        <w:t>可以在供应商须知前附表规定的时间内向采购人提出询问</w:t>
      </w:r>
      <w:r>
        <w:rPr>
          <w:rFonts w:hint="eastAsia" w:ascii="宋体" w:hAnsi="宋体" w:cs="黑体"/>
          <w:kern w:val="0"/>
          <w:sz w:val="24"/>
        </w:rPr>
        <w:t>，要求采购人对谈判文件予以澄清。</w:t>
      </w:r>
      <w:bookmarkEnd w:id="33"/>
    </w:p>
    <w:p>
      <w:pPr>
        <w:numPr>
          <w:ilvl w:val="2"/>
          <w:numId w:val="5"/>
        </w:numPr>
        <w:tabs>
          <w:tab w:val="left" w:pos="1260"/>
        </w:tabs>
        <w:autoSpaceDE w:val="0"/>
        <w:autoSpaceDN w:val="0"/>
        <w:adjustRightInd w:val="0"/>
        <w:snapToGrid w:val="0"/>
        <w:spacing w:afterLines="50"/>
        <w:ind w:left="1134" w:hanging="1134"/>
        <w:rPr>
          <w:rFonts w:hAnsi="宋体" w:cs="宋体"/>
          <w:sz w:val="24"/>
        </w:rPr>
      </w:pPr>
      <w:r>
        <w:rPr>
          <w:rFonts w:hint="eastAsia" w:hAnsi="宋体" w:cs="宋体"/>
          <w:sz w:val="24"/>
        </w:rPr>
        <w:t>提交首次响应文件截止之日前，采购人、采购代理机构或者谈判小组可以对已发出的谈判文件进行必要的澄清或者修改，澄清或者修改的内容作为谈判文件</w:t>
      </w:r>
      <w:r>
        <w:rPr>
          <w:rFonts w:hint="eastAsia" w:cs="宋体" w:asciiTheme="minorEastAsia" w:hAnsiTheme="minorEastAsia" w:eastAsiaTheme="minorEastAsia"/>
          <w:sz w:val="24"/>
        </w:rPr>
        <w:t>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autoSpaceDE w:val="0"/>
        <w:autoSpaceDN w:val="0"/>
        <w:adjustRightInd w:val="0"/>
        <w:snapToGrid w:val="0"/>
        <w:spacing w:afterLines="50"/>
        <w:ind w:left="1134" w:leftChars="540"/>
        <w:rPr>
          <w:rFonts w:hAnsi="宋体" w:cs="宋体"/>
          <w:sz w:val="24"/>
        </w:rPr>
      </w:pPr>
      <w:r>
        <w:rPr>
          <w:rFonts w:hint="eastAsia" w:ascii="宋体" w:hAnsi="宋体" w:cs="黑体"/>
          <w:kern w:val="0"/>
          <w:sz w:val="24"/>
        </w:rPr>
        <w:t>通过发布公告邀请供应商参加谈判的，澄清修改和更正内容将在谈判公告发布媒体上予以公告。</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供应商应在收到澄清或修改文件后</w:t>
      </w:r>
      <w:r>
        <w:rPr>
          <w:rFonts w:hint="eastAsia" w:ascii="宋体" w:hAnsi="宋体" w:cs="宋体"/>
          <w:sz w:val="24"/>
        </w:rPr>
        <w:t>24小时内或根据澄清通知中要求的时间内</w:t>
      </w:r>
      <w:r>
        <w:rPr>
          <w:rFonts w:hint="eastAsia" w:ascii="宋体" w:hAnsi="宋体" w:cs="黑体"/>
          <w:kern w:val="0"/>
          <w:sz w:val="24"/>
        </w:rPr>
        <w:t>，将加盖公章的回执书面形式通知采购人</w:t>
      </w:r>
      <w:r>
        <w:rPr>
          <w:rFonts w:hAnsi="宋体" w:cs="宋体"/>
          <w:sz w:val="24"/>
        </w:rPr>
        <w:t>、采购代理机构或谈判小组</w:t>
      </w:r>
      <w:r>
        <w:rPr>
          <w:rFonts w:hint="eastAsia" w:ascii="宋体" w:hAnsi="宋体" w:cs="黑体"/>
          <w:kern w:val="0"/>
          <w:sz w:val="24"/>
        </w:rPr>
        <w:t>，确认已收到该澄清。否则，视为同意和接受该澄清或者修改内容。</w:t>
      </w:r>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4" w:name="_Ref527101721"/>
      <w:r>
        <w:rPr>
          <w:rFonts w:cs="宋体" w:asciiTheme="minorEastAsia" w:hAnsiTheme="minorEastAsia" w:eastAsiaTheme="minorEastAsia"/>
          <w:sz w:val="24"/>
        </w:rPr>
        <w:t>供应商对谈判文件提出质疑的，</w:t>
      </w:r>
      <w:r>
        <w:rPr>
          <w:rFonts w:hint="eastAsia" w:asciiTheme="minorEastAsia" w:hAnsiTheme="minorEastAsia"/>
          <w:sz w:val="24"/>
        </w:rPr>
        <w:t>应当在获取谈判文件或者谈判文件公告期限届满之日起7个工作日内</w:t>
      </w:r>
      <w:r>
        <w:rPr>
          <w:rFonts w:hint="eastAsia" w:ascii="宋体" w:hAnsi="宋体"/>
          <w:sz w:val="24"/>
        </w:rPr>
        <w:t>，按供应商须知前附表中质疑函送达的方式以书面形式一次性提出质疑</w:t>
      </w:r>
      <w:r>
        <w:rPr>
          <w:rFonts w:cs="宋体" w:asciiTheme="minorEastAsia" w:hAnsiTheme="minorEastAsia" w:eastAsiaTheme="minorEastAsia"/>
          <w:sz w:val="24"/>
        </w:rPr>
        <w:t>。供应商</w:t>
      </w:r>
      <w:r>
        <w:rPr>
          <w:rFonts w:hint="eastAsia" w:asciiTheme="minorEastAsia" w:hAnsiTheme="minorEastAsia"/>
          <w:sz w:val="24"/>
        </w:rPr>
        <w:t>提出质疑应当提交质疑函和必要的证明材料，质疑函的内容应符合政府采购质疑和投诉办法的规定。</w:t>
      </w:r>
      <w:bookmarkEnd w:id="34"/>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35" w:name="_Toc3750"/>
      <w:bookmarkStart w:id="36" w:name="_Toc3878"/>
      <w:r>
        <w:rPr>
          <w:rFonts w:hint="eastAsia" w:ascii="黑体" w:hAnsi="宋体" w:eastAsia="黑体" w:cs="黑体"/>
          <w:kern w:val="0"/>
          <w:sz w:val="24"/>
        </w:rPr>
        <w:t>响应文件编制</w:t>
      </w:r>
      <w:bookmarkEnd w:id="35"/>
      <w:bookmarkEnd w:id="36"/>
    </w:p>
    <w:p>
      <w:pPr>
        <w:numPr>
          <w:ilvl w:val="1"/>
          <w:numId w:val="5"/>
        </w:numPr>
        <w:autoSpaceDE w:val="0"/>
        <w:autoSpaceDN w:val="0"/>
        <w:adjustRightInd w:val="0"/>
        <w:snapToGrid w:val="0"/>
        <w:spacing w:afterLines="50"/>
        <w:ind w:left="1134" w:hanging="1134"/>
        <w:rPr>
          <w:rFonts w:ascii="宋体" w:hAnsi="宋体" w:cs="黑体"/>
          <w:kern w:val="0"/>
          <w:sz w:val="24"/>
        </w:rPr>
      </w:pPr>
      <w:bookmarkStart w:id="37" w:name="_Toc195921812"/>
      <w:r>
        <w:rPr>
          <w:rFonts w:hint="eastAsia" w:ascii="宋体" w:hAnsi="宋体" w:cs="黑体"/>
          <w:kern w:val="0"/>
          <w:sz w:val="24"/>
        </w:rPr>
        <w:t>响应文件的组成</w:t>
      </w:r>
      <w:bookmarkEnd w:id="37"/>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响应文件应包括下列内容：</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首次报价函及其附录；</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法定代表人身份证明；</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授权委托书；</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谈判保证金；</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已标价工程量清单；</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商务、合同条款偏差表；</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资格证明文件（详见响应文件格式要求）；</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小微企业、监狱企业、残疾人福利单位的声明函或证明材料（如有）</w:t>
      </w:r>
      <w:r>
        <w:rPr>
          <w:rFonts w:ascii="宋体" w:hAnsi="宋体" w:cs="黑体"/>
          <w:kern w:val="0"/>
          <w:sz w:val="24"/>
        </w:rPr>
        <w:t>；</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供应商承诺书；</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施工组织设计；</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项目管理机构人员；</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供应商其他承诺（如有）；</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ascii="宋体" w:hAnsi="宋体" w:cs="黑体"/>
          <w:kern w:val="0"/>
          <w:sz w:val="24"/>
        </w:rPr>
        <w:t>最后报价函（谈判结束后，根据谈判小组要求提交）；</w:t>
      </w:r>
    </w:p>
    <w:p>
      <w:pPr>
        <w:numPr>
          <w:ilvl w:val="0"/>
          <w:numId w:val="9"/>
        </w:numPr>
        <w:autoSpaceDE w:val="0"/>
        <w:autoSpaceDN w:val="0"/>
        <w:adjustRightInd w:val="0"/>
        <w:snapToGrid w:val="0"/>
        <w:spacing w:afterLines="50"/>
        <w:ind w:left="1501" w:hanging="420"/>
        <w:rPr>
          <w:rFonts w:ascii="宋体" w:hAnsi="宋体" w:cs="黑体"/>
          <w:kern w:val="0"/>
          <w:sz w:val="24"/>
        </w:rPr>
      </w:pPr>
      <w:r>
        <w:rPr>
          <w:rFonts w:hint="eastAsia" w:ascii="宋体" w:hAnsi="宋体" w:cs="黑体"/>
          <w:kern w:val="0"/>
          <w:sz w:val="24"/>
        </w:rPr>
        <w:t>谈判文件要求的其他内容以及供应商认为必要的其他内容。</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38" w:name="_Toc195921813"/>
      <w:r>
        <w:rPr>
          <w:rFonts w:hint="eastAsia" w:ascii="宋体" w:hAnsi="宋体" w:cs="黑体"/>
          <w:kern w:val="0"/>
          <w:sz w:val="24"/>
        </w:rPr>
        <w:t>首次报价</w:t>
      </w:r>
      <w:bookmarkEnd w:id="38"/>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39" w:name="_Toc195921814"/>
      <w:r>
        <w:rPr>
          <w:rFonts w:hint="eastAsia" w:ascii="宋体" w:hAnsi="宋体" w:cs="黑体"/>
          <w:kern w:val="0"/>
          <w:sz w:val="24"/>
        </w:rPr>
        <w:t>供应商应按谈判文件第七章提供的格式进行首次报价。</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所有根据合同或其它原因应由供应商支付的税款和其它应交纳的费用都应包括在供应商提交的报价中。</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ascii="宋体" w:hAnsi="宋体" w:cs="黑体"/>
          <w:kern w:val="0"/>
          <w:sz w:val="24"/>
        </w:rPr>
        <w:t>供应商应仔细阅读所有谈判文件，填报自己认为正确的报价。</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供应商对采购内容只允许有一个报价，采购人不接受任何有选择的报价。</w:t>
      </w:r>
    </w:p>
    <w:p>
      <w:pPr>
        <w:numPr>
          <w:ilvl w:val="1"/>
          <w:numId w:val="5"/>
        </w:numPr>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报价不得有选择性报价和附有条件的报价，且不得高于预算价或最高限价，否则其报价无效。</w:t>
      </w:r>
    </w:p>
    <w:p>
      <w:pPr>
        <w:numPr>
          <w:ilvl w:val="1"/>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本项目为总价合同，除非合同另有约定，供应商所报的最后价格在合同执行过程中是固定不变的，不得以任何理由予以变更。任何包含价格调整要求的响应文件，将被认为是非实质响应性而予以拒绝。</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40" w:name="_Ref421009326"/>
      <w:r>
        <w:rPr>
          <w:rFonts w:hint="eastAsia" w:ascii="宋体" w:hAnsi="宋体" w:cs="黑体"/>
          <w:kern w:val="0"/>
          <w:sz w:val="24"/>
        </w:rPr>
        <w:t>响应文件有效期</w:t>
      </w:r>
      <w:bookmarkEnd w:id="39"/>
      <w:bookmarkEnd w:id="40"/>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1" w:name="_Ref527102185"/>
      <w:r>
        <w:rPr>
          <w:rFonts w:hint="eastAsia" w:asciiTheme="minorEastAsia" w:hAnsiTheme="minorEastAsia"/>
          <w:sz w:val="24"/>
        </w:rPr>
        <w:t>本项目</w:t>
      </w:r>
      <w:r>
        <w:rPr>
          <w:rFonts w:hint="eastAsia" w:ascii="宋体" w:hAnsi="宋体" w:cs="黑体"/>
          <w:kern w:val="0"/>
          <w:sz w:val="24"/>
        </w:rPr>
        <w:t>响应文件</w:t>
      </w:r>
      <w:r>
        <w:rPr>
          <w:rFonts w:hint="eastAsia" w:asciiTheme="minorEastAsia" w:hAnsiTheme="minorEastAsia"/>
          <w:sz w:val="24"/>
        </w:rPr>
        <w:t>有效期见供应商须知前附表。</w:t>
      </w:r>
      <w:r>
        <w:rPr>
          <w:rFonts w:hint="eastAsia" w:ascii="宋体" w:hAnsi="宋体" w:cs="黑体"/>
          <w:kern w:val="0"/>
          <w:sz w:val="24"/>
        </w:rPr>
        <w:t>响应文件</w:t>
      </w:r>
      <w:r>
        <w:rPr>
          <w:rFonts w:hint="eastAsia" w:asciiTheme="minorEastAsia" w:hAnsiTheme="minorEastAsia"/>
          <w:sz w:val="24"/>
        </w:rPr>
        <w:t>有效期从提交响应文件的截止之日起算。响应文件中承诺的有效期应当不少于谈判文件中载明的有效期。</w:t>
      </w:r>
      <w:bookmarkEnd w:id="41"/>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在供应商须知前附表规定的响应文件有效期内，供应商不得要求撤销或修改其响应文件。</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42" w:name="_Toc195921815"/>
      <w:r>
        <w:rPr>
          <w:rFonts w:hint="eastAsia" w:ascii="宋体" w:hAnsi="宋体" w:cs="黑体"/>
          <w:kern w:val="0"/>
          <w:sz w:val="24"/>
        </w:rPr>
        <w:t>谈判保证金</w:t>
      </w:r>
      <w:bookmarkEnd w:id="42"/>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3" w:name="_Ref419361076"/>
      <w:r>
        <w:rPr>
          <w:rFonts w:hint="eastAsia" w:ascii="宋体" w:hAnsi="宋体" w:cs="黑体"/>
          <w:kern w:val="0"/>
          <w:sz w:val="24"/>
        </w:rPr>
        <w:t>供应商应按供应商须知前附表规定的金额、形式递交谈判保证金，并作为其响应文件的组成部分。以联合体形式递交响应文件的，可以由联合体中的一方或者共同提交谈判保证金，以一方名义提交谈判保证金的，对联合体各方均具有约束力。</w:t>
      </w:r>
      <w:bookmarkEnd w:id="43"/>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供应商不按本章第</w:t>
      </w:r>
      <w:r>
        <w:fldChar w:fldCharType="begin"/>
      </w:r>
      <w:r>
        <w:instrText xml:space="preserve"> REF _Ref419361076 \r \h  \* MERGEFORMAT </w:instrText>
      </w:r>
      <w:r>
        <w:fldChar w:fldCharType="separate"/>
      </w:r>
      <w:r>
        <w:rPr>
          <w:rFonts w:ascii="宋体" w:hAnsi="宋体" w:cs="黑体"/>
          <w:kern w:val="0"/>
          <w:sz w:val="24"/>
        </w:rPr>
        <w:t>3.</w:t>
      </w:r>
      <w:r>
        <w:rPr>
          <w:rFonts w:hint="eastAsia" w:ascii="宋体" w:hAnsi="宋体" w:cs="黑体"/>
          <w:kern w:val="0"/>
          <w:sz w:val="24"/>
        </w:rPr>
        <w:t>7</w:t>
      </w:r>
      <w:r>
        <w:rPr>
          <w:rFonts w:ascii="宋体" w:hAnsi="宋体" w:cs="黑体"/>
          <w:kern w:val="0"/>
          <w:sz w:val="24"/>
        </w:rPr>
        <w:t>.1</w:t>
      </w:r>
      <w:r>
        <w:rPr>
          <w:rFonts w:ascii="宋体" w:hAnsi="宋体" w:cs="黑体"/>
          <w:kern w:val="0"/>
          <w:sz w:val="24"/>
        </w:rPr>
        <w:fldChar w:fldCharType="end"/>
      </w:r>
      <w:r>
        <w:rPr>
          <w:rFonts w:hint="eastAsia" w:ascii="宋体" w:hAnsi="宋体" w:cs="黑体"/>
          <w:kern w:val="0"/>
          <w:sz w:val="24"/>
        </w:rPr>
        <w:t>项要求提交谈判保证金的，其响应文件无效。</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bookmarkStart w:id="44" w:name="_Ref419361088"/>
      <w:r>
        <w:rPr>
          <w:rFonts w:hint="eastAsia" w:ascii="宋体" w:hAnsi="宋体"/>
          <w:sz w:val="24"/>
        </w:rPr>
        <w:t>供应商在首次响应文件递交截止时间3日前，按谈判文件的要求向采购代理机构递交谈判保证金，递交首次响应文件截止时间之后递交的谈判保证金将被拒绝。</w:t>
      </w:r>
      <w:bookmarkEnd w:id="44"/>
    </w:p>
    <w:p>
      <w:pPr>
        <w:numPr>
          <w:ilvl w:val="2"/>
          <w:numId w:val="5"/>
        </w:numPr>
        <w:tabs>
          <w:tab w:val="left" w:pos="1260"/>
        </w:tabs>
        <w:autoSpaceDE w:val="0"/>
        <w:autoSpaceDN w:val="0"/>
        <w:adjustRightInd w:val="0"/>
        <w:snapToGrid w:val="0"/>
        <w:spacing w:afterLines="50"/>
        <w:ind w:left="1134" w:hanging="1134"/>
        <w:rPr>
          <w:rFonts w:ascii="宋体" w:hAnsi="宋体"/>
          <w:sz w:val="24"/>
        </w:rPr>
      </w:pPr>
      <w:r>
        <w:rPr>
          <w:rFonts w:hint="eastAsia" w:ascii="宋体" w:hAnsi="宋体"/>
          <w:sz w:val="24"/>
        </w:rPr>
        <w:t>供应商在汇款时务必注明所参与谈判项目的编号及用途，否则，因款项用途不明导致响应文件无效等后果由供应商自行承担。</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采购人或者采购代理机构应当自成交通知书发出之日起5个工作日内退还非成交供应商的谈判保证金，自政府采购合同签订之日起5个工作日内退还成交供应商的谈判保证金</w:t>
      </w:r>
      <w:r>
        <w:rPr>
          <w:rFonts w:hint="eastAsia" w:asciiTheme="minorEastAsia" w:hAnsiTheme="minorEastAsia"/>
          <w:sz w:val="24"/>
        </w:rPr>
        <w:t>或者转为成交供应商的履约保证金</w:t>
      </w:r>
      <w:r>
        <w:rPr>
          <w:rFonts w:hint="eastAsia" w:ascii="宋体" w:hAnsi="宋体" w:cs="黑体"/>
          <w:kern w:val="0"/>
          <w:sz w:val="24"/>
        </w:rPr>
        <w:t>。</w:t>
      </w:r>
    </w:p>
    <w:p>
      <w:pPr>
        <w:numPr>
          <w:ilvl w:val="255"/>
          <w:numId w:val="0"/>
        </w:numPr>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采购人或者采购代理机构逾期退还谈判保证金的，除退还谈判保证金本金外，还应当按中国人民银行同期贷款基准利率上浮20％后的利率支付超期资金占用费，但因供应商自身原因导致无法及时退还的除外。</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hAnsi="宋体" w:cs="宋体"/>
          <w:sz w:val="24"/>
        </w:rPr>
        <w:t>供应商有下列行为之一者，其谈判保证金可不予退还：</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（1）供应商在响应文件有效期内撤回响应文件的；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（2）供应商在响应文件中提供虚假材料的；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（3）除因不可抗力或谈判文件认可的情形以外，成交供应商不与采购人签订合同的；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（4）供应商与采购人、其他供应商或者采购代理机构恶意串通的；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（5）谈判文件规定应由成交供应商缴纳代理服务费而成交供应商未缴纳的；</w:t>
      </w:r>
    </w:p>
    <w:p>
      <w:pPr>
        <w:tabs>
          <w:tab w:val="left" w:pos="1843"/>
        </w:tabs>
        <w:autoSpaceDE w:val="0"/>
        <w:autoSpaceDN w:val="0"/>
        <w:adjustRightInd w:val="0"/>
        <w:snapToGrid w:val="0"/>
        <w:spacing w:afterLines="50"/>
        <w:ind w:left="1734" w:leftChars="540" w:hanging="600" w:hangingChars="250"/>
        <w:rPr>
          <w:rFonts w:ascii="宋体" w:hAnsi="宋体" w:cs="黑体"/>
          <w:kern w:val="0"/>
          <w:sz w:val="24"/>
        </w:rPr>
      </w:pPr>
      <w:r>
        <w:rPr>
          <w:rFonts w:hint="eastAsia" w:ascii="宋体" w:hAnsi="宋体" w:cs="黑体"/>
          <w:kern w:val="0"/>
          <w:sz w:val="24"/>
        </w:rPr>
        <w:t>（6）谈判文件规定的其他情形。</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45" w:name="_Toc195921818"/>
      <w:r>
        <w:rPr>
          <w:rFonts w:hint="eastAsia" w:ascii="宋体" w:hAnsi="宋体" w:cs="黑体"/>
          <w:kern w:val="0"/>
          <w:sz w:val="24"/>
        </w:rPr>
        <w:t>响应文件的编制</w:t>
      </w:r>
      <w:bookmarkEnd w:id="45"/>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响应文件应按第七章“响应文件格式”进行编写，如有必要，可以增加附页，作为响应文件的组成部分。供应商可以提出比谈判文件要求更有利于采购人的承诺。</w:t>
      </w:r>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响应文件应当对谈判文件有关采购范围、工期、响应文件有效期及谈判文件要求实质性内容作出响应。</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6" w:name="_Ref527102437"/>
      <w:r>
        <w:rPr>
          <w:rFonts w:hint="eastAsia" w:ascii="宋体" w:hAnsi="宋体" w:cs="黑体"/>
          <w:kern w:val="0"/>
          <w:sz w:val="24"/>
        </w:rPr>
        <w:t>响应文件正本需打印或用不褪色墨水书写，供应商的法定代表人或经授权的代表须根据谈判文件第七章的规定在响应文件中需要签字和（或）盖章的位置签字（或盖人名章）和（或）加盖单位公章。授权代表须持有书面的“法定代表人授权书”（格式附后），并将其附在响应文件中。</w:t>
      </w:r>
      <w:bookmarkEnd w:id="46"/>
    </w:p>
    <w:p>
      <w:pPr>
        <w:tabs>
          <w:tab w:val="left" w:pos="1260"/>
        </w:tabs>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首次响应文件递交截止时间前，如对首次响应文件进行了修改，包括在响应文件行间插字、涂改和增删，均应由供应商的法定代表人或经授权的代表在修改的每一页上签字。</w:t>
      </w:r>
    </w:p>
    <w:p>
      <w:pPr>
        <w:tabs>
          <w:tab w:val="left" w:pos="1260"/>
        </w:tabs>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响应文件的副本可采用正本的复印件。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7" w:name="_Ref527633691"/>
      <w:r>
        <w:rPr>
          <w:rFonts w:hint="eastAsia" w:ascii="宋体" w:hAnsi="宋体" w:cs="黑体"/>
          <w:kern w:val="0"/>
          <w:sz w:val="24"/>
        </w:rPr>
        <w:t>响应文件正本一份，副本及电子文档份数见供应商须知前附表。正本和副本的封面上应清楚地标记“正本”或“副本”的字样。当副本和正本不一致时，以正本为准。</w:t>
      </w:r>
      <w:bookmarkEnd w:id="47"/>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48" w:name="_Ref527102466"/>
      <w:r>
        <w:rPr>
          <w:rFonts w:hint="eastAsia" w:ascii="宋体" w:hAnsi="宋体" w:cs="黑体"/>
          <w:kern w:val="0"/>
          <w:sz w:val="24"/>
        </w:rPr>
        <w:t>响应文件的正本与副本应分别装订成册，并编制目录，具体分册及装订要求见供应商须知前附表规定。</w:t>
      </w:r>
      <w:bookmarkEnd w:id="48"/>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49" w:name="_Toc195921819"/>
      <w:bookmarkStart w:id="50" w:name="_Toc14645"/>
      <w:bookmarkStart w:id="51" w:name="_Toc28960"/>
      <w:r>
        <w:rPr>
          <w:rFonts w:hint="eastAsia" w:ascii="黑体" w:hAnsi="宋体" w:eastAsia="黑体" w:cs="黑体"/>
          <w:kern w:val="0"/>
          <w:sz w:val="24"/>
        </w:rPr>
        <w:t>响应文件</w:t>
      </w:r>
      <w:bookmarkEnd w:id="49"/>
      <w:r>
        <w:rPr>
          <w:rFonts w:hint="eastAsia" w:ascii="黑体" w:hAnsi="宋体" w:eastAsia="黑体" w:cs="黑体"/>
          <w:kern w:val="0"/>
          <w:sz w:val="24"/>
        </w:rPr>
        <w:t>提交</w:t>
      </w:r>
      <w:bookmarkEnd w:id="50"/>
      <w:bookmarkEnd w:id="51"/>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52" w:name="_Toc195921820"/>
      <w:r>
        <w:rPr>
          <w:rFonts w:hint="eastAsia" w:ascii="宋体" w:hAnsi="宋体" w:cs="黑体"/>
          <w:kern w:val="0"/>
          <w:sz w:val="24"/>
        </w:rPr>
        <w:t>响应文件的</w:t>
      </w:r>
      <w:bookmarkEnd w:id="52"/>
      <w:r>
        <w:rPr>
          <w:rFonts w:hint="eastAsia" w:ascii="宋体" w:hAnsi="宋体" w:cs="黑体"/>
          <w:kern w:val="0"/>
          <w:sz w:val="24"/>
        </w:rPr>
        <w:t>密封和标记</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53" w:name="_Ref421008478"/>
      <w:r>
        <w:rPr>
          <w:rFonts w:hint="eastAsia" w:ascii="宋体" w:hAnsi="宋体" w:cs="黑体"/>
          <w:kern w:val="0"/>
          <w:sz w:val="24"/>
        </w:rPr>
        <w:t>供应商递交的响应文件，应按照标段分别加以密封。密封方式为在响应文件外包装封口处加盖公章或“密封章”。</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54" w:name="_Ref527102501"/>
      <w:r>
        <w:rPr>
          <w:rFonts w:hint="eastAsia" w:ascii="宋体" w:hAnsi="宋体" w:cs="黑体"/>
          <w:kern w:val="0"/>
          <w:sz w:val="24"/>
        </w:rPr>
        <w:t>响应文件的封套上应标识的其他内容见供应商须知前附表。</w:t>
      </w:r>
      <w:bookmarkEnd w:id="53"/>
      <w:bookmarkEnd w:id="54"/>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未按本章第</w:t>
      </w:r>
      <w:r>
        <w:fldChar w:fldCharType="begin"/>
      </w:r>
      <w:r>
        <w:instrText xml:space="preserve"> REF _Ref421008478 \r \h  \* MERGEFORMAT </w:instrText>
      </w:r>
      <w:r>
        <w:fldChar w:fldCharType="separate"/>
      </w:r>
      <w:r>
        <w:rPr>
          <w:rFonts w:ascii="宋体" w:hAnsi="宋体" w:cs="黑体"/>
          <w:kern w:val="0"/>
          <w:sz w:val="24"/>
        </w:rPr>
        <w:t>4.1.1</w:t>
      </w:r>
      <w:r>
        <w:rPr>
          <w:rFonts w:ascii="宋体" w:hAnsi="宋体" w:cs="黑体"/>
          <w:kern w:val="0"/>
          <w:sz w:val="24"/>
        </w:rPr>
        <w:fldChar w:fldCharType="end"/>
      </w:r>
      <w:r>
        <w:rPr>
          <w:rFonts w:hint="eastAsia" w:ascii="宋体" w:hAnsi="宋体" w:cs="黑体"/>
          <w:kern w:val="0"/>
          <w:sz w:val="24"/>
        </w:rPr>
        <w:t>项、第</w:t>
      </w:r>
      <w:r>
        <w:fldChar w:fldCharType="begin"/>
      </w:r>
      <w:r>
        <w:instrText xml:space="preserve"> REF _Ref421008478 \r \h  \* MERGEFORMAT </w:instrText>
      </w:r>
      <w:r>
        <w:fldChar w:fldCharType="separate"/>
      </w:r>
      <w:r>
        <w:rPr>
          <w:rFonts w:ascii="宋体" w:hAnsi="宋体" w:cs="黑体"/>
          <w:kern w:val="0"/>
          <w:sz w:val="24"/>
        </w:rPr>
        <w:t>4.1.</w:t>
      </w:r>
      <w:r>
        <w:rPr>
          <w:rFonts w:hint="eastAsia" w:ascii="宋体" w:hAnsi="宋体" w:cs="黑体"/>
          <w:kern w:val="0"/>
          <w:sz w:val="24"/>
        </w:rPr>
        <w:t>2</w:t>
      </w:r>
      <w:r>
        <w:rPr>
          <w:rFonts w:hint="eastAsia" w:ascii="宋体" w:hAnsi="宋体" w:cs="黑体"/>
          <w:kern w:val="0"/>
          <w:sz w:val="24"/>
        </w:rPr>
        <w:fldChar w:fldCharType="end"/>
      </w:r>
      <w:r>
        <w:rPr>
          <w:rFonts w:hint="eastAsia" w:ascii="宋体" w:hAnsi="宋体" w:cs="黑体"/>
          <w:kern w:val="0"/>
          <w:sz w:val="24"/>
        </w:rPr>
        <w:t>项要求密封并加写标识的响应文件，采购人不予受理。</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55" w:name="_Toc195921821"/>
      <w:r>
        <w:rPr>
          <w:rFonts w:hint="eastAsia" w:ascii="宋体" w:hAnsi="宋体" w:cs="黑体"/>
          <w:kern w:val="0"/>
          <w:sz w:val="24"/>
        </w:rPr>
        <w:t>首次响应文件的递交</w:t>
      </w:r>
      <w:bookmarkEnd w:id="55"/>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供应商应在竞争性谈判公告规定的递交响应文件截止时间前递交首次响应文件。如有变化，见澄清修改文件。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供应商递交首次响应文件的地点：见竞争性谈判公告。如有变化，见澄清修改文件。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除因供应商家数不满足要求未进行谈判的情形外，供应商所递交的响应文件不予退还。</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Theme="minorEastAsia" w:hAnsiTheme="minorEastAsia"/>
          <w:sz w:val="24"/>
        </w:rPr>
        <w:t>逾期送达、</w:t>
      </w:r>
      <w:r>
        <w:rPr>
          <w:rFonts w:hint="eastAsia" w:ascii="宋体" w:hAnsi="宋体" w:cs="黑体"/>
          <w:kern w:val="0"/>
          <w:sz w:val="24"/>
        </w:rPr>
        <w:t>未送达指定地点</w:t>
      </w:r>
      <w:r>
        <w:rPr>
          <w:rFonts w:hint="eastAsia" w:asciiTheme="minorEastAsia" w:hAnsiTheme="minorEastAsia"/>
          <w:sz w:val="24"/>
        </w:rPr>
        <w:t>的响应文件</w:t>
      </w:r>
      <w:r>
        <w:rPr>
          <w:rFonts w:hint="eastAsia" w:ascii="宋体" w:hAnsi="宋体" w:cs="黑体"/>
          <w:kern w:val="0"/>
          <w:sz w:val="24"/>
        </w:rPr>
        <w:t>，采购人不予受理。</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56" w:name="_Toc195921822"/>
      <w:r>
        <w:rPr>
          <w:rFonts w:hint="eastAsia" w:ascii="宋体" w:hAnsi="宋体" w:cs="黑体"/>
          <w:kern w:val="0"/>
          <w:sz w:val="24"/>
        </w:rPr>
        <w:t>响应文件的修改与撤回</w:t>
      </w:r>
      <w:bookmarkEnd w:id="56"/>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在竞争性谈判公告规定的首次响应文件递交截止时间前，供应商可以修改或撤回已递交的首次响应文件，但应以书面形式通知采购人。</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修改的内容为首次响应文件的组成部分。修改的首次响应文件应按照本章第</w:t>
      </w:r>
      <w:r>
        <w:rPr>
          <w:rFonts w:ascii="宋体" w:hAnsi="宋体" w:cs="黑体"/>
          <w:kern w:val="0"/>
          <w:sz w:val="24"/>
        </w:rPr>
        <w:t>3</w:t>
      </w:r>
      <w:r>
        <w:rPr>
          <w:rFonts w:hint="eastAsia" w:ascii="宋体" w:hAnsi="宋体" w:cs="黑体"/>
          <w:kern w:val="0"/>
          <w:sz w:val="24"/>
        </w:rPr>
        <w:t>条、第</w:t>
      </w:r>
      <w:r>
        <w:rPr>
          <w:rFonts w:ascii="宋体" w:hAnsi="宋体" w:cs="黑体"/>
          <w:kern w:val="0"/>
          <w:sz w:val="24"/>
        </w:rPr>
        <w:t>4</w:t>
      </w:r>
      <w:r>
        <w:rPr>
          <w:rFonts w:hint="eastAsia" w:ascii="宋体" w:hAnsi="宋体" w:cs="黑体"/>
          <w:kern w:val="0"/>
          <w:sz w:val="24"/>
        </w:rPr>
        <w:t>条规定进行编制、标记和递交，并标明“修改”字样。</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57" w:name="_Toc8045"/>
      <w:bookmarkStart w:id="58" w:name="_Toc23650"/>
      <w:r>
        <w:rPr>
          <w:rFonts w:hint="eastAsia" w:ascii="黑体" w:hAnsi="宋体" w:eastAsia="黑体" w:cs="黑体"/>
          <w:kern w:val="0"/>
          <w:sz w:val="24"/>
        </w:rPr>
        <w:t>评审与谈判</w:t>
      </w:r>
      <w:bookmarkEnd w:id="57"/>
      <w:bookmarkEnd w:id="58"/>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谈判小组</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59" w:name="_Ref527102573"/>
      <w:r>
        <w:rPr>
          <w:rFonts w:hint="eastAsia" w:ascii="宋体" w:hAnsi="宋体" w:cs="黑体"/>
          <w:kern w:val="0"/>
          <w:sz w:val="24"/>
        </w:rPr>
        <w:t>竞争性谈判小组由采购人代表和评审专家组成，采购人代表和评审专家人数见供应商须知前附表。</w:t>
      </w:r>
      <w:bookmarkEnd w:id="59"/>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谈判小组成员有下列情形之一的，应当回避：</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参加采购活动前3年内与供应商存在劳动关系；</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参加采购活动前3年内担任供应商的董事、监事；</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参加采购活动前3年内是供应商的控股股东或者实际控制人；</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与供应商的法定代表人或者负责人有夫妻、直系血亲、三代以内旁系血亲或者近姻亲关系；</w:t>
      </w:r>
    </w:p>
    <w:p>
      <w:pPr>
        <w:pStyle w:val="41"/>
        <w:numPr>
          <w:ilvl w:val="0"/>
          <w:numId w:val="10"/>
        </w:numPr>
        <w:snapToGrid w:val="0"/>
        <w:spacing w:afterLines="50"/>
        <w:ind w:left="1985" w:hanging="851"/>
        <w:rPr>
          <w:rFonts w:hAnsi="宋体" w:cs="宋体"/>
          <w:sz w:val="24"/>
          <w:szCs w:val="24"/>
        </w:rPr>
      </w:pPr>
      <w:r>
        <w:rPr>
          <w:rFonts w:hAnsi="宋体" w:cs="宋体"/>
          <w:sz w:val="24"/>
          <w:szCs w:val="24"/>
        </w:rPr>
        <w:t>与供应商有其他可能影响政府采购活动公平、公正进行的关系。</w:t>
      </w:r>
    </w:p>
    <w:p>
      <w:pPr>
        <w:numPr>
          <w:ilvl w:val="2"/>
          <w:numId w:val="5"/>
        </w:numPr>
        <w:tabs>
          <w:tab w:val="left" w:pos="1260"/>
          <w:tab w:val="left" w:pos="1418"/>
          <w:tab w:val="left" w:pos="1800"/>
        </w:tabs>
        <w:autoSpaceDE w:val="0"/>
        <w:autoSpaceDN w:val="0"/>
        <w:adjustRightInd w:val="0"/>
        <w:snapToGrid w:val="0"/>
        <w:spacing w:before="120" w:afterLines="50"/>
        <w:ind w:left="1134" w:hanging="1134"/>
        <w:rPr>
          <w:rFonts w:ascii="宋体" w:hAnsi="宋体" w:cs="黑体"/>
          <w:kern w:val="0"/>
          <w:sz w:val="24"/>
        </w:rPr>
      </w:pPr>
      <w:r>
        <w:rPr>
          <w:rFonts w:hint="eastAsia" w:ascii="宋体" w:hAnsi="宋体" w:cs="黑体"/>
          <w:kern w:val="0"/>
          <w:sz w:val="24"/>
        </w:rPr>
        <w:t>谈判小组</w:t>
      </w:r>
      <w:r>
        <w:rPr>
          <w:rFonts w:hint="eastAsia" w:asciiTheme="minorEastAsia" w:hAnsiTheme="minorEastAsia"/>
          <w:sz w:val="24"/>
        </w:rPr>
        <w:t>负责具体评审事务，并独立履行下列职责</w:t>
      </w:r>
      <w:r>
        <w:rPr>
          <w:rFonts w:hint="eastAsia" w:ascii="宋体" w:hAnsi="宋体" w:cs="黑体"/>
          <w:kern w:val="0"/>
          <w:sz w:val="24"/>
        </w:rPr>
        <w:t>：</w:t>
      </w:r>
    </w:p>
    <w:p>
      <w:pPr>
        <w:pStyle w:val="41"/>
        <w:numPr>
          <w:ilvl w:val="0"/>
          <w:numId w:val="11"/>
        </w:numPr>
        <w:snapToGrid w:val="0"/>
        <w:spacing w:afterLines="50"/>
        <w:ind w:left="1554" w:hanging="420"/>
        <w:rPr>
          <w:rFonts w:hAnsi="宋体" w:cs="宋体"/>
          <w:sz w:val="24"/>
          <w:szCs w:val="24"/>
        </w:rPr>
      </w:pPr>
      <w:bookmarkStart w:id="60" w:name="_Toc195921828"/>
      <w:r>
        <w:rPr>
          <w:rFonts w:hint="eastAsia" w:hAnsi="宋体" w:cs="宋体"/>
          <w:sz w:val="24"/>
          <w:szCs w:val="24"/>
        </w:rPr>
        <w:t>确认谈判文件；</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审查供应商的响应文件并作出评价；</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要求供应商解释或者澄清其响应文件；</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编写评审报告；</w:t>
      </w:r>
    </w:p>
    <w:p>
      <w:pPr>
        <w:pStyle w:val="41"/>
        <w:numPr>
          <w:ilvl w:val="0"/>
          <w:numId w:val="11"/>
        </w:numPr>
        <w:snapToGrid w:val="0"/>
        <w:spacing w:afterLines="50"/>
        <w:ind w:left="1985" w:hanging="851"/>
        <w:rPr>
          <w:rFonts w:hAnsi="宋体" w:cs="宋体"/>
          <w:sz w:val="24"/>
          <w:szCs w:val="24"/>
        </w:rPr>
      </w:pPr>
      <w:r>
        <w:rPr>
          <w:rFonts w:hint="eastAsia" w:hAnsi="宋体" w:cs="宋体"/>
          <w:sz w:val="24"/>
          <w:szCs w:val="24"/>
        </w:rPr>
        <w:t>告知采购人、采购代理机构在评审过程中发现的供应商的违法违规行为。</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谈判小组所有成员集中与单一供应商分别进行谈判，并给予所有参加谈判的供应商平等的谈判机会。</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结束后，谈判小组可以要求所有继续参加谈判的供应商在规定时间内提交最后报价函，提交最后报价函的供应商不得少于3家，但公开招标的货物、服务采购项目，招标过程中提交投标文件或者经评审实质性响应招标文件要求的供应商只有两家时，经财政部门批准后采用竞争性谈判采购方式的除外。</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供应商应当按照谈判文件的变动情况和谈判小组的要求重新提交最后报价函，并由其法定代表人或授权代表签字或者加盖公章。由授权代表签字的，应当附法定代表人授权书。</w:t>
      </w:r>
    </w:p>
    <w:p>
      <w:pPr>
        <w:autoSpaceDE w:val="0"/>
        <w:autoSpaceDN w:val="0"/>
        <w:adjustRightInd w:val="0"/>
        <w:snapToGrid w:val="0"/>
        <w:spacing w:afterLines="50"/>
        <w:ind w:left="1134" w:leftChars="540"/>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最后报价函是供应商响应文件的有效组成部分。</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若竞争性谈判最后报价函与供应商首次递交的报价函及报价函附录的内容有差异，以竞争性谈判最后报价函内容为准。</w:t>
      </w:r>
    </w:p>
    <w:p>
      <w:pPr>
        <w:numPr>
          <w:ilvl w:val="1"/>
          <w:numId w:val="5"/>
        </w:numPr>
        <w:autoSpaceDE w:val="0"/>
        <w:autoSpaceDN w:val="0"/>
        <w:adjustRightInd w:val="0"/>
        <w:snapToGrid w:val="0"/>
        <w:spacing w:afterLines="50"/>
        <w:ind w:left="1133" w:hanging="1132" w:hangingChars="472"/>
        <w:rPr>
          <w:rFonts w:cs="TimesNewRomanPSMT" w:asciiTheme="minorEastAsia" w:hAnsiTheme="minorEastAsia" w:eastAsiaTheme="minorEastAsia"/>
          <w:kern w:val="0"/>
          <w:sz w:val="24"/>
          <w:highlight w:val="none"/>
        </w:rPr>
      </w:pPr>
      <w:r>
        <w:rPr>
          <w:rFonts w:hint="eastAsia" w:cs="TimesNewRomanPSMT" w:asciiTheme="minorEastAsia" w:hAnsiTheme="minorEastAsia" w:eastAsiaTheme="minorEastAsia"/>
          <w:kern w:val="0"/>
          <w:sz w:val="24"/>
          <w:highlight w:val="none"/>
        </w:rPr>
        <w:t>成交供应商应根据谈判文件中的工程量清单及其最后报价函中所列报价，根据《建设工程工程量清单计价规范》（GB 50500）和《房屋建筑与装饰工程工程量计算规范》（GB 50854）的相关规定，编制本项目已标价的工程量清单，收到成交通知书后的7日内提交给采购人；对采购人提出的审查意见在合同签订前修改完成。</w:t>
      </w:r>
    </w:p>
    <w:p>
      <w:pPr>
        <w:numPr>
          <w:ilvl w:val="1"/>
          <w:numId w:val="5"/>
        </w:numPr>
        <w:autoSpaceDE w:val="0"/>
        <w:autoSpaceDN w:val="0"/>
        <w:adjustRightInd w:val="0"/>
        <w:snapToGrid w:val="0"/>
        <w:spacing w:afterLines="50"/>
        <w:ind w:left="991" w:hanging="1132" w:hangingChars="472"/>
        <w:rPr>
          <w:rFonts w:asciiTheme="minorEastAsia" w:hAnsiTheme="minorEastAsia"/>
          <w:sz w:val="24"/>
        </w:rPr>
      </w:pPr>
      <w:r>
        <w:rPr>
          <w:rFonts w:hint="eastAsia" w:cs="TimesNewRomanPSMT" w:asciiTheme="minorEastAsia" w:hAnsiTheme="minorEastAsia" w:eastAsiaTheme="minorEastAsia"/>
          <w:kern w:val="0"/>
          <w:sz w:val="24"/>
        </w:rPr>
        <w:t>谈判小组</w:t>
      </w:r>
      <w:r>
        <w:rPr>
          <w:rFonts w:hint="eastAsia" w:asciiTheme="minorEastAsia" w:hAnsiTheme="minorEastAsia"/>
          <w:sz w:val="24"/>
        </w:rPr>
        <w:t>按照第三章“评审办法和标准”规定的评标方法和标准，对提交最后报价函的响应文件进行评审。“评审办法”没有规定的方法、评审因素和标准，不作为评审依据。</w:t>
      </w:r>
    </w:p>
    <w:bookmarkEnd w:id="60"/>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61" w:name="_Toc195921830"/>
      <w:bookmarkStart w:id="62" w:name="_Toc17724"/>
      <w:bookmarkStart w:id="63" w:name="_Toc20873"/>
      <w:r>
        <w:rPr>
          <w:rFonts w:hint="eastAsia" w:ascii="黑体" w:hAnsi="宋体" w:eastAsia="黑体" w:cs="黑体"/>
          <w:kern w:val="0"/>
          <w:sz w:val="24"/>
        </w:rPr>
        <w:t>合同授予</w:t>
      </w:r>
      <w:bookmarkEnd w:id="61"/>
      <w:bookmarkEnd w:id="62"/>
      <w:bookmarkEnd w:id="63"/>
    </w:p>
    <w:p>
      <w:pPr>
        <w:numPr>
          <w:ilvl w:val="1"/>
          <w:numId w:val="5"/>
        </w:numPr>
        <w:autoSpaceDE w:val="0"/>
        <w:autoSpaceDN w:val="0"/>
        <w:adjustRightInd w:val="0"/>
        <w:snapToGrid w:val="0"/>
        <w:spacing w:afterLines="50"/>
        <w:ind w:left="1680" w:hanging="1680" w:hangingChars="700"/>
        <w:rPr>
          <w:rFonts w:ascii="宋体" w:hAnsi="宋体" w:cs="黑体"/>
          <w:kern w:val="0"/>
          <w:sz w:val="24"/>
        </w:rPr>
      </w:pPr>
      <w:bookmarkStart w:id="64" w:name="_Toc195921831"/>
      <w:bookmarkStart w:id="65" w:name="_Ref526866822"/>
      <w:bookmarkStart w:id="66" w:name="_Ref527102841"/>
      <w:r>
        <w:rPr>
          <w:rFonts w:hint="eastAsia" w:ascii="宋体" w:hAnsi="宋体" w:cs="黑体"/>
          <w:kern w:val="0"/>
          <w:sz w:val="24"/>
        </w:rPr>
        <w:t>确定成交供应商方式</w:t>
      </w:r>
      <w:bookmarkEnd w:id="64"/>
      <w:bookmarkEnd w:id="65"/>
      <w:bookmarkEnd w:id="66"/>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Theme="minorEastAsia" w:hAnsiTheme="minorEastAsia"/>
          <w:sz w:val="24"/>
        </w:rPr>
        <w:t>采购人应当从评审报告提出的成交候选人中，根据质量和服务均能满足采购文件实质性响应要求且最后报价最低的原则确定成交供应商，也可以书面授权谈判小组直接确定成交供应商。具体方式见供应商须知前附表。</w:t>
      </w:r>
    </w:p>
    <w:p>
      <w:pPr>
        <w:numPr>
          <w:ilvl w:val="1"/>
          <w:numId w:val="5"/>
        </w:numPr>
        <w:autoSpaceDE w:val="0"/>
        <w:autoSpaceDN w:val="0"/>
        <w:adjustRightInd w:val="0"/>
        <w:snapToGrid w:val="0"/>
        <w:spacing w:afterLines="50"/>
        <w:ind w:left="1680" w:hanging="1680" w:hangingChars="700"/>
        <w:rPr>
          <w:rFonts w:ascii="宋体" w:hAnsi="宋体" w:cs="黑体"/>
          <w:kern w:val="0"/>
          <w:sz w:val="24"/>
        </w:rPr>
      </w:pPr>
      <w:r>
        <w:rPr>
          <w:rFonts w:hint="eastAsia" w:ascii="宋体" w:hAnsi="宋体" w:cs="黑体"/>
          <w:kern w:val="0"/>
          <w:sz w:val="24"/>
        </w:rPr>
        <w:t>成交公告</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r>
        <w:rPr>
          <w:rFonts w:hint="eastAsia" w:asciiTheme="minorEastAsia" w:hAnsiTheme="minorEastAsia"/>
          <w:sz w:val="24"/>
        </w:rPr>
        <w:t>采购人或者采购代理机构应当自成交供应商确定之日起2个工作日内，在省级以上财政部门指定的媒体上公告成交结果。</w:t>
      </w:r>
    </w:p>
    <w:p>
      <w:pPr>
        <w:tabs>
          <w:tab w:val="left" w:pos="1260"/>
        </w:tabs>
        <w:autoSpaceDE w:val="0"/>
        <w:autoSpaceDN w:val="0"/>
        <w:adjustRightInd w:val="0"/>
        <w:snapToGrid w:val="0"/>
        <w:spacing w:afterLines="50"/>
        <w:ind w:left="1134"/>
        <w:rPr>
          <w:rFonts w:asciiTheme="minorEastAsia" w:hAnsiTheme="minorEastAsia"/>
          <w:sz w:val="24"/>
        </w:rPr>
      </w:pPr>
      <w:r>
        <w:rPr>
          <w:rFonts w:hint="eastAsia" w:asciiTheme="minorEastAsia" w:hAnsiTheme="minorEastAsia"/>
          <w:sz w:val="24"/>
        </w:rPr>
        <w:t>成交公告期限为1个工作日。</w:t>
      </w:r>
    </w:p>
    <w:p>
      <w:pPr>
        <w:numPr>
          <w:ilvl w:val="2"/>
          <w:numId w:val="5"/>
        </w:numPr>
        <w:tabs>
          <w:tab w:val="left" w:pos="1260"/>
        </w:tabs>
        <w:autoSpaceDE w:val="0"/>
        <w:autoSpaceDN w:val="0"/>
        <w:adjustRightInd w:val="0"/>
        <w:snapToGrid w:val="0"/>
        <w:spacing w:afterLines="50"/>
        <w:ind w:left="1134" w:hanging="1134"/>
        <w:rPr>
          <w:rFonts w:ascii="宋体" w:hAnsi="宋体"/>
          <w:sz w:val="24"/>
        </w:rPr>
      </w:pPr>
      <w:r>
        <w:rPr>
          <w:rFonts w:ascii="宋体" w:hAnsi="宋体" w:cs="黑体"/>
          <w:kern w:val="0"/>
          <w:sz w:val="24"/>
        </w:rPr>
        <w:t>供应商</w:t>
      </w:r>
      <w:r>
        <w:rPr>
          <w:rFonts w:hint="eastAsia" w:ascii="宋体" w:hAnsi="宋体" w:cs="黑体"/>
          <w:kern w:val="0"/>
          <w:sz w:val="24"/>
        </w:rPr>
        <w:t>可以在成交公告期限届满之日</w:t>
      </w:r>
      <w:r>
        <w:rPr>
          <w:rFonts w:hint="eastAsia" w:ascii="宋体" w:hAnsi="宋体"/>
          <w:sz w:val="24"/>
        </w:rPr>
        <w:t>起七个工作日内，按本须知第</w:t>
      </w:r>
      <w:r>
        <w:fldChar w:fldCharType="begin"/>
      </w:r>
      <w:r>
        <w:instrText xml:space="preserve"> REF _Ref527101721 \r \h  \* MERGEFORMAT </w:instrText>
      </w:r>
      <w:r>
        <w:fldChar w:fldCharType="separate"/>
      </w:r>
      <w:r>
        <w:rPr>
          <w:rFonts w:ascii="宋体" w:hAnsi="宋体"/>
          <w:sz w:val="24"/>
        </w:rPr>
        <w:t>2.3</w:t>
      </w:r>
      <w:r>
        <w:rPr>
          <w:rFonts w:ascii="宋体" w:hAnsi="宋体"/>
          <w:sz w:val="24"/>
        </w:rPr>
        <w:fldChar w:fldCharType="end"/>
      </w:r>
      <w:r>
        <w:rPr>
          <w:rFonts w:hint="eastAsia" w:ascii="宋体" w:hAnsi="宋体"/>
          <w:sz w:val="24"/>
        </w:rPr>
        <w:t>款接收质疑函的方式以书面形式一次性提出对成交结果的质疑。</w:t>
      </w:r>
    </w:p>
    <w:p>
      <w:pPr>
        <w:numPr>
          <w:ilvl w:val="1"/>
          <w:numId w:val="5"/>
        </w:numPr>
        <w:autoSpaceDE w:val="0"/>
        <w:autoSpaceDN w:val="0"/>
        <w:adjustRightInd w:val="0"/>
        <w:snapToGrid w:val="0"/>
        <w:spacing w:afterLines="50"/>
        <w:ind w:left="1680" w:hanging="1680" w:hangingChars="700"/>
        <w:rPr>
          <w:rFonts w:ascii="宋体" w:hAnsi="宋体" w:cs="黑体"/>
          <w:kern w:val="0"/>
          <w:sz w:val="24"/>
        </w:rPr>
      </w:pPr>
      <w:bookmarkStart w:id="67" w:name="_Toc195921832"/>
      <w:r>
        <w:rPr>
          <w:rFonts w:hint="eastAsia" w:ascii="宋体" w:hAnsi="宋体" w:cs="黑体"/>
          <w:kern w:val="0"/>
          <w:sz w:val="24"/>
        </w:rPr>
        <w:t>成交通知</w:t>
      </w:r>
      <w:bookmarkEnd w:id="67"/>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宋体"/>
          <w:kern w:val="0"/>
          <w:sz w:val="24"/>
        </w:rPr>
        <w:t>在公告成交结果的同时</w:t>
      </w:r>
      <w:r>
        <w:rPr>
          <w:rFonts w:hint="eastAsia" w:ascii="宋体" w:hAnsi="宋体" w:cs="黑体"/>
          <w:kern w:val="0"/>
          <w:sz w:val="24"/>
        </w:rPr>
        <w:t>，采购人以书面形式向成交供应商发出成交通知书，同时将成交结果通知其他参加谈判的供应商。</w:t>
      </w:r>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Theme="minorEastAsia" w:hAnsiTheme="minorEastAsia"/>
          <w:sz w:val="24"/>
        </w:rPr>
        <w:t>成交通知书发出后，采购人不得违法改变成交结果，成交供应商无正当理由不得放弃。</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履约保证金</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bookmarkStart w:id="68" w:name="_Ref421009348"/>
      <w:r>
        <w:rPr>
          <w:rFonts w:hint="eastAsia" w:ascii="宋体" w:hAnsi="宋体" w:cs="黑体"/>
          <w:kern w:val="0"/>
          <w:sz w:val="24"/>
        </w:rPr>
        <w:t>在签订合同前，成交供应商应按供应商须知前附表规定的金额、担保形式和谈判文件第四章“合同条款及格式”规定的履约保证金格式向采购人提交履约保证金。</w:t>
      </w:r>
      <w:bookmarkEnd w:id="68"/>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成交供应商不能按本章第</w:t>
      </w:r>
      <w:r>
        <w:fldChar w:fldCharType="begin"/>
      </w:r>
      <w:r>
        <w:instrText xml:space="preserve"> REF _Ref421009348 \r \h  \* MERGEFORMAT </w:instrText>
      </w:r>
      <w:r>
        <w:fldChar w:fldCharType="separate"/>
      </w:r>
      <w:r>
        <w:rPr>
          <w:rFonts w:ascii="宋体" w:hAnsi="宋体" w:cs="黑体"/>
          <w:kern w:val="0"/>
          <w:sz w:val="24"/>
        </w:rPr>
        <w:t>6.4.1</w:t>
      </w:r>
      <w:r>
        <w:rPr>
          <w:rFonts w:ascii="宋体" w:hAnsi="宋体" w:cs="黑体"/>
          <w:kern w:val="0"/>
          <w:sz w:val="24"/>
        </w:rPr>
        <w:fldChar w:fldCharType="end"/>
      </w:r>
      <w:r>
        <w:rPr>
          <w:rFonts w:hint="eastAsia" w:ascii="宋体" w:hAnsi="宋体" w:cs="黑体"/>
          <w:kern w:val="0"/>
          <w:sz w:val="24"/>
        </w:rPr>
        <w:t>项要求提交履约保证金的，视为放弃成交，其谈判保证金不予退还，给采购人造成的损失超过谈判保证金数额的，成交供应商还应当对超过部分予以赔偿。</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69" w:name="_Toc195921834"/>
      <w:r>
        <w:rPr>
          <w:rFonts w:hint="eastAsia" w:ascii="宋体" w:hAnsi="宋体" w:cs="黑体"/>
          <w:kern w:val="0"/>
          <w:sz w:val="24"/>
        </w:rPr>
        <w:t>签订合同</w:t>
      </w:r>
      <w:bookmarkEnd w:id="69"/>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Theme="minorEastAsia" w:hAnsiTheme="minorEastAsia"/>
          <w:sz w:val="24"/>
        </w:rPr>
        <w:t>采购人应当自成交通知书发出之日起30日内，按照谈判文件和成交供应商响应文件的规定，与成交供应商签订书面合同。所签订的合同不得对谈判文件确定的事项和成交供应商响应文件作实质性修改。</w:t>
      </w:r>
    </w:p>
    <w:p>
      <w:pPr>
        <w:tabs>
          <w:tab w:val="left" w:pos="1260"/>
        </w:tabs>
        <w:autoSpaceDE w:val="0"/>
        <w:autoSpaceDN w:val="0"/>
        <w:adjustRightInd w:val="0"/>
        <w:snapToGrid w:val="0"/>
        <w:spacing w:afterLines="50"/>
        <w:ind w:left="1134"/>
        <w:rPr>
          <w:rFonts w:asciiTheme="minorEastAsia" w:hAnsiTheme="minorEastAsia"/>
          <w:sz w:val="24"/>
        </w:rPr>
      </w:pPr>
      <w:r>
        <w:rPr>
          <w:rFonts w:hint="eastAsia" w:asciiTheme="minorEastAsia" w:hAnsiTheme="minorEastAsia"/>
          <w:sz w:val="24"/>
        </w:rPr>
        <w:t>采购人不得向成交供应商提出任何不合理的要求作为签订合同的条件。</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成交供应商无正当理由拒签合同的，采购人取消其成交资格，其谈判保证金不予退还；给采购人造成的损失超过谈判保证金数额的，成交供应商还应当对超过部分予以赔偿。</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发出成交通知书后，采购人无正当理由拒签合同的，采购人向成交供应商退还谈判保证金；给成交供应商造成损失的，还应当赔偿损失。</w:t>
      </w:r>
    </w:p>
    <w:p>
      <w:pPr>
        <w:numPr>
          <w:ilvl w:val="2"/>
          <w:numId w:val="5"/>
        </w:numPr>
        <w:tabs>
          <w:tab w:val="left" w:pos="1260"/>
        </w:tabs>
        <w:autoSpaceDE w:val="0"/>
        <w:autoSpaceDN w:val="0"/>
        <w:adjustRightInd w:val="0"/>
        <w:snapToGrid w:val="0"/>
        <w:spacing w:afterLines="50"/>
        <w:ind w:left="1134" w:hanging="1134"/>
        <w:rPr>
          <w:rFonts w:ascii="宋体" w:hAnsi="宋体" w:cs="黑体"/>
          <w:kern w:val="0"/>
          <w:sz w:val="24"/>
        </w:rPr>
      </w:pPr>
      <w:r>
        <w:rPr>
          <w:rFonts w:hint="eastAsia" w:ascii="宋体" w:hAnsi="宋体" w:cs="黑体"/>
          <w:kern w:val="0"/>
          <w:sz w:val="24"/>
        </w:rPr>
        <w:t>成交供应商拒绝签订政府采购合同的，采购人可以按照第</w:t>
      </w:r>
      <w:r>
        <w:fldChar w:fldCharType="begin"/>
      </w:r>
      <w:r>
        <w:instrText xml:space="preserve"> REF _Ref526866822 \r \h  \* MERGEFORMAT </w:instrText>
      </w:r>
      <w:r>
        <w:fldChar w:fldCharType="separate"/>
      </w:r>
      <w:r>
        <w:rPr>
          <w:rFonts w:ascii="宋体" w:hAnsi="宋体" w:cs="黑体"/>
          <w:kern w:val="0"/>
          <w:sz w:val="24"/>
        </w:rPr>
        <w:t>6.1</w:t>
      </w:r>
      <w:r>
        <w:rPr>
          <w:rFonts w:ascii="宋体" w:hAnsi="宋体" w:cs="黑体"/>
          <w:kern w:val="0"/>
          <w:sz w:val="24"/>
        </w:rPr>
        <w:fldChar w:fldCharType="end"/>
      </w:r>
      <w:r>
        <w:rPr>
          <w:rFonts w:ascii="宋体" w:hAnsi="宋体" w:cs="黑体"/>
          <w:kern w:val="0"/>
          <w:sz w:val="24"/>
        </w:rPr>
        <w:t>款</w:t>
      </w:r>
      <w:r>
        <w:rPr>
          <w:rFonts w:hint="eastAsia" w:ascii="宋体" w:hAnsi="宋体" w:cs="黑体"/>
          <w:kern w:val="0"/>
          <w:sz w:val="24"/>
        </w:rPr>
        <w:t>原则确定其他供应商作为成交供应商并签订政府采购合同，也可以重新开展采购活动。拒绝签订政府采购合同的成交供应商不得参加对该项目重新开展的采购活动。</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70" w:name="_Toc2461"/>
      <w:bookmarkStart w:id="71" w:name="_Toc12351"/>
      <w:bookmarkStart w:id="72" w:name="_Toc195921838"/>
      <w:r>
        <w:rPr>
          <w:rFonts w:hint="eastAsia" w:ascii="黑体" w:hAnsi="宋体" w:eastAsia="黑体" w:cs="黑体"/>
          <w:kern w:val="0"/>
          <w:sz w:val="24"/>
        </w:rPr>
        <w:t>重新开展采购活动</w:t>
      </w:r>
      <w:bookmarkEnd w:id="70"/>
      <w:bookmarkEnd w:id="71"/>
    </w:p>
    <w:p>
      <w:pPr>
        <w:tabs>
          <w:tab w:val="left" w:pos="1260"/>
        </w:tabs>
        <w:autoSpaceDE w:val="0"/>
        <w:autoSpaceDN w:val="0"/>
        <w:adjustRightInd w:val="0"/>
        <w:snapToGrid w:val="0"/>
        <w:spacing w:afterLines="50"/>
        <w:ind w:left="1134" w:leftChars="540"/>
        <w:rPr>
          <w:rFonts w:ascii="宋体" w:hAnsi="宋体" w:cs="黑体"/>
          <w:kern w:val="0"/>
          <w:sz w:val="24"/>
        </w:rPr>
      </w:pPr>
      <w:r>
        <w:rPr>
          <w:rFonts w:hint="eastAsia" w:ascii="宋体" w:hAnsi="宋体" w:cs="黑体"/>
          <w:kern w:val="0"/>
          <w:sz w:val="24"/>
        </w:rPr>
        <w:t>出现下列情形之一的，采购人或者采购代理机构应当终止竞争性谈判采购活动，通过发布公告邀请供应商参加谈判的，将在谈判公告发布媒体上发布（通过邀请方式的，将通知每位接受邀请的供应商）项目终止公告并说明原因，重新开展采购活动：</w:t>
      </w:r>
    </w:p>
    <w:p>
      <w:pPr>
        <w:tabs>
          <w:tab w:val="left" w:pos="1260"/>
        </w:tabs>
        <w:autoSpaceDE w:val="0"/>
        <w:autoSpaceDN w:val="0"/>
        <w:adjustRightInd w:val="0"/>
        <w:snapToGrid w:val="0"/>
        <w:spacing w:afterLines="50"/>
        <w:ind w:left="1983" w:leftChars="540" w:hanging="849" w:hangingChars="354"/>
        <w:rPr>
          <w:rFonts w:ascii="宋体" w:hAnsi="宋体" w:cs="黑体"/>
          <w:kern w:val="0"/>
          <w:sz w:val="24"/>
        </w:rPr>
      </w:pPr>
      <w:r>
        <w:rPr>
          <w:rFonts w:hint="eastAsia" w:ascii="宋体" w:hAnsi="宋体" w:cs="黑体"/>
          <w:kern w:val="0"/>
          <w:sz w:val="24"/>
        </w:rPr>
        <w:t>（1）</w:t>
      </w:r>
      <w:r>
        <w:rPr>
          <w:rFonts w:hint="eastAsia" w:ascii="宋体" w:hAnsi="宋体" w:cs="黑体"/>
          <w:kern w:val="0"/>
          <w:sz w:val="24"/>
        </w:rPr>
        <w:tab/>
      </w:r>
      <w:r>
        <w:rPr>
          <w:rFonts w:hint="eastAsia" w:ascii="宋体" w:hAnsi="宋体" w:cs="黑体"/>
          <w:kern w:val="0"/>
          <w:sz w:val="24"/>
        </w:rPr>
        <w:t>因情况变化，不再符合规定的竞争性谈判采购方式适用情形的；</w:t>
      </w:r>
    </w:p>
    <w:p>
      <w:pPr>
        <w:tabs>
          <w:tab w:val="left" w:pos="1260"/>
        </w:tabs>
        <w:autoSpaceDE w:val="0"/>
        <w:autoSpaceDN w:val="0"/>
        <w:adjustRightInd w:val="0"/>
        <w:snapToGrid w:val="0"/>
        <w:spacing w:afterLines="50"/>
        <w:ind w:left="1983" w:leftChars="540" w:hanging="849" w:hangingChars="354"/>
        <w:rPr>
          <w:rFonts w:ascii="宋体" w:hAnsi="宋体" w:cs="黑体"/>
          <w:kern w:val="0"/>
          <w:sz w:val="24"/>
        </w:rPr>
      </w:pPr>
      <w:r>
        <w:rPr>
          <w:rFonts w:hint="eastAsia" w:ascii="宋体" w:hAnsi="宋体" w:cs="黑体"/>
          <w:kern w:val="0"/>
          <w:sz w:val="24"/>
        </w:rPr>
        <w:t>（2）</w:t>
      </w:r>
      <w:r>
        <w:rPr>
          <w:rFonts w:hint="eastAsia" w:ascii="宋体" w:hAnsi="宋体" w:cs="黑体"/>
          <w:kern w:val="0"/>
          <w:sz w:val="24"/>
        </w:rPr>
        <w:tab/>
      </w:r>
      <w:r>
        <w:rPr>
          <w:rFonts w:hint="eastAsia" w:ascii="宋体" w:hAnsi="宋体" w:cs="黑体"/>
          <w:kern w:val="0"/>
          <w:sz w:val="24"/>
        </w:rPr>
        <w:t>出现影响采购公正的违法、违规行为的；</w:t>
      </w:r>
    </w:p>
    <w:p>
      <w:pPr>
        <w:tabs>
          <w:tab w:val="left" w:pos="2127"/>
        </w:tabs>
        <w:autoSpaceDE w:val="0"/>
        <w:autoSpaceDN w:val="0"/>
        <w:adjustRightInd w:val="0"/>
        <w:snapToGrid w:val="0"/>
        <w:spacing w:afterLines="50"/>
        <w:ind w:left="1983" w:leftChars="540" w:hanging="849" w:hangingChars="354"/>
        <w:rPr>
          <w:rFonts w:ascii="宋体" w:hAnsi="宋体" w:cs="黑体"/>
          <w:kern w:val="0"/>
          <w:sz w:val="24"/>
        </w:rPr>
      </w:pPr>
      <w:r>
        <w:rPr>
          <w:rFonts w:hint="eastAsia" w:ascii="宋体" w:hAnsi="宋体" w:cs="黑体"/>
          <w:kern w:val="0"/>
          <w:sz w:val="24"/>
        </w:rPr>
        <w:t>（3）</w:t>
      </w:r>
      <w:r>
        <w:rPr>
          <w:rFonts w:hint="eastAsia" w:ascii="宋体" w:hAnsi="宋体" w:cs="黑体"/>
          <w:kern w:val="0"/>
          <w:sz w:val="24"/>
        </w:rPr>
        <w:tab/>
      </w:r>
      <w:r>
        <w:rPr>
          <w:rFonts w:hint="eastAsia" w:ascii="宋体" w:hAnsi="宋体" w:cs="黑体"/>
          <w:kern w:val="0"/>
          <w:sz w:val="24"/>
        </w:rPr>
        <w:t>在采购过程中符合竞争要求的供应商或者报价未超过采购预算或最高限价的供应商不足</w:t>
      </w:r>
      <w:r>
        <w:rPr>
          <w:rFonts w:ascii="宋体" w:hAnsi="宋体" w:cs="黑体"/>
          <w:kern w:val="0"/>
          <w:sz w:val="24"/>
        </w:rPr>
        <w:t>3家的</w:t>
      </w:r>
      <w:r>
        <w:rPr>
          <w:rFonts w:hint="eastAsia" w:ascii="宋体" w:hAnsi="宋体" w:cs="黑体"/>
          <w:kern w:val="0"/>
          <w:sz w:val="24"/>
        </w:rPr>
        <w:t>。</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73" w:name="_Toc9690"/>
      <w:bookmarkStart w:id="74" w:name="_Toc26738"/>
      <w:r>
        <w:rPr>
          <w:rFonts w:hint="eastAsia" w:ascii="黑体" w:hAnsi="宋体" w:eastAsia="黑体" w:cs="黑体"/>
          <w:kern w:val="0"/>
          <w:sz w:val="24"/>
        </w:rPr>
        <w:t>纪律和监督</w:t>
      </w:r>
      <w:bookmarkEnd w:id="72"/>
      <w:bookmarkEnd w:id="73"/>
      <w:bookmarkEnd w:id="74"/>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5" w:name="_Toc195921839"/>
      <w:r>
        <w:rPr>
          <w:rFonts w:hint="eastAsia" w:ascii="宋体" w:hAnsi="宋体" w:cs="黑体"/>
          <w:kern w:val="0"/>
          <w:sz w:val="24"/>
        </w:rPr>
        <w:t>对采购人的要求</w:t>
      </w:r>
      <w:bookmarkEnd w:id="75"/>
    </w:p>
    <w:p>
      <w:pPr>
        <w:tabs>
          <w:tab w:val="left" w:pos="1260"/>
        </w:tabs>
        <w:autoSpaceDE w:val="0"/>
        <w:autoSpaceDN w:val="0"/>
        <w:adjustRightInd w:val="0"/>
        <w:snapToGrid w:val="0"/>
        <w:spacing w:afterLines="50"/>
        <w:ind w:left="1134"/>
        <w:rPr>
          <w:rFonts w:ascii="宋体" w:hAnsi="宋体" w:cs="黑体"/>
          <w:kern w:val="0"/>
          <w:sz w:val="24"/>
        </w:rPr>
      </w:pPr>
      <w:r>
        <w:rPr>
          <w:rFonts w:hAnsi="宋体" w:cs="宋体"/>
          <w:sz w:val="24"/>
        </w:rPr>
        <w:t>采购人在政府采购活动中应当维护国家利益和社会公共利益，公正廉洁，诚实守信，执行政府采购政策</w:t>
      </w:r>
      <w:r>
        <w:rPr>
          <w:rFonts w:hint="eastAsia" w:hAnsi="宋体" w:cs="宋体"/>
          <w:sz w:val="24"/>
        </w:rPr>
        <w:t>。</w:t>
      </w:r>
      <w:r>
        <w:rPr>
          <w:rFonts w:hAnsi="宋体" w:cs="宋体"/>
          <w:sz w:val="24"/>
        </w:rPr>
        <w:t>采购人不得向供应商索要或者接受其给予的赠品、回扣或者与采购无关的其他商品、服务</w:t>
      </w:r>
      <w:r>
        <w:rPr>
          <w:rFonts w:hint="eastAsia" w:ascii="宋体" w:hAnsi="宋体" w:cs="黑体"/>
          <w:kern w:val="0"/>
          <w:sz w:val="24"/>
        </w:rPr>
        <w:t>。</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6" w:name="_Toc195921840"/>
      <w:r>
        <w:rPr>
          <w:rFonts w:hint="eastAsia" w:ascii="宋体" w:hAnsi="宋体" w:cs="黑体"/>
          <w:kern w:val="0"/>
          <w:sz w:val="24"/>
        </w:rPr>
        <w:t>对采购代理机构的要求</w:t>
      </w:r>
    </w:p>
    <w:p>
      <w:pPr>
        <w:tabs>
          <w:tab w:val="left" w:pos="1260"/>
        </w:tabs>
        <w:autoSpaceDE w:val="0"/>
        <w:autoSpaceDN w:val="0"/>
        <w:adjustRightInd w:val="0"/>
        <w:snapToGrid w:val="0"/>
        <w:spacing w:afterLines="50"/>
        <w:ind w:left="1134"/>
        <w:rPr>
          <w:rFonts w:hAnsi="宋体" w:cs="宋体"/>
          <w:sz w:val="24"/>
        </w:rPr>
      </w:pPr>
      <w:r>
        <w:rPr>
          <w:rFonts w:hAnsi="宋体" w:cs="宋体"/>
          <w:sz w:val="24"/>
        </w:rPr>
        <w:t>采购代理机构不得与采购人、供应商恶意串通操纵政府采购活动。</w:t>
      </w:r>
    </w:p>
    <w:p>
      <w:pPr>
        <w:tabs>
          <w:tab w:val="left" w:pos="1260"/>
        </w:tabs>
        <w:autoSpaceDE w:val="0"/>
        <w:autoSpaceDN w:val="0"/>
        <w:adjustRightInd w:val="0"/>
        <w:snapToGrid w:val="0"/>
        <w:spacing w:afterLines="50"/>
        <w:ind w:left="1134"/>
        <w:rPr>
          <w:rFonts w:hAnsi="宋体" w:cs="宋体"/>
          <w:sz w:val="24"/>
        </w:rPr>
      </w:pPr>
      <w:r>
        <w:rPr>
          <w:rFonts w:hAnsi="宋体" w:cs="宋体"/>
          <w:sz w:val="24"/>
        </w:rPr>
        <w:t>采购代理机构工作人员不得接受采购人或者供应商组织的宴请、旅游、娱乐，不得收受礼品、现金、有价证券等，不得向采购人或者供应商报销应当由个人承担的费用。</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r>
        <w:rPr>
          <w:rFonts w:hint="eastAsia" w:ascii="宋体" w:hAnsi="宋体" w:cs="黑体"/>
          <w:kern w:val="0"/>
          <w:sz w:val="24"/>
        </w:rPr>
        <w:t>对供应商的纪律要求</w:t>
      </w:r>
      <w:bookmarkEnd w:id="76"/>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供应商不得相互串通或者与采购人串通，不得向采购人或者谈判小组成员行贿谋取成交，不得以他人名义或者以其他方式弄虚作假骗取成交；供应商不得以任何方式干扰、影响谈判工作。</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7" w:name="_Toc195921841"/>
      <w:r>
        <w:rPr>
          <w:rFonts w:hint="eastAsia" w:ascii="宋体" w:hAnsi="宋体" w:cs="黑体"/>
          <w:kern w:val="0"/>
          <w:sz w:val="24"/>
        </w:rPr>
        <w:t>谈判小组及其成员不得有下列行为</w:t>
      </w:r>
      <w:bookmarkEnd w:id="77"/>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确定参与谈判至谈判结束前私自接触供应商；</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接受供应商提出的与响应文件不一致的澄清或者说明，谈判小组要求供应商作出必要的澄清、说明或者补正的情形除外；</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违反评审纪律发表倾向性意见或者征询采购人的倾向性意见；</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在评审与谈判过程中擅离职守，影响评审程序正常进行的；</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记录、复制或者带走任何评审资料；</w:t>
      </w:r>
    </w:p>
    <w:p>
      <w:pPr>
        <w:pStyle w:val="425"/>
        <w:numPr>
          <w:ilvl w:val="0"/>
          <w:numId w:val="12"/>
        </w:numPr>
        <w:snapToGrid w:val="0"/>
        <w:spacing w:afterLines="50"/>
        <w:ind w:left="1985" w:hanging="853" w:firstLineChars="0"/>
        <w:rPr>
          <w:rFonts w:asciiTheme="minorEastAsia" w:hAnsiTheme="minorEastAsia"/>
          <w:sz w:val="24"/>
        </w:rPr>
      </w:pPr>
      <w:r>
        <w:rPr>
          <w:rFonts w:hint="eastAsia" w:asciiTheme="minorEastAsia" w:hAnsiTheme="minorEastAsia"/>
          <w:sz w:val="24"/>
        </w:rPr>
        <w:t>其他不遵守评审纪律的行为。</w:t>
      </w:r>
    </w:p>
    <w:p>
      <w:pPr>
        <w:numPr>
          <w:ilvl w:val="1"/>
          <w:numId w:val="5"/>
        </w:numPr>
        <w:autoSpaceDE w:val="0"/>
        <w:autoSpaceDN w:val="0"/>
        <w:adjustRightInd w:val="0"/>
        <w:snapToGrid w:val="0"/>
        <w:spacing w:afterLines="50"/>
        <w:ind w:left="1133" w:hanging="1132" w:hangingChars="472"/>
        <w:rPr>
          <w:rFonts w:ascii="宋体" w:hAnsi="宋体" w:cs="黑体"/>
          <w:kern w:val="0"/>
          <w:sz w:val="24"/>
        </w:rPr>
      </w:pPr>
      <w:bookmarkStart w:id="78" w:name="_Toc195921842"/>
      <w:r>
        <w:rPr>
          <w:rFonts w:hint="eastAsia" w:ascii="宋体" w:hAnsi="宋体" w:cs="黑体"/>
          <w:kern w:val="0"/>
          <w:sz w:val="24"/>
        </w:rPr>
        <w:t>对与评审活动有关的工作人员的纪律要求</w:t>
      </w:r>
      <w:bookmarkEnd w:id="78"/>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与</w:t>
      </w:r>
      <w:r>
        <w:rPr>
          <w:rFonts w:hint="eastAsia" w:asciiTheme="minorEastAsia" w:hAnsiTheme="minorEastAsia"/>
          <w:sz w:val="24"/>
        </w:rPr>
        <w:t>评审与谈判</w:t>
      </w:r>
      <w:r>
        <w:rPr>
          <w:rFonts w:hint="eastAsia" w:ascii="宋体" w:hAnsi="宋体" w:cs="黑体"/>
          <w:kern w:val="0"/>
          <w:sz w:val="24"/>
        </w:rPr>
        <w:t>活动有关的工作人员不得收受他人的财物或者其他好处，不得向他人透漏对响应文件的</w:t>
      </w:r>
      <w:r>
        <w:rPr>
          <w:rFonts w:hint="eastAsia" w:asciiTheme="minorEastAsia" w:hAnsiTheme="minorEastAsia"/>
          <w:sz w:val="24"/>
        </w:rPr>
        <w:t>评审与谈判</w:t>
      </w:r>
      <w:r>
        <w:rPr>
          <w:rFonts w:hint="eastAsia" w:ascii="宋体" w:hAnsi="宋体" w:cs="黑体"/>
          <w:kern w:val="0"/>
          <w:sz w:val="24"/>
        </w:rPr>
        <w:t>、成交候选人的推荐情况以及</w:t>
      </w:r>
      <w:r>
        <w:rPr>
          <w:rFonts w:hint="eastAsia" w:asciiTheme="minorEastAsia" w:hAnsiTheme="minorEastAsia"/>
          <w:sz w:val="24"/>
        </w:rPr>
        <w:t>评审与谈判</w:t>
      </w:r>
      <w:r>
        <w:rPr>
          <w:rFonts w:hint="eastAsia" w:ascii="宋体" w:hAnsi="宋体" w:cs="黑体"/>
          <w:kern w:val="0"/>
          <w:sz w:val="24"/>
        </w:rPr>
        <w:t>有关的其他情况。在评审活动中，参与</w:t>
      </w:r>
      <w:r>
        <w:rPr>
          <w:rFonts w:hint="eastAsia" w:asciiTheme="minorEastAsia" w:hAnsiTheme="minorEastAsia"/>
          <w:sz w:val="24"/>
        </w:rPr>
        <w:t>评审与谈判</w:t>
      </w:r>
      <w:r>
        <w:rPr>
          <w:rFonts w:hint="eastAsia" w:ascii="宋体" w:hAnsi="宋体" w:cs="黑体"/>
          <w:kern w:val="0"/>
          <w:sz w:val="24"/>
        </w:rPr>
        <w:t>活动有关的工作人员不得擅离职守，影响</w:t>
      </w:r>
      <w:r>
        <w:rPr>
          <w:rFonts w:hint="eastAsia" w:asciiTheme="minorEastAsia" w:hAnsiTheme="minorEastAsia"/>
          <w:sz w:val="24"/>
        </w:rPr>
        <w:t>评审与谈判</w:t>
      </w:r>
      <w:r>
        <w:rPr>
          <w:rFonts w:hint="eastAsia" w:ascii="宋体" w:hAnsi="宋体" w:cs="黑体"/>
          <w:kern w:val="0"/>
          <w:sz w:val="24"/>
        </w:rPr>
        <w:t>程序正常进行。</w:t>
      </w:r>
    </w:p>
    <w:p>
      <w:pPr>
        <w:numPr>
          <w:ilvl w:val="1"/>
          <w:numId w:val="5"/>
        </w:numPr>
        <w:autoSpaceDE w:val="0"/>
        <w:autoSpaceDN w:val="0"/>
        <w:adjustRightInd w:val="0"/>
        <w:snapToGrid w:val="0"/>
        <w:spacing w:afterLines="50"/>
        <w:ind w:left="1920" w:hanging="1920" w:hangingChars="800"/>
        <w:rPr>
          <w:rFonts w:ascii="宋体" w:hAnsi="宋体" w:cs="黑体"/>
          <w:kern w:val="0"/>
          <w:sz w:val="24"/>
        </w:rPr>
      </w:pPr>
      <w:bookmarkStart w:id="79" w:name="_Toc195921843"/>
      <w:r>
        <w:rPr>
          <w:rFonts w:hint="eastAsia" w:ascii="宋体" w:hAnsi="宋体" w:cs="黑体"/>
          <w:kern w:val="0"/>
          <w:sz w:val="24"/>
        </w:rPr>
        <w:t>投诉</w:t>
      </w:r>
      <w:bookmarkEnd w:id="79"/>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质疑供应商对采购人、采购代理机构的答复不满意或者采购人、采购代理机构未在规定的时间内作出答复的，可以在答复期满后十五个工作日内向同级政府采购监督管理部门投诉。</w:t>
      </w:r>
    </w:p>
    <w:p>
      <w:pPr>
        <w:numPr>
          <w:ilvl w:val="0"/>
          <w:numId w:val="5"/>
        </w:numPr>
        <w:autoSpaceDE w:val="0"/>
        <w:autoSpaceDN w:val="0"/>
        <w:adjustRightInd w:val="0"/>
        <w:spacing w:afterLines="50"/>
        <w:ind w:left="1134" w:hanging="1134"/>
        <w:outlineLvl w:val="2"/>
        <w:rPr>
          <w:rFonts w:ascii="黑体" w:hAnsi="宋体" w:eastAsia="黑体" w:cs="黑体"/>
          <w:kern w:val="0"/>
          <w:sz w:val="24"/>
        </w:rPr>
      </w:pPr>
      <w:bookmarkStart w:id="80" w:name="_Ref527103019"/>
      <w:bookmarkStart w:id="81" w:name="_Toc195921844"/>
      <w:bookmarkStart w:id="82" w:name="_Toc22104"/>
      <w:bookmarkStart w:id="83" w:name="_Toc13483"/>
      <w:r>
        <w:rPr>
          <w:rFonts w:hint="eastAsia" w:ascii="黑体" w:hAnsi="宋体" w:eastAsia="黑体" w:cs="黑体"/>
          <w:kern w:val="0"/>
          <w:sz w:val="24"/>
        </w:rPr>
        <w:t>其他</w:t>
      </w:r>
      <w:bookmarkEnd w:id="80"/>
      <w:bookmarkEnd w:id="81"/>
      <w:bookmarkEnd w:id="82"/>
      <w:bookmarkEnd w:id="83"/>
    </w:p>
    <w:p>
      <w:pPr>
        <w:tabs>
          <w:tab w:val="left" w:pos="1260"/>
        </w:tabs>
        <w:autoSpaceDE w:val="0"/>
        <w:autoSpaceDN w:val="0"/>
        <w:adjustRightInd w:val="0"/>
        <w:snapToGrid w:val="0"/>
        <w:spacing w:afterLines="50"/>
        <w:ind w:left="1134"/>
        <w:rPr>
          <w:rFonts w:ascii="宋体" w:hAnsi="宋体" w:cs="黑体"/>
          <w:kern w:val="0"/>
          <w:sz w:val="24"/>
        </w:rPr>
      </w:pPr>
      <w:r>
        <w:rPr>
          <w:rFonts w:hint="eastAsia" w:ascii="宋体" w:hAnsi="宋体" w:cs="黑体"/>
          <w:kern w:val="0"/>
          <w:sz w:val="24"/>
        </w:rPr>
        <w:t>需要补充的其他内容见供应商须知前附表。</w:t>
      </w:r>
    </w:p>
    <w:p>
      <w:pPr>
        <w:autoSpaceDE w:val="0"/>
        <w:autoSpaceDN w:val="0"/>
        <w:adjustRightInd w:val="0"/>
        <w:snapToGrid w:val="0"/>
        <w:spacing w:afterLines="50"/>
        <w:jc w:val="center"/>
        <w:outlineLvl w:val="0"/>
        <w:rPr>
          <w:rFonts w:ascii="宋体" w:hAnsi="宋体" w:cs="黑体"/>
          <w:kern w:val="0"/>
          <w:sz w:val="32"/>
          <w:szCs w:val="32"/>
        </w:rPr>
      </w:pPr>
      <w:r>
        <w:br w:type="page"/>
      </w:r>
      <w:bookmarkStart w:id="84" w:name="_Toc195921851"/>
      <w:bookmarkStart w:id="85" w:name="_Toc2762"/>
      <w:r>
        <w:rPr>
          <w:rFonts w:hint="eastAsia" w:ascii="宋体" w:hAnsi="宋体" w:cs="黑体"/>
          <w:kern w:val="0"/>
          <w:sz w:val="32"/>
          <w:szCs w:val="32"/>
        </w:rPr>
        <w:t xml:space="preserve">第三章 </w:t>
      </w:r>
      <w:r>
        <w:rPr>
          <w:rFonts w:hint="eastAsia" w:ascii="宋体" w:hAnsi="宋体" w:cs="黑体"/>
          <w:kern w:val="0"/>
          <w:sz w:val="32"/>
          <w:szCs w:val="32"/>
          <w:lang w:val="en-US" w:eastAsia="zh-CN"/>
        </w:rPr>
        <w:t xml:space="preserve"> </w:t>
      </w:r>
      <w:r>
        <w:rPr>
          <w:rFonts w:hint="eastAsia" w:ascii="宋体" w:hAnsi="宋体" w:cs="黑体"/>
          <w:kern w:val="0"/>
          <w:sz w:val="32"/>
          <w:szCs w:val="32"/>
        </w:rPr>
        <w:t>评审办法</w:t>
      </w:r>
      <w:bookmarkEnd w:id="84"/>
      <w:r>
        <w:rPr>
          <w:rFonts w:hint="eastAsia" w:ascii="宋体" w:hAnsi="宋体" w:cs="黑体"/>
          <w:kern w:val="0"/>
          <w:sz w:val="32"/>
          <w:szCs w:val="32"/>
        </w:rPr>
        <w:t>和标准</w:t>
      </w:r>
      <w:bookmarkEnd w:id="85"/>
    </w:p>
    <w:p>
      <w:pPr>
        <w:numPr>
          <w:ilvl w:val="0"/>
          <w:numId w:val="13"/>
        </w:numPr>
        <w:tabs>
          <w:tab w:val="left" w:pos="1134"/>
          <w:tab w:val="clear" w:pos="1077"/>
        </w:tabs>
        <w:autoSpaceDE w:val="0"/>
        <w:autoSpaceDN w:val="0"/>
        <w:adjustRightInd w:val="0"/>
        <w:snapToGrid w:val="0"/>
        <w:spacing w:afterLines="50"/>
        <w:ind w:left="1134" w:hanging="1134"/>
        <w:jc w:val="left"/>
        <w:outlineLvl w:val="1"/>
        <w:rPr>
          <w:rFonts w:ascii="黑体" w:hAnsi="TimesNewRomanPSMT" w:eastAsia="黑体" w:cs="TimesNewRomanPSMT"/>
          <w:kern w:val="0"/>
          <w:sz w:val="24"/>
        </w:rPr>
      </w:pPr>
      <w:bookmarkStart w:id="86" w:name="_Toc14627"/>
      <w:r>
        <w:rPr>
          <w:rFonts w:hint="eastAsia" w:ascii="黑体" w:hAnsi="TimesNewRomanPSMT" w:eastAsia="黑体" w:cs="TimesNewRomanPSMT"/>
          <w:kern w:val="0"/>
          <w:sz w:val="24"/>
        </w:rPr>
        <w:t>资格审查及符合性审查</w:t>
      </w:r>
      <w:bookmarkEnd w:id="86"/>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谈判小组按本章附表一所列审查标准，对供应商资格进行审查，以确定供应商是否具备谈判资格。</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谈判小组对符合资格要求的供应商按本章附表二进行符合性审查，以确定其是否满足谈判文件的实质性要求。</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tabs>
          <w:tab w:val="left" w:pos="993"/>
          <w:tab w:val="left" w:pos="1418"/>
        </w:tabs>
        <w:autoSpaceDE w:val="0"/>
        <w:autoSpaceDN w:val="0"/>
        <w:adjustRightInd w:val="0"/>
        <w:snapToGrid w:val="0"/>
        <w:spacing w:before="120" w:afterLines="50"/>
        <w:ind w:left="1050" w:leftChars="500"/>
        <w:jc w:val="left"/>
        <w:rPr>
          <w:rFonts w:ascii="宋体" w:hAnsi="宋体" w:cs="TimesNewRomanPSMT"/>
          <w:kern w:val="0"/>
          <w:sz w:val="24"/>
        </w:rPr>
      </w:pPr>
      <w:r>
        <w:rPr>
          <w:rFonts w:hint="eastAsia" w:ascii="宋体" w:hAnsi="宋体" w:cs="TimesNewRomanPSMT"/>
          <w:kern w:val="0"/>
          <w:sz w:val="24"/>
        </w:rPr>
        <w:t>谈判小组不接受供应商主动提出的澄清、说明或补正。</w:t>
      </w:r>
    </w:p>
    <w:p>
      <w:pPr>
        <w:tabs>
          <w:tab w:val="left" w:pos="993"/>
          <w:tab w:val="left" w:pos="1418"/>
        </w:tabs>
        <w:autoSpaceDE w:val="0"/>
        <w:autoSpaceDN w:val="0"/>
        <w:adjustRightInd w:val="0"/>
        <w:snapToGrid w:val="0"/>
        <w:spacing w:before="120" w:afterLines="50"/>
        <w:ind w:left="1050" w:leftChars="500"/>
        <w:jc w:val="left"/>
        <w:rPr>
          <w:rFonts w:ascii="宋体" w:hAnsi="宋体" w:cs="TimesNewRomanPSMT"/>
          <w:kern w:val="0"/>
          <w:sz w:val="24"/>
        </w:rPr>
      </w:pPr>
      <w:r>
        <w:rPr>
          <w:rFonts w:hint="eastAsia" w:ascii="宋体" w:hAnsi="宋体" w:cs="TimesNewRomanPSMT"/>
          <w:kern w:val="0"/>
          <w:sz w:val="24"/>
        </w:rPr>
        <w:t>供应商的书面澄清、说明和补正属于响应文件的组成部分。</w:t>
      </w:r>
    </w:p>
    <w:p>
      <w:pPr>
        <w:tabs>
          <w:tab w:val="left" w:pos="993"/>
          <w:tab w:val="left" w:pos="1418"/>
        </w:tabs>
        <w:autoSpaceDE w:val="0"/>
        <w:autoSpaceDN w:val="0"/>
        <w:adjustRightInd w:val="0"/>
        <w:snapToGrid w:val="0"/>
        <w:spacing w:before="120" w:afterLines="50"/>
        <w:ind w:left="1050" w:leftChars="500"/>
        <w:jc w:val="left"/>
        <w:rPr>
          <w:rFonts w:ascii="宋体" w:hAnsi="宋体" w:cs="TimesNewRomanPSMT"/>
          <w:kern w:val="0"/>
          <w:sz w:val="24"/>
        </w:rPr>
      </w:pPr>
      <w:r>
        <w:rPr>
          <w:rFonts w:hint="eastAsia" w:ascii="宋体" w:hAnsi="宋体" w:cs="TimesNewRomanPSMT"/>
          <w:kern w:val="0"/>
          <w:sz w:val="24"/>
        </w:rPr>
        <w:t>谈判小组对供应商提交的澄清、说明或补正有疑问的，可以要求供应商进一步澄清、说明或补正，直至满足谈判小组的要求。</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不具备谈判文件要求的资格或未通过符合性审查的供应商，不参与谈判，由谈判小组告知该供应商。</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通过资格审查和符合性审查的合格供应商不足3家的，不再进行评审和谈判。</w:t>
      </w:r>
    </w:p>
    <w:p>
      <w:pPr>
        <w:numPr>
          <w:ilvl w:val="0"/>
          <w:numId w:val="13"/>
        </w:numPr>
        <w:tabs>
          <w:tab w:val="left" w:pos="1134"/>
          <w:tab w:val="clear" w:pos="1077"/>
        </w:tabs>
        <w:autoSpaceDE w:val="0"/>
        <w:autoSpaceDN w:val="0"/>
        <w:adjustRightInd w:val="0"/>
        <w:snapToGrid w:val="0"/>
        <w:spacing w:afterLines="50"/>
        <w:ind w:left="1134" w:hanging="1134"/>
        <w:jc w:val="left"/>
        <w:outlineLvl w:val="1"/>
        <w:rPr>
          <w:rFonts w:ascii="黑体" w:hAnsi="TimesNewRomanPSMT" w:eastAsia="黑体" w:cs="TimesNewRomanPSMT"/>
          <w:kern w:val="0"/>
          <w:sz w:val="24"/>
        </w:rPr>
      </w:pPr>
      <w:bookmarkStart w:id="87" w:name="_Toc12967"/>
      <w:r>
        <w:rPr>
          <w:rFonts w:hint="eastAsia" w:ascii="黑体" w:hAnsi="TimesNewRomanPSMT" w:eastAsia="黑体" w:cs="TimesNewRomanPSMT"/>
          <w:kern w:val="0"/>
          <w:sz w:val="24"/>
        </w:rPr>
        <w:t>谈判</w:t>
      </w:r>
      <w:bookmarkEnd w:id="87"/>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谈判小组所有成员集中与单一供应商分别进行谈判，并给予所有参加谈判的供应商平等的谈判机会。</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过程中，谈判小组可以根据与供应商的谈判情况，在不违反相关法律法规、强制性标准、规范情况下，并经采购人代表同意后，对谈判文件的技术标准、拟签订合同的部分条款进行变动。变动内容是谈判文件的有效组成部分，谈判小组以书面形式通知所有参加谈判的供应商。</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谈判结束后，谈判小组可以要求所有继续参加谈判的供应商在规定时间内提交最后报价函，提交最后报价函的供应商不得少于3家。</w:t>
      </w:r>
    </w:p>
    <w:p>
      <w:pPr>
        <w:numPr>
          <w:ilvl w:val="0"/>
          <w:numId w:val="13"/>
        </w:numPr>
        <w:tabs>
          <w:tab w:val="left" w:pos="1134"/>
          <w:tab w:val="clear" w:pos="1077"/>
        </w:tabs>
        <w:autoSpaceDE w:val="0"/>
        <w:autoSpaceDN w:val="0"/>
        <w:adjustRightInd w:val="0"/>
        <w:snapToGrid w:val="0"/>
        <w:spacing w:afterLines="50"/>
        <w:ind w:left="1134" w:hanging="1134"/>
        <w:jc w:val="left"/>
        <w:outlineLvl w:val="1"/>
        <w:rPr>
          <w:rFonts w:ascii="黑体" w:hAnsi="TimesNewRomanPSMT" w:eastAsia="黑体" w:cs="TimesNewRomanPSMT"/>
          <w:kern w:val="0"/>
          <w:sz w:val="24"/>
        </w:rPr>
      </w:pPr>
      <w:bookmarkStart w:id="88" w:name="_Toc13410"/>
      <w:r>
        <w:rPr>
          <w:rFonts w:hint="eastAsia" w:ascii="黑体" w:hAnsi="TimesNewRomanPSMT" w:eastAsia="黑体" w:cs="TimesNewRomanPSMT"/>
          <w:kern w:val="0"/>
          <w:sz w:val="24"/>
        </w:rPr>
        <w:t>评审</w:t>
      </w:r>
      <w:bookmarkEnd w:id="88"/>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报价评审</w:t>
      </w:r>
    </w:p>
    <w:p>
      <w:pPr>
        <w:numPr>
          <w:ilvl w:val="2"/>
          <w:numId w:val="13"/>
        </w:numPr>
        <w:tabs>
          <w:tab w:val="left" w:pos="1134"/>
          <w:tab w:val="left" w:pos="1843"/>
        </w:tabs>
        <w:autoSpaceDE w:val="0"/>
        <w:autoSpaceDN w:val="0"/>
        <w:adjustRightInd w:val="0"/>
        <w:snapToGrid w:val="0"/>
        <w:spacing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谈判小组发现供应商的最后报价明显低于其他供应商的最后报价或者明显低于预算价或最高限价，有可能影响工程质量和不能诚信履约的，应当要求其在规定的期限内提供书面文件予以解释说明，并提交相关证明材料。该供应商</w:t>
      </w:r>
      <w:r>
        <w:rPr>
          <w:rFonts w:hint="eastAsia" w:ascii="宋体" w:hAnsi="宋体" w:cs="黑体"/>
          <w:kern w:val="0"/>
          <w:sz w:val="24"/>
        </w:rPr>
        <w:t>不能合理说明或者不能提供相应证明材料的，</w:t>
      </w:r>
      <w:r>
        <w:rPr>
          <w:rFonts w:hint="eastAsia" w:cs="TimesNewRomanPSMT" w:asciiTheme="minorEastAsia" w:hAnsiTheme="minorEastAsia" w:eastAsiaTheme="minorEastAsia"/>
          <w:kern w:val="0"/>
          <w:sz w:val="24"/>
        </w:rPr>
        <w:t>谈判小组可以取消其谈判资格。</w:t>
      </w:r>
    </w:p>
    <w:p>
      <w:pPr>
        <w:numPr>
          <w:ilvl w:val="2"/>
          <w:numId w:val="13"/>
        </w:numPr>
        <w:tabs>
          <w:tab w:val="left" w:pos="1134"/>
          <w:tab w:val="left" w:pos="1843"/>
        </w:tabs>
        <w:autoSpaceDE w:val="0"/>
        <w:autoSpaceDN w:val="0"/>
        <w:adjustRightInd w:val="0"/>
        <w:snapToGrid w:val="0"/>
        <w:spacing w:afterLines="50"/>
        <w:ind w:left="1134" w:hanging="1134"/>
        <w:jc w:val="left"/>
        <w:rPr>
          <w:rFonts w:cs="TimesNewRomanPSMT" w:asciiTheme="minorEastAsia" w:hAnsiTheme="minorEastAsia" w:eastAsiaTheme="minorEastAsia"/>
          <w:kern w:val="0"/>
          <w:sz w:val="24"/>
        </w:rPr>
      </w:pPr>
      <w:bookmarkStart w:id="89" w:name="_Ref526928181"/>
      <w:r>
        <w:rPr>
          <w:rFonts w:hint="eastAsia" w:cs="TimesNewRomanPSMT" w:asciiTheme="minorEastAsia" w:hAnsiTheme="minorEastAsia" w:eastAsiaTheme="minorEastAsia"/>
          <w:kern w:val="0"/>
          <w:sz w:val="24"/>
        </w:rPr>
        <w:t>根据《政府采购促进中小企业发展暂行办法》（财库[2011]181号）调整供应商参与评审的价格。（非专门面向中小企业的项目）</w:t>
      </w:r>
      <w:bookmarkEnd w:id="89"/>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rPr>
      </w:pPr>
      <w:r>
        <w:rPr>
          <w:rFonts w:hint="eastAsia" w:cs="宋体" w:asciiTheme="minorEastAsia" w:hAnsiTheme="minorEastAsia" w:eastAsiaTheme="minorEastAsia"/>
          <w:sz w:val="24"/>
        </w:rPr>
        <w:t>对小型和微型企业产品的价格给予 6%（6%至10%）的扣除。或小型、微型企业的协议合同金额占到联合体协议合同总金额30%以上的，可给予联合体 2 %（2%至3%）的价格扣除。</w:t>
      </w:r>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rPr>
      </w:pPr>
      <w:r>
        <w:rPr>
          <w:rFonts w:hint="eastAsia" w:cs="宋体" w:asciiTheme="minorEastAsia" w:hAnsiTheme="minorEastAsia" w:eastAsiaTheme="minorEastAsia"/>
          <w:sz w:val="24"/>
        </w:rPr>
        <w:t>注：监狱企业、残疾人福利性单位视同小微企业；残疾人福利性单位属于小型、微型企业的，不重复享受政策。</w:t>
      </w:r>
    </w:p>
    <w:p>
      <w:pPr>
        <w:numPr>
          <w:ilvl w:val="1"/>
          <w:numId w:val="13"/>
        </w:numPr>
        <w:tabs>
          <w:tab w:val="left" w:pos="1134"/>
        </w:tabs>
        <w:autoSpaceDE w:val="0"/>
        <w:autoSpaceDN w:val="0"/>
        <w:adjustRightInd w:val="0"/>
        <w:snapToGrid w:val="0"/>
        <w:spacing w:afterLines="50"/>
        <w:ind w:left="1077" w:hanging="1077"/>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评审结果</w:t>
      </w:r>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rPr>
      </w:pPr>
      <w:r>
        <w:rPr>
          <w:rFonts w:hint="eastAsia" w:ascii="宋体" w:hAnsi="宋体" w:cs="TimesNewRomanPSMT"/>
          <w:kern w:val="0"/>
          <w:sz w:val="24"/>
        </w:rPr>
        <w:t>除第二章供应商须知前附表授权直接确定成交供应商外,</w:t>
      </w:r>
      <w:r>
        <w:rPr>
          <w:rFonts w:hint="eastAsia" w:cs="宋体" w:asciiTheme="minorEastAsia" w:hAnsiTheme="minorEastAsia" w:eastAsiaTheme="minorEastAsia"/>
          <w:sz w:val="24"/>
        </w:rPr>
        <w:t>谈判小组应当从质量和服务均能满足采购文件实质性响应要求的供应商中，按照第</w:t>
      </w:r>
      <w:r>
        <w:fldChar w:fldCharType="begin"/>
      </w:r>
      <w:r>
        <w:instrText xml:space="preserve"> REF _Ref526928181 \r \h  \* MERGEFORMAT </w:instrText>
      </w:r>
      <w:r>
        <w:fldChar w:fldCharType="separate"/>
      </w:r>
      <w:r>
        <w:rPr>
          <w:rFonts w:cs="宋体" w:asciiTheme="minorEastAsia" w:hAnsiTheme="minorEastAsia" w:eastAsiaTheme="minorEastAsia"/>
          <w:sz w:val="24"/>
        </w:rPr>
        <w:t>3.1.2</w:t>
      </w:r>
      <w:r>
        <w:rPr>
          <w:rFonts w:cs="宋体" w:asciiTheme="minorEastAsia" w:hAnsiTheme="minorEastAsia" w:eastAsiaTheme="minorEastAsia"/>
          <w:sz w:val="24"/>
        </w:rPr>
        <w:fldChar w:fldCharType="end"/>
      </w:r>
      <w:r>
        <w:rPr>
          <w:rFonts w:hint="eastAsia" w:cs="宋体" w:asciiTheme="minorEastAsia" w:hAnsiTheme="minorEastAsia" w:eastAsiaTheme="minorEastAsia"/>
          <w:sz w:val="24"/>
        </w:rPr>
        <w:t>项调整后的最后报价由低到高的顺序提出3名以上成交候选人，并编写评审报告。</w:t>
      </w:r>
    </w:p>
    <w:p>
      <w:pPr>
        <w:tabs>
          <w:tab w:val="left" w:pos="1134"/>
          <w:tab w:val="left" w:pos="1260"/>
          <w:tab w:val="left" w:pos="1418"/>
          <w:tab w:val="left" w:pos="1800"/>
        </w:tabs>
        <w:autoSpaceDE w:val="0"/>
        <w:autoSpaceDN w:val="0"/>
        <w:adjustRightInd w:val="0"/>
        <w:snapToGrid w:val="0"/>
        <w:spacing w:before="120" w:afterLines="50"/>
        <w:ind w:left="1134" w:leftChars="540"/>
        <w:rPr>
          <w:rFonts w:cs="宋体" w:asciiTheme="minorEastAsia" w:hAnsiTheme="minorEastAsia" w:eastAsiaTheme="minorEastAsia"/>
          <w:sz w:val="24"/>
          <w:lang w:val="en-GB"/>
        </w:rPr>
      </w:pPr>
      <w:r>
        <w:rPr>
          <w:rFonts w:hint="eastAsia" w:cs="宋体" w:asciiTheme="minorEastAsia" w:hAnsiTheme="minorEastAsia" w:eastAsiaTheme="minorEastAsia"/>
          <w:sz w:val="24"/>
          <w:lang w:val="en-GB"/>
        </w:rPr>
        <w:t>若两家及以上供应商在最后轮次报价中相同的，以工期较短者排序在前，工期也相同的、由谈判小组抽签确定。</w:t>
      </w:r>
    </w:p>
    <w:p>
      <w:pPr>
        <w:tabs>
          <w:tab w:val="left" w:pos="1134"/>
          <w:tab w:val="left" w:pos="1260"/>
          <w:tab w:val="left" w:pos="1418"/>
          <w:tab w:val="left" w:pos="1800"/>
        </w:tabs>
        <w:autoSpaceDE w:val="0"/>
        <w:autoSpaceDN w:val="0"/>
        <w:adjustRightInd w:val="0"/>
        <w:snapToGrid w:val="0"/>
        <w:spacing w:before="120" w:afterLines="50"/>
        <w:ind w:left="1134" w:leftChars="540"/>
        <w:rPr>
          <w:rFonts w:ascii="宋体" w:hAnsi="宋体" w:cs="TimesNewRomanPSMT"/>
          <w:kern w:val="0"/>
          <w:sz w:val="24"/>
        </w:rPr>
      </w:pPr>
    </w:p>
    <w:p>
      <w:pPr>
        <w:tabs>
          <w:tab w:val="left" w:pos="-94"/>
          <w:tab w:val="left" w:pos="428"/>
        </w:tabs>
        <w:adjustRightInd w:val="0"/>
        <w:spacing w:line="360" w:lineRule="auto"/>
        <w:ind w:left="23" w:leftChars="11"/>
        <w:jc w:val="center"/>
        <w:textAlignment w:val="baseline"/>
        <w:outlineLvl w:val="1"/>
        <w:rPr>
          <w:b/>
          <w:sz w:val="28"/>
          <w:szCs w:val="28"/>
          <w:highlight w:val="none"/>
        </w:rPr>
      </w:pPr>
      <w:r>
        <w:br w:type="page"/>
      </w:r>
      <w:bookmarkStart w:id="90" w:name="_Toc414446032"/>
      <w:bookmarkStart w:id="91" w:name="_Toc410631196"/>
      <w:bookmarkStart w:id="92" w:name="_Toc12432"/>
      <w:r>
        <w:rPr>
          <w:rFonts w:hint="eastAsia"/>
          <w:b/>
          <w:sz w:val="28"/>
          <w:szCs w:val="28"/>
          <w:highlight w:val="none"/>
        </w:rPr>
        <w:t>附表一</w:t>
      </w:r>
      <w:r>
        <w:rPr>
          <w:rFonts w:hint="eastAsia"/>
          <w:b/>
          <w:sz w:val="28"/>
          <w:szCs w:val="28"/>
          <w:highlight w:val="none"/>
          <w:lang w:val="en-US" w:eastAsia="zh-CN"/>
        </w:rPr>
        <w:t xml:space="preserve">  </w:t>
      </w:r>
      <w:r>
        <w:rPr>
          <w:rFonts w:hint="eastAsia"/>
          <w:b/>
          <w:sz w:val="28"/>
          <w:szCs w:val="28"/>
          <w:highlight w:val="none"/>
        </w:rPr>
        <w:t>资格审查表</w:t>
      </w:r>
      <w:bookmarkEnd w:id="90"/>
      <w:bookmarkEnd w:id="91"/>
      <w:bookmarkEnd w:id="92"/>
    </w:p>
    <w:tbl>
      <w:tblPr>
        <w:tblStyle w:val="87"/>
        <w:tblW w:w="9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991"/>
        <w:gridCol w:w="40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序号</w:t>
            </w:r>
          </w:p>
        </w:tc>
        <w:tc>
          <w:tcPr>
            <w:tcW w:w="2991" w:type="dxa"/>
            <w:vAlign w:val="center"/>
          </w:tcPr>
          <w:p>
            <w:pPr>
              <w:snapToGrid w:val="0"/>
              <w:jc w:val="center"/>
              <w:rPr>
                <w:rFonts w:asciiTheme="minorEastAsia" w:hAnsiTheme="minorEastAsia" w:eastAsiaTheme="minorEastAsia"/>
                <w:b/>
                <w:szCs w:val="21"/>
                <w:highlight w:val="none"/>
              </w:rPr>
            </w:pPr>
            <w:r>
              <w:rPr>
                <w:rFonts w:asciiTheme="minorEastAsia" w:hAnsiTheme="minorEastAsia" w:eastAsiaTheme="minorEastAsia"/>
                <w:b/>
                <w:szCs w:val="21"/>
                <w:highlight w:val="none"/>
              </w:rPr>
              <w:t>评审内容</w:t>
            </w:r>
          </w:p>
        </w:tc>
        <w:tc>
          <w:tcPr>
            <w:tcW w:w="4020" w:type="dxa"/>
            <w:vAlign w:val="center"/>
          </w:tcPr>
          <w:p>
            <w:pPr>
              <w:snapToGrid w:val="0"/>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评审合格标准</w:t>
            </w:r>
          </w:p>
        </w:tc>
        <w:tc>
          <w:tcPr>
            <w:tcW w:w="1499" w:type="dxa"/>
            <w:vAlign w:val="center"/>
          </w:tcPr>
          <w:p>
            <w:pPr>
              <w:snapToGrid w:val="0"/>
              <w:jc w:val="cente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1</w:t>
            </w:r>
          </w:p>
        </w:tc>
        <w:tc>
          <w:tcPr>
            <w:tcW w:w="2991" w:type="dxa"/>
            <w:vAlign w:val="center"/>
          </w:tcPr>
          <w:p>
            <w:pPr>
              <w:snapToGrid w:val="0"/>
              <w:jc w:val="left"/>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供应商名称</w:t>
            </w:r>
          </w:p>
        </w:tc>
        <w:tc>
          <w:tcPr>
            <w:tcW w:w="4020" w:type="dxa"/>
            <w:vAlign w:val="center"/>
          </w:tcPr>
          <w:p>
            <w:pPr>
              <w:snapToGrid w:val="0"/>
              <w:jc w:val="left"/>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与报名的营业执照一致（符合法定工商变更程序除外）；</w:t>
            </w:r>
          </w:p>
        </w:tc>
        <w:tc>
          <w:tcPr>
            <w:tcW w:w="1499" w:type="dxa"/>
            <w:vAlign w:val="center"/>
          </w:tcPr>
          <w:p>
            <w:pPr>
              <w:snapToGrid w:val="0"/>
              <w:jc w:val="center"/>
              <w:rPr>
                <w:rFonts w:asciiTheme="minorEastAsia" w:hAnsiTheme="minorEastAsia" w:eastAsia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w:t>
            </w:r>
          </w:p>
        </w:tc>
        <w:tc>
          <w:tcPr>
            <w:tcW w:w="2991" w:type="dxa"/>
            <w:vAlign w:val="center"/>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具有独立承担民事责任的能力</w:t>
            </w:r>
          </w:p>
        </w:tc>
        <w:tc>
          <w:tcPr>
            <w:tcW w:w="4020" w:type="dxa"/>
          </w:tcPr>
          <w:p>
            <w:pPr>
              <w:snapToGrid w:val="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提供了</w:t>
            </w:r>
            <w:r>
              <w:rPr>
                <w:rFonts w:hint="eastAsia" w:asciiTheme="minorEastAsia" w:hAnsiTheme="minorEastAsia" w:eastAsiaTheme="minorEastAsia"/>
                <w:szCs w:val="21"/>
                <w:highlight w:val="none"/>
              </w:rPr>
              <w:t>有效的</w:t>
            </w:r>
            <w:r>
              <w:rPr>
                <w:rFonts w:cs="宋体" w:asciiTheme="minorEastAsia" w:hAnsiTheme="minorEastAsia" w:eastAsiaTheme="minorEastAsia"/>
                <w:szCs w:val="21"/>
                <w:highlight w:val="none"/>
              </w:rPr>
              <w:t>法人或者其他组织的营业执照等证明文件，自然人的身份证明</w:t>
            </w:r>
          </w:p>
        </w:tc>
        <w:tc>
          <w:tcPr>
            <w:tcW w:w="1499" w:type="dxa"/>
            <w:vAlign w:val="center"/>
          </w:tcPr>
          <w:p>
            <w:pPr>
              <w:snapToGrid w:val="0"/>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w:t>
            </w:r>
          </w:p>
        </w:tc>
        <w:tc>
          <w:tcPr>
            <w:tcW w:w="2991" w:type="dxa"/>
            <w:vAlign w:val="center"/>
          </w:tcPr>
          <w:p>
            <w:pPr>
              <w:snapToGrid w:val="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具有健全的财务会计制度</w:t>
            </w:r>
          </w:p>
        </w:tc>
        <w:tc>
          <w:tcPr>
            <w:tcW w:w="4020" w:type="dxa"/>
          </w:tcPr>
          <w:p>
            <w:pPr>
              <w:snapToGrid w:val="0"/>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提供了满足谈判文件要求的经审计的财务报表</w:t>
            </w:r>
          </w:p>
        </w:tc>
        <w:tc>
          <w:tcPr>
            <w:tcW w:w="1499" w:type="dxa"/>
            <w:vAlign w:val="center"/>
          </w:tcPr>
          <w:p>
            <w:pPr>
              <w:snapToGrid w:val="0"/>
              <w:jc w:val="cente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具有履行合同所必需的设备和专业技术能力</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提供了可充分满足履行合同所需设备和专业技术能力的证明材料</w:t>
            </w:r>
            <w:r>
              <w:rPr>
                <w:rFonts w:hint="eastAsia" w:asciiTheme="minorEastAsia" w:hAnsiTheme="minorEastAsia" w:eastAsiaTheme="minorEastAsia"/>
                <w:szCs w:val="21"/>
              </w:rPr>
              <w:t>或承诺</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有依法缴纳税收和社会保障资金的良好记录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1.提供了谈判文件要求时间内的缴纳增值税和企业所得税的凭证（银行出具的缴税凭证或税务机关出具的证明的复印件，并加盖本单位公章）或免税证明（复印件加盖公章）。</w:t>
            </w:r>
          </w:p>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2. 提供了谈判文件要求时间内的社会保障资金缴纳记录（专用收据或社会保险缴纳清单）或免缴纳证明（复印件加盖公章）</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参加政府采购活动前三年内，在经营活动中没有重大违法记录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提供了有效的参加政府采购活动前3年内在经营活动中没有重大违法记录的书面声明</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“信用中国”网站和中国政府采购网（www.ccgp.gov.cn）查询记录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未被“信用中国”网站（</w:t>
            </w:r>
            <w:r>
              <w:fldChar w:fldCharType="begin"/>
            </w:r>
            <w:r>
              <w:instrText xml:space="preserve"> HYPERLINK "http://www.creditchina.gov.cn）中列入失信被执行人和/" </w:instrText>
            </w:r>
            <w:r>
              <w:fldChar w:fldCharType="separate"/>
            </w:r>
            <w:r>
              <w:rPr>
                <w:rFonts w:hint="eastAsia" w:asciiTheme="minorEastAsia" w:hAnsiTheme="minorEastAsia" w:eastAsiaTheme="minorEastAsia"/>
                <w:szCs w:val="21"/>
              </w:rPr>
              <w:t>www.creditchina.gov.cn）中列入失信被执行人和/</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单位负责人为同一人或者存在控股、管理关系的不同单位，不得同时参加本项目的谈判</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提供了法人代表、控股股东、控股企业及管理、被管理单位情况声明且各供应商之间不存在</w:t>
            </w:r>
            <w:r>
              <w:rPr>
                <w:rFonts w:hint="eastAsia" w:asciiTheme="minorEastAsia" w:hAnsiTheme="minorEastAsia" w:eastAsiaTheme="minorEastAsia"/>
                <w:szCs w:val="21"/>
              </w:rPr>
              <w:t>单位负责人为同一人或者存在控股、管理关系情形。</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为本项目提供整体设计、规范编制或者项目管理、监理、检测等服务的供应商，不得再参加本项目谈判</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w:t>
            </w:r>
            <w:r>
              <w:rPr>
                <w:rFonts w:hint="eastAsia" w:asciiTheme="minorEastAsia" w:hAnsiTheme="minorEastAsia" w:eastAsiaTheme="minorEastAsia"/>
                <w:szCs w:val="21"/>
              </w:rPr>
              <w:t>供应商未为本项目提供整体设计、规范编制或者项目管理、监理、检测等服务的声明</w:t>
            </w:r>
            <w:r>
              <w:rPr>
                <w:rFonts w:asciiTheme="minorEastAsia" w:hAnsiTheme="minorEastAsia" w:eastAsiaTheme="minorEastAsia"/>
                <w:szCs w:val="21"/>
              </w:rPr>
              <w:t>。</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2991" w:type="dxa"/>
            <w:vAlign w:val="center"/>
          </w:tcPr>
          <w:p>
            <w:pPr>
              <w:snapToGrid w:val="0"/>
              <w:jc w:val="left"/>
              <w:rPr>
                <w:rFonts w:asciiTheme="minorEastAsia" w:hAnsiTheme="minorEastAsia" w:eastAsiaTheme="minorEastAsia"/>
                <w:szCs w:val="21"/>
                <w:highlight w:val="yellow"/>
              </w:rPr>
            </w:pPr>
            <w:r>
              <w:rPr>
                <w:rFonts w:hint="eastAsia" w:asciiTheme="minorEastAsia" w:hAnsiTheme="minorEastAsia" w:eastAsiaTheme="minorEastAsia"/>
                <w:szCs w:val="21"/>
                <w:highlight w:val="yellow"/>
              </w:rPr>
              <w:t>联合体</w:t>
            </w:r>
          </w:p>
        </w:tc>
        <w:tc>
          <w:tcPr>
            <w:tcW w:w="4020" w:type="dxa"/>
          </w:tcPr>
          <w:p>
            <w:pPr>
              <w:snapToGrid w:val="0"/>
              <w:jc w:val="left"/>
              <w:rPr>
                <w:rFonts w:asciiTheme="minorEastAsia" w:hAnsiTheme="minorEastAsia" w:eastAsiaTheme="minorEastAsia"/>
                <w:szCs w:val="21"/>
                <w:highlight w:val="yellow"/>
              </w:rPr>
            </w:pPr>
            <w:r>
              <w:rPr>
                <w:rFonts w:asciiTheme="minorEastAsia" w:hAnsiTheme="minorEastAsia" w:eastAsiaTheme="minorEastAsia"/>
                <w:szCs w:val="21"/>
                <w:highlight w:val="yellow"/>
              </w:rPr>
              <w:t>谈判文件允许联合体时，提供了满足谈判文件要求的联合体协议书。</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2991" w:type="dxa"/>
            <w:vAlign w:val="center"/>
          </w:tcPr>
          <w:p>
            <w:pPr>
              <w:snapToGrid w:val="0"/>
              <w:jc w:val="left"/>
              <w:rPr>
                <w:rFonts w:asciiTheme="minorEastAsia" w:hAnsiTheme="minorEastAsia" w:eastAsiaTheme="minorEastAsia"/>
                <w:szCs w:val="21"/>
                <w:highlight w:val="yellow"/>
              </w:rPr>
            </w:pPr>
            <w:r>
              <w:rPr>
                <w:rFonts w:hint="eastAsia" w:asciiTheme="minorEastAsia" w:hAnsiTheme="minorEastAsia" w:eastAsiaTheme="minorEastAsia"/>
                <w:szCs w:val="21"/>
                <w:highlight w:val="yellow"/>
              </w:rPr>
              <w:t>供应商特定资格条件</w:t>
            </w:r>
          </w:p>
        </w:tc>
        <w:tc>
          <w:tcPr>
            <w:tcW w:w="4020" w:type="dxa"/>
          </w:tcPr>
          <w:p>
            <w:pPr>
              <w:snapToGrid w:val="0"/>
              <w:jc w:val="left"/>
              <w:rPr>
                <w:rFonts w:asciiTheme="minorEastAsia" w:hAnsiTheme="minorEastAsia" w:eastAsiaTheme="minorEastAsia"/>
                <w:szCs w:val="21"/>
                <w:highlight w:val="yellow"/>
              </w:rPr>
            </w:pPr>
            <w:r>
              <w:rPr>
                <w:rFonts w:hint="eastAsia" w:asciiTheme="minorEastAsia" w:hAnsiTheme="minorEastAsia" w:eastAsiaTheme="minorEastAsia"/>
                <w:szCs w:val="21"/>
                <w:highlight w:val="yellow"/>
              </w:rPr>
              <w:t>提供了证明供应商符合特定资格条件的证明材料</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p>
        </w:tc>
        <w:tc>
          <w:tcPr>
            <w:tcW w:w="2991" w:type="dxa"/>
            <w:vAlign w:val="center"/>
          </w:tcPr>
          <w:p>
            <w:pPr>
              <w:snapToGrid w:val="0"/>
              <w:ind w:left="425"/>
              <w:jc w:val="center"/>
              <w:rPr>
                <w:rFonts w:asciiTheme="minorEastAsia" w:hAnsiTheme="minorEastAsia" w:eastAsiaTheme="minorEastAsia"/>
                <w:szCs w:val="21"/>
              </w:rPr>
            </w:pPr>
            <w:r>
              <w:rPr>
                <w:rFonts w:hint="eastAsia" w:asciiTheme="minorEastAsia" w:hAnsiTheme="minorEastAsia" w:eastAsiaTheme="minorEastAsia"/>
                <w:szCs w:val="21"/>
              </w:rPr>
              <w:t>结论</w:t>
            </w:r>
          </w:p>
        </w:tc>
        <w:tc>
          <w:tcPr>
            <w:tcW w:w="4020" w:type="dxa"/>
          </w:tcPr>
          <w:p>
            <w:pPr>
              <w:snapToGrid w:val="0"/>
              <w:jc w:val="center"/>
              <w:rPr>
                <w:rFonts w:asciiTheme="minorEastAsia" w:hAnsiTheme="minorEastAsia" w:eastAsiaTheme="minorEastAsia"/>
                <w:szCs w:val="21"/>
              </w:rPr>
            </w:pPr>
          </w:p>
        </w:tc>
        <w:tc>
          <w:tcPr>
            <w:tcW w:w="1499" w:type="dxa"/>
            <w:vAlign w:val="center"/>
          </w:tcPr>
          <w:p>
            <w:pPr>
              <w:snapToGrid w:val="0"/>
              <w:ind w:left="425"/>
              <w:jc w:val="center"/>
              <w:rPr>
                <w:rFonts w:asciiTheme="minorEastAsia" w:hAnsiTheme="minorEastAsia" w:eastAsiaTheme="minorEastAsia"/>
                <w:szCs w:val="21"/>
              </w:rPr>
            </w:pPr>
          </w:p>
        </w:tc>
      </w:tr>
    </w:tbl>
    <w:p>
      <w:pPr>
        <w:spacing w:line="0" w:lineRule="atLeast"/>
        <w:ind w:left="425"/>
        <w:rPr>
          <w:szCs w:val="21"/>
        </w:rPr>
      </w:pPr>
      <w:r>
        <w:rPr>
          <w:rFonts w:hint="eastAsia" w:ascii="宋体" w:hAnsi="宋体"/>
          <w:szCs w:val="21"/>
        </w:rPr>
        <w:t>注</w:t>
      </w:r>
      <w:r>
        <w:rPr>
          <w:rFonts w:hint="eastAsia"/>
          <w:szCs w:val="21"/>
        </w:rPr>
        <w:t>：符合要求用“</w:t>
      </w:r>
      <w:r>
        <w:rPr>
          <w:rFonts w:hint="eastAsia"/>
          <w:b/>
          <w:bCs/>
          <w:szCs w:val="21"/>
        </w:rPr>
        <w:t>√</w:t>
      </w:r>
      <w:r>
        <w:rPr>
          <w:rFonts w:hint="eastAsia"/>
          <w:szCs w:val="21"/>
        </w:rPr>
        <w:t>”表示，不符合用“</w:t>
      </w:r>
      <w:r>
        <w:rPr>
          <w:rFonts w:hint="eastAsia"/>
          <w:b/>
          <w:bCs/>
          <w:szCs w:val="21"/>
        </w:rPr>
        <w:t>×</w:t>
      </w:r>
      <w:r>
        <w:rPr>
          <w:rFonts w:hint="eastAsia"/>
          <w:szCs w:val="21"/>
        </w:rPr>
        <w:t>”表示。有一项不符合要求，结论为不合格。</w:t>
      </w:r>
    </w:p>
    <w:p>
      <w:pPr>
        <w:tabs>
          <w:tab w:val="left" w:pos="-94"/>
          <w:tab w:val="left" w:pos="428"/>
        </w:tabs>
        <w:adjustRightInd w:val="0"/>
        <w:spacing w:line="360" w:lineRule="auto"/>
        <w:ind w:left="23" w:leftChars="11"/>
        <w:jc w:val="center"/>
        <w:textAlignment w:val="baseline"/>
        <w:outlineLvl w:val="1"/>
        <w:rPr>
          <w:b/>
          <w:sz w:val="28"/>
          <w:szCs w:val="28"/>
        </w:rPr>
      </w:pPr>
      <w:r>
        <w:rPr>
          <w:szCs w:val="21"/>
        </w:rPr>
        <w:br w:type="page"/>
      </w:r>
      <w:bookmarkStart w:id="93" w:name="_Toc410631197"/>
      <w:bookmarkStart w:id="94" w:name="_Toc4949"/>
      <w:bookmarkStart w:id="95" w:name="_Toc414446033"/>
      <w:r>
        <w:rPr>
          <w:rFonts w:hint="eastAsia"/>
          <w:b/>
          <w:sz w:val="28"/>
          <w:szCs w:val="28"/>
        </w:rPr>
        <w:t xml:space="preserve">附表二 </w:t>
      </w:r>
      <w:r>
        <w:rPr>
          <w:rFonts w:hint="eastAsia"/>
          <w:b/>
          <w:sz w:val="28"/>
          <w:szCs w:val="28"/>
          <w:lang w:val="en-US" w:eastAsia="zh-CN"/>
        </w:rPr>
        <w:t xml:space="preserve"> </w:t>
      </w:r>
      <w:r>
        <w:rPr>
          <w:b/>
          <w:sz w:val="28"/>
          <w:szCs w:val="28"/>
        </w:rPr>
        <w:t>符合性审查表</w:t>
      </w:r>
      <w:bookmarkEnd w:id="93"/>
      <w:bookmarkEnd w:id="94"/>
      <w:bookmarkEnd w:id="95"/>
    </w:p>
    <w:tbl>
      <w:tblPr>
        <w:tblStyle w:val="87"/>
        <w:tblW w:w="90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74"/>
        <w:gridCol w:w="524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序号</w:t>
            </w:r>
          </w:p>
        </w:tc>
        <w:tc>
          <w:tcPr>
            <w:tcW w:w="1674"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评审项目</w:t>
            </w:r>
          </w:p>
        </w:tc>
        <w:tc>
          <w:tcPr>
            <w:tcW w:w="5245"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评审标准</w:t>
            </w:r>
          </w:p>
        </w:tc>
        <w:tc>
          <w:tcPr>
            <w:tcW w:w="1275"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评审结论</w:t>
            </w:r>
          </w:p>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w:t>
            </w:r>
            <w:r>
              <w:rPr>
                <w:rFonts w:hint="eastAsia"/>
                <w:b/>
                <w:bCs/>
                <w:szCs w:val="21"/>
              </w:rPr>
              <w:t>√</w:t>
            </w:r>
            <w:r>
              <w:rPr>
                <w:rFonts w:ascii="宋体" w:hAnsi="宋体"/>
                <w:b/>
                <w:caps/>
                <w:sz w:val="24"/>
              </w:rPr>
              <w:t>/</w:t>
            </w:r>
            <w:r>
              <w:rPr>
                <w:rFonts w:hint="eastAsia" w:ascii="宋体" w:hAnsi="宋体"/>
                <w:b/>
                <w:bCs/>
                <w:sz w:val="24"/>
              </w:rPr>
              <w:t>×</w:t>
            </w:r>
            <w:r>
              <w:rPr>
                <w:rFonts w:ascii="宋体" w:hAnsi="宋体"/>
                <w:b/>
                <w:caps/>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谈判保证金</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按照谈判文件的规定提交谈判保证金（包括形式及金额）</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响应文件签署盖章</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按谈判文件格式要求加</w:t>
            </w:r>
            <w:r>
              <w:rPr>
                <w:rFonts w:ascii="宋体" w:hAnsi="宋体"/>
                <w:sz w:val="24"/>
              </w:rPr>
              <w:t>盖了</w:t>
            </w:r>
            <w:r>
              <w:rPr>
                <w:rFonts w:hint="eastAsia" w:ascii="宋体" w:hAnsi="宋体"/>
                <w:sz w:val="24"/>
              </w:rPr>
              <w:t>供应商公</w:t>
            </w:r>
            <w:r>
              <w:rPr>
                <w:rFonts w:ascii="宋体" w:hAnsi="宋体"/>
                <w:sz w:val="24"/>
              </w:rPr>
              <w:t>章</w:t>
            </w:r>
            <w:r>
              <w:rPr>
                <w:rFonts w:hint="eastAsia" w:ascii="宋体" w:hAnsi="宋体"/>
                <w:sz w:val="24"/>
              </w:rPr>
              <w:t>和（/或）有</w:t>
            </w:r>
            <w:r>
              <w:rPr>
                <w:rFonts w:ascii="宋体" w:hAnsi="宋体"/>
                <w:sz w:val="24"/>
              </w:rPr>
              <w:t>法定代表人或</w:t>
            </w:r>
            <w:r>
              <w:rPr>
                <w:rFonts w:hint="eastAsia" w:ascii="宋体" w:hAnsi="宋体"/>
                <w:sz w:val="24"/>
              </w:rPr>
              <w:t>其授权代表</w:t>
            </w:r>
            <w:r>
              <w:rPr>
                <w:rFonts w:ascii="宋体" w:hAnsi="宋体"/>
                <w:sz w:val="24"/>
              </w:rPr>
              <w:t>签字或</w:t>
            </w:r>
            <w:r>
              <w:rPr>
                <w:rFonts w:hint="eastAsia" w:ascii="宋体" w:hAnsi="宋体"/>
                <w:sz w:val="24"/>
              </w:rPr>
              <w:t>加盖人名章</w:t>
            </w:r>
            <w:r>
              <w:rPr>
                <w:rFonts w:ascii="宋体" w:hAnsi="宋体"/>
                <w:sz w:val="24"/>
              </w:rPr>
              <w:t>。</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公平竞争</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遵循公平竞争的原则，没有弄虚作假、相互串通或妨碍其他供应商的竞争行为。</w:t>
            </w:r>
          </w:p>
          <w:p>
            <w:pPr>
              <w:tabs>
                <w:tab w:val="left" w:pos="1260"/>
                <w:tab w:val="left" w:pos="1620"/>
              </w:tabs>
              <w:adjustRightInd w:val="0"/>
              <w:snapToGrid w:val="0"/>
              <w:textAlignment w:val="baseline"/>
              <w:rPr>
                <w:rFonts w:ascii="宋体" w:hAnsi="宋体"/>
                <w:sz w:val="24"/>
              </w:rPr>
            </w:pPr>
            <w:r>
              <w:rPr>
                <w:rFonts w:hint="eastAsia" w:ascii="宋体" w:hAnsi="宋体"/>
                <w:sz w:val="24"/>
              </w:rPr>
              <w:t>弄虚作假、相互串通的情形见附注。</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响应文件有效期</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有效期满足谈判文件要求的</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响应文件装订方式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符合谈判文件要求</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响应文件格式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w:t>
            </w:r>
            <w:r>
              <w:rPr>
                <w:rFonts w:ascii="宋体" w:hAnsi="宋体"/>
                <w:sz w:val="24"/>
              </w:rPr>
              <w:t>按规定的格式填写，内容</w:t>
            </w:r>
            <w:r>
              <w:rPr>
                <w:rFonts w:hint="eastAsia" w:ascii="宋体" w:hAnsi="宋体"/>
                <w:sz w:val="24"/>
              </w:rPr>
              <w:t>完整且</w:t>
            </w:r>
            <w:r>
              <w:rPr>
                <w:rFonts w:ascii="宋体" w:hAnsi="宋体"/>
                <w:sz w:val="24"/>
              </w:rPr>
              <w:t>关键字迹</w:t>
            </w:r>
            <w:r>
              <w:rPr>
                <w:rFonts w:hint="eastAsia" w:ascii="宋体" w:hAnsi="宋体"/>
                <w:sz w:val="24"/>
              </w:rPr>
              <w:t>清晰</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响应范围</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与谈判文件要求的工程范围一致</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报价是固定价且未超过预算金额或最高限价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hint="eastAsia" w:ascii="宋体" w:hAnsi="宋体"/>
                <w:sz w:val="24"/>
              </w:rPr>
            </w:pPr>
            <w:r>
              <w:rPr>
                <w:rFonts w:hint="eastAsia" w:ascii="宋体" w:hAnsi="宋体"/>
                <w:sz w:val="24"/>
                <w:lang w:eastAsia="zh-CN"/>
              </w:rPr>
              <w:t>工程量</w:t>
            </w:r>
            <w:r>
              <w:rPr>
                <w:rFonts w:hint="eastAsia" w:ascii="宋体" w:hAnsi="宋体"/>
                <w:sz w:val="24"/>
              </w:rPr>
              <w:t>清单</w:t>
            </w:r>
          </w:p>
        </w:tc>
        <w:tc>
          <w:tcPr>
            <w:tcW w:w="5245" w:type="dxa"/>
            <w:vAlign w:val="center"/>
          </w:tcPr>
          <w:p>
            <w:pPr>
              <w:tabs>
                <w:tab w:val="left" w:pos="1260"/>
                <w:tab w:val="left" w:pos="1620"/>
              </w:tabs>
              <w:adjustRightInd w:val="0"/>
              <w:snapToGrid w:val="0"/>
              <w:textAlignment w:val="baseline"/>
              <w:rPr>
                <w:rFonts w:hint="eastAsia" w:ascii="宋体" w:hAnsi="宋体"/>
                <w:sz w:val="24"/>
              </w:rPr>
            </w:pPr>
            <w:r>
              <w:rPr>
                <w:rFonts w:hint="eastAsia" w:ascii="宋体" w:hAnsi="宋体"/>
                <w:sz w:val="24"/>
              </w:rPr>
              <w:t>未对采购人发出的工程量清单有任何修改（需供应商填写的价格以及供应商对措施项目清单的增减和细化除外）</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工期</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满足谈判文件要求</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备选方案</w:t>
            </w:r>
          </w:p>
        </w:tc>
        <w:tc>
          <w:tcPr>
            <w:tcW w:w="5245" w:type="dxa"/>
            <w:vAlign w:val="center"/>
          </w:tcPr>
          <w:p>
            <w:pPr>
              <w:tabs>
                <w:tab w:val="left" w:pos="1260"/>
                <w:tab w:val="left" w:pos="1620"/>
              </w:tabs>
              <w:adjustRightInd w:val="0"/>
              <w:snapToGrid w:val="0"/>
              <w:textAlignment w:val="baseline"/>
              <w:rPr>
                <w:rFonts w:ascii="宋体" w:hAnsi="宋体"/>
                <w:strike/>
                <w:sz w:val="24"/>
              </w:rPr>
            </w:pPr>
            <w:r>
              <w:rPr>
                <w:rFonts w:hint="eastAsia" w:ascii="宋体" w:hAnsi="宋体"/>
                <w:sz w:val="24"/>
              </w:rPr>
              <w:t>供应商不得提交两份及以上内容不同的响应文件，或者在同一份响应文件中对同一谈判项目有两个及以上报价的</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附加条件</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响应文件不含有采购人不能接受的附加条件</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其他无效情形</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无法律、法规和谈判文件规定的其他无效情形</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491" w:type="dxa"/>
            <w:gridSpan w:val="2"/>
            <w:vAlign w:val="center"/>
          </w:tcPr>
          <w:p>
            <w:pPr>
              <w:tabs>
                <w:tab w:val="left" w:pos="1260"/>
                <w:tab w:val="left" w:pos="1620"/>
              </w:tabs>
              <w:adjustRightInd w:val="0"/>
              <w:snapToGrid w:val="0"/>
              <w:textAlignment w:val="baseline"/>
              <w:rPr>
                <w:rFonts w:ascii="宋体" w:hAnsi="宋体"/>
                <w:sz w:val="24"/>
              </w:rPr>
            </w:pPr>
            <w:r>
              <w:rPr>
                <w:rFonts w:ascii="宋体" w:hAnsi="宋体"/>
                <w:b/>
                <w:sz w:val="24"/>
              </w:rPr>
              <w:t>结论（通过或未通过）</w:t>
            </w:r>
          </w:p>
        </w:tc>
        <w:tc>
          <w:tcPr>
            <w:tcW w:w="5245" w:type="dxa"/>
            <w:vAlign w:val="center"/>
          </w:tcPr>
          <w:p>
            <w:pPr>
              <w:tabs>
                <w:tab w:val="left" w:pos="1260"/>
                <w:tab w:val="left" w:pos="1620"/>
              </w:tabs>
              <w:adjustRightInd w:val="0"/>
              <w:snapToGrid w:val="0"/>
              <w:textAlignment w:val="baseline"/>
              <w:rPr>
                <w:rFonts w:ascii="宋体" w:hAnsi="宋体"/>
                <w:sz w:val="24"/>
              </w:rPr>
            </w:pPr>
          </w:p>
        </w:tc>
        <w:tc>
          <w:tcPr>
            <w:tcW w:w="1275" w:type="dxa"/>
            <w:vAlign w:val="center"/>
          </w:tcPr>
          <w:p>
            <w:pPr>
              <w:tabs>
                <w:tab w:val="left" w:pos="1260"/>
                <w:tab w:val="left" w:pos="1620"/>
              </w:tabs>
              <w:adjustRightInd w:val="0"/>
              <w:snapToGrid w:val="0"/>
              <w:textAlignment w:val="baseline"/>
              <w:rPr>
                <w:rFonts w:ascii="宋体" w:hAnsi="宋体"/>
                <w:sz w:val="24"/>
              </w:rPr>
            </w:pPr>
          </w:p>
        </w:tc>
      </w:tr>
    </w:tbl>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注：</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1、符合谈判文件要求用“</w:t>
      </w:r>
      <w:r>
        <w:rPr>
          <w:rFonts w:hint="eastAsia"/>
          <w:b/>
          <w:bCs/>
          <w:szCs w:val="21"/>
        </w:rPr>
        <w:t>√</w:t>
      </w:r>
      <w:r>
        <w:rPr>
          <w:rFonts w:hint="eastAsia" w:asciiTheme="minorEastAsia" w:hAnsiTheme="minorEastAsia" w:eastAsiaTheme="minorEastAsia"/>
          <w:szCs w:val="21"/>
        </w:rPr>
        <w:t>”表示，不符合用“</w:t>
      </w:r>
      <w:r>
        <w:rPr>
          <w:rFonts w:hint="eastAsia" w:asciiTheme="minorEastAsia" w:hAnsiTheme="minorEastAsia" w:eastAsiaTheme="minorEastAsia"/>
          <w:b/>
          <w:bCs/>
          <w:szCs w:val="21"/>
        </w:rPr>
        <w:t>×</w:t>
      </w:r>
      <w:r>
        <w:rPr>
          <w:rFonts w:hint="eastAsia" w:asciiTheme="minorEastAsia" w:hAnsiTheme="minorEastAsia" w:eastAsiaTheme="minorEastAsia"/>
          <w:szCs w:val="21"/>
        </w:rPr>
        <w:t>”表示。有一项不符合要求，结论为不合格。</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2、进行符合性审查过程中，谈判小组成员意见不同时，按少数服从多数的原则确定。</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3、有下列情形之一的，视为供应商相互串通：</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（1）不同供应商的响应文件由同一单位或者个人编制；</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（2）不同供应商委托同一单位或者个人办理谈判事宜；</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（3）不同供应商的响应文件载明的项目管理成员或者联系人员为同一人；</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（4）不同供应商的响应文件异常一致或者报价呈规律性差异；</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（5）不同供应商的响应文件相互混装；</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（6）不同供应商的谈判保证金从同一单位或者个人的账户转出。</w:t>
      </w:r>
    </w:p>
    <w:p>
      <w:pPr>
        <w:tabs>
          <w:tab w:val="left" w:pos="1260"/>
          <w:tab w:val="left" w:pos="1620"/>
        </w:tabs>
        <w:adjustRightInd w:val="0"/>
        <w:spacing w:line="360" w:lineRule="auto"/>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4、有下列情形之一的，属于提供虚假材料谋取成交的行为：</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（1）使用伪造、变造的许可证件；</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（2）提供虚假的财务状况或者业绩；</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（3）提供虚假的项目负责人或者主要技术人员简历、劳动关系证明；</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（4）提供虚假的信用状况；</w:t>
      </w:r>
    </w:p>
    <w:p>
      <w:pPr>
        <w:tabs>
          <w:tab w:val="left" w:pos="1260"/>
          <w:tab w:val="left" w:pos="1620"/>
        </w:tabs>
        <w:adjustRightInd w:val="0"/>
        <w:spacing w:line="360" w:lineRule="auto"/>
        <w:ind w:left="424" w:leftChars="202"/>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（5）其他弄虚作假的行为。</w:t>
      </w:r>
    </w:p>
    <w:p>
      <w:pPr>
        <w:tabs>
          <w:tab w:val="left" w:pos="1260"/>
          <w:tab w:val="left" w:pos="1620"/>
        </w:tabs>
        <w:adjustRightInd w:val="0"/>
        <w:spacing w:line="360" w:lineRule="auto"/>
        <w:jc w:val="left"/>
        <w:textAlignment w:val="baseline"/>
        <w:rPr>
          <w:b/>
          <w:szCs w:val="21"/>
        </w:rPr>
      </w:pPr>
      <w:r>
        <w:rPr>
          <w:b/>
          <w:szCs w:val="21"/>
        </w:rPr>
        <w:br w:type="page"/>
      </w:r>
    </w:p>
    <w:p>
      <w:pPr>
        <w:snapToGrid w:val="0"/>
        <w:spacing w:afterLines="50"/>
      </w:pPr>
    </w:p>
    <w:p>
      <w:pPr>
        <w:jc w:val="center"/>
        <w:outlineLvl w:val="0"/>
        <w:rPr>
          <w:sz w:val="30"/>
          <w:szCs w:val="30"/>
        </w:rPr>
      </w:pPr>
      <w:bookmarkStart w:id="96" w:name="_Toc152042387"/>
      <w:bookmarkStart w:id="97" w:name="_Toc4808"/>
      <w:bookmarkStart w:id="98" w:name="_Toc296602497"/>
      <w:bookmarkStart w:id="99" w:name="_Toc144974577"/>
      <w:bookmarkStart w:id="100" w:name="_Toc247085767"/>
      <w:bookmarkStart w:id="101" w:name="_Toc246996995"/>
      <w:bookmarkStart w:id="102" w:name="_Toc246996252"/>
      <w:bookmarkStart w:id="103" w:name="_Toc179632627"/>
      <w:bookmarkStart w:id="104" w:name="_Toc152045609"/>
      <w:r>
        <w:rPr>
          <w:rFonts w:hint="eastAsia"/>
          <w:sz w:val="30"/>
          <w:szCs w:val="30"/>
        </w:rPr>
        <w:t xml:space="preserve">第四章 </w:t>
      </w:r>
      <w:r>
        <w:rPr>
          <w:rFonts w:hint="eastAsia"/>
          <w:sz w:val="30"/>
          <w:szCs w:val="30"/>
          <w:lang w:val="en-US" w:eastAsia="zh-CN"/>
        </w:rPr>
        <w:t xml:space="preserve"> </w:t>
      </w:r>
      <w:r>
        <w:rPr>
          <w:rFonts w:hint="eastAsia"/>
          <w:sz w:val="30"/>
          <w:szCs w:val="30"/>
        </w:rPr>
        <w:t>合同条款及格式</w:t>
      </w:r>
      <w:bookmarkEnd w:id="96"/>
      <w:bookmarkEnd w:id="97"/>
      <w:bookmarkEnd w:id="98"/>
      <w:bookmarkEnd w:id="99"/>
      <w:bookmarkEnd w:id="100"/>
      <w:bookmarkEnd w:id="101"/>
      <w:bookmarkEnd w:id="102"/>
      <w:bookmarkEnd w:id="103"/>
      <w:bookmarkEnd w:id="104"/>
    </w:p>
    <w:p>
      <w:pPr>
        <w:jc w:val="left"/>
        <w:outlineLvl w:val="9"/>
      </w:pPr>
      <w:bookmarkStart w:id="105" w:name="_Toc152045610"/>
      <w:bookmarkStart w:id="106" w:name="_Toc247085768"/>
      <w:bookmarkStart w:id="107" w:name="_Toc296602498"/>
      <w:bookmarkStart w:id="108" w:name="_Toc152042388"/>
      <w:bookmarkStart w:id="109" w:name="_Toc179632628"/>
      <w:bookmarkStart w:id="110" w:name="_Toc144974578"/>
      <w:bookmarkStart w:id="111" w:name="_Toc246996996"/>
      <w:bookmarkStart w:id="112" w:name="_Toc246996253"/>
    </w:p>
    <w:p>
      <w:pPr>
        <w:jc w:val="center"/>
        <w:outlineLvl w:val="1"/>
        <w:rPr>
          <w:sz w:val="30"/>
          <w:szCs w:val="30"/>
        </w:rPr>
      </w:pPr>
      <w:bookmarkStart w:id="113" w:name="_Toc21532"/>
      <w:r>
        <w:rPr>
          <w:rFonts w:hint="eastAsia"/>
          <w:sz w:val="30"/>
          <w:szCs w:val="30"/>
        </w:rPr>
        <w:t>第一节</w:t>
      </w:r>
      <w:r>
        <w:rPr>
          <w:rFonts w:hint="eastAsia"/>
          <w:sz w:val="30"/>
          <w:szCs w:val="30"/>
          <w:lang w:val="en-US" w:eastAsia="zh-CN"/>
        </w:rPr>
        <w:t xml:space="preserve"> </w:t>
      </w:r>
      <w:r>
        <w:rPr>
          <w:rFonts w:hint="eastAsia"/>
          <w:sz w:val="30"/>
          <w:szCs w:val="30"/>
        </w:rPr>
        <w:t xml:space="preserve"> 通用合同条款</w:t>
      </w:r>
      <w:bookmarkEnd w:id="105"/>
      <w:bookmarkEnd w:id="106"/>
      <w:bookmarkEnd w:id="107"/>
      <w:bookmarkEnd w:id="108"/>
      <w:bookmarkEnd w:id="109"/>
      <w:bookmarkEnd w:id="110"/>
      <w:bookmarkEnd w:id="111"/>
      <w:bookmarkEnd w:id="112"/>
      <w:bookmarkEnd w:id="113"/>
    </w:p>
    <w:p>
      <w:pPr>
        <w:spacing w:line="360" w:lineRule="auto"/>
        <w:jc w:val="center"/>
        <w:rPr>
          <w:rFonts w:ascii="宋体" w:hAnsi="宋体"/>
          <w:b/>
          <w:sz w:val="36"/>
          <w:szCs w:val="36"/>
        </w:rPr>
      </w:pPr>
      <w:r>
        <w:rPr>
          <w:rFonts w:hint="eastAsia" w:ascii="宋体" w:hAnsi="宋体"/>
          <w:b/>
          <w:sz w:val="36"/>
          <w:szCs w:val="36"/>
        </w:rPr>
        <w:t>通用合同条款</w:t>
      </w:r>
    </w:p>
    <w:p>
      <w:pPr>
        <w:snapToGrid w:val="0"/>
        <w:spacing w:beforeLines="50"/>
        <w:ind w:left="991" w:hanging="991" w:hangingChars="413"/>
        <w:jc w:val="left"/>
        <w:outlineLvl w:val="2"/>
        <w:rPr>
          <w:rFonts w:ascii="黑体" w:eastAsia="黑体"/>
          <w:sz w:val="24"/>
        </w:rPr>
      </w:pPr>
      <w:bookmarkStart w:id="114" w:name="_Toc27721"/>
      <w:bookmarkStart w:id="115" w:name="_Toc971"/>
      <w:bookmarkStart w:id="116" w:name="_Toc296602499"/>
      <w:bookmarkStart w:id="117" w:name="_Toc246996997"/>
      <w:bookmarkStart w:id="118" w:name="_Toc246996254"/>
      <w:bookmarkStart w:id="119" w:name="_Toc184635098"/>
      <w:bookmarkStart w:id="120" w:name="_Toc247085769"/>
      <w:r>
        <w:rPr>
          <w:rFonts w:hint="eastAsia" w:ascii="黑体" w:eastAsia="黑体"/>
          <w:sz w:val="24"/>
        </w:rPr>
        <w:t>1.</w:t>
      </w:r>
      <w:r>
        <w:rPr>
          <w:rFonts w:hint="eastAsia" w:ascii="黑体" w:eastAsia="黑体"/>
          <w:sz w:val="24"/>
        </w:rPr>
        <w:tab/>
      </w:r>
      <w:r>
        <w:rPr>
          <w:rFonts w:hint="eastAsia" w:ascii="黑体" w:eastAsia="黑体"/>
          <w:sz w:val="24"/>
        </w:rPr>
        <w:t>一般约定</w:t>
      </w:r>
      <w:bookmarkEnd w:id="114"/>
      <w:bookmarkEnd w:id="115"/>
      <w:bookmarkEnd w:id="116"/>
      <w:bookmarkEnd w:id="117"/>
      <w:bookmarkEnd w:id="118"/>
      <w:bookmarkEnd w:id="119"/>
      <w:bookmarkEnd w:id="120"/>
    </w:p>
    <w:p>
      <w:pPr>
        <w:snapToGrid w:val="0"/>
        <w:spacing w:beforeLines="50"/>
        <w:ind w:left="991" w:hanging="991" w:hangingChars="413"/>
        <w:jc w:val="left"/>
        <w:rPr>
          <w:rFonts w:ascii="黑体" w:eastAsia="黑体"/>
          <w:sz w:val="24"/>
        </w:rPr>
      </w:pPr>
      <w:bookmarkStart w:id="121" w:name="_Toc247085770"/>
      <w:bookmarkStart w:id="122" w:name="_Toc246996998"/>
      <w:bookmarkStart w:id="123" w:name="_Toc246996255"/>
      <w:bookmarkStart w:id="124" w:name="_Toc296602500"/>
      <w:r>
        <w:rPr>
          <w:rFonts w:hint="eastAsia" w:ascii="黑体" w:eastAsia="黑体"/>
          <w:sz w:val="24"/>
        </w:rPr>
        <w:t>1.1</w:t>
      </w:r>
      <w:r>
        <w:rPr>
          <w:rFonts w:hint="eastAsia" w:ascii="黑体" w:eastAsia="黑体"/>
          <w:sz w:val="24"/>
        </w:rPr>
        <w:tab/>
      </w:r>
      <w:r>
        <w:rPr>
          <w:rFonts w:hint="eastAsia" w:ascii="黑体" w:eastAsia="黑体"/>
          <w:sz w:val="24"/>
        </w:rPr>
        <w:t>词语定义</w:t>
      </w:r>
      <w:bookmarkEnd w:id="121"/>
      <w:bookmarkEnd w:id="122"/>
      <w:bookmarkEnd w:id="123"/>
      <w:bookmarkEnd w:id="124"/>
    </w:p>
    <w:p>
      <w:pPr>
        <w:snapToGrid w:val="0"/>
        <w:spacing w:beforeLines="50"/>
        <w:ind w:left="991" w:leftChars="472"/>
        <w:rPr>
          <w:rFonts w:ascii="宋体" w:hAnsi="宋体"/>
          <w:sz w:val="24"/>
        </w:rPr>
      </w:pPr>
      <w:r>
        <w:rPr>
          <w:rFonts w:hint="eastAsia" w:ascii="宋体" w:hAnsi="宋体"/>
          <w:sz w:val="24"/>
        </w:rPr>
        <w:t>通用合同条款、专用合同条款中的下列词语应具有本款所赋予的含义。</w:t>
      </w:r>
    </w:p>
    <w:p>
      <w:pPr>
        <w:snapToGrid w:val="0"/>
        <w:spacing w:beforeLines="50"/>
        <w:ind w:left="991" w:hanging="991" w:hangingChars="413"/>
        <w:jc w:val="left"/>
        <w:rPr>
          <w:rFonts w:ascii="宋体" w:hAnsi="宋体"/>
          <w:sz w:val="24"/>
        </w:rPr>
      </w:pPr>
      <w:r>
        <w:rPr>
          <w:rFonts w:ascii="宋体" w:hAnsi="宋体"/>
          <w:sz w:val="24"/>
        </w:rPr>
        <w:t>1.1.1</w:t>
      </w:r>
      <w:r>
        <w:rPr>
          <w:rFonts w:hint="eastAsia" w:ascii="宋体" w:hAnsi="宋体"/>
          <w:sz w:val="24"/>
        </w:rPr>
        <w:tab/>
      </w:r>
      <w:r>
        <w:rPr>
          <w:rFonts w:hint="eastAsia" w:ascii="宋体" w:hAnsi="宋体"/>
          <w:sz w:val="24"/>
        </w:rPr>
        <w:t>合同</w:t>
      </w:r>
    </w:p>
    <w:p>
      <w:pPr>
        <w:snapToGrid w:val="0"/>
        <w:spacing w:beforeLines="50"/>
        <w:ind w:left="991" w:hanging="991" w:hangingChars="413"/>
        <w:jc w:val="left"/>
        <w:rPr>
          <w:rFonts w:ascii="宋体" w:hAnsi="宋体"/>
          <w:sz w:val="24"/>
        </w:rPr>
      </w:pPr>
      <w:r>
        <w:rPr>
          <w:rFonts w:hint="eastAsia" w:ascii="宋体" w:hAnsi="宋体"/>
          <w:sz w:val="24"/>
        </w:rPr>
        <w:t>1.1.1.1</w:t>
      </w:r>
      <w:r>
        <w:rPr>
          <w:rFonts w:hint="eastAsia" w:ascii="宋体" w:hAnsi="宋体"/>
          <w:sz w:val="24"/>
        </w:rPr>
        <w:tab/>
      </w:r>
      <w:r>
        <w:rPr>
          <w:rFonts w:hint="eastAsia" w:ascii="宋体" w:hAnsi="宋体"/>
          <w:sz w:val="24"/>
        </w:rPr>
        <w:t>合同文件（或称合同）：指合同协议书、中标（成交）通知书、报价函及报价函附录、专用合同条款、通用合同条款、技术标准和要求、图纸、已标价工程量清单，以及其他合同文件。</w:t>
      </w:r>
    </w:p>
    <w:p>
      <w:pPr>
        <w:snapToGrid w:val="0"/>
        <w:spacing w:beforeLines="50"/>
        <w:ind w:left="991" w:hanging="991" w:hangingChars="413"/>
        <w:jc w:val="left"/>
        <w:rPr>
          <w:rFonts w:ascii="宋体" w:hAnsi="宋体"/>
          <w:sz w:val="24"/>
        </w:rPr>
      </w:pPr>
      <w:r>
        <w:rPr>
          <w:rFonts w:hint="eastAsia" w:ascii="宋体" w:hAnsi="宋体"/>
          <w:sz w:val="24"/>
        </w:rPr>
        <w:t>1.1.1.2</w:t>
      </w:r>
      <w:r>
        <w:rPr>
          <w:rFonts w:hint="eastAsia" w:ascii="宋体" w:hAnsi="宋体"/>
          <w:sz w:val="24"/>
        </w:rPr>
        <w:tab/>
      </w:r>
      <w:r>
        <w:rPr>
          <w:rFonts w:hint="eastAsia" w:ascii="宋体" w:hAnsi="宋体"/>
          <w:sz w:val="24"/>
        </w:rPr>
        <w:t>合同协议书：指第1.5 款所指的合同协议书。</w:t>
      </w:r>
    </w:p>
    <w:p>
      <w:pPr>
        <w:snapToGrid w:val="0"/>
        <w:spacing w:beforeLines="50"/>
        <w:ind w:left="991" w:hanging="991" w:hangingChars="413"/>
        <w:jc w:val="left"/>
        <w:rPr>
          <w:rFonts w:ascii="宋体" w:hAnsi="宋体"/>
          <w:sz w:val="24"/>
        </w:rPr>
      </w:pPr>
      <w:r>
        <w:rPr>
          <w:rFonts w:hint="eastAsia" w:ascii="宋体" w:hAnsi="宋体"/>
          <w:sz w:val="24"/>
        </w:rPr>
        <w:t>1.1.1.3</w:t>
      </w:r>
      <w:r>
        <w:rPr>
          <w:rFonts w:hint="eastAsia" w:ascii="宋体" w:hAnsi="宋体"/>
          <w:sz w:val="24"/>
        </w:rPr>
        <w:tab/>
      </w:r>
      <w:r>
        <w:rPr>
          <w:rFonts w:hint="eastAsia" w:ascii="宋体" w:hAnsi="宋体"/>
          <w:sz w:val="24"/>
        </w:rPr>
        <w:t>中标（成交）通知书：指发包人通知承包人中标（成交）的函件。中标（成交）通知书随附的澄清、说明、补正事项纪要等，是中标（成交）通知书的组成部分。</w:t>
      </w:r>
    </w:p>
    <w:p>
      <w:pPr>
        <w:snapToGrid w:val="0"/>
        <w:spacing w:beforeLines="50"/>
        <w:ind w:left="991" w:hanging="991" w:hangingChars="413"/>
        <w:jc w:val="left"/>
        <w:rPr>
          <w:rFonts w:ascii="宋体" w:hAnsi="宋体"/>
          <w:sz w:val="24"/>
        </w:rPr>
      </w:pPr>
      <w:r>
        <w:rPr>
          <w:rFonts w:hint="eastAsia" w:ascii="宋体" w:hAnsi="宋体"/>
          <w:sz w:val="24"/>
        </w:rPr>
        <w:t>1.1.1.4</w:t>
      </w:r>
      <w:r>
        <w:rPr>
          <w:rFonts w:hint="eastAsia" w:ascii="宋体" w:hAnsi="宋体"/>
          <w:sz w:val="24"/>
        </w:rPr>
        <w:tab/>
      </w:r>
      <w:r>
        <w:rPr>
          <w:rFonts w:hint="eastAsia" w:ascii="宋体" w:hAnsi="宋体"/>
          <w:sz w:val="24"/>
        </w:rPr>
        <w:t>报价函：指构成合同文件组成部分的由承包人填写并签署的报价函。</w:t>
      </w:r>
    </w:p>
    <w:p>
      <w:pPr>
        <w:snapToGrid w:val="0"/>
        <w:spacing w:beforeLines="50"/>
        <w:ind w:left="991" w:hanging="991" w:hangingChars="413"/>
        <w:jc w:val="left"/>
        <w:rPr>
          <w:rFonts w:ascii="宋体" w:hAnsi="宋体"/>
          <w:sz w:val="24"/>
        </w:rPr>
      </w:pPr>
      <w:r>
        <w:rPr>
          <w:rFonts w:hint="eastAsia" w:ascii="宋体" w:hAnsi="宋体"/>
          <w:sz w:val="24"/>
        </w:rPr>
        <w:t>1.1.1.5</w:t>
      </w:r>
      <w:r>
        <w:rPr>
          <w:rFonts w:hint="eastAsia" w:ascii="宋体" w:hAnsi="宋体"/>
          <w:sz w:val="24"/>
        </w:rPr>
        <w:tab/>
      </w:r>
      <w:r>
        <w:rPr>
          <w:rFonts w:hint="eastAsia" w:ascii="宋体" w:hAnsi="宋体"/>
          <w:sz w:val="24"/>
        </w:rPr>
        <w:t>报价函附录：指附在报价函后构成合同文件的报价函附录。</w:t>
      </w:r>
    </w:p>
    <w:p>
      <w:pPr>
        <w:snapToGrid w:val="0"/>
        <w:spacing w:beforeLines="50"/>
        <w:ind w:left="991" w:hanging="991" w:hangingChars="413"/>
        <w:jc w:val="left"/>
        <w:rPr>
          <w:rFonts w:ascii="宋体" w:hAnsi="宋体"/>
          <w:sz w:val="24"/>
        </w:rPr>
      </w:pPr>
      <w:r>
        <w:rPr>
          <w:rFonts w:hint="eastAsia" w:ascii="宋体" w:hAnsi="宋体"/>
          <w:sz w:val="24"/>
        </w:rPr>
        <w:t>1.1.1.6</w:t>
      </w:r>
      <w:r>
        <w:rPr>
          <w:rFonts w:hint="eastAsia" w:ascii="宋体" w:hAnsi="宋体"/>
          <w:sz w:val="24"/>
        </w:rPr>
        <w:tab/>
      </w:r>
      <w:r>
        <w:rPr>
          <w:rFonts w:hint="eastAsia" w:ascii="宋体" w:hAnsi="宋体"/>
          <w:sz w:val="24"/>
        </w:rPr>
        <w:t>技术标准和要求：指构成合同文件组成部分的名为技术标准和要求的文件，以及合同双方当事人约定对其所作的修改或补充。</w:t>
      </w:r>
    </w:p>
    <w:p>
      <w:pPr>
        <w:snapToGrid w:val="0"/>
        <w:spacing w:beforeLines="50"/>
        <w:ind w:left="991" w:hanging="991" w:hangingChars="413"/>
        <w:jc w:val="left"/>
        <w:rPr>
          <w:rFonts w:ascii="宋体" w:hAnsi="宋体"/>
          <w:sz w:val="24"/>
        </w:rPr>
      </w:pPr>
      <w:r>
        <w:rPr>
          <w:rFonts w:hint="eastAsia" w:ascii="宋体" w:hAnsi="宋体"/>
          <w:sz w:val="24"/>
        </w:rPr>
        <w:t>1.1.1.7</w:t>
      </w:r>
      <w:r>
        <w:rPr>
          <w:rFonts w:hint="eastAsia" w:ascii="宋体" w:hAnsi="宋体"/>
          <w:sz w:val="24"/>
        </w:rPr>
        <w:tab/>
      </w:r>
      <w:r>
        <w:rPr>
          <w:rFonts w:hint="eastAsia" w:ascii="宋体" w:hAnsi="宋体"/>
          <w:sz w:val="24"/>
        </w:rPr>
        <w:t>图纸：指包含在合同中的工程图纸，以及由发包人按合同约定提供的任何补充和修改的图纸，包括配套的说明。</w:t>
      </w:r>
    </w:p>
    <w:p>
      <w:pPr>
        <w:snapToGrid w:val="0"/>
        <w:spacing w:beforeLines="50"/>
        <w:ind w:left="991" w:hanging="991" w:hangingChars="413"/>
        <w:jc w:val="left"/>
        <w:rPr>
          <w:rFonts w:ascii="宋体" w:hAnsi="宋体"/>
          <w:sz w:val="24"/>
        </w:rPr>
      </w:pPr>
      <w:r>
        <w:rPr>
          <w:rFonts w:hint="eastAsia" w:ascii="宋体" w:hAnsi="宋体"/>
          <w:sz w:val="24"/>
        </w:rPr>
        <w:t>1.1.1.8</w:t>
      </w:r>
      <w:r>
        <w:rPr>
          <w:rFonts w:hint="eastAsia" w:ascii="宋体" w:hAnsi="宋体"/>
          <w:sz w:val="24"/>
        </w:rPr>
        <w:tab/>
      </w:r>
      <w:r>
        <w:rPr>
          <w:rFonts w:hint="eastAsia" w:ascii="宋体" w:hAnsi="宋体"/>
          <w:sz w:val="24"/>
        </w:rPr>
        <w:t>已标价工程量清单：指构成合同文件组成部分的由承包人按照规定的格式和要求填写并标明价格的工程量清单。</w:t>
      </w:r>
    </w:p>
    <w:p>
      <w:pPr>
        <w:snapToGrid w:val="0"/>
        <w:spacing w:beforeLines="50"/>
        <w:ind w:left="991" w:hanging="991" w:hangingChars="413"/>
        <w:jc w:val="left"/>
        <w:rPr>
          <w:rFonts w:ascii="宋体" w:hAnsi="宋体"/>
          <w:sz w:val="24"/>
        </w:rPr>
      </w:pPr>
      <w:r>
        <w:rPr>
          <w:rFonts w:hint="eastAsia" w:ascii="宋体" w:hAnsi="宋体"/>
          <w:sz w:val="24"/>
        </w:rPr>
        <w:t>1.1.1.9</w:t>
      </w:r>
      <w:r>
        <w:rPr>
          <w:rFonts w:hint="eastAsia" w:ascii="宋体" w:hAnsi="宋体"/>
          <w:sz w:val="24"/>
        </w:rPr>
        <w:tab/>
      </w:r>
      <w:r>
        <w:rPr>
          <w:rFonts w:hint="eastAsia" w:ascii="宋体" w:hAnsi="宋体"/>
          <w:sz w:val="24"/>
        </w:rPr>
        <w:t>其他合同文件：指经合同双方当事人确认构成合同文件的其他文件。</w:t>
      </w:r>
    </w:p>
    <w:p>
      <w:pPr>
        <w:snapToGrid w:val="0"/>
        <w:spacing w:beforeLines="50"/>
        <w:ind w:left="991" w:hanging="991" w:hangingChars="413"/>
        <w:jc w:val="left"/>
        <w:rPr>
          <w:rFonts w:ascii="宋体" w:hAnsi="宋体"/>
          <w:sz w:val="24"/>
        </w:rPr>
      </w:pPr>
      <w:r>
        <w:rPr>
          <w:rFonts w:hint="eastAsia" w:ascii="宋体" w:hAnsi="宋体"/>
          <w:sz w:val="24"/>
        </w:rPr>
        <w:t>1.1.2</w:t>
      </w:r>
      <w:r>
        <w:rPr>
          <w:rFonts w:hint="eastAsia" w:ascii="宋体" w:hAnsi="宋体"/>
          <w:sz w:val="24"/>
        </w:rPr>
        <w:tab/>
      </w:r>
      <w:r>
        <w:rPr>
          <w:rFonts w:hint="eastAsia" w:ascii="宋体" w:hAnsi="宋体"/>
          <w:sz w:val="24"/>
        </w:rPr>
        <w:t>合同当事人和人员</w:t>
      </w:r>
    </w:p>
    <w:p>
      <w:pPr>
        <w:snapToGrid w:val="0"/>
        <w:spacing w:beforeLines="50"/>
        <w:ind w:left="991" w:hanging="991" w:hangingChars="413"/>
        <w:jc w:val="left"/>
        <w:rPr>
          <w:rFonts w:ascii="宋体" w:hAnsi="宋体"/>
          <w:sz w:val="24"/>
        </w:rPr>
      </w:pPr>
      <w:r>
        <w:rPr>
          <w:rFonts w:hint="eastAsia" w:ascii="宋体" w:hAnsi="宋体"/>
          <w:sz w:val="24"/>
        </w:rPr>
        <w:t>1.1.2.1</w:t>
      </w:r>
      <w:r>
        <w:rPr>
          <w:rFonts w:hint="eastAsia" w:ascii="宋体" w:hAnsi="宋体"/>
          <w:sz w:val="24"/>
        </w:rPr>
        <w:tab/>
      </w:r>
      <w:r>
        <w:rPr>
          <w:rFonts w:hint="eastAsia" w:ascii="宋体" w:hAnsi="宋体"/>
          <w:sz w:val="24"/>
        </w:rPr>
        <w:t>合同当事人：指发包人和（或）承包人。</w:t>
      </w:r>
    </w:p>
    <w:p>
      <w:pPr>
        <w:snapToGrid w:val="0"/>
        <w:spacing w:beforeLines="50"/>
        <w:ind w:left="991" w:hanging="991" w:hangingChars="413"/>
        <w:jc w:val="left"/>
        <w:rPr>
          <w:rFonts w:ascii="宋体" w:hAnsi="宋体"/>
          <w:sz w:val="24"/>
        </w:rPr>
      </w:pPr>
      <w:r>
        <w:rPr>
          <w:rFonts w:hint="eastAsia" w:ascii="宋体" w:hAnsi="宋体"/>
          <w:sz w:val="24"/>
        </w:rPr>
        <w:t>1.1.2.2</w:t>
      </w:r>
      <w:r>
        <w:rPr>
          <w:rFonts w:hint="eastAsia" w:ascii="宋体" w:hAnsi="宋体"/>
          <w:sz w:val="24"/>
        </w:rPr>
        <w:tab/>
      </w:r>
      <w:r>
        <w:rPr>
          <w:rFonts w:hint="eastAsia" w:ascii="宋体" w:hAnsi="宋体"/>
          <w:sz w:val="24"/>
        </w:rPr>
        <w:t xml:space="preserve">发包人：指专用合同条款中指明并与承包人在合同协议书中签字的当事人。 </w:t>
      </w:r>
    </w:p>
    <w:p>
      <w:pPr>
        <w:snapToGrid w:val="0"/>
        <w:spacing w:beforeLines="50"/>
        <w:ind w:left="991" w:hanging="991" w:hangingChars="413"/>
        <w:jc w:val="left"/>
        <w:rPr>
          <w:rFonts w:ascii="宋体" w:hAnsi="宋体"/>
          <w:sz w:val="24"/>
        </w:rPr>
      </w:pPr>
      <w:r>
        <w:rPr>
          <w:rFonts w:hint="eastAsia" w:ascii="宋体" w:hAnsi="宋体"/>
          <w:sz w:val="24"/>
        </w:rPr>
        <w:t>1.1.2.3</w:t>
      </w:r>
      <w:r>
        <w:rPr>
          <w:rFonts w:hint="eastAsia" w:ascii="宋体" w:hAnsi="宋体"/>
          <w:sz w:val="24"/>
        </w:rPr>
        <w:tab/>
      </w:r>
      <w:r>
        <w:rPr>
          <w:rFonts w:hint="eastAsia" w:ascii="宋体" w:hAnsi="宋体"/>
          <w:sz w:val="24"/>
        </w:rPr>
        <w:t>承包人：指与发包人签订合同协议书的当事人。</w:t>
      </w:r>
    </w:p>
    <w:p>
      <w:pPr>
        <w:snapToGrid w:val="0"/>
        <w:spacing w:beforeLines="50"/>
        <w:ind w:left="991" w:hanging="991" w:hangingChars="413"/>
        <w:jc w:val="left"/>
        <w:rPr>
          <w:rFonts w:ascii="宋体" w:hAnsi="宋体"/>
          <w:sz w:val="24"/>
        </w:rPr>
      </w:pPr>
      <w:r>
        <w:rPr>
          <w:rFonts w:hint="eastAsia" w:ascii="宋体" w:hAnsi="宋体"/>
          <w:sz w:val="24"/>
        </w:rPr>
        <w:t>1.1.2.4</w:t>
      </w:r>
      <w:r>
        <w:rPr>
          <w:rFonts w:hint="eastAsia" w:ascii="宋体" w:hAnsi="宋体"/>
          <w:sz w:val="24"/>
        </w:rPr>
        <w:tab/>
      </w:r>
      <w:r>
        <w:rPr>
          <w:rFonts w:hint="eastAsia" w:ascii="宋体" w:hAnsi="宋体"/>
          <w:sz w:val="24"/>
        </w:rPr>
        <w:t>承包人项目经理：指承包人派驻施工场地的全权负责人。</w:t>
      </w:r>
    </w:p>
    <w:p>
      <w:pPr>
        <w:snapToGrid w:val="0"/>
        <w:spacing w:beforeLines="50"/>
        <w:ind w:left="991" w:hanging="991" w:hangingChars="413"/>
        <w:jc w:val="left"/>
        <w:rPr>
          <w:rFonts w:ascii="宋体" w:hAnsi="宋体"/>
          <w:sz w:val="24"/>
        </w:rPr>
      </w:pPr>
      <w:r>
        <w:rPr>
          <w:rFonts w:hint="eastAsia" w:ascii="宋体" w:hAnsi="宋体"/>
          <w:sz w:val="24"/>
        </w:rPr>
        <w:t>1.1.2.5</w:t>
      </w:r>
      <w:r>
        <w:rPr>
          <w:rFonts w:hint="eastAsia" w:ascii="宋体" w:hAnsi="宋体"/>
          <w:sz w:val="24"/>
        </w:rPr>
        <w:tab/>
      </w:r>
      <w:r>
        <w:rPr>
          <w:rFonts w:hint="eastAsia" w:ascii="宋体" w:hAnsi="宋体"/>
          <w:sz w:val="24"/>
        </w:rPr>
        <w:t>监理人：指在专用合同条款中指明的，受发包人委托对合同履行实施管理的法人或其他组织。属于国家强制监理的，监理人应当具有相应的监理资质。</w:t>
      </w:r>
    </w:p>
    <w:p>
      <w:pPr>
        <w:snapToGrid w:val="0"/>
        <w:spacing w:beforeLines="50"/>
        <w:ind w:left="991" w:hanging="991" w:hangingChars="413"/>
        <w:jc w:val="left"/>
        <w:rPr>
          <w:rFonts w:ascii="宋体" w:hAnsi="宋体"/>
          <w:sz w:val="24"/>
        </w:rPr>
      </w:pPr>
      <w:r>
        <w:rPr>
          <w:rFonts w:hint="eastAsia" w:ascii="宋体" w:hAnsi="宋体"/>
          <w:sz w:val="24"/>
        </w:rPr>
        <w:t>1.1.2.6</w:t>
      </w:r>
      <w:r>
        <w:rPr>
          <w:rFonts w:hint="eastAsia" w:ascii="宋体" w:hAnsi="宋体"/>
          <w:sz w:val="24"/>
        </w:rPr>
        <w:tab/>
      </w:r>
      <w:r>
        <w:rPr>
          <w:rFonts w:hint="eastAsia" w:ascii="宋体" w:hAnsi="宋体"/>
          <w:sz w:val="24"/>
        </w:rPr>
        <w:t>总监理工程师（总监）：指由监理人委派常驻施工场地对合同履行实施管理的全权负责人。</w:t>
      </w:r>
    </w:p>
    <w:p>
      <w:pPr>
        <w:snapToGrid w:val="0"/>
        <w:spacing w:beforeLines="50"/>
        <w:ind w:left="991" w:hanging="991" w:hangingChars="413"/>
        <w:jc w:val="left"/>
        <w:rPr>
          <w:rFonts w:ascii="宋体" w:hAnsi="宋体"/>
          <w:sz w:val="24"/>
        </w:rPr>
      </w:pPr>
      <w:r>
        <w:rPr>
          <w:rFonts w:hint="eastAsia" w:ascii="宋体" w:hAnsi="宋体"/>
          <w:sz w:val="24"/>
        </w:rPr>
        <w:t>1.1.3</w:t>
      </w:r>
      <w:r>
        <w:rPr>
          <w:rFonts w:hint="eastAsia" w:ascii="宋体" w:hAnsi="宋体"/>
          <w:sz w:val="24"/>
        </w:rPr>
        <w:tab/>
      </w:r>
      <w:r>
        <w:rPr>
          <w:rFonts w:hint="eastAsia" w:ascii="宋体" w:hAnsi="宋体"/>
          <w:sz w:val="24"/>
        </w:rPr>
        <w:t>工程和设备</w:t>
      </w:r>
    </w:p>
    <w:p>
      <w:pPr>
        <w:snapToGrid w:val="0"/>
        <w:spacing w:beforeLines="50"/>
        <w:ind w:left="991" w:hanging="991" w:hangingChars="413"/>
        <w:jc w:val="left"/>
        <w:rPr>
          <w:rFonts w:ascii="宋体" w:hAnsi="宋体"/>
          <w:sz w:val="24"/>
        </w:rPr>
      </w:pPr>
      <w:r>
        <w:rPr>
          <w:rFonts w:hint="eastAsia" w:ascii="宋体" w:hAnsi="宋体"/>
          <w:sz w:val="24"/>
        </w:rPr>
        <w:t>1.1.3.1</w:t>
      </w:r>
      <w:r>
        <w:rPr>
          <w:rFonts w:hint="eastAsia" w:ascii="宋体" w:hAnsi="宋体"/>
          <w:sz w:val="24"/>
        </w:rPr>
        <w:tab/>
      </w:r>
      <w:r>
        <w:rPr>
          <w:rFonts w:hint="eastAsia" w:ascii="宋体" w:hAnsi="宋体"/>
          <w:sz w:val="24"/>
        </w:rPr>
        <w:t>工程：指永久工程和（或）临时工程。</w:t>
      </w:r>
    </w:p>
    <w:p>
      <w:pPr>
        <w:snapToGrid w:val="0"/>
        <w:spacing w:beforeLines="50"/>
        <w:ind w:left="991" w:hanging="991" w:hangingChars="413"/>
        <w:jc w:val="left"/>
        <w:rPr>
          <w:rFonts w:ascii="宋体" w:hAnsi="宋体"/>
          <w:sz w:val="24"/>
        </w:rPr>
      </w:pPr>
      <w:r>
        <w:rPr>
          <w:rFonts w:hint="eastAsia" w:ascii="宋体" w:hAnsi="宋体"/>
          <w:sz w:val="24"/>
        </w:rPr>
        <w:t>1.1.3.2</w:t>
      </w:r>
      <w:r>
        <w:rPr>
          <w:rFonts w:hint="eastAsia" w:ascii="宋体" w:hAnsi="宋体"/>
          <w:sz w:val="24"/>
        </w:rPr>
        <w:tab/>
      </w:r>
      <w:r>
        <w:rPr>
          <w:rFonts w:hint="eastAsia" w:ascii="宋体" w:hAnsi="宋体"/>
          <w:sz w:val="24"/>
        </w:rPr>
        <w:t>工程设备：指构成或计划构成永久工程一部分的机电设备、仪器装置、运载工具及其他类似的设备和装置。</w:t>
      </w:r>
    </w:p>
    <w:p>
      <w:pPr>
        <w:snapToGrid w:val="0"/>
        <w:spacing w:beforeLines="50"/>
        <w:ind w:left="991" w:hanging="991" w:hangingChars="413"/>
        <w:jc w:val="left"/>
        <w:rPr>
          <w:rFonts w:ascii="宋体" w:hAnsi="宋体"/>
          <w:sz w:val="24"/>
        </w:rPr>
      </w:pPr>
      <w:r>
        <w:rPr>
          <w:rFonts w:hint="eastAsia" w:ascii="宋体" w:hAnsi="宋体"/>
          <w:sz w:val="24"/>
        </w:rPr>
        <w:t>1.1.3.3</w:t>
      </w:r>
      <w:r>
        <w:rPr>
          <w:rFonts w:hint="eastAsia" w:ascii="宋体" w:hAnsi="宋体"/>
          <w:sz w:val="24"/>
        </w:rPr>
        <w:tab/>
      </w:r>
      <w:r>
        <w:rPr>
          <w:rFonts w:hint="eastAsia" w:ascii="宋体" w:hAnsi="宋体"/>
          <w:sz w:val="24"/>
        </w:rPr>
        <w:t>施工场地（或称工地、现场）：指用于合同工程施工的场所，以及在合同中指定作为施工场地组成部分的其他场所，包括永久占地和临时占地。</w:t>
      </w:r>
    </w:p>
    <w:p>
      <w:pPr>
        <w:snapToGrid w:val="0"/>
        <w:spacing w:beforeLines="50"/>
        <w:ind w:left="991" w:hanging="991" w:hangingChars="413"/>
        <w:jc w:val="left"/>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日期</w:t>
      </w:r>
    </w:p>
    <w:p>
      <w:pPr>
        <w:snapToGrid w:val="0"/>
        <w:spacing w:beforeLines="50"/>
        <w:ind w:left="991" w:hanging="991" w:hangingChars="413"/>
        <w:jc w:val="left"/>
        <w:rPr>
          <w:rFonts w:ascii="宋体" w:hAnsi="宋体"/>
          <w:sz w:val="24"/>
        </w:rPr>
      </w:pPr>
      <w:r>
        <w:rPr>
          <w:rFonts w:hint="eastAsia" w:ascii="宋体" w:hAnsi="宋体"/>
          <w:sz w:val="24"/>
        </w:rPr>
        <w:t>1.1.4.1</w:t>
      </w:r>
      <w:r>
        <w:rPr>
          <w:rFonts w:hint="eastAsia" w:ascii="宋体" w:hAnsi="宋体"/>
          <w:sz w:val="24"/>
        </w:rPr>
        <w:tab/>
      </w:r>
      <w:r>
        <w:rPr>
          <w:rFonts w:hint="eastAsia" w:ascii="宋体" w:hAnsi="宋体"/>
          <w:sz w:val="24"/>
        </w:rPr>
        <w:t>开工通知：指监理人按第6.2款通知承包人开工的函件。</w:t>
      </w:r>
    </w:p>
    <w:p>
      <w:pPr>
        <w:snapToGrid w:val="0"/>
        <w:spacing w:beforeLines="50"/>
        <w:ind w:left="991" w:hanging="991" w:hangingChars="413"/>
        <w:jc w:val="left"/>
        <w:rPr>
          <w:rFonts w:ascii="宋体" w:hAnsi="宋体"/>
          <w:sz w:val="24"/>
        </w:rPr>
      </w:pPr>
      <w:r>
        <w:rPr>
          <w:rFonts w:hint="eastAsia" w:ascii="宋体" w:hAnsi="宋体"/>
          <w:sz w:val="24"/>
        </w:rPr>
        <w:t>1.1.4.2</w:t>
      </w:r>
      <w:r>
        <w:rPr>
          <w:rFonts w:hint="eastAsia" w:ascii="宋体" w:hAnsi="宋体"/>
          <w:sz w:val="24"/>
        </w:rPr>
        <w:tab/>
      </w:r>
      <w:r>
        <w:rPr>
          <w:rFonts w:hint="eastAsia" w:ascii="宋体" w:hAnsi="宋体"/>
          <w:sz w:val="24"/>
        </w:rPr>
        <w:t>开工日期：指监理人按第6.2款发出的开工通知中写明的开工日期。</w:t>
      </w:r>
    </w:p>
    <w:p>
      <w:pPr>
        <w:snapToGrid w:val="0"/>
        <w:spacing w:beforeLines="50"/>
        <w:ind w:left="991" w:hanging="991" w:hangingChars="413"/>
        <w:jc w:val="left"/>
        <w:rPr>
          <w:rFonts w:ascii="宋体" w:hAnsi="宋体"/>
          <w:sz w:val="24"/>
        </w:rPr>
      </w:pPr>
      <w:r>
        <w:rPr>
          <w:rFonts w:hint="eastAsia" w:ascii="宋体" w:hAnsi="宋体"/>
          <w:sz w:val="24"/>
        </w:rPr>
        <w:t>1.1.4.3</w:t>
      </w:r>
      <w:r>
        <w:rPr>
          <w:rFonts w:hint="eastAsia" w:ascii="宋体" w:hAnsi="宋体"/>
          <w:sz w:val="24"/>
        </w:rPr>
        <w:tab/>
      </w:r>
      <w:r>
        <w:rPr>
          <w:rFonts w:hint="eastAsia" w:ascii="宋体" w:hAnsi="宋体"/>
          <w:sz w:val="24"/>
        </w:rPr>
        <w:t>工期：指承包人在报价函中承诺的完成合同工程所需的期限，包括按第6.3款、第6.4款约定所作的变更。</w:t>
      </w:r>
    </w:p>
    <w:p>
      <w:pPr>
        <w:snapToGrid w:val="0"/>
        <w:spacing w:beforeLines="50"/>
        <w:ind w:left="991" w:hanging="991" w:hangingChars="413"/>
        <w:jc w:val="left"/>
        <w:rPr>
          <w:rFonts w:ascii="宋体" w:hAnsi="宋体"/>
          <w:sz w:val="24"/>
        </w:rPr>
      </w:pPr>
      <w:r>
        <w:rPr>
          <w:rFonts w:hint="eastAsia" w:ascii="宋体" w:hAnsi="宋体"/>
          <w:sz w:val="24"/>
        </w:rPr>
        <w:t>1.1.4.4</w:t>
      </w:r>
      <w:r>
        <w:rPr>
          <w:rFonts w:hint="eastAsia" w:ascii="宋体" w:hAnsi="宋体"/>
          <w:sz w:val="24"/>
        </w:rPr>
        <w:tab/>
      </w:r>
      <w:r>
        <w:rPr>
          <w:rFonts w:hint="eastAsia" w:ascii="宋体" w:hAnsi="宋体"/>
          <w:sz w:val="24"/>
        </w:rPr>
        <w:t>竣工日期：指第1.1.4.3目约定工期届满时的日期。实际竣工日期以工程接收证书中写明的日期为准。</w:t>
      </w:r>
    </w:p>
    <w:p>
      <w:pPr>
        <w:snapToGrid w:val="0"/>
        <w:spacing w:beforeLines="50"/>
        <w:ind w:left="991" w:hanging="991" w:hangingChars="413"/>
        <w:jc w:val="left"/>
        <w:rPr>
          <w:rFonts w:ascii="宋体" w:hAnsi="宋体"/>
          <w:sz w:val="24"/>
        </w:rPr>
      </w:pPr>
      <w:r>
        <w:rPr>
          <w:rFonts w:hint="eastAsia" w:ascii="宋体" w:hAnsi="宋体"/>
          <w:sz w:val="24"/>
        </w:rPr>
        <w:t>1.1.4.5</w:t>
      </w:r>
      <w:r>
        <w:rPr>
          <w:rFonts w:hint="eastAsia" w:ascii="宋体" w:hAnsi="宋体"/>
          <w:sz w:val="24"/>
        </w:rPr>
        <w:tab/>
      </w:r>
      <w:r>
        <w:rPr>
          <w:rFonts w:hint="eastAsia" w:ascii="宋体" w:hAnsi="宋体"/>
          <w:sz w:val="24"/>
        </w:rPr>
        <w:t>缺陷责任期：指履行第12.1款约定的缺陷责任的期限，具体期限由专用合同条款约定。</w:t>
      </w:r>
    </w:p>
    <w:p>
      <w:pPr>
        <w:snapToGrid w:val="0"/>
        <w:spacing w:beforeLines="50"/>
        <w:ind w:left="991" w:hanging="991" w:hangingChars="413"/>
        <w:jc w:val="left"/>
        <w:rPr>
          <w:rFonts w:ascii="宋体" w:hAnsi="宋体"/>
          <w:sz w:val="24"/>
        </w:rPr>
      </w:pPr>
      <w:r>
        <w:rPr>
          <w:rFonts w:hint="eastAsia" w:ascii="宋体" w:hAnsi="宋体"/>
          <w:sz w:val="24"/>
        </w:rPr>
        <w:t>1.1.4.6</w:t>
      </w:r>
      <w:r>
        <w:rPr>
          <w:rFonts w:hint="eastAsia" w:ascii="宋体" w:hAnsi="宋体"/>
          <w:sz w:val="24"/>
        </w:rPr>
        <w:tab/>
      </w:r>
      <w:r>
        <w:rPr>
          <w:rFonts w:hint="eastAsia" w:ascii="宋体" w:hAnsi="宋体"/>
          <w:sz w:val="24"/>
        </w:rPr>
        <w:t>天：除特别指明外，指日历天。合同中按天计算时间的，开始当天不计入，从次日开始计算。期限最后一天的截止时间为当天24:00。</w:t>
      </w:r>
    </w:p>
    <w:p>
      <w:pPr>
        <w:snapToGrid w:val="0"/>
        <w:spacing w:beforeLines="50"/>
        <w:ind w:left="991" w:hanging="991" w:hangingChars="413"/>
        <w:jc w:val="left"/>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合同价格和费用</w:t>
      </w:r>
    </w:p>
    <w:p>
      <w:pPr>
        <w:snapToGrid w:val="0"/>
        <w:spacing w:beforeLines="50"/>
        <w:ind w:left="991" w:hanging="991" w:hangingChars="413"/>
        <w:jc w:val="left"/>
        <w:rPr>
          <w:rFonts w:ascii="宋体" w:hAnsi="宋体"/>
          <w:sz w:val="24"/>
        </w:rPr>
      </w:pPr>
      <w:r>
        <w:rPr>
          <w:rFonts w:hint="eastAsia" w:ascii="宋体" w:hAnsi="宋体"/>
          <w:sz w:val="24"/>
        </w:rPr>
        <w:t>1.1.5.1</w:t>
      </w:r>
      <w:r>
        <w:rPr>
          <w:rFonts w:hint="eastAsia" w:ascii="宋体" w:hAnsi="宋体"/>
          <w:sz w:val="24"/>
        </w:rPr>
        <w:tab/>
      </w:r>
      <w:r>
        <w:rPr>
          <w:rFonts w:hint="eastAsia" w:ascii="宋体" w:hAnsi="宋体"/>
          <w:sz w:val="24"/>
        </w:rPr>
        <w:t>签约合同价：指签定合同时合同协议书中写明的，包括了暂列金额的合同总金额。</w:t>
      </w:r>
    </w:p>
    <w:p>
      <w:pPr>
        <w:snapToGrid w:val="0"/>
        <w:spacing w:beforeLines="50"/>
        <w:ind w:left="991" w:hanging="991" w:hangingChars="413"/>
        <w:jc w:val="left"/>
        <w:rPr>
          <w:rFonts w:ascii="宋体" w:hAnsi="宋体"/>
          <w:sz w:val="24"/>
        </w:rPr>
      </w:pPr>
      <w:r>
        <w:rPr>
          <w:rFonts w:hint="eastAsia" w:ascii="宋体" w:hAnsi="宋体"/>
          <w:sz w:val="24"/>
        </w:rPr>
        <w:t>1.1.5.2</w:t>
      </w:r>
      <w:r>
        <w:rPr>
          <w:rFonts w:hint="eastAsia" w:ascii="宋体" w:hAnsi="宋体"/>
          <w:sz w:val="24"/>
        </w:rPr>
        <w:tab/>
      </w:r>
      <w:r>
        <w:rPr>
          <w:rFonts w:hint="eastAsia" w:ascii="宋体" w:hAnsi="宋体"/>
          <w:sz w:val="24"/>
        </w:rPr>
        <w:t>合同价格：指承包人按合同约定完成了包括缺陷责任期内的全部承包工作后，发包人应付给承包人的金额，包括在履行合同过程中按合同约定进行的变更和调整。</w:t>
      </w:r>
    </w:p>
    <w:p>
      <w:pPr>
        <w:snapToGrid w:val="0"/>
        <w:spacing w:beforeLines="50"/>
        <w:ind w:left="991" w:hanging="991" w:hangingChars="413"/>
        <w:jc w:val="left"/>
        <w:rPr>
          <w:rFonts w:ascii="宋体" w:hAnsi="宋体"/>
          <w:sz w:val="24"/>
        </w:rPr>
      </w:pPr>
      <w:r>
        <w:rPr>
          <w:rFonts w:hint="eastAsia" w:ascii="宋体" w:hAnsi="宋体"/>
          <w:sz w:val="24"/>
        </w:rPr>
        <w:t>1.1.5.3</w:t>
      </w:r>
      <w:r>
        <w:rPr>
          <w:rFonts w:hint="eastAsia" w:ascii="宋体" w:hAnsi="宋体"/>
          <w:sz w:val="24"/>
        </w:rPr>
        <w:tab/>
      </w:r>
      <w:r>
        <w:rPr>
          <w:rFonts w:hint="eastAsia" w:ascii="宋体" w:hAnsi="宋体"/>
          <w:sz w:val="24"/>
        </w:rPr>
        <w:t>费用：指为履行合同所发生的或将要发生的所有合理开支，包括管理费和应分摊的其他费用，但不包括利润。</w:t>
      </w:r>
    </w:p>
    <w:p>
      <w:pPr>
        <w:snapToGrid w:val="0"/>
        <w:spacing w:beforeLines="50"/>
        <w:ind w:left="991" w:hanging="991" w:hangingChars="413"/>
        <w:jc w:val="left"/>
        <w:rPr>
          <w:rFonts w:ascii="宋体" w:hAnsi="宋体"/>
          <w:sz w:val="24"/>
        </w:rPr>
      </w:pPr>
      <w:r>
        <w:rPr>
          <w:rFonts w:hint="eastAsia" w:ascii="宋体" w:hAnsi="宋体"/>
          <w:sz w:val="24"/>
        </w:rPr>
        <w:t>1.1.5.4</w:t>
      </w:r>
      <w:r>
        <w:rPr>
          <w:rFonts w:hint="eastAsia" w:ascii="宋体" w:hAnsi="宋体"/>
          <w:sz w:val="24"/>
        </w:rPr>
        <w:tab/>
      </w:r>
      <w:r>
        <w:rPr>
          <w:rFonts w:hint="eastAsia" w:ascii="宋体" w:hAnsi="宋体"/>
          <w:sz w:val="24"/>
        </w:rPr>
        <w:t>暂列金额：指已标价工程量清单中所列的暂列金额，用于在签订协议书时尚未确定或不可预见变更的施工及其所需材料、工程设备、服务等的金额，包括以计日工方式支付的金额。</w:t>
      </w:r>
    </w:p>
    <w:p>
      <w:pPr>
        <w:snapToGrid w:val="0"/>
        <w:spacing w:beforeLines="50"/>
        <w:ind w:left="991" w:hanging="991" w:hangingChars="413"/>
        <w:jc w:val="left"/>
        <w:rPr>
          <w:rFonts w:ascii="宋体" w:hAnsi="宋体"/>
          <w:sz w:val="24"/>
        </w:rPr>
      </w:pPr>
      <w:r>
        <w:rPr>
          <w:rFonts w:hint="eastAsia" w:ascii="宋体" w:hAnsi="宋体"/>
          <w:sz w:val="24"/>
        </w:rPr>
        <w:t>1.1.5.5</w:t>
      </w:r>
      <w:r>
        <w:rPr>
          <w:rFonts w:hint="eastAsia" w:ascii="宋体" w:hAnsi="宋体"/>
          <w:sz w:val="24"/>
        </w:rPr>
        <w:tab/>
      </w:r>
      <w:r>
        <w:rPr>
          <w:rFonts w:hint="eastAsia" w:ascii="宋体" w:hAnsi="宋体"/>
          <w:sz w:val="24"/>
        </w:rPr>
        <w:t>计日工：指对零星工作采取的一种计价方式，按合同中的计日工子目及其单价计价付款。</w:t>
      </w:r>
    </w:p>
    <w:p>
      <w:pPr>
        <w:snapToGrid w:val="0"/>
        <w:spacing w:beforeLines="50"/>
        <w:ind w:left="991" w:hanging="991" w:hangingChars="413"/>
        <w:jc w:val="left"/>
        <w:rPr>
          <w:rFonts w:ascii="宋体" w:hAnsi="宋体"/>
          <w:sz w:val="24"/>
        </w:rPr>
      </w:pPr>
      <w:r>
        <w:rPr>
          <w:rFonts w:hint="eastAsia" w:ascii="宋体" w:hAnsi="宋体"/>
          <w:sz w:val="24"/>
        </w:rPr>
        <w:t>1.1.5.6</w:t>
      </w:r>
      <w:r>
        <w:rPr>
          <w:rFonts w:hint="eastAsia" w:ascii="宋体" w:hAnsi="宋体"/>
          <w:sz w:val="24"/>
        </w:rPr>
        <w:tab/>
      </w:r>
      <w:r>
        <w:rPr>
          <w:rFonts w:hint="eastAsia" w:ascii="宋体" w:hAnsi="宋体"/>
          <w:sz w:val="24"/>
        </w:rPr>
        <w:t>质量保证金（或称保留金）：指按第10.4款约定用于保证在缺陷责任期内履行缺陷修复义务的金额。</w:t>
      </w:r>
    </w:p>
    <w:p>
      <w:pPr>
        <w:snapToGrid w:val="0"/>
        <w:spacing w:beforeLines="50"/>
        <w:ind w:left="991" w:hanging="991" w:hangingChars="413"/>
        <w:jc w:val="left"/>
        <w:rPr>
          <w:rFonts w:ascii="宋体" w:hAnsi="宋体"/>
          <w:sz w:val="24"/>
        </w:rPr>
      </w:pPr>
      <w:r>
        <w:rPr>
          <w:rFonts w:hint="eastAsia" w:ascii="宋体" w:hAnsi="宋体"/>
          <w:sz w:val="24"/>
        </w:rPr>
        <w:t>1.1.6</w:t>
      </w:r>
      <w:r>
        <w:rPr>
          <w:rFonts w:hint="eastAsia" w:ascii="宋体" w:hAnsi="宋体"/>
          <w:sz w:val="24"/>
        </w:rPr>
        <w:tab/>
      </w:r>
      <w:r>
        <w:rPr>
          <w:rFonts w:hint="eastAsia" w:ascii="宋体" w:hAnsi="宋体"/>
          <w:sz w:val="24"/>
        </w:rPr>
        <w:t>其他</w:t>
      </w:r>
    </w:p>
    <w:p>
      <w:pPr>
        <w:snapToGrid w:val="0"/>
        <w:spacing w:beforeLines="50"/>
        <w:ind w:left="991" w:hanging="991" w:hangingChars="413"/>
        <w:jc w:val="left"/>
        <w:rPr>
          <w:rFonts w:ascii="宋体" w:hAnsi="宋体"/>
          <w:sz w:val="24"/>
        </w:rPr>
      </w:pPr>
      <w:r>
        <w:rPr>
          <w:rFonts w:hint="eastAsia" w:ascii="宋体" w:hAnsi="宋体"/>
          <w:sz w:val="24"/>
        </w:rPr>
        <w:t>1.1.6.1</w:t>
      </w:r>
      <w:r>
        <w:rPr>
          <w:rFonts w:hint="eastAsia" w:ascii="宋体" w:hAnsi="宋体"/>
          <w:sz w:val="24"/>
        </w:rPr>
        <w:tab/>
      </w:r>
      <w:r>
        <w:rPr>
          <w:rFonts w:hint="eastAsia" w:ascii="宋体" w:hAnsi="宋体"/>
          <w:sz w:val="24"/>
        </w:rPr>
        <w:t>书面形式：指合同文件、信函、电报、传真、电子数据交换和电子邮件等可以有形地表现所载内容的形式。</w:t>
      </w:r>
    </w:p>
    <w:p>
      <w:pPr>
        <w:snapToGrid w:val="0"/>
        <w:spacing w:beforeLines="50"/>
        <w:ind w:left="991" w:hanging="991" w:hangingChars="413"/>
        <w:jc w:val="left"/>
        <w:rPr>
          <w:rFonts w:ascii="黑体" w:eastAsia="黑体"/>
          <w:sz w:val="24"/>
        </w:rPr>
      </w:pPr>
      <w:bookmarkStart w:id="125" w:name="_Toc296602501"/>
      <w:bookmarkStart w:id="126" w:name="_Toc247085771"/>
      <w:bookmarkStart w:id="127" w:name="_Toc246996256"/>
      <w:bookmarkStart w:id="128" w:name="_Toc246996999"/>
      <w:r>
        <w:rPr>
          <w:rFonts w:hint="eastAsia" w:ascii="黑体" w:eastAsia="黑体"/>
          <w:sz w:val="24"/>
        </w:rPr>
        <w:t>1.2</w:t>
      </w:r>
      <w:r>
        <w:rPr>
          <w:rFonts w:hint="eastAsia" w:ascii="黑体" w:eastAsia="黑体"/>
          <w:sz w:val="24"/>
        </w:rPr>
        <w:tab/>
      </w:r>
      <w:r>
        <w:rPr>
          <w:rFonts w:hint="eastAsia" w:ascii="黑体" w:eastAsia="黑体"/>
          <w:sz w:val="24"/>
        </w:rPr>
        <w:t>语言文字</w:t>
      </w:r>
      <w:bookmarkEnd w:id="125"/>
      <w:bookmarkEnd w:id="126"/>
      <w:bookmarkEnd w:id="127"/>
      <w:bookmarkEnd w:id="128"/>
    </w:p>
    <w:p>
      <w:pPr>
        <w:snapToGrid w:val="0"/>
        <w:spacing w:beforeLines="50"/>
        <w:ind w:left="991" w:leftChars="472"/>
        <w:rPr>
          <w:rFonts w:ascii="宋体" w:hAnsi="宋体"/>
          <w:sz w:val="24"/>
        </w:rPr>
      </w:pPr>
      <w:bookmarkStart w:id="129" w:name="_Toc247085772"/>
      <w:bookmarkStart w:id="130" w:name="_Toc246996257"/>
      <w:bookmarkStart w:id="131" w:name="_Toc246997000"/>
      <w:r>
        <w:rPr>
          <w:rFonts w:hint="eastAsia" w:ascii="宋体" w:hAnsi="宋体"/>
          <w:sz w:val="24"/>
        </w:rPr>
        <w:t>合同使用的语言文字为中文。专用术语使用外文的，应附有中文注释。</w:t>
      </w:r>
    </w:p>
    <w:p>
      <w:pPr>
        <w:snapToGrid w:val="0"/>
        <w:spacing w:beforeLines="50"/>
        <w:ind w:left="991" w:hanging="991" w:hangingChars="413"/>
        <w:jc w:val="left"/>
        <w:rPr>
          <w:rFonts w:ascii="黑体" w:eastAsia="黑体"/>
          <w:sz w:val="24"/>
        </w:rPr>
      </w:pPr>
      <w:bookmarkStart w:id="132" w:name="_Toc296602502"/>
      <w:r>
        <w:rPr>
          <w:rFonts w:hint="eastAsia" w:ascii="黑体" w:eastAsia="黑体"/>
          <w:sz w:val="24"/>
        </w:rPr>
        <w:t>1.3</w:t>
      </w:r>
      <w:r>
        <w:rPr>
          <w:rFonts w:hint="eastAsia" w:ascii="黑体" w:eastAsia="黑体"/>
          <w:sz w:val="24"/>
        </w:rPr>
        <w:tab/>
      </w:r>
      <w:r>
        <w:rPr>
          <w:rFonts w:hint="eastAsia" w:ascii="黑体" w:eastAsia="黑体"/>
          <w:sz w:val="24"/>
        </w:rPr>
        <w:t>法律</w:t>
      </w:r>
      <w:bookmarkEnd w:id="129"/>
      <w:bookmarkEnd w:id="130"/>
      <w:bookmarkEnd w:id="131"/>
      <w:bookmarkEnd w:id="132"/>
    </w:p>
    <w:p>
      <w:pPr>
        <w:snapToGrid w:val="0"/>
        <w:spacing w:beforeLines="50"/>
        <w:ind w:left="991" w:leftChars="472"/>
        <w:rPr>
          <w:rFonts w:ascii="宋体" w:hAnsi="宋体"/>
          <w:sz w:val="24"/>
        </w:rPr>
      </w:pPr>
      <w:r>
        <w:rPr>
          <w:rFonts w:hint="eastAsia" w:ascii="宋体" w:hAnsi="宋体"/>
          <w:sz w:val="24"/>
        </w:rPr>
        <w:t>适用于合同的法律包括中华人民共和国法律、行政法规、部门规章，以及工程所在地的地方法规、自治条例、单行条例和地方政府规章。</w:t>
      </w:r>
    </w:p>
    <w:p>
      <w:pPr>
        <w:snapToGrid w:val="0"/>
        <w:spacing w:beforeLines="50"/>
        <w:ind w:left="991" w:hanging="991" w:hangingChars="413"/>
        <w:jc w:val="left"/>
        <w:rPr>
          <w:rFonts w:ascii="黑体" w:eastAsia="黑体"/>
          <w:sz w:val="24"/>
        </w:rPr>
      </w:pPr>
      <w:bookmarkStart w:id="133" w:name="_Toc246997001"/>
      <w:bookmarkStart w:id="134" w:name="_Toc246996258"/>
      <w:bookmarkStart w:id="135" w:name="_Toc296602503"/>
      <w:bookmarkStart w:id="136" w:name="_Toc247085773"/>
      <w:r>
        <w:rPr>
          <w:rFonts w:hint="eastAsia" w:ascii="黑体" w:eastAsia="黑体"/>
          <w:sz w:val="24"/>
        </w:rPr>
        <w:t>1.4</w:t>
      </w:r>
      <w:r>
        <w:rPr>
          <w:rFonts w:hint="eastAsia" w:ascii="黑体" w:eastAsia="黑体"/>
          <w:sz w:val="24"/>
        </w:rPr>
        <w:tab/>
      </w:r>
      <w:r>
        <w:rPr>
          <w:rFonts w:hint="eastAsia" w:ascii="黑体" w:eastAsia="黑体"/>
          <w:sz w:val="24"/>
        </w:rPr>
        <w:t>合同文件的优先顺序</w:t>
      </w:r>
      <w:bookmarkEnd w:id="133"/>
      <w:bookmarkEnd w:id="134"/>
      <w:bookmarkEnd w:id="135"/>
      <w:bookmarkEnd w:id="136"/>
    </w:p>
    <w:p>
      <w:pPr>
        <w:snapToGrid w:val="0"/>
        <w:spacing w:beforeLines="50"/>
        <w:ind w:left="991" w:leftChars="472"/>
        <w:rPr>
          <w:rFonts w:ascii="宋体" w:hAnsi="宋体"/>
          <w:sz w:val="24"/>
        </w:rPr>
      </w:pPr>
      <w:r>
        <w:rPr>
          <w:rFonts w:hint="eastAsia" w:ascii="宋体" w:hAnsi="宋体"/>
          <w:sz w:val="24"/>
        </w:rPr>
        <w:t>组成合同的各项文件应互相解释，互为说明。除专用合同条款另有约定外，解释合同文件的优先顺序如下：</w:t>
      </w:r>
    </w:p>
    <w:p>
      <w:pPr>
        <w:snapToGrid w:val="0"/>
        <w:spacing w:beforeLines="50"/>
        <w:ind w:left="991" w:leftChars="472"/>
        <w:rPr>
          <w:rFonts w:ascii="宋体" w:hAnsi="宋体"/>
          <w:sz w:val="24"/>
        </w:rPr>
      </w:pPr>
      <w:r>
        <w:rPr>
          <w:rFonts w:hint="eastAsia" w:ascii="宋体" w:hAnsi="宋体"/>
          <w:sz w:val="24"/>
        </w:rPr>
        <w:t>（1）合同协议书；</w:t>
      </w:r>
    </w:p>
    <w:p>
      <w:pPr>
        <w:snapToGrid w:val="0"/>
        <w:spacing w:beforeLines="50"/>
        <w:ind w:left="991" w:leftChars="472"/>
        <w:rPr>
          <w:rFonts w:ascii="宋体" w:hAnsi="宋体"/>
          <w:sz w:val="24"/>
        </w:rPr>
      </w:pPr>
      <w:r>
        <w:rPr>
          <w:rFonts w:hint="eastAsia" w:ascii="宋体" w:hAnsi="宋体"/>
          <w:sz w:val="24"/>
        </w:rPr>
        <w:t>（2）中标（成交）通知书；</w:t>
      </w:r>
    </w:p>
    <w:p>
      <w:pPr>
        <w:snapToGrid w:val="0"/>
        <w:spacing w:beforeLines="50"/>
        <w:ind w:left="991" w:leftChars="472"/>
        <w:rPr>
          <w:rFonts w:ascii="宋体" w:hAnsi="宋体"/>
          <w:sz w:val="24"/>
        </w:rPr>
      </w:pPr>
      <w:r>
        <w:rPr>
          <w:rFonts w:hint="eastAsia" w:ascii="宋体" w:hAnsi="宋体"/>
          <w:sz w:val="24"/>
        </w:rPr>
        <w:t>（3）报价函及报价函附录；</w:t>
      </w:r>
    </w:p>
    <w:p>
      <w:pPr>
        <w:snapToGrid w:val="0"/>
        <w:spacing w:beforeLines="50"/>
        <w:ind w:left="991" w:leftChars="472"/>
        <w:rPr>
          <w:rFonts w:ascii="宋体" w:hAnsi="宋体"/>
          <w:sz w:val="24"/>
        </w:rPr>
      </w:pPr>
      <w:r>
        <w:rPr>
          <w:rFonts w:hint="eastAsia" w:ascii="宋体" w:hAnsi="宋体"/>
          <w:sz w:val="24"/>
        </w:rPr>
        <w:t>（4）专用合同条款；</w:t>
      </w:r>
    </w:p>
    <w:p>
      <w:pPr>
        <w:snapToGrid w:val="0"/>
        <w:spacing w:beforeLines="50"/>
        <w:ind w:left="991" w:leftChars="472"/>
        <w:rPr>
          <w:rFonts w:ascii="宋体" w:hAnsi="宋体"/>
          <w:sz w:val="24"/>
        </w:rPr>
      </w:pPr>
      <w:r>
        <w:rPr>
          <w:rFonts w:hint="eastAsia" w:ascii="宋体" w:hAnsi="宋体"/>
          <w:sz w:val="24"/>
        </w:rPr>
        <w:t>（5）通用合同条款；</w:t>
      </w:r>
    </w:p>
    <w:p>
      <w:pPr>
        <w:snapToGrid w:val="0"/>
        <w:spacing w:beforeLines="50"/>
        <w:ind w:left="991" w:leftChars="472"/>
        <w:rPr>
          <w:rFonts w:ascii="宋体" w:hAnsi="宋体"/>
          <w:sz w:val="24"/>
        </w:rPr>
      </w:pPr>
      <w:r>
        <w:rPr>
          <w:rFonts w:hint="eastAsia" w:ascii="宋体" w:hAnsi="宋体"/>
          <w:sz w:val="24"/>
        </w:rPr>
        <w:t>（6）技术标准和要求；</w:t>
      </w:r>
    </w:p>
    <w:p>
      <w:pPr>
        <w:snapToGrid w:val="0"/>
        <w:spacing w:beforeLines="50"/>
        <w:ind w:left="991" w:leftChars="472"/>
        <w:rPr>
          <w:rFonts w:ascii="宋体" w:hAnsi="宋体"/>
          <w:sz w:val="24"/>
        </w:rPr>
      </w:pPr>
      <w:r>
        <w:rPr>
          <w:rFonts w:hint="eastAsia" w:ascii="宋体" w:hAnsi="宋体"/>
          <w:sz w:val="24"/>
        </w:rPr>
        <w:t>（7）图纸；</w:t>
      </w:r>
    </w:p>
    <w:p>
      <w:pPr>
        <w:snapToGrid w:val="0"/>
        <w:spacing w:beforeLines="50"/>
        <w:ind w:left="991" w:leftChars="472"/>
        <w:rPr>
          <w:rFonts w:ascii="宋体" w:hAnsi="宋体"/>
          <w:sz w:val="24"/>
        </w:rPr>
      </w:pPr>
      <w:r>
        <w:rPr>
          <w:rFonts w:hint="eastAsia" w:ascii="宋体" w:hAnsi="宋体"/>
          <w:sz w:val="24"/>
        </w:rPr>
        <w:t>（8）已标价工程量清单；</w:t>
      </w:r>
    </w:p>
    <w:p>
      <w:pPr>
        <w:snapToGrid w:val="0"/>
        <w:spacing w:beforeLines="50"/>
        <w:ind w:left="991" w:leftChars="472"/>
        <w:rPr>
          <w:rFonts w:ascii="宋体" w:hAnsi="宋体"/>
          <w:sz w:val="24"/>
        </w:rPr>
      </w:pPr>
      <w:r>
        <w:rPr>
          <w:rFonts w:hint="eastAsia" w:ascii="宋体" w:hAnsi="宋体"/>
          <w:sz w:val="24"/>
        </w:rPr>
        <w:t>（9）其他合同文件。</w:t>
      </w:r>
    </w:p>
    <w:p>
      <w:pPr>
        <w:snapToGrid w:val="0"/>
        <w:spacing w:beforeLines="50"/>
        <w:ind w:left="991" w:hanging="991" w:hangingChars="413"/>
        <w:jc w:val="left"/>
        <w:rPr>
          <w:rFonts w:ascii="黑体" w:eastAsia="黑体"/>
          <w:sz w:val="24"/>
        </w:rPr>
      </w:pPr>
      <w:bookmarkStart w:id="137" w:name="_Toc296602504"/>
      <w:bookmarkStart w:id="138" w:name="_Toc247085774"/>
      <w:bookmarkStart w:id="139" w:name="_Toc246996259"/>
      <w:bookmarkStart w:id="140" w:name="_Toc246997002"/>
      <w:r>
        <w:rPr>
          <w:rFonts w:hint="eastAsia" w:ascii="黑体" w:eastAsia="黑体"/>
          <w:sz w:val="24"/>
        </w:rPr>
        <w:t>1.5</w:t>
      </w:r>
      <w:r>
        <w:rPr>
          <w:rFonts w:hint="eastAsia" w:ascii="黑体" w:eastAsia="黑体"/>
          <w:sz w:val="24"/>
        </w:rPr>
        <w:tab/>
      </w:r>
      <w:r>
        <w:rPr>
          <w:rFonts w:hint="eastAsia" w:ascii="黑体" w:eastAsia="黑体"/>
          <w:sz w:val="24"/>
        </w:rPr>
        <w:t>合同协议书</w:t>
      </w:r>
      <w:bookmarkEnd w:id="137"/>
      <w:bookmarkEnd w:id="138"/>
      <w:bookmarkEnd w:id="139"/>
      <w:bookmarkEnd w:id="140"/>
    </w:p>
    <w:p>
      <w:pPr>
        <w:snapToGrid w:val="0"/>
        <w:spacing w:beforeLines="50"/>
        <w:ind w:left="991" w:leftChars="472"/>
        <w:rPr>
          <w:rFonts w:ascii="宋体" w:hAnsi="宋体"/>
          <w:sz w:val="24"/>
        </w:rPr>
      </w:pPr>
      <w:r>
        <w:rPr>
          <w:rFonts w:hint="eastAsia" w:ascii="宋体" w:hAnsi="宋体"/>
          <w:sz w:val="24"/>
        </w:rPr>
        <w:t>承包人按中标（成交）通知书规定的时间与发包人签订合同协议书。除法律另有规定或合同另有约定外，发包人和承包人的法定代表人或其委托代理人在合同协议书上签字并盖单位章后，合同生效。</w:t>
      </w:r>
    </w:p>
    <w:p>
      <w:pPr>
        <w:snapToGrid w:val="0"/>
        <w:spacing w:beforeLines="50"/>
        <w:ind w:left="991" w:hanging="991" w:hangingChars="413"/>
        <w:jc w:val="left"/>
        <w:rPr>
          <w:rFonts w:ascii="黑体" w:eastAsia="黑体"/>
          <w:sz w:val="24"/>
        </w:rPr>
      </w:pPr>
      <w:bookmarkStart w:id="141" w:name="_Toc296602505"/>
      <w:bookmarkStart w:id="142" w:name="_Toc247085775"/>
      <w:bookmarkStart w:id="143" w:name="_Toc246996260"/>
      <w:bookmarkStart w:id="144" w:name="_Toc246997003"/>
      <w:r>
        <w:rPr>
          <w:rFonts w:hint="eastAsia" w:ascii="黑体" w:eastAsia="黑体"/>
          <w:sz w:val="24"/>
        </w:rPr>
        <w:t>1.6</w:t>
      </w:r>
      <w:r>
        <w:rPr>
          <w:rFonts w:hint="eastAsia" w:ascii="黑体" w:eastAsia="黑体"/>
          <w:sz w:val="24"/>
        </w:rPr>
        <w:tab/>
      </w:r>
      <w:r>
        <w:rPr>
          <w:rFonts w:hint="eastAsia" w:ascii="黑体" w:eastAsia="黑体"/>
          <w:sz w:val="24"/>
        </w:rPr>
        <w:t>图纸和承包人文件</w:t>
      </w:r>
      <w:bookmarkEnd w:id="141"/>
      <w:bookmarkEnd w:id="142"/>
      <w:bookmarkEnd w:id="143"/>
      <w:bookmarkEnd w:id="144"/>
    </w:p>
    <w:p>
      <w:pPr>
        <w:snapToGrid w:val="0"/>
        <w:spacing w:beforeLines="50"/>
        <w:ind w:left="991" w:hanging="991" w:hangingChars="413"/>
        <w:jc w:val="left"/>
        <w:rPr>
          <w:rFonts w:ascii="宋体" w:hAnsi="宋体"/>
          <w:sz w:val="24"/>
        </w:rPr>
      </w:pPr>
      <w:r>
        <w:rPr>
          <w:rFonts w:hint="eastAsia" w:ascii="宋体" w:hAnsi="宋体"/>
          <w:sz w:val="24"/>
        </w:rPr>
        <w:t>1.6.1</w:t>
      </w:r>
      <w:r>
        <w:rPr>
          <w:rFonts w:hint="eastAsia" w:ascii="宋体" w:hAnsi="宋体"/>
          <w:sz w:val="24"/>
        </w:rPr>
        <w:tab/>
      </w:r>
      <w:r>
        <w:rPr>
          <w:rFonts w:hint="eastAsia" w:ascii="宋体" w:hAnsi="宋体"/>
          <w:sz w:val="24"/>
        </w:rPr>
        <w:t>发包人提供的图纸</w:t>
      </w:r>
    </w:p>
    <w:p>
      <w:pPr>
        <w:snapToGrid w:val="0"/>
        <w:spacing w:beforeLines="50"/>
        <w:ind w:left="991" w:leftChars="472"/>
        <w:rPr>
          <w:rFonts w:ascii="宋体" w:hAnsi="宋体"/>
          <w:sz w:val="24"/>
        </w:rPr>
      </w:pPr>
      <w:r>
        <w:rPr>
          <w:rFonts w:hint="eastAsia" w:ascii="宋体" w:hAnsi="宋体"/>
          <w:sz w:val="24"/>
        </w:rPr>
        <w:t>除专用合同条款另有约定外，图纸应在合理的期限内按照合同约定的数量提供给承包人。</w:t>
      </w:r>
    </w:p>
    <w:p>
      <w:pPr>
        <w:snapToGrid w:val="0"/>
        <w:spacing w:beforeLines="50"/>
        <w:ind w:left="991" w:hanging="991" w:hangingChars="413"/>
        <w:jc w:val="left"/>
        <w:rPr>
          <w:rFonts w:ascii="宋体" w:hAnsi="宋体"/>
          <w:sz w:val="24"/>
        </w:rPr>
      </w:pPr>
      <w:r>
        <w:rPr>
          <w:rFonts w:hint="eastAsia" w:ascii="宋体" w:hAnsi="宋体"/>
          <w:sz w:val="24"/>
        </w:rPr>
        <w:t>1.6.2</w:t>
      </w:r>
      <w:r>
        <w:rPr>
          <w:rFonts w:hint="eastAsia" w:ascii="宋体" w:hAnsi="宋体"/>
          <w:sz w:val="24"/>
        </w:rPr>
        <w:tab/>
      </w:r>
      <w:r>
        <w:rPr>
          <w:rFonts w:hint="eastAsia" w:ascii="宋体" w:hAnsi="宋体"/>
          <w:sz w:val="24"/>
        </w:rPr>
        <w:t>承包人提供的文件</w:t>
      </w:r>
    </w:p>
    <w:p>
      <w:pPr>
        <w:snapToGrid w:val="0"/>
        <w:spacing w:beforeLines="50"/>
        <w:ind w:left="991" w:leftChars="472"/>
        <w:rPr>
          <w:rFonts w:ascii="宋体" w:hAnsi="宋体"/>
          <w:sz w:val="24"/>
        </w:rPr>
      </w:pPr>
      <w:r>
        <w:rPr>
          <w:rFonts w:hint="eastAsia" w:ascii="宋体" w:hAnsi="宋体"/>
          <w:sz w:val="24"/>
        </w:rPr>
        <w:t>按专用合同条款约定由承包人提供的文件，包括部分工程的大样图、加工图等，承包人应按约定的数量和期限报送监理人。监理人应在专用合同条款约定的期限内批复。</w:t>
      </w:r>
    </w:p>
    <w:p>
      <w:pPr>
        <w:snapToGrid w:val="0"/>
        <w:spacing w:beforeLines="50"/>
        <w:ind w:left="991" w:hanging="991" w:hangingChars="413"/>
        <w:jc w:val="left"/>
        <w:rPr>
          <w:rFonts w:ascii="黑体" w:eastAsia="黑体"/>
          <w:sz w:val="24"/>
        </w:rPr>
      </w:pPr>
      <w:bookmarkStart w:id="145" w:name="_Toc247085776"/>
      <w:bookmarkStart w:id="146" w:name="_Toc246996261"/>
      <w:bookmarkStart w:id="147" w:name="_Toc296602506"/>
      <w:bookmarkStart w:id="148" w:name="_Toc246997004"/>
      <w:r>
        <w:rPr>
          <w:rFonts w:hint="eastAsia" w:ascii="黑体" w:eastAsia="黑体"/>
          <w:sz w:val="24"/>
        </w:rPr>
        <w:t>1.7</w:t>
      </w:r>
      <w:r>
        <w:rPr>
          <w:rFonts w:hint="eastAsia" w:ascii="黑体" w:eastAsia="黑体"/>
          <w:sz w:val="24"/>
        </w:rPr>
        <w:tab/>
      </w:r>
      <w:r>
        <w:rPr>
          <w:rFonts w:hint="eastAsia" w:ascii="黑体" w:eastAsia="黑体"/>
          <w:sz w:val="24"/>
        </w:rPr>
        <w:t>联络</w:t>
      </w:r>
      <w:bookmarkEnd w:id="145"/>
      <w:bookmarkEnd w:id="146"/>
      <w:bookmarkEnd w:id="147"/>
      <w:bookmarkEnd w:id="148"/>
    </w:p>
    <w:p>
      <w:pPr>
        <w:snapToGrid w:val="0"/>
        <w:spacing w:beforeLines="50"/>
        <w:ind w:left="991" w:leftChars="472"/>
        <w:rPr>
          <w:rFonts w:ascii="宋体" w:hAnsi="宋体"/>
          <w:sz w:val="24"/>
        </w:rPr>
      </w:pPr>
      <w:r>
        <w:rPr>
          <w:rFonts w:hint="eastAsia" w:ascii="宋体" w:hAnsi="宋体"/>
          <w:sz w:val="24"/>
        </w:rPr>
        <w:t>与合同有关的通知、批准、证明、证书、指示、要求、请求、同意、意见、确定和决定等重要文件，均应采用书面形式。</w:t>
      </w:r>
    </w:p>
    <w:p>
      <w:pPr>
        <w:snapToGrid w:val="0"/>
        <w:spacing w:beforeLines="50"/>
        <w:ind w:left="991" w:leftChars="472"/>
        <w:rPr>
          <w:rFonts w:ascii="宋体" w:hAnsi="宋体"/>
          <w:sz w:val="24"/>
        </w:rPr>
      </w:pPr>
      <w:r>
        <w:rPr>
          <w:rFonts w:hint="eastAsia" w:ascii="宋体" w:hAnsi="宋体"/>
          <w:sz w:val="24"/>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snapToGrid w:val="0"/>
        <w:spacing w:beforeLines="50"/>
        <w:ind w:left="991" w:hanging="991" w:hangingChars="413"/>
        <w:jc w:val="left"/>
        <w:outlineLvl w:val="2"/>
        <w:rPr>
          <w:rFonts w:ascii="黑体" w:eastAsia="黑体"/>
          <w:sz w:val="24"/>
        </w:rPr>
      </w:pPr>
      <w:bookmarkStart w:id="149" w:name="_Toc246997006"/>
      <w:bookmarkStart w:id="150" w:name="_Toc247085778"/>
      <w:bookmarkStart w:id="151" w:name="_Toc246996263"/>
      <w:bookmarkStart w:id="152" w:name="_Toc184635099"/>
      <w:bookmarkStart w:id="153" w:name="_Toc296602507"/>
      <w:bookmarkStart w:id="154" w:name="_Toc10856"/>
      <w:bookmarkStart w:id="155" w:name="_Toc32183"/>
      <w:r>
        <w:rPr>
          <w:rFonts w:hint="eastAsia" w:ascii="黑体" w:eastAsia="黑体"/>
          <w:sz w:val="24"/>
        </w:rPr>
        <w:t>2.</w:t>
      </w:r>
      <w:r>
        <w:rPr>
          <w:rFonts w:hint="eastAsia" w:ascii="黑体" w:eastAsia="黑体"/>
          <w:sz w:val="24"/>
        </w:rPr>
        <w:tab/>
      </w:r>
      <w:r>
        <w:rPr>
          <w:rFonts w:hint="eastAsia" w:ascii="黑体" w:eastAsia="黑体"/>
          <w:sz w:val="24"/>
        </w:rPr>
        <w:t>发包人义务</w:t>
      </w:r>
      <w:bookmarkEnd w:id="149"/>
      <w:bookmarkEnd w:id="150"/>
      <w:bookmarkEnd w:id="151"/>
      <w:bookmarkEnd w:id="152"/>
      <w:bookmarkEnd w:id="153"/>
      <w:bookmarkEnd w:id="154"/>
      <w:bookmarkEnd w:id="155"/>
    </w:p>
    <w:p>
      <w:pPr>
        <w:snapToGrid w:val="0"/>
        <w:spacing w:beforeLines="50"/>
        <w:ind w:left="991" w:hanging="991" w:hangingChars="413"/>
        <w:jc w:val="left"/>
        <w:rPr>
          <w:rFonts w:ascii="黑体" w:eastAsia="黑体"/>
          <w:sz w:val="24"/>
        </w:rPr>
      </w:pPr>
      <w:bookmarkStart w:id="156" w:name="_Toc246996264"/>
      <w:bookmarkStart w:id="157" w:name="_Toc246997007"/>
      <w:bookmarkStart w:id="158" w:name="_Toc247085779"/>
      <w:bookmarkStart w:id="159" w:name="_Toc296602508"/>
      <w:r>
        <w:rPr>
          <w:rFonts w:hint="eastAsia" w:ascii="黑体" w:eastAsia="黑体"/>
          <w:sz w:val="24"/>
        </w:rPr>
        <w:t>2.1</w:t>
      </w:r>
      <w:r>
        <w:rPr>
          <w:rFonts w:hint="eastAsia" w:ascii="黑体" w:eastAsia="黑体"/>
          <w:sz w:val="24"/>
        </w:rPr>
        <w:tab/>
      </w:r>
      <w:r>
        <w:rPr>
          <w:rFonts w:hint="eastAsia" w:ascii="黑体" w:eastAsia="黑体"/>
          <w:sz w:val="24"/>
        </w:rPr>
        <w:t>遵守法律</w:t>
      </w:r>
      <w:bookmarkEnd w:id="156"/>
      <w:bookmarkEnd w:id="157"/>
      <w:bookmarkEnd w:id="158"/>
      <w:bookmarkEnd w:id="159"/>
    </w:p>
    <w:p>
      <w:pPr>
        <w:snapToGrid w:val="0"/>
        <w:spacing w:beforeLines="50"/>
        <w:ind w:left="991" w:leftChars="472"/>
        <w:rPr>
          <w:rFonts w:ascii="宋体" w:hAnsi="宋体"/>
          <w:sz w:val="24"/>
        </w:rPr>
      </w:pPr>
      <w:r>
        <w:rPr>
          <w:rFonts w:hint="eastAsia" w:ascii="宋体" w:hAnsi="宋体"/>
          <w:sz w:val="24"/>
        </w:rPr>
        <w:t>发包人在履行合同过程中应遵守法律，并保证承包人免于承担因发包人违反法律而引起的任何责任。</w:t>
      </w:r>
    </w:p>
    <w:p>
      <w:pPr>
        <w:snapToGrid w:val="0"/>
        <w:spacing w:beforeLines="50"/>
        <w:ind w:left="991" w:hanging="991" w:hangingChars="413"/>
        <w:jc w:val="left"/>
        <w:rPr>
          <w:rFonts w:ascii="黑体" w:eastAsia="黑体"/>
          <w:sz w:val="24"/>
        </w:rPr>
      </w:pPr>
      <w:bookmarkStart w:id="160" w:name="_Toc246996265"/>
      <w:bookmarkStart w:id="161" w:name="_Toc246997008"/>
      <w:bookmarkStart w:id="162" w:name="_Toc247085780"/>
      <w:bookmarkStart w:id="163" w:name="_Toc296602509"/>
      <w:r>
        <w:rPr>
          <w:rFonts w:hint="eastAsia" w:ascii="黑体" w:eastAsia="黑体"/>
          <w:sz w:val="24"/>
        </w:rPr>
        <w:t>2.2</w:t>
      </w:r>
      <w:r>
        <w:rPr>
          <w:rFonts w:hint="eastAsia" w:ascii="黑体" w:eastAsia="黑体"/>
          <w:sz w:val="24"/>
        </w:rPr>
        <w:tab/>
      </w:r>
      <w:r>
        <w:rPr>
          <w:rFonts w:hint="eastAsia" w:ascii="黑体" w:eastAsia="黑体"/>
          <w:sz w:val="24"/>
        </w:rPr>
        <w:t>发出开工通知</w:t>
      </w:r>
      <w:bookmarkEnd w:id="160"/>
      <w:bookmarkEnd w:id="161"/>
      <w:bookmarkEnd w:id="162"/>
      <w:bookmarkEnd w:id="163"/>
    </w:p>
    <w:p>
      <w:pPr>
        <w:snapToGrid w:val="0"/>
        <w:spacing w:beforeLines="50"/>
        <w:ind w:left="991" w:leftChars="472"/>
        <w:rPr>
          <w:rFonts w:ascii="宋体" w:hAnsi="宋体"/>
          <w:sz w:val="24"/>
        </w:rPr>
      </w:pPr>
      <w:r>
        <w:rPr>
          <w:rFonts w:hint="eastAsia" w:ascii="宋体" w:hAnsi="宋体"/>
          <w:sz w:val="24"/>
        </w:rPr>
        <w:t>发包人应委托监理人按第6.2款的约定向承包人发出开工通知。</w:t>
      </w:r>
    </w:p>
    <w:p>
      <w:pPr>
        <w:snapToGrid w:val="0"/>
        <w:spacing w:beforeLines="50"/>
        <w:ind w:left="991" w:hanging="991" w:hangingChars="413"/>
        <w:jc w:val="left"/>
        <w:rPr>
          <w:rFonts w:ascii="黑体" w:eastAsia="黑体"/>
          <w:sz w:val="24"/>
        </w:rPr>
      </w:pPr>
      <w:bookmarkStart w:id="164" w:name="_Toc246996266"/>
      <w:bookmarkStart w:id="165" w:name="_Toc246997009"/>
      <w:bookmarkStart w:id="166" w:name="_Toc296602510"/>
      <w:bookmarkStart w:id="167" w:name="_Toc247085781"/>
      <w:r>
        <w:rPr>
          <w:rFonts w:hint="eastAsia" w:ascii="黑体" w:eastAsia="黑体"/>
          <w:sz w:val="24"/>
        </w:rPr>
        <w:t>2.3</w:t>
      </w:r>
      <w:r>
        <w:rPr>
          <w:rFonts w:hint="eastAsia" w:ascii="黑体" w:eastAsia="黑体"/>
          <w:sz w:val="24"/>
        </w:rPr>
        <w:tab/>
      </w:r>
      <w:r>
        <w:rPr>
          <w:rFonts w:hint="eastAsia" w:ascii="黑体" w:eastAsia="黑体"/>
          <w:sz w:val="24"/>
        </w:rPr>
        <w:t>提供施工场地</w:t>
      </w:r>
      <w:bookmarkEnd w:id="164"/>
      <w:bookmarkEnd w:id="165"/>
      <w:bookmarkEnd w:id="166"/>
      <w:bookmarkEnd w:id="167"/>
    </w:p>
    <w:p>
      <w:pPr>
        <w:snapToGrid w:val="0"/>
        <w:spacing w:beforeLines="50"/>
        <w:ind w:left="991" w:leftChars="472"/>
        <w:rPr>
          <w:rFonts w:ascii="宋体" w:hAnsi="宋体"/>
          <w:sz w:val="24"/>
        </w:rPr>
      </w:pPr>
      <w:r>
        <w:rPr>
          <w:rFonts w:hint="eastAsia" w:ascii="宋体" w:hAnsi="宋体"/>
          <w:sz w:val="24"/>
        </w:rPr>
        <w:t>发包人应按专用合同条款约定向承包人提供施工场地，以及施工场地内地下管线和地下设施等有关资料，并保证资料的真实、准确、完整。</w:t>
      </w:r>
    </w:p>
    <w:p>
      <w:pPr>
        <w:snapToGrid w:val="0"/>
        <w:spacing w:beforeLines="50"/>
        <w:ind w:left="991" w:hanging="991" w:hangingChars="413"/>
        <w:jc w:val="left"/>
        <w:rPr>
          <w:rFonts w:ascii="黑体" w:eastAsia="黑体"/>
          <w:sz w:val="24"/>
        </w:rPr>
      </w:pPr>
      <w:bookmarkStart w:id="168" w:name="_Toc246996267"/>
      <w:bookmarkStart w:id="169" w:name="_Toc246997010"/>
      <w:bookmarkStart w:id="170" w:name="_Toc296602511"/>
      <w:bookmarkStart w:id="171" w:name="_Toc247085782"/>
      <w:r>
        <w:rPr>
          <w:rFonts w:hint="eastAsia" w:ascii="黑体" w:eastAsia="黑体"/>
          <w:sz w:val="24"/>
        </w:rPr>
        <w:t>2.4</w:t>
      </w:r>
      <w:r>
        <w:rPr>
          <w:rFonts w:hint="eastAsia" w:ascii="黑体" w:eastAsia="黑体"/>
          <w:sz w:val="24"/>
        </w:rPr>
        <w:tab/>
      </w:r>
      <w:r>
        <w:rPr>
          <w:rFonts w:hint="eastAsia" w:ascii="黑体" w:eastAsia="黑体"/>
          <w:sz w:val="24"/>
        </w:rPr>
        <w:t>协助承包人办理证件和批件</w:t>
      </w:r>
      <w:bookmarkEnd w:id="168"/>
      <w:bookmarkEnd w:id="169"/>
      <w:bookmarkEnd w:id="170"/>
      <w:bookmarkEnd w:id="171"/>
    </w:p>
    <w:p>
      <w:pPr>
        <w:snapToGrid w:val="0"/>
        <w:spacing w:beforeLines="50"/>
        <w:ind w:left="991" w:leftChars="472"/>
        <w:rPr>
          <w:rFonts w:ascii="宋体" w:hAnsi="宋体"/>
          <w:sz w:val="24"/>
        </w:rPr>
      </w:pPr>
      <w:r>
        <w:rPr>
          <w:rFonts w:hint="eastAsia" w:ascii="宋体" w:hAnsi="宋体"/>
          <w:sz w:val="24"/>
        </w:rPr>
        <w:t>发包人应协助承包人办理法律规定的有关施工证件和批件。</w:t>
      </w:r>
    </w:p>
    <w:p>
      <w:pPr>
        <w:snapToGrid w:val="0"/>
        <w:spacing w:beforeLines="50"/>
        <w:ind w:left="991" w:hanging="991" w:hangingChars="413"/>
        <w:jc w:val="left"/>
        <w:rPr>
          <w:rFonts w:ascii="黑体" w:eastAsia="黑体"/>
          <w:sz w:val="24"/>
        </w:rPr>
      </w:pPr>
      <w:bookmarkStart w:id="172" w:name="_Toc247085783"/>
      <w:bookmarkStart w:id="173" w:name="_Toc246997011"/>
      <w:bookmarkStart w:id="174" w:name="_Toc246996268"/>
      <w:bookmarkStart w:id="175" w:name="_Toc296602512"/>
      <w:r>
        <w:rPr>
          <w:rFonts w:hint="eastAsia" w:ascii="黑体" w:eastAsia="黑体"/>
          <w:sz w:val="24"/>
        </w:rPr>
        <w:t>2.5</w:t>
      </w:r>
      <w:r>
        <w:rPr>
          <w:rFonts w:hint="eastAsia" w:ascii="黑体" w:eastAsia="黑体"/>
          <w:sz w:val="24"/>
        </w:rPr>
        <w:tab/>
      </w:r>
      <w:r>
        <w:rPr>
          <w:rFonts w:hint="eastAsia" w:ascii="黑体" w:eastAsia="黑体"/>
          <w:sz w:val="24"/>
        </w:rPr>
        <w:t>组织设计交底</w:t>
      </w:r>
      <w:bookmarkEnd w:id="172"/>
      <w:bookmarkEnd w:id="173"/>
      <w:bookmarkEnd w:id="174"/>
      <w:bookmarkEnd w:id="175"/>
    </w:p>
    <w:p>
      <w:pPr>
        <w:snapToGrid w:val="0"/>
        <w:spacing w:beforeLines="50"/>
        <w:ind w:left="991" w:leftChars="472"/>
        <w:rPr>
          <w:rFonts w:ascii="宋体" w:hAnsi="宋体"/>
          <w:sz w:val="24"/>
        </w:rPr>
      </w:pPr>
      <w:r>
        <w:rPr>
          <w:rFonts w:hint="eastAsia" w:ascii="宋体" w:hAnsi="宋体"/>
          <w:sz w:val="24"/>
        </w:rPr>
        <w:t>发包人应根据合同进度计划，组织设计单位向承包人进行设计交底。</w:t>
      </w:r>
    </w:p>
    <w:p>
      <w:pPr>
        <w:snapToGrid w:val="0"/>
        <w:spacing w:beforeLines="50"/>
        <w:ind w:left="991" w:hanging="991" w:hangingChars="413"/>
        <w:jc w:val="left"/>
        <w:rPr>
          <w:rFonts w:ascii="黑体" w:eastAsia="黑体"/>
          <w:sz w:val="24"/>
        </w:rPr>
      </w:pPr>
      <w:bookmarkStart w:id="176" w:name="_Toc247085784"/>
      <w:bookmarkStart w:id="177" w:name="_Toc246996269"/>
      <w:bookmarkStart w:id="178" w:name="_Toc296602513"/>
      <w:bookmarkStart w:id="179" w:name="_Toc246997012"/>
      <w:r>
        <w:rPr>
          <w:rFonts w:hint="eastAsia" w:ascii="黑体" w:eastAsia="黑体"/>
          <w:sz w:val="24"/>
        </w:rPr>
        <w:t>2.6</w:t>
      </w:r>
      <w:r>
        <w:rPr>
          <w:rFonts w:hint="eastAsia" w:ascii="黑体" w:eastAsia="黑体"/>
          <w:sz w:val="24"/>
        </w:rPr>
        <w:tab/>
      </w:r>
      <w:r>
        <w:rPr>
          <w:rFonts w:hint="eastAsia" w:ascii="黑体" w:eastAsia="黑体"/>
          <w:sz w:val="24"/>
        </w:rPr>
        <w:t>支付合同价款</w:t>
      </w:r>
      <w:bookmarkEnd w:id="176"/>
      <w:bookmarkEnd w:id="177"/>
      <w:bookmarkEnd w:id="178"/>
      <w:bookmarkEnd w:id="179"/>
    </w:p>
    <w:p>
      <w:pPr>
        <w:snapToGrid w:val="0"/>
        <w:spacing w:beforeLines="50"/>
        <w:ind w:left="991" w:leftChars="472"/>
        <w:rPr>
          <w:rFonts w:ascii="宋体" w:hAnsi="宋体"/>
          <w:sz w:val="24"/>
        </w:rPr>
      </w:pPr>
      <w:r>
        <w:rPr>
          <w:rFonts w:hint="eastAsia" w:ascii="宋体" w:hAnsi="宋体"/>
          <w:sz w:val="24"/>
        </w:rPr>
        <w:t>发包人应按合同约定向承包人及时支付合同价款。</w:t>
      </w:r>
    </w:p>
    <w:p>
      <w:pPr>
        <w:snapToGrid w:val="0"/>
        <w:spacing w:beforeLines="50"/>
        <w:ind w:left="991" w:hanging="991" w:hangingChars="413"/>
        <w:jc w:val="left"/>
        <w:rPr>
          <w:rFonts w:ascii="黑体" w:eastAsia="黑体"/>
          <w:sz w:val="24"/>
        </w:rPr>
      </w:pPr>
      <w:bookmarkStart w:id="180" w:name="_Toc247085785"/>
      <w:bookmarkStart w:id="181" w:name="_Toc246997013"/>
      <w:bookmarkStart w:id="182" w:name="_Toc246996270"/>
      <w:bookmarkStart w:id="183" w:name="_Toc296602514"/>
      <w:r>
        <w:rPr>
          <w:rFonts w:hint="eastAsia" w:ascii="黑体" w:eastAsia="黑体"/>
          <w:sz w:val="24"/>
        </w:rPr>
        <w:t>2.7</w:t>
      </w:r>
      <w:r>
        <w:rPr>
          <w:rFonts w:hint="eastAsia" w:ascii="黑体" w:eastAsia="黑体"/>
          <w:sz w:val="24"/>
        </w:rPr>
        <w:tab/>
      </w:r>
      <w:r>
        <w:rPr>
          <w:rFonts w:hint="eastAsia" w:ascii="黑体" w:eastAsia="黑体"/>
          <w:sz w:val="24"/>
        </w:rPr>
        <w:t>组织竣工验收</w:t>
      </w:r>
      <w:bookmarkEnd w:id="180"/>
      <w:bookmarkEnd w:id="181"/>
      <w:bookmarkEnd w:id="182"/>
      <w:bookmarkEnd w:id="183"/>
    </w:p>
    <w:p>
      <w:pPr>
        <w:snapToGrid w:val="0"/>
        <w:spacing w:beforeLines="50"/>
        <w:ind w:left="991" w:leftChars="472"/>
        <w:rPr>
          <w:rFonts w:ascii="宋体" w:hAnsi="宋体"/>
          <w:sz w:val="24"/>
        </w:rPr>
      </w:pPr>
      <w:r>
        <w:rPr>
          <w:rFonts w:hint="eastAsia" w:ascii="宋体" w:hAnsi="宋体"/>
          <w:sz w:val="24"/>
        </w:rPr>
        <w:t>发包人应按合同约定及时组织竣工验收。</w:t>
      </w:r>
    </w:p>
    <w:p>
      <w:pPr>
        <w:snapToGrid w:val="0"/>
        <w:spacing w:beforeLines="50"/>
        <w:ind w:left="991" w:hanging="991" w:hangingChars="413"/>
        <w:jc w:val="left"/>
        <w:rPr>
          <w:rFonts w:ascii="黑体" w:eastAsia="黑体"/>
          <w:sz w:val="24"/>
        </w:rPr>
      </w:pPr>
      <w:bookmarkStart w:id="184" w:name="_Toc246997014"/>
      <w:bookmarkStart w:id="185" w:name="_Toc296602515"/>
      <w:bookmarkStart w:id="186" w:name="_Toc246996271"/>
      <w:bookmarkStart w:id="187" w:name="_Toc247085786"/>
      <w:r>
        <w:rPr>
          <w:rFonts w:hint="eastAsia" w:ascii="黑体" w:eastAsia="黑体"/>
          <w:sz w:val="24"/>
        </w:rPr>
        <w:t>2.8</w:t>
      </w:r>
      <w:r>
        <w:rPr>
          <w:rFonts w:hint="eastAsia" w:ascii="黑体" w:eastAsia="黑体"/>
          <w:sz w:val="24"/>
        </w:rPr>
        <w:tab/>
      </w:r>
      <w:r>
        <w:rPr>
          <w:rFonts w:hint="eastAsia" w:ascii="黑体" w:eastAsia="黑体"/>
          <w:sz w:val="24"/>
        </w:rPr>
        <w:t>其他义务</w:t>
      </w:r>
      <w:bookmarkEnd w:id="184"/>
      <w:bookmarkEnd w:id="185"/>
      <w:bookmarkEnd w:id="186"/>
      <w:bookmarkEnd w:id="187"/>
    </w:p>
    <w:p>
      <w:pPr>
        <w:snapToGrid w:val="0"/>
        <w:spacing w:beforeLines="50"/>
        <w:ind w:left="991" w:leftChars="472"/>
        <w:rPr>
          <w:rFonts w:ascii="宋体" w:hAnsi="宋体"/>
          <w:sz w:val="24"/>
        </w:rPr>
      </w:pPr>
      <w:r>
        <w:rPr>
          <w:rFonts w:hint="eastAsia" w:ascii="宋体" w:hAnsi="宋体"/>
          <w:sz w:val="24"/>
        </w:rPr>
        <w:t>发包人应履行合同约定的其他义务。</w:t>
      </w:r>
    </w:p>
    <w:p>
      <w:pPr>
        <w:snapToGrid w:val="0"/>
        <w:spacing w:beforeLines="50"/>
        <w:ind w:left="991" w:hanging="991" w:hangingChars="413"/>
        <w:jc w:val="left"/>
        <w:outlineLvl w:val="2"/>
        <w:rPr>
          <w:rFonts w:ascii="黑体" w:eastAsia="黑体"/>
          <w:sz w:val="24"/>
        </w:rPr>
      </w:pPr>
      <w:bookmarkStart w:id="188" w:name="_Toc184635100"/>
      <w:bookmarkStart w:id="189" w:name="_Toc246996272"/>
      <w:bookmarkStart w:id="190" w:name="_Toc296602516"/>
      <w:bookmarkStart w:id="191" w:name="_Toc247085787"/>
      <w:bookmarkStart w:id="192" w:name="_Toc246997015"/>
      <w:bookmarkStart w:id="193" w:name="_Toc12390"/>
      <w:bookmarkStart w:id="194" w:name="_Toc12350"/>
      <w:r>
        <w:rPr>
          <w:rFonts w:hint="eastAsia" w:ascii="黑体" w:eastAsia="黑体"/>
          <w:sz w:val="24"/>
        </w:rPr>
        <w:t>3.</w:t>
      </w:r>
      <w:r>
        <w:rPr>
          <w:rFonts w:hint="eastAsia" w:ascii="黑体" w:eastAsia="黑体"/>
          <w:sz w:val="24"/>
        </w:rPr>
        <w:tab/>
      </w:r>
      <w:r>
        <w:rPr>
          <w:rFonts w:hint="eastAsia" w:ascii="黑体" w:eastAsia="黑体"/>
          <w:sz w:val="24"/>
        </w:rPr>
        <w:t>监理人</w:t>
      </w:r>
      <w:bookmarkEnd w:id="188"/>
      <w:bookmarkEnd w:id="189"/>
      <w:bookmarkEnd w:id="190"/>
      <w:bookmarkEnd w:id="191"/>
      <w:bookmarkEnd w:id="192"/>
      <w:bookmarkEnd w:id="193"/>
      <w:bookmarkEnd w:id="194"/>
    </w:p>
    <w:p>
      <w:pPr>
        <w:snapToGrid w:val="0"/>
        <w:spacing w:beforeLines="50"/>
        <w:ind w:left="991" w:hanging="991" w:hangingChars="413"/>
        <w:jc w:val="left"/>
        <w:rPr>
          <w:rFonts w:ascii="黑体" w:eastAsia="黑体"/>
          <w:sz w:val="24"/>
        </w:rPr>
      </w:pPr>
      <w:bookmarkStart w:id="195" w:name="_Toc296602517"/>
      <w:bookmarkStart w:id="196" w:name="_Toc246997016"/>
      <w:bookmarkStart w:id="197" w:name="_Toc246996273"/>
      <w:bookmarkStart w:id="198" w:name="_Toc247085788"/>
      <w:r>
        <w:rPr>
          <w:rFonts w:hint="eastAsia" w:ascii="黑体" w:eastAsia="黑体"/>
          <w:sz w:val="24"/>
        </w:rPr>
        <w:t>3.1</w:t>
      </w:r>
      <w:r>
        <w:rPr>
          <w:rFonts w:hint="eastAsia" w:ascii="黑体" w:eastAsia="黑体"/>
          <w:sz w:val="24"/>
        </w:rPr>
        <w:tab/>
      </w:r>
      <w:r>
        <w:rPr>
          <w:rFonts w:hint="eastAsia" w:ascii="黑体" w:eastAsia="黑体"/>
          <w:sz w:val="24"/>
        </w:rPr>
        <w:t>监理人的职责和权力</w:t>
      </w:r>
      <w:bookmarkEnd w:id="195"/>
      <w:bookmarkEnd w:id="196"/>
      <w:bookmarkEnd w:id="197"/>
      <w:bookmarkEnd w:id="198"/>
    </w:p>
    <w:p>
      <w:pPr>
        <w:snapToGrid w:val="0"/>
        <w:spacing w:beforeLines="50"/>
        <w:ind w:left="991" w:hanging="991" w:hangingChars="413"/>
        <w:jc w:val="left"/>
        <w:rPr>
          <w:rFonts w:ascii="宋体" w:hAnsi="宋体"/>
          <w:sz w:val="24"/>
        </w:rPr>
      </w:pPr>
      <w:r>
        <w:rPr>
          <w:rFonts w:hint="eastAsia" w:ascii="宋体" w:hAnsi="宋体"/>
          <w:sz w:val="24"/>
        </w:rPr>
        <w:t>3.1.1</w:t>
      </w:r>
      <w:r>
        <w:rPr>
          <w:rFonts w:hint="eastAsia" w:ascii="宋体" w:hAnsi="宋体"/>
          <w:sz w:val="24"/>
        </w:rPr>
        <w:tab/>
      </w:r>
      <w:r>
        <w:rPr>
          <w:rFonts w:hint="eastAsia" w:ascii="宋体" w:hAnsi="宋体"/>
          <w:sz w:val="24"/>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napToGrid w:val="0"/>
        <w:spacing w:beforeLines="50"/>
        <w:ind w:left="991" w:hanging="991" w:hangingChars="413"/>
        <w:jc w:val="left"/>
        <w:rPr>
          <w:rFonts w:ascii="宋体" w:hAnsi="宋体"/>
          <w:sz w:val="24"/>
        </w:rPr>
      </w:pPr>
      <w:r>
        <w:rPr>
          <w:rFonts w:hint="eastAsia" w:ascii="宋体" w:hAnsi="宋体"/>
          <w:sz w:val="24"/>
        </w:rPr>
        <w:t>3.1.2</w:t>
      </w:r>
      <w:r>
        <w:rPr>
          <w:rFonts w:hint="eastAsia" w:ascii="宋体" w:hAnsi="宋体"/>
          <w:sz w:val="24"/>
        </w:rPr>
        <w:tab/>
      </w:r>
      <w:r>
        <w:rPr>
          <w:rFonts w:hint="eastAsia" w:ascii="宋体" w:hAnsi="宋体"/>
          <w:sz w:val="24"/>
        </w:rPr>
        <w:t>合同约定应由承包人承担的义务和责任，不因监理人对承包人文件的审查或批准，对工程、材料和工程设备的检查和检验，以及为实施监理作出的指示等职务行为而减轻或解除。</w:t>
      </w:r>
    </w:p>
    <w:p>
      <w:pPr>
        <w:snapToGrid w:val="0"/>
        <w:spacing w:beforeLines="50"/>
        <w:ind w:left="991" w:hanging="991" w:hangingChars="413"/>
        <w:jc w:val="left"/>
        <w:rPr>
          <w:rFonts w:ascii="黑体" w:eastAsia="黑体"/>
          <w:sz w:val="24"/>
        </w:rPr>
      </w:pPr>
      <w:bookmarkStart w:id="199" w:name="_Toc246997017"/>
      <w:bookmarkStart w:id="200" w:name="_Toc296602518"/>
      <w:bookmarkStart w:id="201" w:name="_Toc247085789"/>
      <w:bookmarkStart w:id="202" w:name="_Toc246996274"/>
      <w:r>
        <w:rPr>
          <w:rFonts w:hint="eastAsia" w:ascii="黑体" w:eastAsia="黑体"/>
          <w:sz w:val="24"/>
        </w:rPr>
        <w:t>3.2</w:t>
      </w:r>
      <w:r>
        <w:rPr>
          <w:rFonts w:hint="eastAsia" w:ascii="黑体" w:eastAsia="黑体"/>
          <w:sz w:val="24"/>
        </w:rPr>
        <w:tab/>
      </w:r>
      <w:r>
        <w:rPr>
          <w:rFonts w:hint="eastAsia" w:ascii="黑体" w:eastAsia="黑体"/>
          <w:sz w:val="24"/>
        </w:rPr>
        <w:t>总监理工程师</w:t>
      </w:r>
      <w:bookmarkEnd w:id="199"/>
      <w:bookmarkEnd w:id="200"/>
      <w:bookmarkEnd w:id="201"/>
      <w:bookmarkEnd w:id="202"/>
    </w:p>
    <w:p>
      <w:pPr>
        <w:snapToGrid w:val="0"/>
        <w:spacing w:beforeLines="50"/>
        <w:ind w:left="991" w:leftChars="472"/>
        <w:rPr>
          <w:rFonts w:ascii="宋体" w:hAnsi="宋体"/>
          <w:sz w:val="24"/>
        </w:rPr>
      </w:pPr>
      <w:r>
        <w:rPr>
          <w:rFonts w:hint="eastAsia" w:ascii="宋体" w:hAnsi="宋体"/>
          <w:sz w:val="24"/>
        </w:rPr>
        <w:t>发包人应在发出开工通知前将总监理工程师的任命通知承包人。</w:t>
      </w:r>
    </w:p>
    <w:p>
      <w:pPr>
        <w:snapToGrid w:val="0"/>
        <w:spacing w:beforeLines="50"/>
        <w:ind w:left="991" w:hanging="991" w:hangingChars="413"/>
        <w:jc w:val="left"/>
        <w:rPr>
          <w:rFonts w:ascii="黑体" w:eastAsia="黑体"/>
          <w:sz w:val="24"/>
        </w:rPr>
      </w:pPr>
      <w:bookmarkStart w:id="203" w:name="_Toc247085790"/>
      <w:bookmarkStart w:id="204" w:name="_Toc246997018"/>
      <w:bookmarkStart w:id="205" w:name="_Toc296602519"/>
      <w:bookmarkStart w:id="206" w:name="_Toc246996275"/>
      <w:r>
        <w:rPr>
          <w:rFonts w:hint="eastAsia" w:ascii="黑体" w:eastAsia="黑体"/>
          <w:sz w:val="24"/>
        </w:rPr>
        <w:t>3.3</w:t>
      </w:r>
      <w:r>
        <w:rPr>
          <w:rFonts w:hint="eastAsia" w:ascii="黑体" w:eastAsia="黑体"/>
          <w:sz w:val="24"/>
        </w:rPr>
        <w:tab/>
      </w:r>
      <w:r>
        <w:rPr>
          <w:rFonts w:hint="eastAsia" w:ascii="黑体" w:eastAsia="黑体"/>
          <w:sz w:val="24"/>
        </w:rPr>
        <w:t>监理人员</w:t>
      </w:r>
      <w:bookmarkEnd w:id="203"/>
      <w:bookmarkEnd w:id="204"/>
      <w:bookmarkEnd w:id="205"/>
      <w:bookmarkEnd w:id="206"/>
    </w:p>
    <w:p>
      <w:pPr>
        <w:snapToGrid w:val="0"/>
        <w:spacing w:beforeLines="50"/>
        <w:ind w:left="991" w:hanging="991" w:hangingChars="413"/>
        <w:jc w:val="left"/>
        <w:rPr>
          <w:rFonts w:ascii="宋体" w:hAnsi="宋体"/>
          <w:sz w:val="24"/>
        </w:rPr>
      </w:pPr>
      <w:r>
        <w:rPr>
          <w:rFonts w:hint="eastAsia" w:ascii="宋体" w:hAnsi="宋体"/>
          <w:sz w:val="24"/>
        </w:rPr>
        <w:t>3.3.1</w:t>
      </w:r>
      <w:r>
        <w:rPr>
          <w:rFonts w:hint="eastAsia" w:ascii="宋体" w:hAnsi="宋体"/>
          <w:sz w:val="24"/>
        </w:rPr>
        <w:tab/>
      </w:r>
      <w:r>
        <w:rPr>
          <w:rFonts w:hint="eastAsia" w:ascii="宋体" w:hAnsi="宋体"/>
          <w:sz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napToGrid w:val="0"/>
        <w:spacing w:beforeLines="50"/>
        <w:ind w:left="991" w:hanging="991" w:hangingChars="413"/>
        <w:jc w:val="left"/>
        <w:rPr>
          <w:rFonts w:ascii="宋体" w:hAnsi="宋体"/>
          <w:sz w:val="24"/>
        </w:rPr>
      </w:pPr>
      <w:r>
        <w:rPr>
          <w:rFonts w:hint="eastAsia" w:ascii="宋体" w:hAnsi="宋体"/>
          <w:sz w:val="24"/>
        </w:rPr>
        <w:t>3.3.2</w:t>
      </w:r>
      <w:r>
        <w:rPr>
          <w:rFonts w:hint="eastAsia" w:ascii="宋体" w:hAnsi="宋体"/>
          <w:sz w:val="24"/>
        </w:rPr>
        <w:tab/>
      </w:r>
      <w:r>
        <w:rPr>
          <w:rFonts w:hint="eastAsia" w:ascii="宋体" w:hAnsi="宋体"/>
          <w:sz w:val="24"/>
        </w:rPr>
        <w:t>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napToGrid w:val="0"/>
        <w:spacing w:beforeLines="50"/>
        <w:ind w:left="991" w:hanging="991" w:hangingChars="413"/>
        <w:jc w:val="left"/>
        <w:rPr>
          <w:rFonts w:ascii="宋体" w:hAnsi="宋体"/>
          <w:sz w:val="24"/>
        </w:rPr>
      </w:pPr>
      <w:r>
        <w:rPr>
          <w:rFonts w:hint="eastAsia" w:ascii="宋体" w:hAnsi="宋体"/>
          <w:sz w:val="24"/>
        </w:rPr>
        <w:t>3.3.3</w:t>
      </w:r>
      <w:r>
        <w:rPr>
          <w:rFonts w:hint="eastAsia" w:ascii="宋体" w:hAnsi="宋体"/>
          <w:sz w:val="24"/>
        </w:rPr>
        <w:tab/>
      </w:r>
      <w:r>
        <w:rPr>
          <w:rFonts w:hint="eastAsia" w:ascii="宋体" w:hAnsi="宋体"/>
          <w:sz w:val="24"/>
        </w:rPr>
        <w:t>承包人对总监理工程师授权的监理人员发出的指示有疑问的，可在该指示发出的48小时内向总监理工程师提出书面异议，总监理工程师应在48小时内对该指示予以确认、更改或撤销。</w:t>
      </w:r>
    </w:p>
    <w:p>
      <w:pPr>
        <w:snapToGrid w:val="0"/>
        <w:spacing w:beforeLines="50"/>
        <w:ind w:left="991" w:hanging="991" w:hangingChars="413"/>
        <w:jc w:val="left"/>
        <w:rPr>
          <w:rFonts w:ascii="宋体" w:hAnsi="宋体"/>
          <w:sz w:val="24"/>
        </w:rPr>
      </w:pPr>
      <w:r>
        <w:rPr>
          <w:rFonts w:hint="eastAsia" w:ascii="宋体" w:hAnsi="宋体"/>
          <w:sz w:val="24"/>
        </w:rPr>
        <w:t>3.3.4</w:t>
      </w:r>
      <w:r>
        <w:rPr>
          <w:rFonts w:hint="eastAsia" w:ascii="宋体" w:hAnsi="宋体"/>
          <w:sz w:val="24"/>
        </w:rPr>
        <w:tab/>
      </w:r>
      <w:r>
        <w:rPr>
          <w:rFonts w:hint="eastAsia" w:ascii="宋体" w:hAnsi="宋体"/>
          <w:sz w:val="24"/>
        </w:rPr>
        <w:t>除专用合同条款另有约定外，总监理工程师不应将第3.5款约定应由总监理工程师作出确定的权力授权或委托给其他监理人员。</w:t>
      </w:r>
    </w:p>
    <w:p>
      <w:pPr>
        <w:snapToGrid w:val="0"/>
        <w:spacing w:beforeLines="50"/>
        <w:ind w:left="991" w:hanging="991" w:hangingChars="413"/>
        <w:jc w:val="left"/>
        <w:rPr>
          <w:rFonts w:ascii="黑体" w:eastAsia="黑体"/>
          <w:sz w:val="24"/>
        </w:rPr>
      </w:pPr>
      <w:bookmarkStart w:id="207" w:name="_Toc246997019"/>
      <w:bookmarkStart w:id="208" w:name="_Toc246996276"/>
      <w:bookmarkStart w:id="209" w:name="_Toc296602520"/>
      <w:bookmarkStart w:id="210" w:name="_Toc247085791"/>
      <w:r>
        <w:rPr>
          <w:rFonts w:hint="eastAsia" w:ascii="黑体" w:eastAsia="黑体"/>
          <w:sz w:val="24"/>
        </w:rPr>
        <w:t>3.4</w:t>
      </w:r>
      <w:r>
        <w:rPr>
          <w:rFonts w:hint="eastAsia" w:ascii="黑体" w:eastAsia="黑体"/>
          <w:sz w:val="24"/>
        </w:rPr>
        <w:tab/>
      </w:r>
      <w:r>
        <w:rPr>
          <w:rFonts w:hint="eastAsia" w:ascii="黑体" w:eastAsia="黑体"/>
          <w:sz w:val="24"/>
        </w:rPr>
        <w:t>监理人的指示</w:t>
      </w:r>
      <w:bookmarkEnd w:id="207"/>
      <w:bookmarkEnd w:id="208"/>
      <w:bookmarkEnd w:id="209"/>
      <w:bookmarkEnd w:id="210"/>
    </w:p>
    <w:p>
      <w:pPr>
        <w:snapToGrid w:val="0"/>
        <w:spacing w:beforeLines="50"/>
        <w:ind w:left="991" w:hanging="991" w:hangingChars="413"/>
        <w:jc w:val="left"/>
        <w:rPr>
          <w:rFonts w:ascii="宋体" w:hAnsi="宋体"/>
          <w:sz w:val="24"/>
        </w:rPr>
      </w:pPr>
      <w:r>
        <w:rPr>
          <w:rFonts w:hint="eastAsia" w:ascii="宋体" w:hAnsi="宋体"/>
          <w:sz w:val="24"/>
        </w:rPr>
        <w:t>3.4.1</w:t>
      </w:r>
      <w:r>
        <w:rPr>
          <w:rFonts w:hint="eastAsia" w:ascii="宋体" w:hAnsi="宋体"/>
          <w:sz w:val="24"/>
        </w:rPr>
        <w:tab/>
      </w:r>
      <w:r>
        <w:rPr>
          <w:rFonts w:hint="eastAsia" w:ascii="宋体" w:hAnsi="宋体"/>
          <w:sz w:val="24"/>
        </w:rPr>
        <w:t>监理人应按第3.1款的约定向承包人发出指示，监理人的指示应盖有监理人授权的施工场地机构章，并由总监理工程师或总监理工程师按第3.3.1项约定授权的监理人员签字。</w:t>
      </w:r>
    </w:p>
    <w:p>
      <w:pPr>
        <w:snapToGrid w:val="0"/>
        <w:spacing w:beforeLines="50"/>
        <w:ind w:left="991" w:hanging="991" w:hangingChars="413"/>
        <w:jc w:val="left"/>
        <w:rPr>
          <w:rFonts w:ascii="宋体" w:hAnsi="宋体"/>
          <w:sz w:val="24"/>
        </w:rPr>
      </w:pPr>
      <w:r>
        <w:rPr>
          <w:rFonts w:hint="eastAsia" w:ascii="宋体" w:hAnsi="宋体"/>
          <w:sz w:val="24"/>
        </w:rPr>
        <w:t>3.4.2</w:t>
      </w:r>
      <w:r>
        <w:rPr>
          <w:rFonts w:hint="eastAsia" w:ascii="宋体" w:hAnsi="宋体"/>
          <w:sz w:val="24"/>
        </w:rPr>
        <w:tab/>
      </w:r>
      <w:r>
        <w:rPr>
          <w:rFonts w:hint="eastAsia" w:ascii="宋体" w:hAnsi="宋体"/>
          <w:sz w:val="24"/>
        </w:rPr>
        <w:t>承包人收到监理人按第3.4.1项作出的指示后应遵照执行。指示构成变更的，应按第9条处理。</w:t>
      </w:r>
    </w:p>
    <w:p>
      <w:pPr>
        <w:snapToGrid w:val="0"/>
        <w:spacing w:beforeLines="50"/>
        <w:ind w:left="991" w:hanging="991" w:hangingChars="413"/>
        <w:jc w:val="left"/>
        <w:rPr>
          <w:rFonts w:ascii="宋体" w:hAnsi="宋体"/>
          <w:sz w:val="24"/>
        </w:rPr>
      </w:pPr>
      <w:r>
        <w:rPr>
          <w:rFonts w:hint="eastAsia" w:ascii="宋体" w:hAnsi="宋体"/>
          <w:sz w:val="24"/>
        </w:rPr>
        <w:t>3.4.3</w:t>
      </w:r>
      <w:r>
        <w:rPr>
          <w:rFonts w:hint="eastAsia" w:ascii="宋体" w:hAnsi="宋体"/>
          <w:sz w:val="24"/>
        </w:rPr>
        <w:tab/>
      </w:r>
      <w:r>
        <w:rPr>
          <w:rFonts w:hint="eastAsia" w:ascii="宋体" w:hAnsi="宋体"/>
          <w:sz w:val="24"/>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napToGrid w:val="0"/>
        <w:spacing w:beforeLines="50"/>
        <w:ind w:left="991" w:hanging="991" w:hangingChars="413"/>
        <w:jc w:val="left"/>
        <w:rPr>
          <w:rFonts w:ascii="宋体" w:hAnsi="宋体"/>
          <w:sz w:val="24"/>
        </w:rPr>
      </w:pPr>
      <w:r>
        <w:rPr>
          <w:rFonts w:hint="eastAsia" w:ascii="宋体" w:hAnsi="宋体"/>
          <w:sz w:val="24"/>
        </w:rPr>
        <w:t>3.4.4</w:t>
      </w:r>
      <w:r>
        <w:rPr>
          <w:rFonts w:hint="eastAsia" w:ascii="宋体" w:hAnsi="宋体"/>
          <w:sz w:val="24"/>
        </w:rPr>
        <w:tab/>
      </w:r>
      <w:r>
        <w:rPr>
          <w:rFonts w:hint="eastAsia" w:ascii="宋体" w:hAnsi="宋体"/>
          <w:sz w:val="24"/>
        </w:rPr>
        <w:t>除合同另有约定外，承包人只从总监理工程师或按第3.3.1项被授权的监理人员处取得指示。</w:t>
      </w:r>
    </w:p>
    <w:p>
      <w:pPr>
        <w:snapToGrid w:val="0"/>
        <w:spacing w:beforeLines="50"/>
        <w:ind w:left="991" w:hanging="991" w:hangingChars="413"/>
        <w:jc w:val="left"/>
        <w:rPr>
          <w:rFonts w:ascii="宋体" w:hAnsi="宋体"/>
          <w:sz w:val="24"/>
        </w:rPr>
      </w:pPr>
      <w:r>
        <w:rPr>
          <w:rFonts w:hint="eastAsia" w:ascii="宋体" w:hAnsi="宋体"/>
          <w:sz w:val="24"/>
        </w:rPr>
        <w:t>3.4.5</w:t>
      </w:r>
      <w:r>
        <w:rPr>
          <w:rFonts w:hint="eastAsia" w:ascii="宋体" w:hAnsi="宋体"/>
          <w:sz w:val="24"/>
        </w:rPr>
        <w:tab/>
      </w:r>
      <w:r>
        <w:rPr>
          <w:rFonts w:hint="eastAsia" w:ascii="宋体" w:hAnsi="宋体"/>
          <w:sz w:val="24"/>
        </w:rPr>
        <w:t>由于监理人未能按合同约定发出指示、指示延误或指示错误而导致承包人费用增加和（或）工期延误的，由发包人承担赔偿责任。</w:t>
      </w:r>
    </w:p>
    <w:p>
      <w:pPr>
        <w:snapToGrid w:val="0"/>
        <w:spacing w:beforeLines="50"/>
        <w:ind w:left="991" w:hanging="991" w:hangingChars="413"/>
        <w:jc w:val="left"/>
        <w:rPr>
          <w:rFonts w:ascii="黑体" w:eastAsia="黑体"/>
          <w:sz w:val="24"/>
        </w:rPr>
      </w:pPr>
      <w:bookmarkStart w:id="211" w:name="_Toc246996277"/>
      <w:bookmarkStart w:id="212" w:name="_Toc296602521"/>
      <w:bookmarkStart w:id="213" w:name="_Toc246997020"/>
      <w:bookmarkStart w:id="214" w:name="_Toc247085792"/>
      <w:r>
        <w:rPr>
          <w:rFonts w:hint="eastAsia" w:ascii="黑体" w:eastAsia="黑体"/>
          <w:sz w:val="24"/>
        </w:rPr>
        <w:t>3.5</w:t>
      </w:r>
      <w:r>
        <w:rPr>
          <w:rFonts w:hint="eastAsia" w:ascii="黑体" w:eastAsia="黑体"/>
          <w:sz w:val="24"/>
        </w:rPr>
        <w:tab/>
      </w:r>
      <w:r>
        <w:rPr>
          <w:rFonts w:hint="eastAsia" w:ascii="黑体" w:eastAsia="黑体"/>
          <w:sz w:val="24"/>
        </w:rPr>
        <w:t>商定或确定</w:t>
      </w:r>
      <w:bookmarkEnd w:id="211"/>
      <w:bookmarkEnd w:id="212"/>
      <w:bookmarkEnd w:id="213"/>
      <w:bookmarkEnd w:id="214"/>
    </w:p>
    <w:p>
      <w:pPr>
        <w:snapToGrid w:val="0"/>
        <w:spacing w:beforeLines="50"/>
        <w:ind w:left="991" w:hanging="991" w:hangingChars="413"/>
        <w:jc w:val="left"/>
        <w:rPr>
          <w:rFonts w:ascii="宋体" w:hAnsi="宋体"/>
          <w:sz w:val="24"/>
        </w:rPr>
      </w:pPr>
      <w:r>
        <w:rPr>
          <w:rFonts w:hint="eastAsia" w:ascii="宋体" w:hAnsi="宋体"/>
          <w:sz w:val="24"/>
        </w:rPr>
        <w:t>3.5.1</w:t>
      </w:r>
      <w:r>
        <w:rPr>
          <w:rFonts w:hint="eastAsia" w:ascii="宋体" w:hAnsi="宋体"/>
          <w:sz w:val="24"/>
        </w:rPr>
        <w:tab/>
      </w:r>
      <w:r>
        <w:rPr>
          <w:rFonts w:hint="eastAsia" w:ascii="宋体" w:hAnsi="宋体"/>
          <w:sz w:val="24"/>
        </w:rPr>
        <w:t>合同约定总监理工程师应按照本款对任何事项进行商定或确定时，总监理工程师应与合同当事人协商，尽量达成一致。不能达成一致的，总监理工程师应认真研究后审慎确定。</w:t>
      </w:r>
    </w:p>
    <w:p>
      <w:pPr>
        <w:snapToGrid w:val="0"/>
        <w:spacing w:beforeLines="50"/>
        <w:ind w:left="991" w:hanging="991" w:hangingChars="413"/>
        <w:jc w:val="left"/>
        <w:rPr>
          <w:rFonts w:ascii="宋体" w:hAnsi="宋体"/>
          <w:sz w:val="24"/>
        </w:rPr>
      </w:pPr>
      <w:r>
        <w:rPr>
          <w:rFonts w:hint="eastAsia" w:ascii="宋体" w:hAnsi="宋体"/>
          <w:sz w:val="24"/>
        </w:rPr>
        <w:t>3.5.2</w:t>
      </w:r>
      <w:r>
        <w:rPr>
          <w:rFonts w:hint="eastAsia" w:ascii="宋体" w:hAnsi="宋体"/>
          <w:sz w:val="24"/>
        </w:rPr>
        <w:tab/>
      </w:r>
      <w:r>
        <w:rPr>
          <w:rFonts w:hint="eastAsia" w:ascii="宋体" w:hAnsi="宋体"/>
          <w:sz w:val="24"/>
        </w:rPr>
        <w:t>总监理工程师应将商定或确定的事项通知合同当事人，并附详细依据。对总监理工程师的确定有异议的，构成争议，按照第17条的约定处理。在争议解决前，双方应暂按总监理工程师的确定执行，按照第17条的约定对总监理工程师的确定作出修改的，按修改后的结果执行。</w:t>
      </w:r>
    </w:p>
    <w:p>
      <w:pPr>
        <w:snapToGrid w:val="0"/>
        <w:spacing w:beforeLines="50"/>
        <w:ind w:left="991" w:hanging="991" w:hangingChars="413"/>
        <w:jc w:val="left"/>
        <w:outlineLvl w:val="2"/>
        <w:rPr>
          <w:rFonts w:ascii="黑体" w:eastAsia="黑体"/>
          <w:sz w:val="24"/>
        </w:rPr>
      </w:pPr>
      <w:bookmarkStart w:id="215" w:name="_Toc247085793"/>
      <w:bookmarkStart w:id="216" w:name="_Toc246996278"/>
      <w:bookmarkStart w:id="217" w:name="_Toc246997021"/>
      <w:bookmarkStart w:id="218" w:name="_Toc184635101"/>
      <w:bookmarkStart w:id="219" w:name="_Toc296602522"/>
      <w:bookmarkStart w:id="220" w:name="_Toc4955"/>
      <w:bookmarkStart w:id="221" w:name="_Toc17962"/>
      <w:r>
        <w:rPr>
          <w:rFonts w:hint="eastAsia" w:ascii="黑体" w:eastAsia="黑体"/>
          <w:sz w:val="24"/>
        </w:rPr>
        <w:t>4.</w:t>
      </w:r>
      <w:r>
        <w:rPr>
          <w:rFonts w:hint="eastAsia" w:ascii="黑体" w:eastAsia="黑体"/>
          <w:sz w:val="24"/>
        </w:rPr>
        <w:tab/>
      </w:r>
      <w:r>
        <w:rPr>
          <w:rFonts w:hint="eastAsia" w:ascii="黑体" w:eastAsia="黑体"/>
          <w:sz w:val="24"/>
        </w:rPr>
        <w:t>承包人</w:t>
      </w:r>
      <w:bookmarkEnd w:id="215"/>
      <w:bookmarkEnd w:id="216"/>
      <w:bookmarkEnd w:id="217"/>
      <w:bookmarkEnd w:id="218"/>
      <w:bookmarkEnd w:id="219"/>
      <w:bookmarkEnd w:id="220"/>
      <w:bookmarkEnd w:id="221"/>
    </w:p>
    <w:p>
      <w:pPr>
        <w:snapToGrid w:val="0"/>
        <w:spacing w:beforeLines="50"/>
        <w:ind w:left="991" w:hanging="991" w:hangingChars="413"/>
        <w:jc w:val="left"/>
        <w:rPr>
          <w:rFonts w:ascii="黑体" w:eastAsia="黑体"/>
          <w:sz w:val="24"/>
        </w:rPr>
      </w:pPr>
      <w:bookmarkStart w:id="222" w:name="_Toc246997022"/>
      <w:bookmarkStart w:id="223" w:name="_Toc247085794"/>
      <w:bookmarkStart w:id="224" w:name="_Toc246996279"/>
      <w:bookmarkStart w:id="225" w:name="_Toc296602523"/>
      <w:r>
        <w:rPr>
          <w:rFonts w:hint="eastAsia" w:ascii="黑体" w:eastAsia="黑体"/>
          <w:sz w:val="24"/>
        </w:rPr>
        <w:t>4.1</w:t>
      </w:r>
      <w:r>
        <w:rPr>
          <w:rFonts w:hint="eastAsia" w:ascii="黑体" w:eastAsia="黑体"/>
          <w:sz w:val="24"/>
        </w:rPr>
        <w:tab/>
      </w:r>
      <w:r>
        <w:rPr>
          <w:rFonts w:hint="eastAsia" w:ascii="黑体" w:eastAsia="黑体"/>
          <w:sz w:val="24"/>
        </w:rPr>
        <w:t>承包人的一般义务</w:t>
      </w:r>
      <w:bookmarkEnd w:id="222"/>
      <w:bookmarkEnd w:id="223"/>
      <w:bookmarkEnd w:id="224"/>
      <w:bookmarkEnd w:id="225"/>
    </w:p>
    <w:p>
      <w:pPr>
        <w:snapToGrid w:val="0"/>
        <w:spacing w:beforeLines="50"/>
        <w:ind w:left="991" w:hanging="991" w:hangingChars="413"/>
        <w:jc w:val="left"/>
        <w:rPr>
          <w:rFonts w:ascii="宋体" w:hAnsi="宋体"/>
          <w:sz w:val="24"/>
        </w:rPr>
      </w:pPr>
      <w:r>
        <w:rPr>
          <w:rFonts w:ascii="宋体" w:hAnsi="宋体"/>
          <w:sz w:val="24"/>
        </w:rPr>
        <w:t>4.1.1</w:t>
      </w:r>
      <w:r>
        <w:rPr>
          <w:rFonts w:hint="eastAsia" w:ascii="宋体" w:hAnsi="宋体"/>
          <w:sz w:val="24"/>
        </w:rPr>
        <w:tab/>
      </w:r>
      <w:r>
        <w:rPr>
          <w:rFonts w:hint="eastAsia" w:ascii="宋体" w:hAnsi="宋体"/>
          <w:sz w:val="24"/>
        </w:rPr>
        <w:t>承包人应按合同约定以及监理人根据第3.4款作出的指示，实施、完成全部工程，并修补工程中的任何缺陷。</w:t>
      </w:r>
    </w:p>
    <w:p>
      <w:pPr>
        <w:snapToGrid w:val="0"/>
        <w:spacing w:beforeLines="50"/>
        <w:ind w:left="991" w:hanging="991" w:hangingChars="413"/>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2</w:t>
      </w:r>
      <w:r>
        <w:rPr>
          <w:rFonts w:hint="eastAsia" w:ascii="宋体" w:hAnsi="宋体"/>
          <w:sz w:val="24"/>
        </w:rPr>
        <w:tab/>
      </w:r>
      <w:r>
        <w:rPr>
          <w:rFonts w:ascii="宋体" w:hAnsi="宋体"/>
          <w:sz w:val="24"/>
        </w:rPr>
        <w:t>除合同另有约定外，承包人应提供为按照合同完成工程所需的</w:t>
      </w:r>
      <w:r>
        <w:rPr>
          <w:rFonts w:hint="eastAsia" w:ascii="宋体" w:hAnsi="宋体"/>
          <w:sz w:val="24"/>
        </w:rPr>
        <w:t>劳务、</w:t>
      </w:r>
      <w:r>
        <w:rPr>
          <w:rFonts w:ascii="宋体" w:hAnsi="宋体"/>
          <w:sz w:val="24"/>
        </w:rPr>
        <w:t>材料、</w:t>
      </w:r>
      <w:r>
        <w:rPr>
          <w:rFonts w:hint="eastAsia" w:ascii="宋体" w:hAnsi="宋体"/>
          <w:sz w:val="24"/>
        </w:rPr>
        <w:t>施工设备、</w:t>
      </w:r>
      <w:r>
        <w:rPr>
          <w:rFonts w:ascii="宋体" w:hAnsi="宋体"/>
          <w:sz w:val="24"/>
        </w:rPr>
        <w:t>工程设备</w:t>
      </w:r>
      <w:r>
        <w:rPr>
          <w:rFonts w:hint="eastAsia" w:ascii="宋体" w:hAnsi="宋体"/>
          <w:sz w:val="24"/>
        </w:rPr>
        <w:t>和其他物品，</w:t>
      </w:r>
      <w:r>
        <w:rPr>
          <w:rFonts w:ascii="宋体" w:hAnsi="宋体"/>
          <w:sz w:val="24"/>
        </w:rPr>
        <w:t>以及</w:t>
      </w:r>
      <w:r>
        <w:rPr>
          <w:rFonts w:hint="eastAsia" w:ascii="宋体" w:hAnsi="宋体"/>
          <w:sz w:val="24"/>
        </w:rPr>
        <w:t>按合同约定的</w:t>
      </w:r>
      <w:r>
        <w:rPr>
          <w:rFonts w:ascii="宋体" w:hAnsi="宋体"/>
          <w:sz w:val="24"/>
        </w:rPr>
        <w:t>临时设施等。</w:t>
      </w:r>
    </w:p>
    <w:p>
      <w:pPr>
        <w:snapToGrid w:val="0"/>
        <w:spacing w:beforeLines="50"/>
        <w:ind w:left="991" w:hanging="991" w:hangingChars="413"/>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3</w:t>
      </w:r>
      <w:r>
        <w:rPr>
          <w:rFonts w:hint="eastAsia" w:ascii="宋体" w:hAnsi="宋体"/>
          <w:sz w:val="24"/>
        </w:rPr>
        <w:tab/>
      </w:r>
      <w:r>
        <w:rPr>
          <w:rFonts w:ascii="宋体" w:hAnsi="宋体"/>
          <w:sz w:val="24"/>
        </w:rPr>
        <w:t>承包人应对所有现场作业、所有施工方法和全部工程的完备性、稳定性和安全性负责。</w:t>
      </w:r>
    </w:p>
    <w:p>
      <w:pPr>
        <w:snapToGrid w:val="0"/>
        <w:spacing w:beforeLines="50"/>
        <w:ind w:left="991" w:hanging="991" w:hangingChars="413"/>
        <w:jc w:val="left"/>
        <w:rPr>
          <w:rFonts w:ascii="宋体" w:hAnsi="宋体"/>
          <w:sz w:val="24"/>
        </w:rPr>
      </w:pPr>
      <w:r>
        <w:rPr>
          <w:rFonts w:ascii="宋体" w:hAnsi="宋体"/>
          <w:sz w:val="24"/>
        </w:rPr>
        <w:t>4.</w:t>
      </w:r>
      <w:r>
        <w:rPr>
          <w:rFonts w:hint="eastAsia" w:ascii="宋体" w:hAnsi="宋体"/>
          <w:sz w:val="24"/>
        </w:rPr>
        <w:t>1</w:t>
      </w:r>
      <w:r>
        <w:rPr>
          <w:rFonts w:ascii="宋体" w:hAnsi="宋体"/>
          <w:sz w:val="24"/>
        </w:rPr>
        <w:t>.</w:t>
      </w:r>
      <w:r>
        <w:rPr>
          <w:rFonts w:hint="eastAsia" w:ascii="宋体" w:hAnsi="宋体"/>
          <w:sz w:val="24"/>
        </w:rPr>
        <w:t>4</w:t>
      </w:r>
      <w:r>
        <w:rPr>
          <w:rFonts w:hint="eastAsia" w:ascii="宋体" w:hAnsi="宋体"/>
          <w:sz w:val="24"/>
        </w:rPr>
        <w:tab/>
      </w:r>
      <w:r>
        <w:rPr>
          <w:rFonts w:hint="eastAsia" w:ascii="宋体" w:hAnsi="宋体"/>
          <w:sz w:val="24"/>
        </w:rPr>
        <w:t>承包人应按照法律规定和合同约定，负责施工场地及其周边环境与生态的保护工作。</w:t>
      </w:r>
    </w:p>
    <w:p>
      <w:pPr>
        <w:snapToGrid w:val="0"/>
        <w:spacing w:beforeLines="50"/>
        <w:ind w:left="991" w:hanging="991" w:hangingChars="413"/>
        <w:jc w:val="left"/>
        <w:rPr>
          <w:rFonts w:ascii="宋体" w:hAnsi="宋体"/>
          <w:sz w:val="24"/>
        </w:rPr>
      </w:pPr>
      <w:r>
        <w:rPr>
          <w:rFonts w:hint="eastAsia" w:ascii="宋体" w:hAnsi="宋体"/>
          <w:sz w:val="24"/>
        </w:rPr>
        <w:t>4.1.5</w:t>
      </w:r>
      <w:r>
        <w:rPr>
          <w:rFonts w:hint="eastAsia" w:ascii="宋体" w:hAnsi="宋体"/>
          <w:sz w:val="24"/>
        </w:rPr>
        <w:tab/>
      </w:r>
      <w:r>
        <w:rPr>
          <w:rFonts w:hint="eastAsia" w:ascii="宋体" w:hAnsi="宋体"/>
          <w:sz w:val="24"/>
        </w:rPr>
        <w:t>工程接收证书颁发前，承包人应负责照管和维护工程。工程接收证书颁发时尚有部分未竣工工程的，承包人还应负责该未竣工工程的照管和维护工作，直至竣工后移交给发包人为止。</w:t>
      </w:r>
    </w:p>
    <w:p>
      <w:pPr>
        <w:snapToGrid w:val="0"/>
        <w:spacing w:beforeLines="50"/>
        <w:ind w:left="991" w:hanging="991" w:hangingChars="413"/>
        <w:jc w:val="left"/>
        <w:rPr>
          <w:rFonts w:ascii="宋体" w:hAnsi="宋体"/>
          <w:sz w:val="24"/>
        </w:rPr>
      </w:pPr>
      <w:r>
        <w:rPr>
          <w:rFonts w:hint="eastAsia" w:ascii="宋体" w:hAnsi="宋体"/>
          <w:sz w:val="24"/>
        </w:rPr>
        <w:t>4.1.6</w:t>
      </w:r>
      <w:r>
        <w:rPr>
          <w:rFonts w:hint="eastAsia" w:ascii="宋体" w:hAnsi="宋体"/>
          <w:sz w:val="24"/>
        </w:rPr>
        <w:tab/>
      </w:r>
      <w:r>
        <w:rPr>
          <w:rFonts w:hint="eastAsia" w:ascii="宋体" w:hAnsi="宋体"/>
          <w:sz w:val="24"/>
        </w:rPr>
        <w:t>承包人应履行合同约定的其他义务。</w:t>
      </w:r>
    </w:p>
    <w:p>
      <w:pPr>
        <w:snapToGrid w:val="0"/>
        <w:spacing w:beforeLines="50"/>
        <w:ind w:left="991" w:hanging="991" w:hangingChars="413"/>
        <w:jc w:val="left"/>
        <w:rPr>
          <w:rFonts w:ascii="黑体" w:eastAsia="黑体"/>
          <w:sz w:val="24"/>
        </w:rPr>
      </w:pPr>
      <w:bookmarkStart w:id="226" w:name="_Toc246997023"/>
      <w:bookmarkStart w:id="227" w:name="_Toc247085795"/>
      <w:bookmarkStart w:id="228" w:name="_Toc246996280"/>
      <w:bookmarkStart w:id="229" w:name="_Toc296602524"/>
      <w:r>
        <w:rPr>
          <w:rFonts w:hint="eastAsia" w:ascii="黑体" w:eastAsia="黑体"/>
          <w:sz w:val="24"/>
        </w:rPr>
        <w:t>4.2</w:t>
      </w:r>
      <w:r>
        <w:rPr>
          <w:rFonts w:hint="eastAsia" w:ascii="黑体" w:eastAsia="黑体"/>
          <w:sz w:val="24"/>
        </w:rPr>
        <w:tab/>
      </w:r>
      <w:r>
        <w:rPr>
          <w:rFonts w:hint="eastAsia" w:ascii="黑体" w:eastAsia="黑体"/>
          <w:sz w:val="24"/>
        </w:rPr>
        <w:t>履约担保</w:t>
      </w:r>
      <w:bookmarkEnd w:id="226"/>
      <w:bookmarkEnd w:id="227"/>
      <w:bookmarkEnd w:id="228"/>
      <w:bookmarkEnd w:id="229"/>
    </w:p>
    <w:p>
      <w:pPr>
        <w:snapToGrid w:val="0"/>
        <w:spacing w:beforeLines="50"/>
        <w:ind w:left="991" w:hanging="991" w:hangingChars="413"/>
        <w:jc w:val="left"/>
        <w:rPr>
          <w:rFonts w:ascii="宋体" w:hAnsi="宋体"/>
          <w:sz w:val="24"/>
        </w:rPr>
      </w:pPr>
      <w:r>
        <w:rPr>
          <w:rFonts w:hint="eastAsia" w:ascii="宋体" w:hAnsi="宋体"/>
          <w:sz w:val="24"/>
        </w:rPr>
        <w:t>4.2.1</w:t>
      </w:r>
      <w:r>
        <w:rPr>
          <w:rFonts w:hint="eastAsia" w:ascii="宋体" w:hAnsi="宋体"/>
          <w:sz w:val="24"/>
        </w:rPr>
        <w:tab/>
      </w:r>
      <w:r>
        <w:rPr>
          <w:rFonts w:hint="eastAsia" w:ascii="宋体" w:hAnsi="宋体"/>
          <w:sz w:val="24"/>
        </w:rPr>
        <w:t>承包人应保证其履约担保在发包人颁发工程接收证书前一直有效。发包人应在工程接收证书颁发后28天内把履约担保退还给承包人。</w:t>
      </w:r>
    </w:p>
    <w:p>
      <w:pPr>
        <w:snapToGrid w:val="0"/>
        <w:spacing w:beforeLines="50"/>
        <w:ind w:left="991" w:hanging="991" w:hangingChars="413"/>
        <w:jc w:val="left"/>
        <w:rPr>
          <w:rFonts w:ascii="宋体" w:hAnsi="宋体"/>
          <w:sz w:val="24"/>
        </w:rPr>
      </w:pPr>
      <w:r>
        <w:rPr>
          <w:rFonts w:hint="eastAsia" w:ascii="宋体" w:hAnsi="宋体"/>
          <w:sz w:val="24"/>
        </w:rPr>
        <w:t>4.2.2</w:t>
      </w:r>
      <w:r>
        <w:rPr>
          <w:rFonts w:hint="eastAsia" w:ascii="宋体" w:hAnsi="宋体"/>
          <w:sz w:val="24"/>
        </w:rPr>
        <w:tab/>
      </w:r>
      <w:r>
        <w:rPr>
          <w:rFonts w:hint="eastAsia" w:ascii="宋体" w:hAnsi="宋体"/>
          <w:sz w:val="24"/>
        </w:rPr>
        <w:t>如工程延期，承包人有义务继续提供履约担保。由于发包人原因导致延期的，继续提供履约担保所需的费用由发包人承担；由于承包人原因导致延期的，继续提供履约担保所需费用由承包人承担。</w:t>
      </w:r>
    </w:p>
    <w:p>
      <w:pPr>
        <w:snapToGrid w:val="0"/>
        <w:spacing w:beforeLines="50"/>
        <w:ind w:left="991" w:hanging="991" w:hangingChars="413"/>
        <w:jc w:val="left"/>
        <w:rPr>
          <w:rFonts w:ascii="黑体" w:eastAsia="黑体"/>
          <w:sz w:val="24"/>
        </w:rPr>
      </w:pPr>
      <w:bookmarkStart w:id="230" w:name="_Toc247085797"/>
      <w:bookmarkStart w:id="231" w:name="_Toc246996282"/>
      <w:bookmarkStart w:id="232" w:name="_Toc296602525"/>
      <w:bookmarkStart w:id="233" w:name="_Toc246997025"/>
      <w:r>
        <w:rPr>
          <w:rFonts w:hint="eastAsia" w:ascii="黑体" w:eastAsia="黑体"/>
          <w:sz w:val="24"/>
        </w:rPr>
        <w:t>4.3</w:t>
      </w:r>
      <w:r>
        <w:rPr>
          <w:rFonts w:hint="eastAsia" w:ascii="黑体" w:eastAsia="黑体"/>
          <w:sz w:val="24"/>
        </w:rPr>
        <w:tab/>
      </w:r>
      <w:r>
        <w:rPr>
          <w:rFonts w:hint="eastAsia" w:ascii="黑体" w:eastAsia="黑体"/>
          <w:sz w:val="24"/>
        </w:rPr>
        <w:t>承包人项目经理</w:t>
      </w:r>
      <w:bookmarkEnd w:id="230"/>
      <w:bookmarkEnd w:id="231"/>
      <w:bookmarkEnd w:id="232"/>
      <w:bookmarkEnd w:id="233"/>
    </w:p>
    <w:p>
      <w:pPr>
        <w:snapToGrid w:val="0"/>
        <w:spacing w:beforeLines="50"/>
        <w:ind w:left="991" w:leftChars="472"/>
        <w:rPr>
          <w:rFonts w:ascii="宋体" w:hAnsi="宋体"/>
          <w:sz w:val="24"/>
        </w:rPr>
      </w:pPr>
      <w:r>
        <w:rPr>
          <w:rFonts w:hint="eastAsia" w:ascii="宋体" w:hAnsi="宋体"/>
          <w:sz w:val="24"/>
        </w:rPr>
        <w:t>承包人应按合同约定指派项目经理，并在约定的期限内到职。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napToGrid w:val="0"/>
        <w:spacing w:beforeLines="50"/>
        <w:ind w:left="991" w:hanging="991" w:hangingChars="413"/>
        <w:jc w:val="left"/>
        <w:rPr>
          <w:rFonts w:ascii="黑体" w:eastAsia="黑体"/>
          <w:sz w:val="24"/>
        </w:rPr>
      </w:pPr>
      <w:bookmarkStart w:id="234" w:name="_Toc246997026"/>
      <w:bookmarkStart w:id="235" w:name="_Toc247085798"/>
      <w:bookmarkStart w:id="236" w:name="_Toc246996283"/>
      <w:bookmarkStart w:id="237" w:name="_Toc296602526"/>
      <w:r>
        <w:rPr>
          <w:rFonts w:hint="eastAsia" w:ascii="黑体" w:eastAsia="黑体"/>
          <w:sz w:val="24"/>
        </w:rPr>
        <w:t>4.4</w:t>
      </w:r>
      <w:r>
        <w:rPr>
          <w:rFonts w:hint="eastAsia" w:ascii="黑体" w:eastAsia="黑体"/>
          <w:sz w:val="24"/>
        </w:rPr>
        <w:tab/>
      </w:r>
      <w:r>
        <w:rPr>
          <w:rFonts w:hint="eastAsia" w:ascii="黑体" w:eastAsia="黑体"/>
          <w:sz w:val="24"/>
        </w:rPr>
        <w:t>工程价款应专款专用</w:t>
      </w:r>
      <w:bookmarkEnd w:id="234"/>
      <w:bookmarkEnd w:id="235"/>
      <w:bookmarkEnd w:id="236"/>
      <w:bookmarkEnd w:id="237"/>
    </w:p>
    <w:p>
      <w:pPr>
        <w:snapToGrid w:val="0"/>
        <w:spacing w:beforeLines="50"/>
        <w:ind w:left="991" w:leftChars="472"/>
        <w:rPr>
          <w:rFonts w:ascii="宋体" w:hAnsi="宋体"/>
          <w:sz w:val="24"/>
        </w:rPr>
      </w:pPr>
      <w:r>
        <w:rPr>
          <w:rFonts w:hint="eastAsia" w:ascii="宋体" w:hAnsi="宋体"/>
          <w:sz w:val="24"/>
        </w:rPr>
        <w:t>发包人按合同约定支付给承包人的各项价款应专用于合同工程。</w:t>
      </w:r>
      <w:bookmarkStart w:id="238" w:name="_Toc246997027"/>
      <w:bookmarkStart w:id="239" w:name="_Toc247085799"/>
      <w:bookmarkStart w:id="240" w:name="_Toc246996284"/>
    </w:p>
    <w:p>
      <w:pPr>
        <w:snapToGrid w:val="0"/>
        <w:spacing w:beforeLines="50"/>
        <w:ind w:left="991" w:hanging="991" w:hangingChars="413"/>
        <w:jc w:val="left"/>
        <w:rPr>
          <w:rFonts w:ascii="黑体" w:eastAsia="黑体"/>
          <w:sz w:val="24"/>
        </w:rPr>
      </w:pPr>
      <w:bookmarkStart w:id="241" w:name="_Toc179632668"/>
      <w:bookmarkStart w:id="242" w:name="_Toc152045650"/>
      <w:bookmarkStart w:id="243" w:name="_Toc296602527"/>
      <w:bookmarkStart w:id="244" w:name="_Toc152042428"/>
      <w:bookmarkStart w:id="245" w:name="_Toc144974618"/>
      <w:r>
        <w:rPr>
          <w:rFonts w:hint="eastAsia" w:ascii="黑体" w:eastAsia="黑体"/>
          <w:sz w:val="24"/>
        </w:rPr>
        <w:t>4.5</w:t>
      </w:r>
      <w:r>
        <w:rPr>
          <w:rFonts w:hint="eastAsia" w:ascii="黑体" w:eastAsia="黑体"/>
          <w:sz w:val="24"/>
        </w:rPr>
        <w:tab/>
      </w:r>
      <w:r>
        <w:rPr>
          <w:rFonts w:hint="eastAsia" w:ascii="黑体" w:eastAsia="黑体"/>
          <w:sz w:val="24"/>
        </w:rPr>
        <w:t>不利物质条件</w:t>
      </w:r>
      <w:bookmarkEnd w:id="241"/>
      <w:bookmarkEnd w:id="242"/>
      <w:bookmarkEnd w:id="243"/>
      <w:bookmarkEnd w:id="244"/>
      <w:bookmarkEnd w:id="245"/>
    </w:p>
    <w:p>
      <w:pPr>
        <w:snapToGrid w:val="0"/>
        <w:spacing w:beforeLines="50"/>
        <w:ind w:left="991" w:hanging="991" w:hangingChars="413"/>
        <w:jc w:val="left"/>
        <w:rPr>
          <w:rFonts w:ascii="宋体" w:hAnsi="宋体"/>
          <w:sz w:val="24"/>
        </w:rPr>
      </w:pPr>
      <w:r>
        <w:rPr>
          <w:rFonts w:hint="eastAsia" w:ascii="宋体" w:hAnsi="宋体"/>
          <w:sz w:val="24"/>
        </w:rPr>
        <w:t>4.5.1</w:t>
      </w:r>
      <w:r>
        <w:rPr>
          <w:rFonts w:hint="eastAsia" w:ascii="宋体" w:hAnsi="宋体"/>
          <w:sz w:val="24"/>
        </w:rPr>
        <w:tab/>
      </w:r>
      <w:r>
        <w:rPr>
          <w:rFonts w:hint="eastAsia" w:ascii="宋体" w:hAnsi="宋体"/>
          <w:sz w:val="24"/>
        </w:rPr>
        <w:t>不利物质条件，除专用合同条款另有约定外，是指承包人在施工场地遇到的不可预见的自然物质条件、非自然的物质障碍和污染物，包括地下和水文条件，但不包括气候条件。</w:t>
      </w:r>
    </w:p>
    <w:p>
      <w:pPr>
        <w:snapToGrid w:val="0"/>
        <w:spacing w:beforeLines="50"/>
        <w:ind w:left="991" w:hanging="991" w:hangingChars="413"/>
        <w:jc w:val="left"/>
        <w:rPr>
          <w:rFonts w:ascii="宋体" w:hAnsi="宋体"/>
          <w:sz w:val="24"/>
        </w:rPr>
      </w:pPr>
      <w:r>
        <w:rPr>
          <w:rFonts w:hint="eastAsia" w:ascii="宋体" w:hAnsi="宋体"/>
          <w:sz w:val="24"/>
        </w:rPr>
        <w:t>4.5.2</w:t>
      </w:r>
      <w:r>
        <w:rPr>
          <w:rFonts w:hint="eastAsia" w:ascii="宋体" w:hAnsi="宋体"/>
          <w:sz w:val="24"/>
        </w:rPr>
        <w:tab/>
      </w:r>
      <w:r>
        <w:rPr>
          <w:rFonts w:hint="eastAsia" w:ascii="宋体" w:hAnsi="宋体"/>
          <w:sz w:val="24"/>
        </w:rPr>
        <w:t>承包人遇到不利物质条件时，应采取适应不利物质条件的合理措施继续施工，并及时通知监理人，通知应载明不利物质条件的内容以及承包人认为不可预见的理由。监理人应当及时发出指示，指示构成变更的，按第9条约定执行。监理人没有发出指示的，承包人因采取合理措施而增加的费用和（或）工期延误，由发包人承担。</w:t>
      </w:r>
    </w:p>
    <w:p>
      <w:pPr>
        <w:snapToGrid w:val="0"/>
        <w:spacing w:beforeLines="50"/>
        <w:ind w:left="991" w:hanging="991" w:hangingChars="413"/>
        <w:jc w:val="left"/>
        <w:outlineLvl w:val="2"/>
        <w:rPr>
          <w:rFonts w:ascii="黑体" w:eastAsia="黑体"/>
          <w:sz w:val="24"/>
        </w:rPr>
      </w:pPr>
      <w:bookmarkStart w:id="246" w:name="_Toc152042446"/>
      <w:bookmarkStart w:id="247" w:name="_Toc152045668"/>
      <w:bookmarkStart w:id="248" w:name="_Toc144974636"/>
      <w:bookmarkStart w:id="249" w:name="_Toc179632686"/>
      <w:bookmarkStart w:id="250" w:name="_Toc296602528"/>
      <w:bookmarkStart w:id="251" w:name="_Toc9312"/>
      <w:bookmarkStart w:id="252" w:name="_Toc5651"/>
      <w:r>
        <w:rPr>
          <w:rFonts w:hint="eastAsia" w:ascii="黑体" w:eastAsia="黑体"/>
          <w:sz w:val="24"/>
        </w:rPr>
        <w:t>5.</w:t>
      </w:r>
      <w:r>
        <w:rPr>
          <w:rFonts w:hint="eastAsia" w:ascii="黑体" w:eastAsia="黑体"/>
          <w:sz w:val="24"/>
        </w:rPr>
        <w:tab/>
      </w:r>
      <w:bookmarkEnd w:id="246"/>
      <w:bookmarkEnd w:id="247"/>
      <w:bookmarkEnd w:id="248"/>
      <w:bookmarkEnd w:id="249"/>
      <w:bookmarkStart w:id="253" w:name="_Toc144974637"/>
      <w:bookmarkStart w:id="254" w:name="_Toc152045669"/>
      <w:bookmarkStart w:id="255" w:name="_Toc152042447"/>
      <w:bookmarkStart w:id="256" w:name="_Toc179632687"/>
      <w:r>
        <w:rPr>
          <w:rFonts w:hint="eastAsia" w:ascii="黑体" w:eastAsia="黑体"/>
          <w:sz w:val="24"/>
        </w:rPr>
        <w:t>施工控制网</w:t>
      </w:r>
      <w:bookmarkEnd w:id="250"/>
      <w:bookmarkEnd w:id="251"/>
      <w:bookmarkEnd w:id="252"/>
      <w:bookmarkEnd w:id="253"/>
      <w:bookmarkEnd w:id="254"/>
      <w:bookmarkEnd w:id="255"/>
      <w:bookmarkEnd w:id="256"/>
    </w:p>
    <w:p>
      <w:pPr>
        <w:snapToGrid w:val="0"/>
        <w:spacing w:beforeLines="50"/>
        <w:ind w:left="991" w:hanging="991" w:hangingChars="413"/>
        <w:jc w:val="left"/>
        <w:rPr>
          <w:rFonts w:ascii="宋体" w:hAnsi="宋体"/>
          <w:sz w:val="24"/>
        </w:rPr>
      </w:pPr>
      <w:r>
        <w:rPr>
          <w:rFonts w:hint="eastAsia" w:ascii="宋体" w:hAnsi="宋体"/>
          <w:sz w:val="24"/>
        </w:rPr>
        <w:t>5.1</w:t>
      </w:r>
      <w:r>
        <w:rPr>
          <w:rFonts w:hint="eastAsia" w:ascii="宋体" w:hAnsi="宋体"/>
          <w:sz w:val="24"/>
        </w:rPr>
        <w:tab/>
      </w:r>
      <w:r>
        <w:rPr>
          <w:rFonts w:hint="eastAsia" w:ascii="宋体" w:hAnsi="宋体"/>
          <w:sz w:val="24"/>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napToGrid w:val="0"/>
        <w:spacing w:beforeLines="50"/>
        <w:ind w:left="991" w:hanging="991" w:hangingChars="413"/>
        <w:jc w:val="left"/>
        <w:rPr>
          <w:rFonts w:ascii="宋体" w:hAnsi="宋体"/>
          <w:sz w:val="24"/>
        </w:rPr>
      </w:pPr>
      <w:r>
        <w:rPr>
          <w:rFonts w:hint="eastAsia" w:ascii="宋体" w:hAnsi="宋体"/>
          <w:sz w:val="24"/>
        </w:rPr>
        <w:t>5.2</w:t>
      </w:r>
      <w:r>
        <w:rPr>
          <w:rFonts w:hint="eastAsia" w:ascii="宋体" w:hAnsi="宋体"/>
          <w:sz w:val="24"/>
        </w:rPr>
        <w:tab/>
      </w:r>
      <w:r>
        <w:rPr>
          <w:rFonts w:hint="eastAsia" w:ascii="宋体" w:hAnsi="宋体"/>
          <w:sz w:val="24"/>
        </w:rPr>
        <w:t>承包人应负责管理施工控制网点。施工控制网点丢失或损坏的，承包人应及时修复。承包人应承担施工控制网点的管理与修复费用，并在工程竣工后将施工控制网点移交发包人。</w:t>
      </w:r>
    </w:p>
    <w:p>
      <w:pPr>
        <w:snapToGrid w:val="0"/>
        <w:spacing w:beforeLines="50"/>
        <w:ind w:left="991" w:hanging="991" w:hangingChars="413"/>
        <w:jc w:val="left"/>
        <w:outlineLvl w:val="2"/>
        <w:rPr>
          <w:rFonts w:ascii="黑体" w:eastAsia="黑体"/>
          <w:sz w:val="24"/>
        </w:rPr>
      </w:pPr>
      <w:bookmarkStart w:id="257" w:name="_Toc152042457"/>
      <w:bookmarkStart w:id="258" w:name="_Toc179632697"/>
      <w:bookmarkStart w:id="259" w:name="_Toc144974647"/>
      <w:bookmarkStart w:id="260" w:name="_Toc152045679"/>
      <w:bookmarkStart w:id="261" w:name="_Toc296602529"/>
      <w:bookmarkStart w:id="262" w:name="_Toc14740"/>
      <w:bookmarkStart w:id="263" w:name="_Toc25277"/>
      <w:r>
        <w:rPr>
          <w:rFonts w:hint="eastAsia" w:ascii="黑体" w:eastAsia="黑体"/>
          <w:sz w:val="24"/>
        </w:rPr>
        <w:t>6.</w:t>
      </w:r>
      <w:r>
        <w:rPr>
          <w:rFonts w:hint="eastAsia" w:ascii="黑体" w:eastAsia="黑体"/>
          <w:sz w:val="24"/>
        </w:rPr>
        <w:tab/>
      </w:r>
      <w:bookmarkEnd w:id="257"/>
      <w:bookmarkEnd w:id="258"/>
      <w:bookmarkEnd w:id="259"/>
      <w:bookmarkEnd w:id="260"/>
      <w:r>
        <w:rPr>
          <w:rFonts w:hint="eastAsia" w:ascii="黑体" w:eastAsia="黑体"/>
          <w:sz w:val="24"/>
        </w:rPr>
        <w:t>工期</w:t>
      </w:r>
      <w:bookmarkEnd w:id="261"/>
      <w:bookmarkEnd w:id="262"/>
      <w:bookmarkEnd w:id="263"/>
    </w:p>
    <w:p>
      <w:pPr>
        <w:snapToGrid w:val="0"/>
        <w:spacing w:beforeLines="50"/>
        <w:ind w:left="991" w:hanging="991" w:hangingChars="413"/>
        <w:jc w:val="left"/>
        <w:rPr>
          <w:rFonts w:ascii="黑体" w:eastAsia="黑体"/>
          <w:sz w:val="24"/>
        </w:rPr>
      </w:pPr>
      <w:bookmarkStart w:id="264" w:name="_Toc296602530"/>
      <w:bookmarkStart w:id="265" w:name="_Toc152045682"/>
      <w:bookmarkStart w:id="266" w:name="_Toc179632700"/>
      <w:bookmarkStart w:id="267" w:name="_Toc152042460"/>
      <w:bookmarkStart w:id="268" w:name="_Toc144974650"/>
      <w:r>
        <w:rPr>
          <w:rFonts w:hint="eastAsia" w:ascii="黑体" w:eastAsia="黑体"/>
          <w:sz w:val="24"/>
        </w:rPr>
        <w:t>6.1</w:t>
      </w:r>
      <w:r>
        <w:rPr>
          <w:rFonts w:hint="eastAsia" w:ascii="黑体" w:eastAsia="黑体"/>
          <w:sz w:val="24"/>
        </w:rPr>
        <w:tab/>
      </w:r>
      <w:r>
        <w:rPr>
          <w:rFonts w:hint="eastAsia" w:ascii="黑体" w:eastAsia="黑体"/>
          <w:sz w:val="24"/>
        </w:rPr>
        <w:t>进度计划</w:t>
      </w:r>
      <w:bookmarkEnd w:id="264"/>
    </w:p>
    <w:p>
      <w:pPr>
        <w:snapToGrid w:val="0"/>
        <w:spacing w:beforeLines="50"/>
        <w:ind w:left="991" w:leftChars="472"/>
        <w:rPr>
          <w:rFonts w:ascii="宋体" w:hAnsi="宋体"/>
          <w:sz w:val="24"/>
        </w:rPr>
      </w:pPr>
      <w:r>
        <w:rPr>
          <w:rFonts w:hint="eastAsia" w:ascii="宋体" w:hAnsi="宋体"/>
          <w:sz w:val="24"/>
        </w:rPr>
        <w:t>承包</w:t>
      </w:r>
      <w:r>
        <w:rPr>
          <w:rFonts w:ascii="宋体" w:hAnsi="宋体"/>
          <w:sz w:val="24"/>
        </w:rPr>
        <w:t>人应按照</w:t>
      </w:r>
      <w:r>
        <w:rPr>
          <w:rFonts w:hint="eastAsia" w:ascii="宋体" w:hAnsi="宋体"/>
          <w:sz w:val="24"/>
        </w:rPr>
        <w:t>专用合同条款约</w:t>
      </w:r>
      <w:r>
        <w:rPr>
          <w:rFonts w:ascii="宋体" w:hAnsi="宋体"/>
          <w:sz w:val="24"/>
        </w:rPr>
        <w:t>定的时间，向监理人提交进度计划</w:t>
      </w:r>
      <w:r>
        <w:rPr>
          <w:rFonts w:hint="eastAsia" w:ascii="宋体" w:hAnsi="宋体"/>
          <w:sz w:val="24"/>
        </w:rPr>
        <w:t>。</w:t>
      </w:r>
      <w:r>
        <w:rPr>
          <w:rFonts w:ascii="宋体" w:hAnsi="宋体"/>
          <w:sz w:val="24"/>
        </w:rPr>
        <w:t>经监理人审批后</w:t>
      </w:r>
      <w:r>
        <w:rPr>
          <w:rFonts w:hint="eastAsia" w:ascii="宋体" w:hAnsi="宋体"/>
          <w:sz w:val="24"/>
        </w:rPr>
        <w:t>的进度计划具有合同约束力，承包人应当严格执行。实际进度与进度计划不符时，监理人应当指示承包人对进度计划进行修订，重新提交给监理人审批。</w:t>
      </w:r>
    </w:p>
    <w:bookmarkEnd w:id="265"/>
    <w:bookmarkEnd w:id="266"/>
    <w:bookmarkEnd w:id="267"/>
    <w:bookmarkEnd w:id="268"/>
    <w:p>
      <w:pPr>
        <w:snapToGrid w:val="0"/>
        <w:spacing w:beforeLines="50"/>
        <w:ind w:left="991" w:hanging="991" w:hangingChars="413"/>
        <w:jc w:val="left"/>
        <w:rPr>
          <w:rFonts w:ascii="黑体" w:eastAsia="黑体"/>
          <w:sz w:val="24"/>
        </w:rPr>
      </w:pPr>
      <w:bookmarkStart w:id="269" w:name="_Toc296602531"/>
      <w:r>
        <w:rPr>
          <w:rFonts w:hint="eastAsia" w:ascii="黑体" w:eastAsia="黑体"/>
          <w:sz w:val="24"/>
        </w:rPr>
        <w:t>6.2</w:t>
      </w:r>
      <w:r>
        <w:rPr>
          <w:rFonts w:hint="eastAsia" w:ascii="黑体" w:eastAsia="黑体"/>
          <w:sz w:val="24"/>
        </w:rPr>
        <w:tab/>
      </w:r>
      <w:r>
        <w:rPr>
          <w:rFonts w:hint="eastAsia" w:ascii="黑体" w:eastAsia="黑体"/>
          <w:sz w:val="24"/>
        </w:rPr>
        <w:t>工程实施</w:t>
      </w:r>
      <w:bookmarkEnd w:id="269"/>
    </w:p>
    <w:p>
      <w:pPr>
        <w:snapToGrid w:val="0"/>
        <w:spacing w:beforeLines="50"/>
        <w:ind w:left="991" w:leftChars="472"/>
        <w:rPr>
          <w:rFonts w:ascii="宋体" w:hAnsi="宋体"/>
          <w:sz w:val="24"/>
        </w:rPr>
      </w:pPr>
      <w:r>
        <w:rPr>
          <w:rFonts w:hint="eastAsia" w:ascii="宋体" w:hAnsi="宋体"/>
          <w:sz w:val="24"/>
        </w:rPr>
        <w:t>监理人应在开工日期7天前向承包人发出开工通知。承包人应在第</w:t>
      </w:r>
      <w:r>
        <w:rPr>
          <w:rFonts w:ascii="宋体" w:hAnsi="宋体"/>
          <w:sz w:val="24"/>
        </w:rPr>
        <w:t>1.1.4.3</w:t>
      </w:r>
      <w:r>
        <w:rPr>
          <w:rFonts w:hint="eastAsia" w:ascii="宋体" w:hAnsi="宋体"/>
          <w:sz w:val="24"/>
        </w:rPr>
        <w:t>目约定的期限内完成合同工程。实际竣工日期在接收证书中写明。</w:t>
      </w:r>
    </w:p>
    <w:p>
      <w:pPr>
        <w:snapToGrid w:val="0"/>
        <w:spacing w:beforeLines="50"/>
        <w:ind w:left="991" w:hanging="991" w:hangingChars="413"/>
        <w:jc w:val="left"/>
        <w:rPr>
          <w:rFonts w:ascii="黑体" w:eastAsia="黑体"/>
          <w:sz w:val="24"/>
        </w:rPr>
      </w:pPr>
      <w:bookmarkStart w:id="270" w:name="_Toc296602532"/>
      <w:bookmarkStart w:id="271" w:name="_Toc179632703"/>
      <w:bookmarkStart w:id="272" w:name="_Toc144974653"/>
      <w:bookmarkStart w:id="273" w:name="_Toc152045685"/>
      <w:bookmarkStart w:id="274" w:name="_Toc152042463"/>
      <w:r>
        <w:rPr>
          <w:rFonts w:hint="eastAsia" w:ascii="黑体" w:eastAsia="黑体"/>
          <w:sz w:val="24"/>
        </w:rPr>
        <w:t>6.3</w:t>
      </w:r>
      <w:r>
        <w:rPr>
          <w:rFonts w:hint="eastAsia" w:ascii="黑体" w:eastAsia="黑体"/>
          <w:sz w:val="24"/>
        </w:rPr>
        <w:tab/>
      </w:r>
      <w:r>
        <w:rPr>
          <w:rFonts w:hint="eastAsia" w:ascii="黑体" w:eastAsia="黑体"/>
          <w:sz w:val="24"/>
        </w:rPr>
        <w:t>发包人引起的工期延误</w:t>
      </w:r>
      <w:bookmarkEnd w:id="270"/>
      <w:bookmarkEnd w:id="271"/>
      <w:bookmarkEnd w:id="272"/>
      <w:bookmarkEnd w:id="273"/>
      <w:bookmarkEnd w:id="274"/>
    </w:p>
    <w:p>
      <w:pPr>
        <w:snapToGrid w:val="0"/>
        <w:spacing w:beforeLines="50"/>
        <w:ind w:left="991" w:leftChars="472"/>
        <w:rPr>
          <w:rFonts w:ascii="宋体" w:hAnsi="宋体"/>
          <w:sz w:val="24"/>
        </w:rPr>
      </w:pPr>
      <w:r>
        <w:rPr>
          <w:rFonts w:hint="eastAsia" w:ascii="宋体" w:hAnsi="宋体"/>
          <w:sz w:val="24"/>
        </w:rPr>
        <w:t>在履行合同过程中，由于发包人的下列原因造成工期延误的，承包人有权要求发包人延长工期和（或）增加费用，并支付合理利润。需要修订合同进度计划的，按照第6.1款的约定执行。</w:t>
      </w:r>
    </w:p>
    <w:p>
      <w:pPr>
        <w:snapToGrid w:val="0"/>
        <w:spacing w:beforeLines="50"/>
        <w:ind w:left="991" w:leftChars="472"/>
        <w:rPr>
          <w:rFonts w:ascii="宋体" w:hAnsi="宋体"/>
          <w:sz w:val="24"/>
        </w:rPr>
      </w:pPr>
      <w:r>
        <w:rPr>
          <w:rFonts w:hint="eastAsia" w:ascii="宋体" w:hAnsi="宋体"/>
          <w:sz w:val="24"/>
        </w:rPr>
        <w:t>（1）增加合同工作内容；</w:t>
      </w:r>
    </w:p>
    <w:p>
      <w:pPr>
        <w:snapToGrid w:val="0"/>
        <w:spacing w:beforeLines="50"/>
        <w:ind w:left="991" w:leftChars="472"/>
        <w:rPr>
          <w:rFonts w:ascii="宋体" w:hAnsi="宋体"/>
          <w:sz w:val="24"/>
        </w:rPr>
      </w:pPr>
      <w:r>
        <w:rPr>
          <w:rFonts w:hint="eastAsia" w:ascii="宋体" w:hAnsi="宋体"/>
          <w:sz w:val="24"/>
        </w:rPr>
        <w:t>（2）改变合同中任何一项工作的质量要求或其他特性；</w:t>
      </w:r>
    </w:p>
    <w:p>
      <w:pPr>
        <w:snapToGrid w:val="0"/>
        <w:spacing w:beforeLines="50"/>
        <w:ind w:left="991" w:leftChars="472"/>
        <w:rPr>
          <w:rFonts w:ascii="宋体" w:hAnsi="宋体"/>
          <w:sz w:val="24"/>
        </w:rPr>
      </w:pPr>
      <w:r>
        <w:rPr>
          <w:rFonts w:hint="eastAsia" w:ascii="宋体" w:hAnsi="宋体"/>
          <w:sz w:val="24"/>
        </w:rPr>
        <w:t>（3）发包人迟延提供材料、工程设备或变更交货地点；</w:t>
      </w:r>
    </w:p>
    <w:p>
      <w:pPr>
        <w:snapToGrid w:val="0"/>
        <w:spacing w:beforeLines="50"/>
        <w:ind w:left="991" w:leftChars="472"/>
        <w:rPr>
          <w:rFonts w:ascii="宋体" w:hAnsi="宋体"/>
          <w:sz w:val="24"/>
        </w:rPr>
      </w:pPr>
      <w:r>
        <w:rPr>
          <w:rFonts w:hint="eastAsia" w:ascii="宋体" w:hAnsi="宋体"/>
          <w:sz w:val="24"/>
        </w:rPr>
        <w:t>（4）因发包人原因导致的暂停施工；</w:t>
      </w:r>
    </w:p>
    <w:p>
      <w:pPr>
        <w:snapToGrid w:val="0"/>
        <w:spacing w:beforeLines="50"/>
        <w:ind w:left="991" w:leftChars="472"/>
        <w:rPr>
          <w:rFonts w:ascii="宋体" w:hAnsi="宋体"/>
          <w:sz w:val="24"/>
        </w:rPr>
      </w:pPr>
      <w:r>
        <w:rPr>
          <w:rFonts w:hint="eastAsia" w:ascii="宋体" w:hAnsi="宋体"/>
          <w:sz w:val="24"/>
        </w:rPr>
        <w:t>（5）提供图纸延误；</w:t>
      </w:r>
    </w:p>
    <w:p>
      <w:pPr>
        <w:snapToGrid w:val="0"/>
        <w:spacing w:beforeLines="50"/>
        <w:ind w:left="991" w:leftChars="472"/>
        <w:rPr>
          <w:rFonts w:ascii="宋体" w:hAnsi="宋体"/>
          <w:sz w:val="24"/>
        </w:rPr>
      </w:pPr>
      <w:r>
        <w:rPr>
          <w:rFonts w:hint="eastAsia" w:ascii="宋体" w:hAnsi="宋体"/>
          <w:sz w:val="24"/>
        </w:rPr>
        <w:t>（6）未按合同约定及时支付预付款、进度款；</w:t>
      </w:r>
    </w:p>
    <w:p>
      <w:pPr>
        <w:snapToGrid w:val="0"/>
        <w:spacing w:beforeLines="50"/>
        <w:ind w:left="991" w:leftChars="472"/>
        <w:rPr>
          <w:rFonts w:ascii="宋体" w:hAnsi="宋体"/>
          <w:sz w:val="24"/>
        </w:rPr>
      </w:pPr>
      <w:r>
        <w:rPr>
          <w:rFonts w:hint="eastAsia" w:ascii="宋体" w:hAnsi="宋体"/>
          <w:sz w:val="24"/>
        </w:rPr>
        <w:t>（7）发包人造成工期延误的其他原因。</w:t>
      </w:r>
    </w:p>
    <w:p>
      <w:pPr>
        <w:snapToGrid w:val="0"/>
        <w:spacing w:beforeLines="50"/>
        <w:ind w:left="991" w:hanging="991" w:hangingChars="413"/>
        <w:jc w:val="left"/>
        <w:rPr>
          <w:rFonts w:ascii="黑体" w:eastAsia="黑体"/>
          <w:sz w:val="24"/>
        </w:rPr>
      </w:pPr>
      <w:bookmarkStart w:id="275" w:name="_Toc152045686"/>
      <w:bookmarkStart w:id="276" w:name="_Toc152042464"/>
      <w:bookmarkStart w:id="277" w:name="_Toc296602533"/>
      <w:bookmarkStart w:id="278" w:name="_Toc144974654"/>
      <w:bookmarkStart w:id="279" w:name="_Toc179632704"/>
      <w:r>
        <w:rPr>
          <w:rFonts w:hint="eastAsia" w:ascii="黑体" w:eastAsia="黑体"/>
          <w:sz w:val="24"/>
        </w:rPr>
        <w:t>6.4</w:t>
      </w:r>
      <w:r>
        <w:rPr>
          <w:rFonts w:hint="eastAsia" w:ascii="黑体" w:eastAsia="黑体"/>
          <w:sz w:val="24"/>
        </w:rPr>
        <w:tab/>
      </w:r>
      <w:r>
        <w:rPr>
          <w:rFonts w:hint="eastAsia" w:ascii="黑体" w:eastAsia="黑体"/>
          <w:sz w:val="24"/>
        </w:rPr>
        <w:t>异常恶劣的气候条件</w:t>
      </w:r>
      <w:bookmarkEnd w:id="275"/>
      <w:bookmarkEnd w:id="276"/>
      <w:bookmarkEnd w:id="277"/>
      <w:bookmarkEnd w:id="278"/>
      <w:bookmarkEnd w:id="279"/>
    </w:p>
    <w:p>
      <w:pPr>
        <w:snapToGrid w:val="0"/>
        <w:spacing w:beforeLines="50"/>
        <w:ind w:left="991" w:leftChars="472"/>
        <w:rPr>
          <w:rFonts w:ascii="宋体" w:hAnsi="宋体"/>
          <w:sz w:val="24"/>
        </w:rPr>
      </w:pPr>
      <w:r>
        <w:rPr>
          <w:rFonts w:hint="eastAsia" w:ascii="宋体" w:hAnsi="宋体"/>
          <w:sz w:val="24"/>
        </w:rPr>
        <w:t>由于出现专用合同条款约定的异常恶劣气候导致工期延误的，承包人有权要求发包人延长工期。</w:t>
      </w:r>
    </w:p>
    <w:p>
      <w:pPr>
        <w:snapToGrid w:val="0"/>
        <w:spacing w:beforeLines="50"/>
        <w:ind w:left="991" w:hanging="991" w:hangingChars="413"/>
        <w:jc w:val="left"/>
        <w:rPr>
          <w:rFonts w:ascii="黑体" w:eastAsia="黑体"/>
          <w:sz w:val="24"/>
        </w:rPr>
      </w:pPr>
      <w:bookmarkStart w:id="280" w:name="_Toc179632705"/>
      <w:bookmarkStart w:id="281" w:name="_Toc296602534"/>
      <w:bookmarkStart w:id="282" w:name="_Toc152042465"/>
      <w:bookmarkStart w:id="283" w:name="_Toc144974655"/>
      <w:bookmarkStart w:id="284" w:name="_Toc152045687"/>
      <w:r>
        <w:rPr>
          <w:rFonts w:hint="eastAsia" w:ascii="黑体" w:eastAsia="黑体"/>
          <w:sz w:val="24"/>
        </w:rPr>
        <w:t>6.5</w:t>
      </w:r>
      <w:r>
        <w:rPr>
          <w:rFonts w:hint="eastAsia" w:ascii="黑体" w:eastAsia="黑体"/>
          <w:sz w:val="24"/>
        </w:rPr>
        <w:tab/>
      </w:r>
      <w:r>
        <w:rPr>
          <w:rFonts w:hint="eastAsia" w:ascii="黑体" w:eastAsia="黑体"/>
          <w:sz w:val="24"/>
        </w:rPr>
        <w:t>承包人引起的工期延误</w:t>
      </w:r>
      <w:bookmarkEnd w:id="280"/>
      <w:bookmarkEnd w:id="281"/>
      <w:bookmarkEnd w:id="282"/>
      <w:bookmarkEnd w:id="283"/>
      <w:bookmarkEnd w:id="284"/>
    </w:p>
    <w:p>
      <w:pPr>
        <w:snapToGrid w:val="0"/>
        <w:spacing w:beforeLines="50"/>
        <w:ind w:left="991" w:leftChars="472"/>
        <w:rPr>
          <w:rFonts w:ascii="宋体" w:hAnsi="宋体"/>
          <w:sz w:val="24"/>
        </w:rPr>
      </w:pPr>
      <w:r>
        <w:rPr>
          <w:rFonts w:ascii="宋体" w:hAnsi="宋体"/>
          <w:sz w:val="24"/>
        </w:rPr>
        <w:t>由于</w:t>
      </w:r>
      <w:r>
        <w:rPr>
          <w:rFonts w:hint="eastAsia" w:ascii="宋体" w:hAnsi="宋体"/>
          <w:sz w:val="24"/>
        </w:rPr>
        <w:t>承包</w:t>
      </w:r>
      <w:r>
        <w:rPr>
          <w:rFonts w:ascii="宋体" w:hAnsi="宋体"/>
          <w:sz w:val="24"/>
        </w:rPr>
        <w:t>人原因造成工期延误，</w:t>
      </w:r>
      <w:r>
        <w:rPr>
          <w:rFonts w:hint="eastAsia" w:ascii="宋体" w:hAnsi="宋体"/>
          <w:sz w:val="24"/>
        </w:rPr>
        <w:t>承包</w:t>
      </w:r>
      <w:r>
        <w:rPr>
          <w:rFonts w:ascii="宋体" w:hAnsi="宋体"/>
          <w:sz w:val="24"/>
        </w:rPr>
        <w:t>人应按照</w:t>
      </w:r>
      <w:r>
        <w:rPr>
          <w:rFonts w:hint="eastAsia" w:ascii="宋体" w:hAnsi="宋体"/>
          <w:sz w:val="24"/>
        </w:rPr>
        <w:t>专用合同条款</w:t>
      </w:r>
      <w:r>
        <w:rPr>
          <w:rFonts w:ascii="宋体" w:hAnsi="宋体"/>
          <w:sz w:val="24"/>
        </w:rPr>
        <w:t>中约定的逾期竣工违约金计算方法</w:t>
      </w:r>
      <w:r>
        <w:rPr>
          <w:rFonts w:hint="eastAsia" w:ascii="宋体" w:hAnsi="宋体"/>
          <w:sz w:val="24"/>
        </w:rPr>
        <w:t>和最高限额</w:t>
      </w:r>
      <w:r>
        <w:rPr>
          <w:rFonts w:ascii="宋体" w:hAnsi="宋体"/>
          <w:sz w:val="24"/>
        </w:rPr>
        <w:t>，支付逾期竣工违约金</w:t>
      </w:r>
      <w:r>
        <w:rPr>
          <w:rFonts w:hint="eastAsia" w:ascii="宋体" w:hAnsi="宋体"/>
          <w:sz w:val="24"/>
        </w:rPr>
        <w:t>。承包人支付逾期竣工违约金，不免除承包人完成工程及修补缺陷的义务。</w:t>
      </w:r>
    </w:p>
    <w:bookmarkEnd w:id="238"/>
    <w:bookmarkEnd w:id="239"/>
    <w:bookmarkEnd w:id="240"/>
    <w:p>
      <w:pPr>
        <w:snapToGrid w:val="0"/>
        <w:spacing w:beforeLines="50"/>
        <w:ind w:left="991" w:hanging="991" w:hangingChars="413"/>
        <w:jc w:val="left"/>
        <w:outlineLvl w:val="2"/>
        <w:rPr>
          <w:rFonts w:ascii="黑体" w:eastAsia="黑体"/>
          <w:sz w:val="24"/>
        </w:rPr>
      </w:pPr>
      <w:bookmarkStart w:id="285" w:name="_Toc246997034"/>
      <w:bookmarkStart w:id="286" w:name="_Toc296602535"/>
      <w:bookmarkStart w:id="287" w:name="_Toc246996291"/>
      <w:bookmarkStart w:id="288" w:name="_Toc184635110"/>
      <w:bookmarkStart w:id="289" w:name="_Toc247085806"/>
      <w:bookmarkStart w:id="290" w:name="_Toc32611"/>
      <w:bookmarkStart w:id="291" w:name="_Toc13114"/>
      <w:r>
        <w:rPr>
          <w:rFonts w:hint="eastAsia" w:ascii="黑体" w:eastAsia="黑体"/>
          <w:sz w:val="24"/>
        </w:rPr>
        <w:t>7.</w:t>
      </w:r>
      <w:r>
        <w:rPr>
          <w:rFonts w:hint="eastAsia" w:ascii="黑体" w:eastAsia="黑体"/>
          <w:sz w:val="24"/>
        </w:rPr>
        <w:tab/>
      </w:r>
      <w:r>
        <w:rPr>
          <w:rFonts w:hint="eastAsia" w:ascii="黑体" w:eastAsia="黑体"/>
          <w:sz w:val="24"/>
        </w:rPr>
        <w:t>工程质量</w:t>
      </w:r>
      <w:bookmarkEnd w:id="285"/>
      <w:bookmarkEnd w:id="286"/>
      <w:bookmarkEnd w:id="287"/>
      <w:bookmarkEnd w:id="288"/>
      <w:bookmarkEnd w:id="289"/>
      <w:bookmarkEnd w:id="290"/>
      <w:bookmarkEnd w:id="291"/>
    </w:p>
    <w:p>
      <w:pPr>
        <w:snapToGrid w:val="0"/>
        <w:spacing w:beforeLines="50"/>
        <w:ind w:left="991" w:hanging="991" w:hangingChars="413"/>
        <w:jc w:val="left"/>
        <w:rPr>
          <w:rFonts w:ascii="黑体" w:eastAsia="黑体"/>
          <w:sz w:val="24"/>
        </w:rPr>
      </w:pPr>
      <w:bookmarkStart w:id="292" w:name="_Toc246996292"/>
      <w:bookmarkStart w:id="293" w:name="_Toc246997035"/>
      <w:bookmarkStart w:id="294" w:name="_Toc247085807"/>
      <w:bookmarkStart w:id="295" w:name="_Toc296602536"/>
      <w:r>
        <w:rPr>
          <w:rFonts w:hint="eastAsia" w:ascii="黑体" w:eastAsia="黑体"/>
          <w:sz w:val="24"/>
        </w:rPr>
        <w:t>7.1</w:t>
      </w:r>
      <w:r>
        <w:rPr>
          <w:rFonts w:hint="eastAsia" w:ascii="黑体" w:eastAsia="黑体"/>
          <w:sz w:val="24"/>
        </w:rPr>
        <w:tab/>
      </w:r>
      <w:r>
        <w:rPr>
          <w:rFonts w:hint="eastAsia" w:ascii="黑体" w:eastAsia="黑体"/>
          <w:sz w:val="24"/>
        </w:rPr>
        <w:t>工程质量要求</w:t>
      </w:r>
      <w:bookmarkEnd w:id="292"/>
      <w:bookmarkEnd w:id="293"/>
      <w:bookmarkEnd w:id="294"/>
      <w:bookmarkEnd w:id="295"/>
    </w:p>
    <w:p>
      <w:pPr>
        <w:snapToGrid w:val="0"/>
        <w:spacing w:beforeLines="50"/>
        <w:ind w:left="991" w:leftChars="472"/>
        <w:rPr>
          <w:rFonts w:ascii="宋体" w:hAnsi="宋体"/>
          <w:sz w:val="24"/>
        </w:rPr>
      </w:pPr>
      <w:r>
        <w:rPr>
          <w:rFonts w:hint="eastAsia" w:ascii="宋体" w:hAnsi="宋体"/>
          <w:sz w:val="24"/>
        </w:rPr>
        <w:t>工程质量验收按照合同约定的验收标准执行。</w:t>
      </w:r>
    </w:p>
    <w:p>
      <w:pPr>
        <w:snapToGrid w:val="0"/>
        <w:spacing w:beforeLines="50"/>
        <w:ind w:left="991" w:hanging="991" w:hangingChars="413"/>
        <w:jc w:val="left"/>
        <w:rPr>
          <w:rFonts w:ascii="黑体" w:eastAsia="黑体"/>
          <w:sz w:val="24"/>
        </w:rPr>
      </w:pPr>
      <w:bookmarkStart w:id="296" w:name="_Toc247085808"/>
      <w:bookmarkStart w:id="297" w:name="_Toc296602537"/>
      <w:bookmarkStart w:id="298" w:name="_Toc246997036"/>
      <w:bookmarkStart w:id="299" w:name="_Toc246996293"/>
      <w:r>
        <w:rPr>
          <w:rFonts w:hint="eastAsia" w:ascii="黑体" w:eastAsia="黑体"/>
          <w:sz w:val="24"/>
        </w:rPr>
        <w:t>7.2</w:t>
      </w:r>
      <w:r>
        <w:rPr>
          <w:rFonts w:hint="eastAsia" w:ascii="黑体" w:eastAsia="黑体"/>
          <w:sz w:val="24"/>
        </w:rPr>
        <w:tab/>
      </w:r>
      <w:r>
        <w:rPr>
          <w:rFonts w:hint="eastAsia" w:ascii="黑体" w:eastAsia="黑体"/>
          <w:sz w:val="24"/>
        </w:rPr>
        <w:t>监理人的质量检查</w:t>
      </w:r>
      <w:bookmarkEnd w:id="296"/>
      <w:bookmarkEnd w:id="297"/>
      <w:bookmarkEnd w:id="298"/>
      <w:bookmarkEnd w:id="299"/>
    </w:p>
    <w:p>
      <w:pPr>
        <w:snapToGrid w:val="0"/>
        <w:spacing w:beforeLines="50"/>
        <w:ind w:left="991" w:leftChars="472"/>
        <w:rPr>
          <w:rFonts w:ascii="宋体" w:hAnsi="宋体"/>
          <w:sz w:val="24"/>
        </w:rPr>
      </w:pPr>
      <w:r>
        <w:rPr>
          <w:rFonts w:hint="eastAsia" w:ascii="宋体" w:hAnsi="宋体"/>
          <w:sz w:val="24"/>
        </w:rPr>
        <w:t>监理人有权对工程的所有部位及其施工工艺、材料和工程设备进行检查和检验。监理人的检查和检验，不免除承包人按合同约定应负的责任。</w:t>
      </w:r>
    </w:p>
    <w:p>
      <w:pPr>
        <w:snapToGrid w:val="0"/>
        <w:spacing w:beforeLines="50"/>
        <w:ind w:left="991" w:hanging="991" w:hangingChars="413"/>
        <w:jc w:val="left"/>
        <w:rPr>
          <w:rFonts w:ascii="黑体" w:eastAsia="黑体"/>
          <w:sz w:val="24"/>
        </w:rPr>
      </w:pPr>
      <w:bookmarkStart w:id="300" w:name="_Toc296602538"/>
      <w:bookmarkStart w:id="301" w:name="_Toc246997037"/>
      <w:bookmarkStart w:id="302" w:name="_Toc246996294"/>
      <w:bookmarkStart w:id="303" w:name="_Toc247085809"/>
      <w:r>
        <w:rPr>
          <w:rFonts w:hint="eastAsia" w:ascii="黑体" w:eastAsia="黑体"/>
          <w:sz w:val="24"/>
        </w:rPr>
        <w:t>7.3</w:t>
      </w:r>
      <w:r>
        <w:rPr>
          <w:rFonts w:hint="eastAsia" w:ascii="黑体" w:eastAsia="黑体"/>
          <w:sz w:val="24"/>
        </w:rPr>
        <w:tab/>
      </w:r>
      <w:r>
        <w:rPr>
          <w:rFonts w:hint="eastAsia" w:ascii="黑体" w:eastAsia="黑体"/>
          <w:sz w:val="24"/>
        </w:rPr>
        <w:t>工程隐蔽部位覆盖前的检查</w:t>
      </w:r>
      <w:bookmarkEnd w:id="300"/>
      <w:bookmarkEnd w:id="301"/>
      <w:bookmarkEnd w:id="302"/>
      <w:bookmarkEnd w:id="303"/>
    </w:p>
    <w:p>
      <w:pPr>
        <w:snapToGrid w:val="0"/>
        <w:spacing w:beforeLines="50"/>
        <w:ind w:left="991" w:leftChars="472"/>
        <w:rPr>
          <w:rFonts w:ascii="宋体" w:hAnsi="宋体"/>
          <w:sz w:val="24"/>
        </w:rPr>
      </w:pPr>
      <w:r>
        <w:rPr>
          <w:rFonts w:hint="eastAsia" w:ascii="宋体" w:hAnsi="宋体"/>
          <w:sz w:val="24"/>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w:t>
      </w:r>
      <w:r>
        <w:rPr>
          <w:rFonts w:ascii="宋体" w:hAnsi="宋体"/>
          <w:sz w:val="24"/>
        </w:rPr>
        <w:t>可</w:t>
      </w:r>
      <w:r>
        <w:rPr>
          <w:rFonts w:hint="eastAsia" w:ascii="宋体" w:hAnsi="宋体"/>
          <w:sz w:val="24"/>
        </w:rPr>
        <w:t>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napToGrid w:val="0"/>
        <w:spacing w:beforeLines="50"/>
        <w:ind w:left="991" w:leftChars="472"/>
        <w:rPr>
          <w:rFonts w:ascii="宋体" w:hAnsi="宋体"/>
          <w:sz w:val="24"/>
        </w:rPr>
      </w:pPr>
      <w:r>
        <w:rPr>
          <w:rFonts w:hint="eastAsia" w:ascii="宋体" w:hAnsi="宋体"/>
          <w:sz w:val="24"/>
        </w:rPr>
        <w:t>承包人未通知监理人到场检查，私自将工程隐蔽部位覆盖的，监理人有权指示承包人钻孔探测或揭开检查，无论工程隐蔽部位质量是否合格，由此增加的费用和（或）工期延误由承包人承担。</w:t>
      </w:r>
    </w:p>
    <w:p>
      <w:pPr>
        <w:snapToGrid w:val="0"/>
        <w:spacing w:beforeLines="50"/>
        <w:ind w:left="991" w:hanging="991" w:hangingChars="413"/>
        <w:jc w:val="left"/>
        <w:rPr>
          <w:rFonts w:ascii="黑体" w:eastAsia="黑体"/>
          <w:sz w:val="24"/>
        </w:rPr>
      </w:pPr>
      <w:bookmarkStart w:id="304" w:name="_Toc246996295"/>
      <w:bookmarkStart w:id="305" w:name="_Toc296602539"/>
      <w:bookmarkStart w:id="306" w:name="_Toc246997038"/>
      <w:bookmarkStart w:id="307" w:name="_Toc247085810"/>
      <w:r>
        <w:rPr>
          <w:rFonts w:hint="eastAsia" w:ascii="黑体" w:eastAsia="黑体"/>
          <w:sz w:val="24"/>
        </w:rPr>
        <w:t>7.4</w:t>
      </w:r>
      <w:r>
        <w:rPr>
          <w:rFonts w:hint="eastAsia" w:ascii="黑体" w:eastAsia="黑体"/>
          <w:sz w:val="24"/>
        </w:rPr>
        <w:tab/>
      </w:r>
      <w:r>
        <w:rPr>
          <w:rFonts w:hint="eastAsia" w:ascii="黑体" w:eastAsia="黑体"/>
          <w:sz w:val="24"/>
        </w:rPr>
        <w:t>清除不合格工程</w:t>
      </w:r>
      <w:bookmarkEnd w:id="304"/>
      <w:bookmarkEnd w:id="305"/>
      <w:bookmarkEnd w:id="306"/>
      <w:bookmarkEnd w:id="307"/>
    </w:p>
    <w:p>
      <w:pPr>
        <w:snapToGrid w:val="0"/>
        <w:spacing w:beforeLines="50"/>
        <w:ind w:left="991" w:leftChars="472"/>
        <w:rPr>
          <w:rFonts w:ascii="宋体" w:hAnsi="宋体"/>
          <w:sz w:val="24"/>
        </w:rPr>
      </w:pPr>
      <w:r>
        <w:rPr>
          <w:rFonts w:ascii="宋体" w:hAnsi="宋体"/>
          <w:sz w:val="24"/>
        </w:rPr>
        <w:t>由于</w:t>
      </w:r>
      <w:r>
        <w:rPr>
          <w:rFonts w:hint="eastAsia" w:ascii="宋体" w:hAnsi="宋体"/>
          <w:sz w:val="24"/>
        </w:rPr>
        <w:t>承包</w:t>
      </w:r>
      <w:r>
        <w:rPr>
          <w:rFonts w:ascii="宋体" w:hAnsi="宋体"/>
          <w:sz w:val="24"/>
        </w:rPr>
        <w:t>人的材料、工程设备，或采用施工工艺不符合合同</w:t>
      </w:r>
      <w:r>
        <w:rPr>
          <w:rFonts w:hint="eastAsia" w:ascii="宋体" w:hAnsi="宋体"/>
          <w:sz w:val="24"/>
        </w:rPr>
        <w:t>要求</w:t>
      </w:r>
      <w:r>
        <w:rPr>
          <w:rFonts w:ascii="宋体" w:hAnsi="宋体"/>
          <w:sz w:val="24"/>
        </w:rPr>
        <w:t>造成的任何缺陷，监理人可以随时发出指示，要求承包人立即采取措施进行补救，直至达到合同要求的质量标准，由此增加的费用和（或）工期延误由</w:t>
      </w:r>
      <w:r>
        <w:rPr>
          <w:rFonts w:hint="eastAsia" w:ascii="宋体" w:hAnsi="宋体"/>
          <w:sz w:val="24"/>
        </w:rPr>
        <w:t>承包</w:t>
      </w:r>
      <w:r>
        <w:rPr>
          <w:rFonts w:ascii="宋体" w:hAnsi="宋体"/>
          <w:sz w:val="24"/>
        </w:rPr>
        <w:t>人承担</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308" w:name="_Toc246996296"/>
      <w:bookmarkStart w:id="309" w:name="_Toc247085811"/>
      <w:bookmarkStart w:id="310" w:name="_Toc296602540"/>
      <w:bookmarkStart w:id="311" w:name="_Toc246997039"/>
      <w:bookmarkStart w:id="312" w:name="_Toc17189"/>
      <w:bookmarkStart w:id="313" w:name="_Toc6981"/>
      <w:r>
        <w:rPr>
          <w:rFonts w:hint="eastAsia" w:ascii="黑体" w:eastAsia="黑体"/>
          <w:sz w:val="24"/>
        </w:rPr>
        <w:t>8.</w:t>
      </w:r>
      <w:r>
        <w:rPr>
          <w:rFonts w:hint="eastAsia" w:ascii="黑体" w:eastAsia="黑体"/>
          <w:sz w:val="24"/>
        </w:rPr>
        <w:tab/>
      </w:r>
      <w:r>
        <w:rPr>
          <w:rFonts w:hint="eastAsia" w:ascii="黑体" w:eastAsia="黑体"/>
          <w:sz w:val="24"/>
        </w:rPr>
        <w:t>试验和检验</w:t>
      </w:r>
      <w:bookmarkEnd w:id="308"/>
      <w:bookmarkEnd w:id="309"/>
      <w:bookmarkEnd w:id="310"/>
      <w:bookmarkEnd w:id="311"/>
      <w:bookmarkEnd w:id="312"/>
      <w:bookmarkEnd w:id="313"/>
    </w:p>
    <w:p>
      <w:pPr>
        <w:snapToGrid w:val="0"/>
        <w:spacing w:beforeLines="50"/>
        <w:ind w:left="991" w:hanging="991" w:hangingChars="413"/>
        <w:jc w:val="left"/>
        <w:rPr>
          <w:rFonts w:ascii="黑体" w:eastAsia="黑体"/>
          <w:sz w:val="24"/>
        </w:rPr>
      </w:pPr>
      <w:bookmarkStart w:id="314" w:name="_Toc152045703"/>
      <w:bookmarkStart w:id="315" w:name="_Toc179632721"/>
      <w:bookmarkStart w:id="316" w:name="_Toc144974672"/>
      <w:bookmarkStart w:id="317" w:name="_Toc296602541"/>
      <w:bookmarkStart w:id="318" w:name="_Toc152042481"/>
      <w:r>
        <w:rPr>
          <w:rFonts w:hint="eastAsia" w:ascii="黑体" w:eastAsia="黑体"/>
          <w:sz w:val="24"/>
        </w:rPr>
        <w:t>8.1</w:t>
      </w:r>
      <w:r>
        <w:rPr>
          <w:rFonts w:hint="eastAsia" w:ascii="黑体" w:eastAsia="黑体"/>
          <w:sz w:val="24"/>
        </w:rPr>
        <w:tab/>
      </w:r>
      <w:r>
        <w:rPr>
          <w:rFonts w:hint="eastAsia" w:ascii="黑体" w:eastAsia="黑体"/>
          <w:sz w:val="24"/>
        </w:rPr>
        <w:t>材料、工程设备和工程的试验和检验</w:t>
      </w:r>
      <w:bookmarkEnd w:id="314"/>
      <w:bookmarkEnd w:id="315"/>
      <w:bookmarkEnd w:id="316"/>
      <w:bookmarkEnd w:id="317"/>
      <w:bookmarkEnd w:id="318"/>
    </w:p>
    <w:p>
      <w:pPr>
        <w:snapToGrid w:val="0"/>
        <w:spacing w:beforeLines="50"/>
        <w:ind w:left="991" w:hanging="991" w:hangingChars="413"/>
        <w:jc w:val="left"/>
        <w:rPr>
          <w:rFonts w:ascii="宋体" w:hAnsi="宋体"/>
          <w:sz w:val="24"/>
        </w:rPr>
      </w:pPr>
      <w:r>
        <w:rPr>
          <w:rFonts w:hint="eastAsia" w:ascii="宋体" w:hAnsi="宋体"/>
          <w:sz w:val="24"/>
        </w:rPr>
        <w:t>8.1.1</w:t>
      </w:r>
      <w:r>
        <w:rPr>
          <w:rFonts w:hint="eastAsia" w:ascii="宋体" w:hAnsi="宋体"/>
          <w:sz w:val="24"/>
        </w:rPr>
        <w:tab/>
      </w:r>
      <w:r>
        <w:rPr>
          <w:rFonts w:hint="eastAsia" w:ascii="宋体" w:hAnsi="宋体"/>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napToGrid w:val="0"/>
        <w:spacing w:beforeLines="50"/>
        <w:ind w:left="991" w:hanging="991" w:hangingChars="413"/>
        <w:jc w:val="left"/>
        <w:rPr>
          <w:rFonts w:ascii="宋体" w:hAnsi="宋体"/>
          <w:sz w:val="24"/>
        </w:rPr>
      </w:pPr>
      <w:r>
        <w:rPr>
          <w:rFonts w:hint="eastAsia" w:ascii="宋体" w:hAnsi="宋体"/>
          <w:sz w:val="24"/>
        </w:rPr>
        <w:t>8.1.2</w:t>
      </w:r>
      <w:r>
        <w:rPr>
          <w:rFonts w:hint="eastAsia" w:ascii="宋体" w:hAnsi="宋体"/>
          <w:sz w:val="24"/>
        </w:rPr>
        <w:tab/>
      </w:r>
      <w:r>
        <w:rPr>
          <w:rFonts w:hint="eastAsia" w:ascii="宋体" w:hAnsi="宋体"/>
          <w:sz w:val="24"/>
        </w:rPr>
        <w:t>监理人未按合同约定派员参加试验和检验的，除监理人另有指示外，承包人可自行试验和检验，并应立即将试验和检验结果报送监理人，监理人应签字确认。</w:t>
      </w:r>
    </w:p>
    <w:p>
      <w:pPr>
        <w:snapToGrid w:val="0"/>
        <w:spacing w:beforeLines="50"/>
        <w:ind w:left="991" w:hanging="991" w:hangingChars="413"/>
        <w:jc w:val="left"/>
        <w:rPr>
          <w:rFonts w:ascii="宋体" w:hAnsi="宋体"/>
          <w:sz w:val="24"/>
        </w:rPr>
      </w:pPr>
      <w:r>
        <w:rPr>
          <w:rFonts w:hint="eastAsia" w:ascii="宋体" w:hAnsi="宋体"/>
          <w:sz w:val="24"/>
        </w:rPr>
        <w:t>8.1.3</w:t>
      </w:r>
      <w:r>
        <w:rPr>
          <w:rFonts w:hint="eastAsia" w:ascii="宋体" w:hAnsi="宋体"/>
          <w:sz w:val="24"/>
        </w:rPr>
        <w:tab/>
      </w:r>
      <w:r>
        <w:rPr>
          <w:rFonts w:hint="eastAsia" w:ascii="宋体" w:hAnsi="宋体"/>
          <w:sz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napToGrid w:val="0"/>
        <w:spacing w:beforeLines="50"/>
        <w:ind w:left="991" w:hanging="991" w:hangingChars="413"/>
        <w:jc w:val="left"/>
        <w:rPr>
          <w:rFonts w:ascii="黑体" w:eastAsia="黑体"/>
          <w:sz w:val="24"/>
        </w:rPr>
      </w:pPr>
      <w:bookmarkStart w:id="319" w:name="_Toc144974673"/>
      <w:bookmarkStart w:id="320" w:name="_Toc152045704"/>
      <w:bookmarkStart w:id="321" w:name="_Toc152042482"/>
      <w:bookmarkStart w:id="322" w:name="_Toc179632722"/>
      <w:bookmarkStart w:id="323" w:name="_Toc296602542"/>
      <w:r>
        <w:rPr>
          <w:rFonts w:hint="eastAsia" w:ascii="黑体" w:eastAsia="黑体"/>
          <w:sz w:val="24"/>
        </w:rPr>
        <w:t>8.2</w:t>
      </w:r>
      <w:r>
        <w:rPr>
          <w:rFonts w:hint="eastAsia" w:ascii="黑体" w:eastAsia="黑体"/>
          <w:sz w:val="24"/>
        </w:rPr>
        <w:tab/>
      </w:r>
      <w:r>
        <w:rPr>
          <w:rFonts w:hint="eastAsia" w:ascii="黑体" w:eastAsia="黑体"/>
          <w:sz w:val="24"/>
        </w:rPr>
        <w:t>现场材料试验</w:t>
      </w:r>
      <w:bookmarkEnd w:id="319"/>
      <w:bookmarkEnd w:id="320"/>
      <w:bookmarkEnd w:id="321"/>
      <w:bookmarkEnd w:id="322"/>
      <w:bookmarkEnd w:id="323"/>
    </w:p>
    <w:p>
      <w:pPr>
        <w:snapToGrid w:val="0"/>
        <w:spacing w:beforeLines="50"/>
        <w:ind w:left="991" w:hanging="991" w:hangingChars="413"/>
        <w:jc w:val="left"/>
        <w:rPr>
          <w:rFonts w:ascii="宋体" w:hAnsi="宋体"/>
          <w:sz w:val="24"/>
        </w:rPr>
      </w:pPr>
      <w:r>
        <w:rPr>
          <w:rFonts w:hint="eastAsia" w:ascii="宋体" w:hAnsi="宋体"/>
          <w:sz w:val="24"/>
        </w:rPr>
        <w:t>8.2.1</w:t>
      </w:r>
      <w:r>
        <w:rPr>
          <w:rFonts w:hint="eastAsia" w:ascii="宋体" w:hAnsi="宋体"/>
          <w:sz w:val="24"/>
        </w:rPr>
        <w:tab/>
      </w:r>
      <w:r>
        <w:rPr>
          <w:rFonts w:hint="eastAsia" w:ascii="宋体" w:hAnsi="宋体"/>
          <w:sz w:val="24"/>
        </w:rPr>
        <w:t>承包人根据合同约定或监理人指示进行的现场材料试验，应由承包人提供试验场所、试验人员、试验设备器材以及其他必要的试验条件。</w:t>
      </w:r>
    </w:p>
    <w:p>
      <w:pPr>
        <w:snapToGrid w:val="0"/>
        <w:spacing w:beforeLines="50"/>
        <w:ind w:left="991" w:hanging="991" w:hangingChars="413"/>
        <w:jc w:val="left"/>
        <w:rPr>
          <w:rFonts w:ascii="宋体" w:hAnsi="宋体"/>
          <w:sz w:val="24"/>
        </w:rPr>
      </w:pPr>
      <w:r>
        <w:rPr>
          <w:rFonts w:hint="eastAsia" w:ascii="宋体" w:hAnsi="宋体"/>
          <w:sz w:val="24"/>
        </w:rPr>
        <w:t>8.2.2</w:t>
      </w:r>
      <w:r>
        <w:rPr>
          <w:rFonts w:hint="eastAsia" w:ascii="宋体" w:hAnsi="宋体"/>
          <w:sz w:val="24"/>
        </w:rPr>
        <w:tab/>
      </w:r>
      <w:r>
        <w:rPr>
          <w:rFonts w:hint="eastAsia" w:ascii="宋体" w:hAnsi="宋体"/>
          <w:sz w:val="24"/>
        </w:rPr>
        <w:t>监理人在必要时可以使用承包人的试验场所、试验设备器材以及其他试验条件，进行以工程质量检查为目的的复核性材料试验，承包人应予以协助。</w:t>
      </w:r>
    </w:p>
    <w:p>
      <w:pPr>
        <w:snapToGrid w:val="0"/>
        <w:spacing w:beforeLines="50"/>
        <w:ind w:left="991" w:hanging="991" w:hangingChars="413"/>
        <w:jc w:val="left"/>
        <w:outlineLvl w:val="2"/>
        <w:rPr>
          <w:rFonts w:ascii="黑体" w:eastAsia="黑体"/>
          <w:sz w:val="24"/>
        </w:rPr>
      </w:pPr>
      <w:bookmarkStart w:id="324" w:name="_Toc296602543"/>
      <w:bookmarkStart w:id="325" w:name="_Toc247085812"/>
      <w:bookmarkStart w:id="326" w:name="_Toc246996297"/>
      <w:bookmarkStart w:id="327" w:name="_Toc246997040"/>
      <w:bookmarkStart w:id="328" w:name="_Toc184635112"/>
      <w:bookmarkStart w:id="329" w:name="_Toc2046"/>
      <w:bookmarkStart w:id="330" w:name="_Toc8146"/>
      <w:r>
        <w:rPr>
          <w:rFonts w:hint="eastAsia" w:ascii="黑体" w:eastAsia="黑体"/>
          <w:sz w:val="24"/>
        </w:rPr>
        <w:t>9.</w:t>
      </w:r>
      <w:r>
        <w:rPr>
          <w:rFonts w:hint="eastAsia" w:ascii="黑体" w:eastAsia="黑体"/>
          <w:sz w:val="24"/>
        </w:rPr>
        <w:tab/>
      </w:r>
      <w:r>
        <w:rPr>
          <w:rFonts w:hint="eastAsia" w:ascii="黑体" w:eastAsia="黑体"/>
          <w:sz w:val="24"/>
        </w:rPr>
        <w:t>变更</w:t>
      </w:r>
      <w:bookmarkEnd w:id="324"/>
      <w:bookmarkEnd w:id="325"/>
      <w:bookmarkEnd w:id="326"/>
      <w:bookmarkEnd w:id="327"/>
      <w:bookmarkEnd w:id="328"/>
      <w:bookmarkEnd w:id="329"/>
      <w:bookmarkEnd w:id="330"/>
    </w:p>
    <w:p>
      <w:pPr>
        <w:snapToGrid w:val="0"/>
        <w:spacing w:beforeLines="50"/>
        <w:ind w:left="991" w:hanging="991" w:hangingChars="413"/>
        <w:jc w:val="left"/>
        <w:rPr>
          <w:rFonts w:ascii="黑体" w:eastAsia="黑体"/>
          <w:sz w:val="24"/>
        </w:rPr>
      </w:pPr>
      <w:bookmarkStart w:id="331" w:name="_Toc247085813"/>
      <w:bookmarkStart w:id="332" w:name="_Toc296602544"/>
      <w:bookmarkStart w:id="333" w:name="_Toc246996298"/>
      <w:bookmarkStart w:id="334" w:name="_Toc246997041"/>
      <w:r>
        <w:rPr>
          <w:rFonts w:hint="eastAsia" w:ascii="黑体" w:eastAsia="黑体"/>
          <w:sz w:val="24"/>
        </w:rPr>
        <w:t>9.1</w:t>
      </w:r>
      <w:r>
        <w:rPr>
          <w:rFonts w:hint="eastAsia" w:ascii="黑体" w:eastAsia="黑体"/>
          <w:sz w:val="24"/>
        </w:rPr>
        <w:tab/>
      </w:r>
      <w:r>
        <w:rPr>
          <w:rFonts w:hint="eastAsia" w:ascii="黑体" w:eastAsia="黑体"/>
          <w:sz w:val="24"/>
        </w:rPr>
        <w:t>变更权</w:t>
      </w:r>
      <w:bookmarkEnd w:id="331"/>
      <w:bookmarkEnd w:id="332"/>
      <w:bookmarkEnd w:id="333"/>
      <w:bookmarkEnd w:id="334"/>
    </w:p>
    <w:p>
      <w:pPr>
        <w:snapToGrid w:val="0"/>
        <w:spacing w:beforeLines="50"/>
        <w:ind w:left="991" w:leftChars="472"/>
        <w:rPr>
          <w:rFonts w:ascii="宋体" w:hAnsi="宋体"/>
          <w:sz w:val="24"/>
        </w:rPr>
      </w:pPr>
      <w:r>
        <w:rPr>
          <w:rFonts w:hint="eastAsia" w:ascii="宋体" w:hAnsi="宋体"/>
          <w:sz w:val="24"/>
        </w:rPr>
        <w:t>在履行合同过程中，经发包人同意，监理人可按第9.2款约定的变更程序向承包人作出变更指示，承包人应遵照执行。</w:t>
      </w:r>
    </w:p>
    <w:p>
      <w:pPr>
        <w:snapToGrid w:val="0"/>
        <w:spacing w:beforeLines="50"/>
        <w:ind w:left="991" w:hanging="991" w:hangingChars="413"/>
        <w:jc w:val="left"/>
        <w:rPr>
          <w:rFonts w:ascii="黑体" w:eastAsia="黑体"/>
          <w:sz w:val="24"/>
        </w:rPr>
      </w:pPr>
      <w:bookmarkStart w:id="335" w:name="_Toc246997042"/>
      <w:bookmarkStart w:id="336" w:name="_Toc246996299"/>
      <w:bookmarkStart w:id="337" w:name="_Toc296602545"/>
      <w:bookmarkStart w:id="338" w:name="_Toc247085814"/>
      <w:r>
        <w:rPr>
          <w:rFonts w:hint="eastAsia" w:ascii="黑体" w:eastAsia="黑体"/>
          <w:sz w:val="24"/>
        </w:rPr>
        <w:t>9.2</w:t>
      </w:r>
      <w:r>
        <w:rPr>
          <w:rFonts w:hint="eastAsia" w:ascii="黑体" w:eastAsia="黑体"/>
          <w:sz w:val="24"/>
        </w:rPr>
        <w:tab/>
      </w:r>
      <w:r>
        <w:rPr>
          <w:rFonts w:hint="eastAsia" w:ascii="黑体" w:eastAsia="黑体"/>
          <w:sz w:val="24"/>
        </w:rPr>
        <w:t>变更程序</w:t>
      </w:r>
      <w:bookmarkEnd w:id="335"/>
      <w:bookmarkEnd w:id="336"/>
      <w:bookmarkEnd w:id="337"/>
      <w:bookmarkEnd w:id="338"/>
    </w:p>
    <w:p>
      <w:pPr>
        <w:snapToGrid w:val="0"/>
        <w:spacing w:beforeLines="50"/>
        <w:ind w:left="991" w:leftChars="472"/>
        <w:rPr>
          <w:rFonts w:ascii="宋体" w:hAnsi="宋体"/>
          <w:sz w:val="24"/>
        </w:rPr>
      </w:pPr>
      <w:r>
        <w:rPr>
          <w:rFonts w:hint="eastAsia" w:ascii="宋体" w:hAnsi="宋体"/>
          <w:sz w:val="24"/>
        </w:rPr>
        <w:t>承包</w:t>
      </w:r>
      <w:r>
        <w:rPr>
          <w:rFonts w:ascii="宋体" w:hAnsi="宋体"/>
          <w:sz w:val="24"/>
        </w:rPr>
        <w:t>人应在</w:t>
      </w:r>
      <w:r>
        <w:rPr>
          <w:rFonts w:hint="eastAsia" w:ascii="宋体" w:hAnsi="宋体"/>
          <w:sz w:val="24"/>
        </w:rPr>
        <w:t>收到变更指示14</w:t>
      </w:r>
      <w:r>
        <w:rPr>
          <w:rFonts w:ascii="宋体" w:hAnsi="宋体"/>
          <w:sz w:val="24"/>
        </w:rPr>
        <w:t>天内，向监理人提交</w:t>
      </w:r>
      <w:r>
        <w:rPr>
          <w:rFonts w:hint="eastAsia" w:ascii="宋体" w:hAnsi="宋体"/>
          <w:sz w:val="24"/>
        </w:rPr>
        <w:t>变更报价书</w:t>
      </w:r>
      <w:r>
        <w:rPr>
          <w:rFonts w:ascii="宋体" w:hAnsi="宋体"/>
          <w:sz w:val="24"/>
        </w:rPr>
        <w:t>。监理人应审查，并</w:t>
      </w:r>
      <w:r>
        <w:rPr>
          <w:rFonts w:hint="eastAsia" w:ascii="宋体" w:hAnsi="宋体"/>
          <w:sz w:val="24"/>
        </w:rPr>
        <w:t>在收到承包人变更报价书后14天内，</w:t>
      </w:r>
      <w:r>
        <w:rPr>
          <w:rFonts w:ascii="宋体" w:hAnsi="宋体"/>
          <w:sz w:val="24"/>
        </w:rPr>
        <w:t>与发包人和</w:t>
      </w:r>
      <w:r>
        <w:rPr>
          <w:rFonts w:hint="eastAsia" w:ascii="宋体" w:hAnsi="宋体"/>
          <w:sz w:val="24"/>
        </w:rPr>
        <w:t>承包</w:t>
      </w:r>
      <w:r>
        <w:rPr>
          <w:rFonts w:ascii="宋体" w:hAnsi="宋体"/>
          <w:sz w:val="24"/>
        </w:rPr>
        <w:t>人共同商定此估价。在未达成协议的情况下，监理人应确定该估价</w:t>
      </w:r>
      <w:r>
        <w:rPr>
          <w:rFonts w:hint="eastAsia" w:ascii="宋体" w:hAnsi="宋体"/>
          <w:sz w:val="24"/>
        </w:rPr>
        <w:t>。</w:t>
      </w:r>
    </w:p>
    <w:p>
      <w:pPr>
        <w:snapToGrid w:val="0"/>
        <w:spacing w:beforeLines="50"/>
        <w:ind w:left="991" w:hanging="991" w:hangingChars="413"/>
        <w:jc w:val="left"/>
        <w:rPr>
          <w:rFonts w:ascii="黑体" w:eastAsia="黑体"/>
          <w:sz w:val="24"/>
        </w:rPr>
      </w:pPr>
      <w:bookmarkStart w:id="339" w:name="_Toc247085815"/>
      <w:bookmarkStart w:id="340" w:name="_Toc296602546"/>
      <w:bookmarkStart w:id="341" w:name="_Toc246996300"/>
      <w:bookmarkStart w:id="342" w:name="_Toc246997043"/>
      <w:r>
        <w:rPr>
          <w:rFonts w:hint="eastAsia" w:ascii="黑体" w:eastAsia="黑体"/>
          <w:sz w:val="24"/>
        </w:rPr>
        <w:t>9.3</w:t>
      </w:r>
      <w:r>
        <w:rPr>
          <w:rFonts w:hint="eastAsia" w:ascii="黑体" w:eastAsia="黑体"/>
          <w:sz w:val="24"/>
        </w:rPr>
        <w:tab/>
      </w:r>
      <w:r>
        <w:rPr>
          <w:rFonts w:hint="eastAsia" w:ascii="黑体" w:eastAsia="黑体"/>
          <w:sz w:val="24"/>
        </w:rPr>
        <w:t>变更的估价原则</w:t>
      </w:r>
      <w:bookmarkEnd w:id="339"/>
      <w:bookmarkEnd w:id="340"/>
      <w:bookmarkEnd w:id="341"/>
      <w:bookmarkEnd w:id="342"/>
    </w:p>
    <w:p>
      <w:pPr>
        <w:snapToGrid w:val="0"/>
        <w:spacing w:beforeLines="50"/>
        <w:ind w:left="991" w:leftChars="472"/>
        <w:rPr>
          <w:rFonts w:ascii="宋体" w:hAnsi="宋体"/>
          <w:sz w:val="24"/>
        </w:rPr>
      </w:pPr>
      <w:r>
        <w:rPr>
          <w:rFonts w:hint="eastAsia" w:ascii="宋体" w:hAnsi="宋体"/>
          <w:sz w:val="24"/>
        </w:rPr>
        <w:t>除专用合同条款另有约定外，因</w:t>
      </w:r>
      <w:r>
        <w:rPr>
          <w:rFonts w:ascii="宋体" w:hAnsi="宋体"/>
          <w:sz w:val="24"/>
        </w:rPr>
        <w:t>变更</w:t>
      </w:r>
      <w:r>
        <w:rPr>
          <w:rFonts w:hint="eastAsia" w:ascii="宋体" w:hAnsi="宋体"/>
          <w:sz w:val="24"/>
        </w:rPr>
        <w:t>引起的价格调整按照本款约定处理</w:t>
      </w:r>
      <w:r>
        <w:rPr>
          <w:rFonts w:ascii="宋体" w:hAnsi="宋体"/>
          <w:sz w:val="24"/>
        </w:rPr>
        <w:t>：</w:t>
      </w:r>
    </w:p>
    <w:p>
      <w:pPr>
        <w:snapToGrid w:val="0"/>
        <w:spacing w:beforeLines="50"/>
        <w:ind w:left="1591" w:leftChars="472" w:hanging="600" w:hangingChars="250"/>
        <w:rPr>
          <w:rFonts w:ascii="宋体" w:hAnsi="宋体"/>
          <w:sz w:val="24"/>
        </w:rPr>
      </w:pPr>
      <w:r>
        <w:rPr>
          <w:rFonts w:hint="eastAsia" w:ascii="宋体" w:hAnsi="宋体"/>
          <w:sz w:val="24"/>
        </w:rPr>
        <w:t>（1）已标价工程量清单中有适用于变更工作的子目的，采用该子目的单价；</w:t>
      </w:r>
    </w:p>
    <w:p>
      <w:pPr>
        <w:snapToGrid w:val="0"/>
        <w:spacing w:beforeLines="50"/>
        <w:ind w:left="1591" w:leftChars="472" w:hanging="600" w:hangingChars="250"/>
        <w:rPr>
          <w:rFonts w:ascii="宋体" w:hAnsi="宋体"/>
          <w:sz w:val="24"/>
        </w:rPr>
      </w:pPr>
      <w:r>
        <w:rPr>
          <w:rFonts w:hint="eastAsia" w:ascii="宋体" w:hAnsi="宋体"/>
          <w:sz w:val="24"/>
        </w:rPr>
        <w:t>（2）已标价工程量清单中无适用于变更工作的子目，但有类似子目的，可在合理范围内参照类似项目，由监理人按第3.5款商定或确定变更工作的单价；</w:t>
      </w:r>
    </w:p>
    <w:p>
      <w:pPr>
        <w:snapToGrid w:val="0"/>
        <w:spacing w:beforeLines="50"/>
        <w:ind w:left="1591" w:leftChars="472" w:hanging="600" w:hangingChars="250"/>
        <w:rPr>
          <w:rFonts w:ascii="宋体" w:hAnsi="宋体"/>
          <w:sz w:val="24"/>
        </w:rPr>
      </w:pPr>
      <w:r>
        <w:rPr>
          <w:rFonts w:hint="eastAsia" w:ascii="宋体" w:hAnsi="宋体"/>
          <w:sz w:val="24"/>
        </w:rPr>
        <w:t>（3）已标价工程量清单中无适用或类似子目的单价，可按照成本加利润的原则，由监理人按第3.5款商定或确定变更工作的单价。</w:t>
      </w:r>
    </w:p>
    <w:p>
      <w:pPr>
        <w:snapToGrid w:val="0"/>
        <w:spacing w:beforeLines="50"/>
        <w:ind w:left="991" w:hanging="991" w:hangingChars="413"/>
        <w:jc w:val="left"/>
        <w:rPr>
          <w:rFonts w:ascii="黑体" w:eastAsia="黑体"/>
          <w:sz w:val="24"/>
        </w:rPr>
      </w:pPr>
      <w:bookmarkStart w:id="343" w:name="_Toc247085816"/>
      <w:bookmarkStart w:id="344" w:name="_Toc296602547"/>
      <w:bookmarkStart w:id="345" w:name="_Toc246996301"/>
      <w:bookmarkStart w:id="346" w:name="_Toc246997044"/>
      <w:r>
        <w:rPr>
          <w:rFonts w:hint="eastAsia" w:ascii="黑体" w:eastAsia="黑体"/>
          <w:sz w:val="24"/>
        </w:rPr>
        <w:t>9.4</w:t>
      </w:r>
      <w:r>
        <w:rPr>
          <w:rFonts w:hint="eastAsia" w:ascii="黑体" w:eastAsia="黑体"/>
          <w:sz w:val="24"/>
        </w:rPr>
        <w:tab/>
      </w:r>
      <w:r>
        <w:rPr>
          <w:rFonts w:hint="eastAsia" w:ascii="黑体" w:eastAsia="黑体"/>
          <w:sz w:val="24"/>
        </w:rPr>
        <w:t>暂列金额</w:t>
      </w:r>
      <w:bookmarkEnd w:id="343"/>
      <w:bookmarkEnd w:id="344"/>
      <w:bookmarkEnd w:id="345"/>
      <w:bookmarkEnd w:id="346"/>
    </w:p>
    <w:p>
      <w:pPr>
        <w:snapToGrid w:val="0"/>
        <w:spacing w:beforeLines="50"/>
        <w:ind w:left="991" w:leftChars="472"/>
        <w:rPr>
          <w:rFonts w:ascii="宋体" w:hAnsi="宋体"/>
          <w:sz w:val="24"/>
        </w:rPr>
      </w:pPr>
      <w:r>
        <w:rPr>
          <w:rFonts w:hint="eastAsia" w:ascii="宋体" w:hAnsi="宋体"/>
          <w:sz w:val="24"/>
        </w:rPr>
        <w:t>暂列金额只能按照监理人的指示使用，并对合同价格进行相应调整。</w:t>
      </w:r>
    </w:p>
    <w:p>
      <w:pPr>
        <w:snapToGrid w:val="0"/>
        <w:spacing w:beforeLines="50"/>
        <w:ind w:left="991" w:hanging="991" w:hangingChars="413"/>
        <w:jc w:val="left"/>
        <w:rPr>
          <w:rFonts w:ascii="黑体" w:eastAsia="黑体"/>
          <w:sz w:val="24"/>
        </w:rPr>
      </w:pPr>
      <w:bookmarkStart w:id="347" w:name="_Toc246996302"/>
      <w:bookmarkStart w:id="348" w:name="_Toc246997045"/>
      <w:bookmarkStart w:id="349" w:name="_Toc247085817"/>
      <w:bookmarkStart w:id="350" w:name="_Toc296602548"/>
      <w:r>
        <w:rPr>
          <w:rFonts w:hint="eastAsia" w:ascii="黑体" w:eastAsia="黑体"/>
          <w:sz w:val="24"/>
        </w:rPr>
        <w:t>9.5</w:t>
      </w:r>
      <w:r>
        <w:rPr>
          <w:rFonts w:hint="eastAsia" w:ascii="黑体" w:eastAsia="黑体"/>
          <w:sz w:val="24"/>
        </w:rPr>
        <w:tab/>
      </w:r>
      <w:r>
        <w:rPr>
          <w:rFonts w:hint="eastAsia" w:ascii="黑体" w:eastAsia="黑体"/>
          <w:sz w:val="24"/>
        </w:rPr>
        <w:t>计日工</w:t>
      </w:r>
      <w:bookmarkEnd w:id="347"/>
      <w:bookmarkEnd w:id="348"/>
      <w:bookmarkEnd w:id="349"/>
      <w:bookmarkEnd w:id="350"/>
    </w:p>
    <w:p>
      <w:pPr>
        <w:snapToGrid w:val="0"/>
        <w:spacing w:beforeLines="50"/>
        <w:ind w:left="991" w:hanging="991" w:hangingChars="413"/>
        <w:jc w:val="left"/>
        <w:rPr>
          <w:rFonts w:ascii="宋体" w:hAnsi="宋体"/>
          <w:sz w:val="24"/>
        </w:rPr>
      </w:pPr>
      <w:r>
        <w:rPr>
          <w:rFonts w:hint="eastAsia" w:ascii="宋体" w:hAnsi="宋体"/>
          <w:sz w:val="24"/>
        </w:rPr>
        <w:t>9.5.1</w:t>
      </w:r>
      <w:r>
        <w:rPr>
          <w:rFonts w:hint="eastAsia" w:ascii="宋体" w:hAnsi="宋体"/>
          <w:sz w:val="24"/>
        </w:rPr>
        <w:tab/>
      </w:r>
      <w:r>
        <w:rPr>
          <w:rFonts w:hint="eastAsia" w:ascii="宋体" w:hAnsi="宋体"/>
          <w:sz w:val="24"/>
        </w:rPr>
        <w:t>发包人认为有必要时，由监理人通知承包人以计日工方式实施变更的零星工作。其价款按列入已标价工程量清单中的计日工计价子目及其单价进行计算。</w:t>
      </w:r>
    </w:p>
    <w:p>
      <w:pPr>
        <w:snapToGrid w:val="0"/>
        <w:spacing w:beforeLines="50"/>
        <w:ind w:left="991" w:hanging="991" w:hangingChars="413"/>
        <w:jc w:val="left"/>
        <w:rPr>
          <w:rFonts w:ascii="宋体" w:hAnsi="宋体"/>
          <w:sz w:val="24"/>
        </w:rPr>
      </w:pPr>
      <w:r>
        <w:rPr>
          <w:rFonts w:hint="eastAsia" w:ascii="宋体" w:hAnsi="宋体"/>
          <w:sz w:val="24"/>
        </w:rPr>
        <w:t>9.5.2</w:t>
      </w:r>
      <w:r>
        <w:rPr>
          <w:rFonts w:hint="eastAsia" w:ascii="宋体" w:hAnsi="宋体"/>
          <w:sz w:val="24"/>
        </w:rPr>
        <w:tab/>
      </w:r>
      <w:r>
        <w:rPr>
          <w:rFonts w:hint="eastAsia" w:ascii="宋体" w:hAnsi="宋体"/>
          <w:sz w:val="24"/>
        </w:rPr>
        <w:t>采用计日工计价的任何一项变更工作，应从暂列金额中支付，承包人应在该项变更的实施过程中，每天提交以下报表和有关凭证报送监理人审批：</w:t>
      </w:r>
    </w:p>
    <w:p>
      <w:pPr>
        <w:snapToGrid w:val="0"/>
        <w:spacing w:beforeLines="50"/>
        <w:ind w:left="991" w:leftChars="472"/>
        <w:rPr>
          <w:rFonts w:ascii="宋体" w:hAnsi="宋体"/>
          <w:sz w:val="24"/>
        </w:rPr>
      </w:pPr>
      <w:r>
        <w:rPr>
          <w:rFonts w:hint="eastAsia" w:ascii="宋体" w:hAnsi="宋体"/>
          <w:sz w:val="24"/>
        </w:rPr>
        <w:t>（l）工作名称、内容和数量；</w:t>
      </w:r>
    </w:p>
    <w:p>
      <w:pPr>
        <w:snapToGrid w:val="0"/>
        <w:spacing w:beforeLines="50"/>
        <w:ind w:left="991" w:leftChars="472"/>
        <w:rPr>
          <w:rFonts w:ascii="宋体" w:hAnsi="宋体"/>
          <w:sz w:val="24"/>
        </w:rPr>
      </w:pPr>
      <w:r>
        <w:rPr>
          <w:rFonts w:hint="eastAsia" w:ascii="宋体" w:hAnsi="宋体"/>
          <w:sz w:val="24"/>
        </w:rPr>
        <w:t>（2）投入该工作所有人员的姓名、工种、级别和耗用工时；</w:t>
      </w:r>
    </w:p>
    <w:p>
      <w:pPr>
        <w:snapToGrid w:val="0"/>
        <w:spacing w:beforeLines="50"/>
        <w:ind w:left="991" w:leftChars="472"/>
        <w:rPr>
          <w:rFonts w:ascii="宋体" w:hAnsi="宋体"/>
          <w:sz w:val="24"/>
        </w:rPr>
      </w:pPr>
      <w:r>
        <w:rPr>
          <w:rFonts w:hint="eastAsia" w:ascii="宋体" w:hAnsi="宋体"/>
          <w:sz w:val="24"/>
        </w:rPr>
        <w:t>（3）投入该工作的材料类别和数量；</w:t>
      </w:r>
    </w:p>
    <w:p>
      <w:pPr>
        <w:snapToGrid w:val="0"/>
        <w:spacing w:beforeLines="50"/>
        <w:ind w:left="991" w:leftChars="472"/>
        <w:rPr>
          <w:rFonts w:ascii="宋体" w:hAnsi="宋体"/>
          <w:sz w:val="24"/>
        </w:rPr>
      </w:pPr>
      <w:r>
        <w:rPr>
          <w:rFonts w:hint="eastAsia" w:ascii="宋体" w:hAnsi="宋体"/>
          <w:sz w:val="24"/>
        </w:rPr>
        <w:t>（4）投入该工作的施工设备型号、台数和耗用台时；</w:t>
      </w:r>
    </w:p>
    <w:p>
      <w:pPr>
        <w:snapToGrid w:val="0"/>
        <w:spacing w:beforeLines="50"/>
        <w:ind w:left="991" w:leftChars="472"/>
        <w:rPr>
          <w:rFonts w:ascii="宋体" w:hAnsi="宋体"/>
          <w:sz w:val="24"/>
        </w:rPr>
      </w:pPr>
      <w:r>
        <w:rPr>
          <w:rFonts w:hint="eastAsia" w:ascii="宋体" w:hAnsi="宋体"/>
          <w:sz w:val="24"/>
        </w:rPr>
        <w:t>（5）监理人要求提交的其他资料和凭证。</w:t>
      </w:r>
    </w:p>
    <w:p>
      <w:pPr>
        <w:snapToGrid w:val="0"/>
        <w:spacing w:beforeLines="50"/>
        <w:ind w:left="991" w:hanging="991" w:hangingChars="413"/>
        <w:jc w:val="left"/>
        <w:rPr>
          <w:rFonts w:ascii="宋体" w:hAnsi="宋体"/>
          <w:sz w:val="24"/>
        </w:rPr>
      </w:pPr>
      <w:r>
        <w:rPr>
          <w:rFonts w:hint="eastAsia" w:ascii="宋体" w:hAnsi="宋体"/>
          <w:sz w:val="24"/>
        </w:rPr>
        <w:t>9.5.3</w:t>
      </w:r>
      <w:r>
        <w:rPr>
          <w:rFonts w:hint="eastAsia" w:ascii="宋体" w:hAnsi="宋体"/>
          <w:sz w:val="24"/>
        </w:rPr>
        <w:tab/>
      </w:r>
      <w:r>
        <w:rPr>
          <w:rFonts w:hint="eastAsia" w:ascii="宋体" w:hAnsi="宋体"/>
          <w:sz w:val="24"/>
        </w:rPr>
        <w:t>计日工由承包人汇总后，按第10.3款的约定列入进度付款申请单，由监理人复核并经发包人同意后列入进度付款。</w:t>
      </w:r>
    </w:p>
    <w:p>
      <w:pPr>
        <w:snapToGrid w:val="0"/>
        <w:spacing w:beforeLines="50"/>
        <w:ind w:left="991" w:hanging="991" w:hangingChars="413"/>
        <w:jc w:val="left"/>
        <w:outlineLvl w:val="2"/>
        <w:rPr>
          <w:rFonts w:ascii="黑体" w:eastAsia="黑体"/>
          <w:sz w:val="24"/>
        </w:rPr>
      </w:pPr>
      <w:bookmarkStart w:id="351" w:name="_Toc246996304"/>
      <w:bookmarkStart w:id="352" w:name="_Toc184635114"/>
      <w:bookmarkStart w:id="353" w:name="_Toc246997047"/>
      <w:bookmarkStart w:id="354" w:name="_Toc247085819"/>
      <w:bookmarkStart w:id="355" w:name="_Toc296602549"/>
      <w:bookmarkStart w:id="356" w:name="_Toc23045"/>
      <w:bookmarkStart w:id="357" w:name="_Toc16529"/>
      <w:r>
        <w:rPr>
          <w:rFonts w:hint="eastAsia" w:ascii="黑体" w:eastAsia="黑体"/>
          <w:sz w:val="24"/>
        </w:rPr>
        <w:t>10.</w:t>
      </w:r>
      <w:r>
        <w:rPr>
          <w:rFonts w:hint="eastAsia" w:ascii="黑体" w:eastAsia="黑体"/>
          <w:sz w:val="24"/>
        </w:rPr>
        <w:tab/>
      </w:r>
      <w:r>
        <w:rPr>
          <w:rFonts w:hint="eastAsia" w:ascii="黑体" w:eastAsia="黑体"/>
          <w:sz w:val="24"/>
        </w:rPr>
        <w:t>计量与支付</w:t>
      </w:r>
      <w:bookmarkEnd w:id="351"/>
      <w:bookmarkEnd w:id="352"/>
      <w:bookmarkEnd w:id="353"/>
      <w:bookmarkEnd w:id="354"/>
      <w:bookmarkEnd w:id="355"/>
      <w:bookmarkEnd w:id="356"/>
      <w:bookmarkEnd w:id="357"/>
    </w:p>
    <w:p>
      <w:pPr>
        <w:snapToGrid w:val="0"/>
        <w:spacing w:beforeLines="50"/>
        <w:ind w:left="991" w:hanging="991" w:hangingChars="413"/>
        <w:jc w:val="left"/>
        <w:rPr>
          <w:rFonts w:ascii="黑体" w:eastAsia="黑体"/>
          <w:sz w:val="24"/>
        </w:rPr>
      </w:pPr>
      <w:bookmarkStart w:id="358" w:name="_Toc246996305"/>
      <w:bookmarkStart w:id="359" w:name="_Toc296602550"/>
      <w:bookmarkStart w:id="360" w:name="_Toc246997048"/>
      <w:bookmarkStart w:id="361" w:name="_Toc247085820"/>
      <w:r>
        <w:rPr>
          <w:rFonts w:hint="eastAsia" w:ascii="黑体" w:eastAsia="黑体"/>
          <w:sz w:val="24"/>
        </w:rPr>
        <w:t>10.1</w:t>
      </w:r>
      <w:r>
        <w:rPr>
          <w:rFonts w:hint="eastAsia" w:ascii="黑体" w:eastAsia="黑体"/>
          <w:sz w:val="24"/>
        </w:rPr>
        <w:tab/>
      </w:r>
      <w:r>
        <w:rPr>
          <w:rFonts w:hint="eastAsia" w:ascii="黑体" w:eastAsia="黑体"/>
          <w:sz w:val="24"/>
        </w:rPr>
        <w:t>计量</w:t>
      </w:r>
      <w:bookmarkEnd w:id="358"/>
      <w:bookmarkEnd w:id="359"/>
      <w:bookmarkEnd w:id="360"/>
      <w:bookmarkEnd w:id="361"/>
    </w:p>
    <w:p>
      <w:pPr>
        <w:snapToGrid w:val="0"/>
        <w:spacing w:beforeLines="50"/>
        <w:ind w:left="991" w:leftChars="472"/>
        <w:rPr>
          <w:rFonts w:ascii="宋体" w:hAnsi="宋体"/>
          <w:sz w:val="24"/>
        </w:rPr>
      </w:pPr>
      <w:r>
        <w:rPr>
          <w:rFonts w:hint="eastAsia" w:ascii="宋体" w:hAnsi="宋体"/>
          <w:sz w:val="24"/>
        </w:rPr>
        <w:t>除专用合同条款另有约定外，承包人应根据有合同约束力的进度计划，按月分解签约合同价，形成支付分解报告，送监理人批准后成为有合同约束力的支付分解表，按有合同约束力的支付分解表分期计量和支付；支付分解表应随进度计划的修订而调整；除按照第9条约定的变更外，签约合同价所基于的工程量即是用于竣工结算的最终工程量。</w:t>
      </w:r>
    </w:p>
    <w:p>
      <w:pPr>
        <w:snapToGrid w:val="0"/>
        <w:spacing w:beforeLines="50"/>
        <w:ind w:left="991" w:hanging="991" w:hangingChars="413"/>
        <w:jc w:val="left"/>
        <w:rPr>
          <w:rFonts w:ascii="黑体" w:eastAsia="黑体"/>
          <w:sz w:val="24"/>
        </w:rPr>
      </w:pPr>
      <w:bookmarkStart w:id="362" w:name="_Toc246996306"/>
      <w:bookmarkStart w:id="363" w:name="_Toc246997049"/>
      <w:bookmarkStart w:id="364" w:name="_Toc296602551"/>
      <w:bookmarkStart w:id="365" w:name="_Toc247085821"/>
      <w:r>
        <w:rPr>
          <w:rFonts w:hint="eastAsia" w:ascii="黑体" w:eastAsia="黑体"/>
          <w:sz w:val="24"/>
        </w:rPr>
        <w:t>10.2</w:t>
      </w:r>
      <w:r>
        <w:rPr>
          <w:rFonts w:hint="eastAsia" w:ascii="黑体" w:eastAsia="黑体"/>
          <w:sz w:val="24"/>
        </w:rPr>
        <w:tab/>
      </w:r>
      <w:r>
        <w:rPr>
          <w:rFonts w:hint="eastAsia" w:ascii="黑体" w:eastAsia="黑体"/>
          <w:sz w:val="24"/>
        </w:rPr>
        <w:t>预付款</w:t>
      </w:r>
      <w:bookmarkEnd w:id="362"/>
      <w:bookmarkEnd w:id="363"/>
      <w:bookmarkEnd w:id="364"/>
      <w:bookmarkEnd w:id="365"/>
    </w:p>
    <w:p>
      <w:pPr>
        <w:snapToGrid w:val="0"/>
        <w:spacing w:beforeLines="50"/>
        <w:ind w:left="991" w:leftChars="472"/>
        <w:rPr>
          <w:rFonts w:ascii="宋体" w:hAnsi="宋体"/>
          <w:sz w:val="24"/>
        </w:rPr>
      </w:pPr>
      <w:r>
        <w:rPr>
          <w:rFonts w:hint="eastAsia" w:ascii="宋体" w:hAnsi="宋体"/>
          <w:sz w:val="24"/>
        </w:rPr>
        <w:t>预付款用于承包人为合同工程施工购置材料、工程设备、施工设备、修建临时设施以及组织施工队伍进场等。预付款的额度、预付办法，以及扣回与还清办法在专用合同条款中约定。预付款必须专用于合同工程。</w:t>
      </w:r>
    </w:p>
    <w:p>
      <w:pPr>
        <w:snapToGrid w:val="0"/>
        <w:spacing w:beforeLines="50"/>
        <w:ind w:left="991" w:hanging="991" w:hangingChars="413"/>
        <w:jc w:val="left"/>
        <w:rPr>
          <w:rFonts w:ascii="黑体" w:eastAsia="黑体"/>
          <w:sz w:val="24"/>
        </w:rPr>
      </w:pPr>
      <w:bookmarkStart w:id="366" w:name="_Toc247085822"/>
      <w:bookmarkStart w:id="367" w:name="_Toc246997050"/>
      <w:bookmarkStart w:id="368" w:name="_Toc296602552"/>
      <w:bookmarkStart w:id="369" w:name="_Toc246996307"/>
      <w:r>
        <w:rPr>
          <w:rFonts w:hint="eastAsia" w:ascii="黑体" w:eastAsia="黑体"/>
          <w:sz w:val="24"/>
        </w:rPr>
        <w:t>10.3</w:t>
      </w:r>
      <w:r>
        <w:rPr>
          <w:rFonts w:hint="eastAsia" w:ascii="黑体" w:eastAsia="黑体"/>
          <w:sz w:val="24"/>
        </w:rPr>
        <w:tab/>
      </w:r>
      <w:r>
        <w:rPr>
          <w:rFonts w:hint="eastAsia" w:ascii="黑体" w:eastAsia="黑体"/>
          <w:sz w:val="24"/>
        </w:rPr>
        <w:t>工程进度付款</w:t>
      </w:r>
      <w:bookmarkEnd w:id="366"/>
      <w:bookmarkEnd w:id="367"/>
      <w:bookmarkEnd w:id="368"/>
      <w:bookmarkEnd w:id="369"/>
    </w:p>
    <w:p>
      <w:pPr>
        <w:snapToGrid w:val="0"/>
        <w:spacing w:beforeLines="50"/>
        <w:ind w:left="991" w:leftChars="472"/>
        <w:rPr>
          <w:rFonts w:ascii="宋体" w:hAnsi="宋体"/>
          <w:sz w:val="24"/>
        </w:rPr>
      </w:pPr>
      <w:r>
        <w:rPr>
          <w:rFonts w:hint="eastAsia" w:ascii="宋体" w:hAnsi="宋体"/>
          <w:sz w:val="24"/>
        </w:rPr>
        <w:t>承包人应在第10.1款约定的支付分解表确定的每个付款周期末，按监理人批准的格式和专用合同条款约定的份数，向监理人提交进度付款申请单，并附相应的支持性证明文件。除专用合同条款另有约定外，进度付款申请单应包括下列内容：</w:t>
      </w:r>
    </w:p>
    <w:p>
      <w:pPr>
        <w:snapToGrid w:val="0"/>
        <w:spacing w:beforeLines="50"/>
        <w:ind w:left="991" w:leftChars="472"/>
        <w:rPr>
          <w:rFonts w:ascii="宋体" w:hAnsi="宋体"/>
          <w:sz w:val="24"/>
        </w:rPr>
      </w:pPr>
      <w:r>
        <w:rPr>
          <w:rFonts w:hint="eastAsia" w:ascii="宋体" w:hAnsi="宋体"/>
          <w:sz w:val="24"/>
        </w:rPr>
        <w:t>（1）截至本次付款周期末已实施工程的合同价款；</w:t>
      </w:r>
    </w:p>
    <w:p>
      <w:pPr>
        <w:snapToGrid w:val="0"/>
        <w:spacing w:beforeLines="50"/>
        <w:ind w:left="991" w:leftChars="472"/>
        <w:rPr>
          <w:rFonts w:ascii="宋体" w:hAnsi="宋体"/>
          <w:sz w:val="24"/>
        </w:rPr>
      </w:pPr>
      <w:r>
        <w:rPr>
          <w:rFonts w:hint="eastAsia" w:ascii="宋体" w:hAnsi="宋体"/>
          <w:sz w:val="24"/>
        </w:rPr>
        <w:t>（2）根据第9条应增加和扣减的变更金额；</w:t>
      </w:r>
    </w:p>
    <w:p>
      <w:pPr>
        <w:snapToGrid w:val="0"/>
        <w:spacing w:beforeLines="50"/>
        <w:ind w:left="991" w:leftChars="472"/>
        <w:rPr>
          <w:rFonts w:ascii="宋体" w:hAnsi="宋体"/>
          <w:sz w:val="24"/>
        </w:rPr>
      </w:pPr>
      <w:r>
        <w:rPr>
          <w:rFonts w:hint="eastAsia" w:ascii="宋体" w:hAnsi="宋体"/>
          <w:sz w:val="24"/>
        </w:rPr>
        <w:t>（3）根据第16条应增加和扣减的索赔金额；</w:t>
      </w:r>
    </w:p>
    <w:p>
      <w:pPr>
        <w:snapToGrid w:val="0"/>
        <w:spacing w:beforeLines="50"/>
        <w:ind w:left="991" w:leftChars="472"/>
        <w:rPr>
          <w:rFonts w:ascii="宋体" w:hAnsi="宋体"/>
          <w:sz w:val="24"/>
        </w:rPr>
      </w:pPr>
      <w:r>
        <w:rPr>
          <w:rFonts w:hint="eastAsia" w:ascii="宋体" w:hAnsi="宋体"/>
          <w:sz w:val="24"/>
        </w:rPr>
        <w:t>（4）根据第10.2款应支付的预付款和扣减的返还预付款；</w:t>
      </w:r>
    </w:p>
    <w:p>
      <w:pPr>
        <w:snapToGrid w:val="0"/>
        <w:spacing w:beforeLines="50"/>
        <w:ind w:left="991" w:leftChars="472"/>
        <w:rPr>
          <w:rFonts w:ascii="宋体" w:hAnsi="宋体"/>
          <w:sz w:val="24"/>
        </w:rPr>
      </w:pPr>
      <w:r>
        <w:rPr>
          <w:rFonts w:hint="eastAsia" w:ascii="宋体" w:hAnsi="宋体"/>
          <w:sz w:val="24"/>
        </w:rPr>
        <w:t>（5）根据第10.4款应扣减的质量保证金；</w:t>
      </w:r>
    </w:p>
    <w:p>
      <w:pPr>
        <w:snapToGrid w:val="0"/>
        <w:spacing w:beforeLines="50"/>
        <w:ind w:left="991" w:leftChars="472"/>
        <w:rPr>
          <w:rFonts w:ascii="宋体" w:hAnsi="宋体"/>
          <w:sz w:val="24"/>
        </w:rPr>
      </w:pPr>
      <w:r>
        <w:rPr>
          <w:rFonts w:hint="eastAsia" w:ascii="宋体" w:hAnsi="宋体"/>
          <w:sz w:val="24"/>
        </w:rPr>
        <w:t>（6）根据合同应增加和扣减的其他金额。</w:t>
      </w:r>
    </w:p>
    <w:p>
      <w:pPr>
        <w:snapToGrid w:val="0"/>
        <w:spacing w:beforeLines="50"/>
        <w:ind w:left="991" w:leftChars="472"/>
        <w:rPr>
          <w:rFonts w:ascii="宋体" w:hAnsi="宋体"/>
          <w:sz w:val="24"/>
        </w:rPr>
      </w:pPr>
      <w:r>
        <w:rPr>
          <w:rFonts w:hint="eastAsia" w:ascii="宋体" w:hAnsi="宋体"/>
          <w:sz w:val="24"/>
        </w:rPr>
        <w:t>监理人应在收到承包人进度付款申请单以及相应的支持性证明文件后的7天内完成核查</w:t>
      </w:r>
      <w:r>
        <w:rPr>
          <w:rFonts w:ascii="宋体" w:hAnsi="宋体"/>
          <w:sz w:val="24"/>
        </w:rPr>
        <w:t>，</w:t>
      </w:r>
      <w:r>
        <w:rPr>
          <w:rFonts w:hint="eastAsia" w:ascii="宋体" w:hAnsi="宋体"/>
          <w:sz w:val="24"/>
        </w:rPr>
        <w:t>并向承包人出具经发包人签认的付款证书。</w:t>
      </w:r>
      <w:r>
        <w:rPr>
          <w:rFonts w:ascii="宋体" w:hAnsi="宋体"/>
          <w:sz w:val="24"/>
        </w:rPr>
        <w:t>发包人应在监理人收到进度付款申请单的</w:t>
      </w:r>
      <w:r>
        <w:rPr>
          <w:rFonts w:hint="eastAsia" w:ascii="宋体" w:hAnsi="宋体"/>
          <w:sz w:val="24"/>
        </w:rPr>
        <w:t>14</w:t>
      </w:r>
      <w:r>
        <w:rPr>
          <w:rFonts w:ascii="宋体" w:hAnsi="宋体"/>
          <w:sz w:val="24"/>
        </w:rPr>
        <w:t>天内将进度</w:t>
      </w:r>
      <w:r>
        <w:rPr>
          <w:rFonts w:hint="eastAsia" w:ascii="宋体" w:hAnsi="宋体"/>
          <w:sz w:val="24"/>
        </w:rPr>
        <w:t>应付</w:t>
      </w:r>
      <w:r>
        <w:rPr>
          <w:rFonts w:ascii="宋体" w:hAnsi="宋体"/>
          <w:sz w:val="24"/>
        </w:rPr>
        <w:t>款支付给</w:t>
      </w:r>
      <w:r>
        <w:rPr>
          <w:rFonts w:hint="eastAsia" w:ascii="宋体" w:hAnsi="宋体"/>
          <w:sz w:val="24"/>
        </w:rPr>
        <w:t>承包</w:t>
      </w:r>
      <w:r>
        <w:rPr>
          <w:rFonts w:ascii="宋体" w:hAnsi="宋体"/>
          <w:sz w:val="24"/>
        </w:rPr>
        <w:t>人</w:t>
      </w:r>
      <w:r>
        <w:rPr>
          <w:rFonts w:hint="eastAsia" w:ascii="宋体" w:hAnsi="宋体"/>
          <w:sz w:val="24"/>
        </w:rPr>
        <w:t>。涉及政府投资资金的，按照国库集中支付等国家相关规定和专用合同条款的约定执行。</w:t>
      </w:r>
    </w:p>
    <w:p>
      <w:pPr>
        <w:snapToGrid w:val="0"/>
        <w:spacing w:beforeLines="50"/>
        <w:ind w:left="991" w:hanging="991" w:hangingChars="413"/>
        <w:jc w:val="left"/>
        <w:rPr>
          <w:rFonts w:ascii="黑体" w:eastAsia="黑体"/>
          <w:sz w:val="24"/>
        </w:rPr>
      </w:pPr>
      <w:bookmarkStart w:id="370" w:name="_Toc247085823"/>
      <w:bookmarkStart w:id="371" w:name="_Toc296602553"/>
      <w:bookmarkStart w:id="372" w:name="_Toc246996308"/>
      <w:bookmarkStart w:id="373" w:name="_Toc246997051"/>
      <w:r>
        <w:rPr>
          <w:rFonts w:hint="eastAsia" w:ascii="黑体" w:eastAsia="黑体"/>
          <w:sz w:val="24"/>
        </w:rPr>
        <w:t>10.4</w:t>
      </w:r>
      <w:r>
        <w:rPr>
          <w:rFonts w:hint="eastAsia" w:ascii="黑体" w:eastAsia="黑体"/>
          <w:sz w:val="24"/>
        </w:rPr>
        <w:tab/>
      </w:r>
      <w:r>
        <w:rPr>
          <w:rFonts w:hint="eastAsia" w:ascii="黑体" w:eastAsia="黑体"/>
          <w:sz w:val="24"/>
        </w:rPr>
        <w:t>质量保证金</w:t>
      </w:r>
      <w:bookmarkEnd w:id="370"/>
      <w:bookmarkEnd w:id="371"/>
      <w:bookmarkEnd w:id="372"/>
      <w:bookmarkEnd w:id="373"/>
    </w:p>
    <w:p>
      <w:pPr>
        <w:snapToGrid w:val="0"/>
        <w:spacing w:beforeLines="50"/>
        <w:ind w:left="991" w:leftChars="472"/>
        <w:rPr>
          <w:rFonts w:ascii="宋体" w:hAnsi="宋体"/>
          <w:sz w:val="24"/>
        </w:rPr>
      </w:pPr>
      <w:r>
        <w:rPr>
          <w:rFonts w:hint="eastAsia" w:ascii="宋体" w:hAnsi="宋体"/>
          <w:sz w:val="24"/>
        </w:rPr>
        <w:t>监理人应从第一个付款周期开始，在发包人的进度付款中，按专用合同条款的约定扣留质量保证金，直至扣留的质量保证金总额达到专用合同条款约定的金额或比例为止。</w:t>
      </w:r>
    </w:p>
    <w:p>
      <w:pPr>
        <w:snapToGrid w:val="0"/>
        <w:spacing w:beforeLines="50"/>
        <w:ind w:left="991" w:leftChars="472"/>
        <w:rPr>
          <w:rFonts w:ascii="宋体" w:hAnsi="宋体"/>
          <w:sz w:val="24"/>
        </w:rPr>
      </w:pPr>
      <w:r>
        <w:rPr>
          <w:rFonts w:hint="eastAsia" w:ascii="宋体" w:hAnsi="宋体"/>
          <w:sz w:val="24"/>
        </w:rPr>
        <w:t>在专用合同条款约定的缺陷责任期满时，承包人向发包人申请到期应返还承包人剩余的质量保证金金额，发包人应在14天内会同承包人按照合同约定的内容核实承包人是否完成缺陷责任，并将无异议的剩余质量保证金返还承包人。</w:t>
      </w:r>
    </w:p>
    <w:p>
      <w:pPr>
        <w:snapToGrid w:val="0"/>
        <w:spacing w:beforeLines="50"/>
        <w:ind w:left="991" w:hanging="991" w:hangingChars="413"/>
        <w:jc w:val="left"/>
        <w:rPr>
          <w:rFonts w:ascii="黑体" w:eastAsia="黑体"/>
          <w:sz w:val="24"/>
        </w:rPr>
      </w:pPr>
      <w:bookmarkStart w:id="374" w:name="_Toc247085824"/>
      <w:bookmarkStart w:id="375" w:name="_Toc296602554"/>
      <w:bookmarkStart w:id="376" w:name="_Toc246997052"/>
      <w:bookmarkStart w:id="377" w:name="_Toc246996309"/>
      <w:r>
        <w:rPr>
          <w:rFonts w:hint="eastAsia" w:ascii="黑体" w:eastAsia="黑体"/>
          <w:sz w:val="24"/>
        </w:rPr>
        <w:t>10.5</w:t>
      </w:r>
      <w:r>
        <w:rPr>
          <w:rFonts w:hint="eastAsia" w:ascii="黑体" w:eastAsia="黑体"/>
          <w:sz w:val="24"/>
        </w:rPr>
        <w:tab/>
      </w:r>
      <w:r>
        <w:rPr>
          <w:rFonts w:hint="eastAsia" w:ascii="黑体" w:eastAsia="黑体"/>
          <w:sz w:val="24"/>
        </w:rPr>
        <w:t>竣工结算</w:t>
      </w:r>
      <w:bookmarkEnd w:id="374"/>
      <w:bookmarkEnd w:id="375"/>
      <w:bookmarkEnd w:id="376"/>
      <w:bookmarkEnd w:id="377"/>
    </w:p>
    <w:p>
      <w:pPr>
        <w:snapToGrid w:val="0"/>
        <w:spacing w:beforeLines="50"/>
        <w:ind w:left="991" w:hanging="991" w:hangingChars="413"/>
        <w:jc w:val="left"/>
        <w:rPr>
          <w:rFonts w:ascii="宋体" w:hAnsi="宋体"/>
          <w:sz w:val="24"/>
        </w:rPr>
      </w:pPr>
      <w:r>
        <w:rPr>
          <w:rFonts w:hint="eastAsia" w:ascii="宋体" w:hAnsi="宋体"/>
          <w:sz w:val="24"/>
        </w:rPr>
        <w:t>10.5.1</w:t>
      </w:r>
      <w:r>
        <w:rPr>
          <w:rFonts w:hint="eastAsia" w:ascii="宋体" w:hAnsi="宋体"/>
          <w:sz w:val="24"/>
        </w:rPr>
        <w:tab/>
      </w:r>
      <w:r>
        <w:rPr>
          <w:rFonts w:hint="eastAsia" w:ascii="宋体" w:hAnsi="宋体"/>
          <w:sz w:val="24"/>
        </w:rPr>
        <w:t>除专用合同条款另有约定外，竣工结算价格不因物价波动和法律变化而调整。</w:t>
      </w:r>
    </w:p>
    <w:p>
      <w:pPr>
        <w:snapToGrid w:val="0"/>
        <w:spacing w:beforeLines="50"/>
        <w:ind w:left="991" w:hanging="991" w:hangingChars="413"/>
        <w:jc w:val="left"/>
        <w:rPr>
          <w:rFonts w:ascii="宋体" w:hAnsi="宋体"/>
          <w:sz w:val="24"/>
        </w:rPr>
      </w:pPr>
      <w:r>
        <w:rPr>
          <w:rFonts w:hint="eastAsia" w:ascii="宋体" w:hAnsi="宋体"/>
          <w:sz w:val="24"/>
        </w:rPr>
        <w:t>10.5.2</w:t>
      </w:r>
      <w:r>
        <w:rPr>
          <w:rFonts w:hint="eastAsia" w:ascii="宋体" w:hAnsi="宋体"/>
          <w:sz w:val="24"/>
        </w:rPr>
        <w:tab/>
      </w:r>
      <w:r>
        <w:rPr>
          <w:rFonts w:ascii="宋体" w:hAnsi="宋体"/>
          <w:sz w:val="24"/>
        </w:rPr>
        <w:t>工程接收证书颁发后，承包人应按</w:t>
      </w:r>
      <w:r>
        <w:rPr>
          <w:rFonts w:hint="eastAsia" w:ascii="宋体" w:hAnsi="宋体"/>
          <w:sz w:val="24"/>
        </w:rPr>
        <w:t>专用合同条款</w:t>
      </w:r>
      <w:r>
        <w:rPr>
          <w:rFonts w:ascii="宋体" w:hAnsi="宋体"/>
          <w:sz w:val="24"/>
        </w:rPr>
        <w:t>约定的份数和期限向监理人提交竣工付款申请单，并提供相关证明材料。监理人</w:t>
      </w:r>
      <w:r>
        <w:rPr>
          <w:rFonts w:hint="eastAsia" w:ascii="宋体" w:hAnsi="宋体"/>
          <w:sz w:val="24"/>
        </w:rPr>
        <w:t>应当在</w:t>
      </w:r>
      <w:r>
        <w:rPr>
          <w:rFonts w:ascii="宋体" w:hAnsi="宋体"/>
          <w:sz w:val="24"/>
        </w:rPr>
        <w:t>收到竣工结算申请单的</w:t>
      </w:r>
      <w:r>
        <w:rPr>
          <w:rFonts w:hint="eastAsia" w:ascii="宋体" w:hAnsi="宋体"/>
          <w:sz w:val="24"/>
        </w:rPr>
        <w:t>7天内完成</w:t>
      </w:r>
      <w:r>
        <w:rPr>
          <w:rFonts w:ascii="宋体" w:hAnsi="宋体"/>
          <w:sz w:val="24"/>
        </w:rPr>
        <w:t>核查</w:t>
      </w:r>
      <w:r>
        <w:rPr>
          <w:rFonts w:hint="eastAsia" w:ascii="宋体" w:hAnsi="宋体"/>
          <w:sz w:val="24"/>
        </w:rPr>
        <w:t>、准备竣工付款证书并送发包人审核</w:t>
      </w:r>
      <w:r>
        <w:rPr>
          <w:rFonts w:ascii="宋体" w:hAnsi="宋体"/>
          <w:sz w:val="24"/>
        </w:rPr>
        <w:t>，发包人应在</w:t>
      </w:r>
      <w:r>
        <w:rPr>
          <w:rFonts w:hint="eastAsia" w:ascii="宋体" w:hAnsi="宋体"/>
          <w:sz w:val="24"/>
        </w:rPr>
        <w:t>收到后14</w:t>
      </w:r>
      <w:r>
        <w:rPr>
          <w:rFonts w:ascii="宋体" w:hAnsi="宋体"/>
          <w:sz w:val="24"/>
        </w:rPr>
        <w:t>天内</w:t>
      </w:r>
      <w:r>
        <w:rPr>
          <w:rFonts w:hint="eastAsia" w:ascii="宋体" w:hAnsi="宋体"/>
          <w:sz w:val="24"/>
        </w:rPr>
        <w:t>提出具体意见或签认竣工付款证书，并在</w:t>
      </w:r>
      <w:r>
        <w:rPr>
          <w:rFonts w:ascii="宋体" w:hAnsi="宋体"/>
          <w:sz w:val="24"/>
        </w:rPr>
        <w:t>监理人收到竣工结算申请单的</w:t>
      </w:r>
      <w:r>
        <w:rPr>
          <w:rFonts w:hint="eastAsia" w:ascii="宋体" w:hAnsi="宋体"/>
          <w:sz w:val="24"/>
        </w:rPr>
        <w:t>28</w:t>
      </w:r>
      <w:r>
        <w:rPr>
          <w:rFonts w:ascii="宋体" w:hAnsi="宋体"/>
          <w:sz w:val="24"/>
        </w:rPr>
        <w:t>天内将应付款支付给承包人。</w:t>
      </w:r>
      <w:r>
        <w:rPr>
          <w:rFonts w:hint="eastAsia" w:ascii="宋体" w:hAnsi="宋体"/>
          <w:sz w:val="24"/>
        </w:rPr>
        <w:t>发包人未在约定时间内审核并提出具体意见或者签认竣工付款证书的，视为同意承包人提出的竣工付款金额。</w:t>
      </w:r>
    </w:p>
    <w:p>
      <w:pPr>
        <w:snapToGrid w:val="0"/>
        <w:spacing w:beforeLines="50"/>
        <w:ind w:left="991" w:hanging="991" w:hangingChars="413"/>
        <w:jc w:val="left"/>
        <w:rPr>
          <w:rFonts w:ascii="宋体" w:hAnsi="宋体"/>
          <w:sz w:val="24"/>
        </w:rPr>
      </w:pPr>
      <w:r>
        <w:rPr>
          <w:rFonts w:hint="eastAsia" w:ascii="宋体" w:hAnsi="宋体"/>
          <w:sz w:val="24"/>
        </w:rPr>
        <w:t>10.5.3</w:t>
      </w:r>
      <w:r>
        <w:rPr>
          <w:rFonts w:hint="eastAsia" w:ascii="宋体" w:hAnsi="宋体"/>
          <w:sz w:val="24"/>
        </w:rPr>
        <w:tab/>
      </w:r>
      <w:r>
        <w:rPr>
          <w:rFonts w:hint="eastAsia" w:ascii="宋体" w:hAnsi="宋体"/>
          <w:sz w:val="24"/>
        </w:rPr>
        <w:t>竣工付款涉及政府投资资金的，按照国库集中支付等国家相关规定和专用合同条款的约定执行。</w:t>
      </w:r>
    </w:p>
    <w:p>
      <w:pPr>
        <w:snapToGrid w:val="0"/>
        <w:spacing w:beforeLines="50"/>
        <w:ind w:left="991" w:hanging="991" w:hangingChars="413"/>
        <w:jc w:val="left"/>
        <w:rPr>
          <w:rFonts w:ascii="黑体" w:eastAsia="黑体"/>
          <w:sz w:val="24"/>
        </w:rPr>
      </w:pPr>
      <w:bookmarkStart w:id="378" w:name="_Toc247085825"/>
      <w:bookmarkStart w:id="379" w:name="_Toc296602555"/>
      <w:bookmarkStart w:id="380" w:name="_Toc246996310"/>
      <w:bookmarkStart w:id="381" w:name="_Toc246997053"/>
      <w:r>
        <w:rPr>
          <w:rFonts w:hint="eastAsia" w:ascii="黑体" w:eastAsia="黑体"/>
          <w:sz w:val="24"/>
        </w:rPr>
        <w:t>10.6</w:t>
      </w:r>
      <w:r>
        <w:rPr>
          <w:rFonts w:hint="eastAsia" w:ascii="黑体" w:eastAsia="黑体"/>
          <w:sz w:val="24"/>
        </w:rPr>
        <w:tab/>
      </w:r>
      <w:r>
        <w:rPr>
          <w:rFonts w:hint="eastAsia" w:ascii="黑体" w:eastAsia="黑体"/>
          <w:sz w:val="24"/>
        </w:rPr>
        <w:t>付款延误</w:t>
      </w:r>
      <w:bookmarkEnd w:id="378"/>
      <w:bookmarkEnd w:id="379"/>
      <w:bookmarkEnd w:id="380"/>
      <w:bookmarkEnd w:id="381"/>
    </w:p>
    <w:p>
      <w:pPr>
        <w:snapToGrid w:val="0"/>
        <w:spacing w:beforeLines="50"/>
        <w:ind w:left="991" w:leftChars="472"/>
        <w:rPr>
          <w:rFonts w:ascii="宋体" w:hAnsi="宋体"/>
          <w:sz w:val="24"/>
        </w:rPr>
      </w:pPr>
      <w:r>
        <w:rPr>
          <w:rFonts w:hint="eastAsia" w:ascii="宋体" w:hAnsi="宋体"/>
          <w:sz w:val="24"/>
        </w:rPr>
        <w:t>发包人不按期支付的，按专用合同条款的约定支付逾期付款违约金。</w:t>
      </w:r>
    </w:p>
    <w:p>
      <w:pPr>
        <w:snapToGrid w:val="0"/>
        <w:spacing w:beforeLines="50"/>
        <w:ind w:left="991" w:hanging="991" w:hangingChars="413"/>
        <w:jc w:val="left"/>
        <w:outlineLvl w:val="2"/>
        <w:rPr>
          <w:rFonts w:ascii="黑体" w:eastAsia="黑体"/>
          <w:sz w:val="24"/>
        </w:rPr>
      </w:pPr>
      <w:bookmarkStart w:id="382" w:name="_Toc184635115"/>
      <w:bookmarkStart w:id="383" w:name="_Toc246996311"/>
      <w:bookmarkStart w:id="384" w:name="_Toc246997054"/>
      <w:bookmarkStart w:id="385" w:name="_Toc247085826"/>
      <w:bookmarkStart w:id="386" w:name="_Toc296602556"/>
      <w:bookmarkStart w:id="387" w:name="_Toc20332"/>
      <w:bookmarkStart w:id="388" w:name="_Toc26069"/>
      <w:r>
        <w:rPr>
          <w:rFonts w:hint="eastAsia" w:ascii="黑体" w:eastAsia="黑体"/>
          <w:sz w:val="24"/>
        </w:rPr>
        <w:t>11.</w:t>
      </w:r>
      <w:r>
        <w:rPr>
          <w:rFonts w:hint="eastAsia" w:ascii="黑体" w:eastAsia="黑体"/>
          <w:sz w:val="24"/>
        </w:rPr>
        <w:tab/>
      </w:r>
      <w:r>
        <w:rPr>
          <w:rFonts w:hint="eastAsia" w:ascii="黑体" w:eastAsia="黑体"/>
          <w:sz w:val="24"/>
        </w:rPr>
        <w:t>竣工验收</w:t>
      </w:r>
      <w:bookmarkEnd w:id="382"/>
      <w:bookmarkEnd w:id="383"/>
      <w:bookmarkEnd w:id="384"/>
      <w:bookmarkEnd w:id="385"/>
      <w:bookmarkEnd w:id="386"/>
      <w:bookmarkEnd w:id="387"/>
      <w:bookmarkEnd w:id="388"/>
    </w:p>
    <w:p>
      <w:pPr>
        <w:snapToGrid w:val="0"/>
        <w:spacing w:beforeLines="50"/>
        <w:ind w:left="991" w:hanging="991" w:hangingChars="413"/>
        <w:jc w:val="left"/>
        <w:rPr>
          <w:rFonts w:ascii="黑体" w:eastAsia="黑体"/>
          <w:sz w:val="24"/>
        </w:rPr>
      </w:pPr>
      <w:bookmarkStart w:id="389" w:name="_Toc296602557"/>
      <w:bookmarkStart w:id="390" w:name="_Toc246997055"/>
      <w:bookmarkStart w:id="391" w:name="_Toc246996312"/>
      <w:bookmarkStart w:id="392" w:name="_Toc247085827"/>
      <w:r>
        <w:rPr>
          <w:rFonts w:hint="eastAsia" w:ascii="黑体" w:eastAsia="黑体"/>
          <w:sz w:val="24"/>
        </w:rPr>
        <w:t>11.1</w:t>
      </w:r>
      <w:r>
        <w:rPr>
          <w:rFonts w:hint="eastAsia" w:ascii="黑体" w:eastAsia="黑体"/>
          <w:sz w:val="24"/>
        </w:rPr>
        <w:tab/>
      </w:r>
      <w:r>
        <w:rPr>
          <w:rFonts w:hint="eastAsia" w:ascii="黑体" w:eastAsia="黑体"/>
          <w:sz w:val="24"/>
        </w:rPr>
        <w:t>竣工验收的含义</w:t>
      </w:r>
      <w:bookmarkEnd w:id="389"/>
    </w:p>
    <w:p>
      <w:pPr>
        <w:snapToGrid w:val="0"/>
        <w:spacing w:beforeLines="50"/>
        <w:ind w:left="991" w:hanging="991" w:hangingChars="413"/>
        <w:jc w:val="left"/>
        <w:rPr>
          <w:rFonts w:ascii="宋体" w:hAnsi="宋体"/>
          <w:sz w:val="24"/>
        </w:rPr>
      </w:pPr>
      <w:r>
        <w:rPr>
          <w:rFonts w:hint="eastAsia" w:ascii="宋体" w:hAnsi="宋体"/>
          <w:sz w:val="24"/>
        </w:rPr>
        <w:t>11.1.1</w:t>
      </w:r>
      <w:r>
        <w:rPr>
          <w:rFonts w:hint="eastAsia" w:ascii="宋体" w:hAnsi="宋体"/>
          <w:sz w:val="24"/>
        </w:rPr>
        <w:tab/>
      </w:r>
      <w:r>
        <w:rPr>
          <w:rFonts w:hint="eastAsia" w:ascii="宋体" w:hAnsi="宋体"/>
          <w:sz w:val="24"/>
        </w:rPr>
        <w:t>竣工验收是指承包人完成了全部合同工作后，发包人按合同要求进行的验收。</w:t>
      </w:r>
    </w:p>
    <w:p>
      <w:pPr>
        <w:snapToGrid w:val="0"/>
        <w:spacing w:beforeLines="50"/>
        <w:ind w:left="991" w:hanging="991" w:hangingChars="413"/>
        <w:jc w:val="left"/>
        <w:rPr>
          <w:rFonts w:ascii="宋体" w:hAnsi="宋体"/>
          <w:sz w:val="24"/>
        </w:rPr>
      </w:pPr>
      <w:r>
        <w:rPr>
          <w:rFonts w:hint="eastAsia" w:ascii="宋体" w:hAnsi="宋体"/>
          <w:sz w:val="24"/>
        </w:rPr>
        <w:t>11.1.2</w:t>
      </w:r>
      <w:r>
        <w:rPr>
          <w:rFonts w:hint="eastAsia" w:ascii="宋体" w:hAnsi="宋体"/>
          <w:sz w:val="24"/>
        </w:rPr>
        <w:tab/>
      </w:r>
      <w:r>
        <w:rPr>
          <w:rFonts w:hint="eastAsia" w:ascii="宋体" w:hAnsi="宋体"/>
          <w:sz w:val="24"/>
        </w:rPr>
        <w:t>需要进行国家验收的，竣工验收是国家验收的一部分。竣工验收所采用的各项验收和评定标准应符合国家验收标准。发包人和承包人为竣工验收提供的各项竣工验收资料应符合国家验收的要求。</w:t>
      </w:r>
    </w:p>
    <w:p>
      <w:pPr>
        <w:snapToGrid w:val="0"/>
        <w:spacing w:beforeLines="50"/>
        <w:ind w:left="991" w:hanging="991" w:hangingChars="413"/>
        <w:jc w:val="left"/>
        <w:rPr>
          <w:rFonts w:ascii="黑体" w:eastAsia="黑体"/>
          <w:sz w:val="24"/>
        </w:rPr>
      </w:pPr>
      <w:bookmarkStart w:id="393" w:name="_Toc296602558"/>
      <w:r>
        <w:rPr>
          <w:rFonts w:hint="eastAsia" w:ascii="黑体" w:eastAsia="黑体"/>
          <w:sz w:val="24"/>
        </w:rPr>
        <w:t>11.2</w:t>
      </w:r>
      <w:r>
        <w:rPr>
          <w:rFonts w:hint="eastAsia" w:ascii="黑体" w:eastAsia="黑体"/>
          <w:sz w:val="24"/>
        </w:rPr>
        <w:tab/>
      </w:r>
      <w:r>
        <w:rPr>
          <w:rFonts w:hint="eastAsia" w:ascii="黑体" w:eastAsia="黑体"/>
          <w:sz w:val="24"/>
        </w:rPr>
        <w:t>竣工验收申请报告</w:t>
      </w:r>
      <w:bookmarkEnd w:id="390"/>
      <w:bookmarkEnd w:id="391"/>
      <w:bookmarkEnd w:id="392"/>
      <w:bookmarkEnd w:id="393"/>
    </w:p>
    <w:p>
      <w:pPr>
        <w:snapToGrid w:val="0"/>
        <w:spacing w:beforeLines="50"/>
        <w:ind w:left="991" w:leftChars="472"/>
        <w:rPr>
          <w:rFonts w:ascii="宋体" w:hAnsi="宋体"/>
          <w:sz w:val="24"/>
        </w:rPr>
      </w:pPr>
      <w:r>
        <w:rPr>
          <w:rFonts w:ascii="宋体" w:hAnsi="宋体"/>
          <w:sz w:val="24"/>
        </w:rPr>
        <w:t>当工程具备竣工条件时，</w:t>
      </w:r>
      <w:r>
        <w:rPr>
          <w:rFonts w:hint="eastAsia" w:ascii="宋体" w:hAnsi="宋体"/>
          <w:sz w:val="24"/>
        </w:rPr>
        <w:t>承包</w:t>
      </w:r>
      <w:r>
        <w:rPr>
          <w:rFonts w:ascii="宋体" w:hAnsi="宋体"/>
          <w:sz w:val="24"/>
        </w:rPr>
        <w:t>人即可向监理人报送竣工验收申请报告</w:t>
      </w:r>
      <w:r>
        <w:rPr>
          <w:rFonts w:hint="eastAsia" w:ascii="宋体" w:hAnsi="宋体"/>
          <w:sz w:val="24"/>
        </w:rPr>
        <w:t>。</w:t>
      </w:r>
    </w:p>
    <w:p>
      <w:pPr>
        <w:snapToGrid w:val="0"/>
        <w:spacing w:beforeLines="50"/>
        <w:ind w:left="991" w:hanging="991" w:hangingChars="413"/>
        <w:jc w:val="left"/>
        <w:rPr>
          <w:rFonts w:ascii="黑体" w:eastAsia="黑体"/>
          <w:sz w:val="24"/>
        </w:rPr>
      </w:pPr>
      <w:bookmarkStart w:id="394" w:name="_Toc296602559"/>
      <w:bookmarkStart w:id="395" w:name="_Toc247085828"/>
      <w:bookmarkStart w:id="396" w:name="_Toc246996313"/>
      <w:bookmarkStart w:id="397" w:name="_Toc246997056"/>
      <w:r>
        <w:rPr>
          <w:rFonts w:hint="eastAsia" w:ascii="黑体" w:eastAsia="黑体"/>
          <w:sz w:val="24"/>
        </w:rPr>
        <w:t>11.3</w:t>
      </w:r>
      <w:r>
        <w:rPr>
          <w:rFonts w:hint="eastAsia" w:ascii="黑体" w:eastAsia="黑体"/>
          <w:sz w:val="24"/>
        </w:rPr>
        <w:tab/>
      </w:r>
      <w:r>
        <w:rPr>
          <w:rFonts w:hint="eastAsia" w:ascii="黑体" w:eastAsia="黑体"/>
          <w:sz w:val="24"/>
        </w:rPr>
        <w:t>竣工和验收</w:t>
      </w:r>
      <w:bookmarkEnd w:id="394"/>
      <w:bookmarkEnd w:id="395"/>
      <w:bookmarkEnd w:id="396"/>
      <w:bookmarkEnd w:id="397"/>
    </w:p>
    <w:p>
      <w:pPr>
        <w:snapToGrid w:val="0"/>
        <w:spacing w:beforeLines="50"/>
        <w:ind w:left="991" w:leftChars="472"/>
        <w:rPr>
          <w:rFonts w:ascii="宋体" w:hAnsi="宋体"/>
          <w:sz w:val="24"/>
        </w:rPr>
      </w:pPr>
      <w:r>
        <w:rPr>
          <w:rFonts w:ascii="宋体" w:hAnsi="宋体"/>
          <w:sz w:val="24"/>
        </w:rPr>
        <w:t>监理人审查后认为具备竣工验收条件的，提请发包人进行工程验收。发包人经过验收后同意接收工程的，由监理人向</w:t>
      </w:r>
      <w:r>
        <w:rPr>
          <w:rFonts w:hint="eastAsia" w:ascii="宋体" w:hAnsi="宋体"/>
          <w:sz w:val="24"/>
        </w:rPr>
        <w:t>承包</w:t>
      </w:r>
      <w:r>
        <w:rPr>
          <w:rFonts w:ascii="宋体" w:hAnsi="宋体"/>
          <w:sz w:val="24"/>
        </w:rPr>
        <w:t>人出具经发包人签认的工程接收证书</w:t>
      </w:r>
      <w:r>
        <w:rPr>
          <w:rFonts w:hint="eastAsia" w:ascii="宋体" w:hAnsi="宋体"/>
          <w:sz w:val="24"/>
        </w:rPr>
        <w:t>。</w:t>
      </w:r>
    </w:p>
    <w:p>
      <w:pPr>
        <w:snapToGrid w:val="0"/>
        <w:spacing w:beforeLines="50"/>
        <w:ind w:left="991" w:leftChars="472"/>
        <w:rPr>
          <w:rFonts w:ascii="宋体" w:hAnsi="宋体"/>
          <w:sz w:val="24"/>
        </w:rPr>
      </w:pPr>
      <w:r>
        <w:rPr>
          <w:rFonts w:ascii="宋体" w:hAnsi="宋体"/>
          <w:sz w:val="24"/>
        </w:rPr>
        <w:t>除专用合同条款另有约定外，经验收合格工程的实际竣工日期，以提交竣工验收申请报告的日期为准，并在工程接收证书中写明</w:t>
      </w:r>
      <w:r>
        <w:rPr>
          <w:rFonts w:hint="eastAsia" w:ascii="宋体" w:hAnsi="宋体"/>
          <w:sz w:val="24"/>
        </w:rPr>
        <w:t>。</w:t>
      </w:r>
    </w:p>
    <w:p>
      <w:pPr>
        <w:snapToGrid w:val="0"/>
        <w:spacing w:beforeLines="50"/>
        <w:ind w:left="991" w:hanging="991" w:hangingChars="413"/>
        <w:jc w:val="left"/>
        <w:rPr>
          <w:rFonts w:ascii="黑体" w:eastAsia="黑体"/>
          <w:sz w:val="24"/>
        </w:rPr>
      </w:pPr>
      <w:bookmarkStart w:id="398" w:name="_Toc246996314"/>
      <w:bookmarkStart w:id="399" w:name="_Toc296602560"/>
      <w:bookmarkStart w:id="400" w:name="_Toc246997057"/>
      <w:bookmarkStart w:id="401" w:name="_Toc247085829"/>
      <w:r>
        <w:rPr>
          <w:rFonts w:hint="eastAsia" w:ascii="黑体" w:eastAsia="黑体"/>
          <w:sz w:val="24"/>
        </w:rPr>
        <w:t>11.4</w:t>
      </w:r>
      <w:r>
        <w:rPr>
          <w:rFonts w:hint="eastAsia" w:ascii="黑体" w:eastAsia="黑体"/>
          <w:sz w:val="24"/>
        </w:rPr>
        <w:tab/>
      </w:r>
      <w:r>
        <w:rPr>
          <w:rFonts w:hint="eastAsia" w:ascii="黑体" w:eastAsia="黑体"/>
          <w:sz w:val="24"/>
        </w:rPr>
        <w:t>试运行</w:t>
      </w:r>
      <w:bookmarkEnd w:id="398"/>
      <w:bookmarkEnd w:id="399"/>
      <w:bookmarkEnd w:id="400"/>
      <w:bookmarkEnd w:id="401"/>
    </w:p>
    <w:p>
      <w:pPr>
        <w:snapToGrid w:val="0"/>
        <w:spacing w:beforeLines="50"/>
        <w:ind w:left="991" w:leftChars="472"/>
        <w:rPr>
          <w:rFonts w:ascii="宋体" w:hAnsi="宋体"/>
          <w:sz w:val="24"/>
        </w:rPr>
      </w:pPr>
      <w:r>
        <w:rPr>
          <w:rFonts w:hint="eastAsia" w:ascii="宋体" w:hAnsi="宋体"/>
          <w:sz w:val="24"/>
        </w:rPr>
        <w:t>除专用合同条款另有约定外，承包人应按专用合同条款约定进行工程及工程设备试运行，负责提供试运行所需的人员、器材和必要的条件，并承担全部试运行费用。</w:t>
      </w:r>
    </w:p>
    <w:p>
      <w:pPr>
        <w:snapToGrid w:val="0"/>
        <w:spacing w:beforeLines="50"/>
        <w:ind w:left="991" w:hanging="991" w:hangingChars="413"/>
        <w:jc w:val="left"/>
        <w:rPr>
          <w:rFonts w:ascii="黑体" w:eastAsia="黑体"/>
          <w:sz w:val="24"/>
        </w:rPr>
      </w:pPr>
      <w:bookmarkStart w:id="402" w:name="_Toc246996315"/>
      <w:bookmarkStart w:id="403" w:name="_Toc296602561"/>
      <w:bookmarkStart w:id="404" w:name="_Toc246997058"/>
      <w:bookmarkStart w:id="405" w:name="_Toc247085830"/>
      <w:r>
        <w:rPr>
          <w:rFonts w:hint="eastAsia" w:ascii="黑体" w:eastAsia="黑体"/>
          <w:sz w:val="24"/>
        </w:rPr>
        <w:t>11.5</w:t>
      </w:r>
      <w:r>
        <w:rPr>
          <w:rFonts w:hint="eastAsia" w:ascii="黑体" w:eastAsia="黑体"/>
          <w:sz w:val="24"/>
        </w:rPr>
        <w:tab/>
      </w:r>
      <w:r>
        <w:rPr>
          <w:rFonts w:hint="eastAsia" w:ascii="黑体" w:eastAsia="黑体"/>
          <w:sz w:val="24"/>
        </w:rPr>
        <w:t>竣工清场</w:t>
      </w:r>
      <w:bookmarkEnd w:id="402"/>
      <w:bookmarkEnd w:id="403"/>
      <w:bookmarkEnd w:id="404"/>
      <w:bookmarkEnd w:id="405"/>
    </w:p>
    <w:p>
      <w:pPr>
        <w:snapToGrid w:val="0"/>
        <w:spacing w:beforeLines="50"/>
        <w:ind w:left="991" w:leftChars="472"/>
        <w:rPr>
          <w:rFonts w:ascii="宋体" w:hAnsi="宋体"/>
          <w:sz w:val="24"/>
        </w:rPr>
      </w:pPr>
      <w:r>
        <w:rPr>
          <w:rFonts w:hint="eastAsia" w:ascii="宋体" w:hAnsi="宋体"/>
          <w:sz w:val="24"/>
        </w:rPr>
        <w:t>除合同另有约定外，工程接收证书颁发后，承包人应对施工场地进行清理，直至监理人检验合格为止。竣工清场费用由承包人承担。</w:t>
      </w:r>
    </w:p>
    <w:p>
      <w:pPr>
        <w:snapToGrid w:val="0"/>
        <w:spacing w:beforeLines="50"/>
        <w:ind w:left="991" w:hanging="991" w:hangingChars="413"/>
        <w:jc w:val="left"/>
        <w:outlineLvl w:val="2"/>
        <w:rPr>
          <w:rFonts w:ascii="黑体" w:eastAsia="黑体"/>
          <w:sz w:val="24"/>
        </w:rPr>
      </w:pPr>
      <w:bookmarkStart w:id="406" w:name="_Toc184635116"/>
      <w:bookmarkStart w:id="407" w:name="_Toc246997059"/>
      <w:bookmarkStart w:id="408" w:name="_Toc246996316"/>
      <w:bookmarkStart w:id="409" w:name="_Toc1331"/>
      <w:bookmarkStart w:id="410" w:name="_Toc26485"/>
      <w:bookmarkStart w:id="411" w:name="_Toc296602562"/>
      <w:bookmarkStart w:id="412" w:name="_Toc247085831"/>
      <w:r>
        <w:rPr>
          <w:rFonts w:hint="eastAsia" w:ascii="黑体" w:eastAsia="黑体"/>
          <w:sz w:val="24"/>
        </w:rPr>
        <w:t>12.</w:t>
      </w:r>
      <w:r>
        <w:rPr>
          <w:rFonts w:hint="eastAsia" w:ascii="黑体" w:eastAsia="黑体"/>
          <w:sz w:val="24"/>
        </w:rPr>
        <w:tab/>
      </w:r>
      <w:r>
        <w:rPr>
          <w:rFonts w:hint="eastAsia" w:ascii="黑体" w:eastAsia="黑体"/>
          <w:sz w:val="24"/>
        </w:rPr>
        <w:t>缺陷责任与保修责任</w:t>
      </w:r>
      <w:bookmarkEnd w:id="406"/>
      <w:bookmarkEnd w:id="407"/>
      <w:bookmarkEnd w:id="408"/>
      <w:bookmarkEnd w:id="409"/>
      <w:bookmarkEnd w:id="410"/>
      <w:bookmarkEnd w:id="411"/>
      <w:bookmarkEnd w:id="412"/>
    </w:p>
    <w:p>
      <w:pPr>
        <w:snapToGrid w:val="0"/>
        <w:spacing w:beforeLines="50"/>
        <w:ind w:left="991" w:hanging="991" w:hangingChars="413"/>
        <w:jc w:val="left"/>
        <w:rPr>
          <w:rFonts w:ascii="黑体" w:eastAsia="黑体"/>
          <w:sz w:val="24"/>
        </w:rPr>
      </w:pPr>
      <w:bookmarkStart w:id="413" w:name="_Toc246997060"/>
      <w:bookmarkStart w:id="414" w:name="_Toc247085832"/>
      <w:bookmarkStart w:id="415" w:name="_Toc296602563"/>
      <w:bookmarkStart w:id="416" w:name="_Toc246996317"/>
      <w:r>
        <w:rPr>
          <w:rFonts w:hint="eastAsia" w:ascii="黑体" w:eastAsia="黑体"/>
          <w:sz w:val="24"/>
        </w:rPr>
        <w:t>12.1</w:t>
      </w:r>
      <w:r>
        <w:rPr>
          <w:rFonts w:hint="eastAsia" w:ascii="黑体" w:eastAsia="黑体"/>
          <w:sz w:val="24"/>
        </w:rPr>
        <w:tab/>
      </w:r>
      <w:r>
        <w:rPr>
          <w:rFonts w:hint="eastAsia" w:ascii="黑体" w:eastAsia="黑体"/>
          <w:sz w:val="24"/>
        </w:rPr>
        <w:t>缺陷责任</w:t>
      </w:r>
      <w:bookmarkEnd w:id="413"/>
      <w:bookmarkEnd w:id="414"/>
      <w:bookmarkEnd w:id="415"/>
      <w:bookmarkEnd w:id="416"/>
    </w:p>
    <w:p>
      <w:pPr>
        <w:snapToGrid w:val="0"/>
        <w:spacing w:beforeLines="50"/>
        <w:ind w:left="991" w:leftChars="472"/>
        <w:rPr>
          <w:rFonts w:ascii="宋体" w:hAnsi="宋体"/>
          <w:sz w:val="24"/>
        </w:rPr>
      </w:pPr>
      <w:r>
        <w:rPr>
          <w:rFonts w:hint="eastAsia" w:ascii="宋体" w:hAnsi="宋体"/>
          <w:sz w:val="24"/>
        </w:rPr>
        <w:t>缺陷责任自实际竣工日期起计算。在缺陷责任期内，已交付的工程</w:t>
      </w:r>
      <w:r>
        <w:rPr>
          <w:rFonts w:ascii="宋体" w:hAnsi="宋体"/>
          <w:sz w:val="24"/>
        </w:rPr>
        <w:t>由于</w:t>
      </w:r>
      <w:r>
        <w:rPr>
          <w:rFonts w:hint="eastAsia" w:ascii="宋体" w:hAnsi="宋体"/>
          <w:sz w:val="24"/>
        </w:rPr>
        <w:t>承包</w:t>
      </w:r>
      <w:r>
        <w:rPr>
          <w:rFonts w:ascii="宋体" w:hAnsi="宋体"/>
          <w:sz w:val="24"/>
        </w:rPr>
        <w:t>人的材料、设备或工艺不符合合同要求所产生的缺陷，修补费用由</w:t>
      </w:r>
      <w:r>
        <w:rPr>
          <w:rFonts w:hint="eastAsia" w:ascii="宋体" w:hAnsi="宋体"/>
          <w:sz w:val="24"/>
        </w:rPr>
        <w:t>承包</w:t>
      </w:r>
      <w:r>
        <w:rPr>
          <w:rFonts w:ascii="宋体" w:hAnsi="宋体"/>
          <w:sz w:val="24"/>
        </w:rPr>
        <w:t>人承担</w:t>
      </w:r>
      <w:r>
        <w:rPr>
          <w:rFonts w:hint="eastAsia" w:ascii="宋体" w:hAnsi="宋体"/>
          <w:sz w:val="24"/>
        </w:rPr>
        <w:t>。由于承包人原因造成某项缺陷或损坏使某项工程或工程设备不能按原定目标使用而需要再次检查、检验和修复的，发包人有权要求承包人相应延长缺陷责任期，但缺陷责任期最长不超过2年。</w:t>
      </w:r>
    </w:p>
    <w:p>
      <w:pPr>
        <w:snapToGrid w:val="0"/>
        <w:spacing w:beforeLines="50"/>
        <w:ind w:left="991" w:hanging="991" w:hangingChars="413"/>
        <w:jc w:val="left"/>
        <w:rPr>
          <w:rFonts w:ascii="黑体" w:eastAsia="黑体"/>
          <w:sz w:val="24"/>
        </w:rPr>
      </w:pPr>
      <w:bookmarkStart w:id="417" w:name="_Toc247085833"/>
      <w:bookmarkStart w:id="418" w:name="_Toc296602564"/>
      <w:bookmarkStart w:id="419" w:name="_Toc246996318"/>
      <w:bookmarkStart w:id="420" w:name="_Toc246997061"/>
      <w:r>
        <w:rPr>
          <w:rFonts w:hint="eastAsia" w:ascii="黑体" w:eastAsia="黑体"/>
          <w:sz w:val="24"/>
        </w:rPr>
        <w:t>12.2</w:t>
      </w:r>
      <w:r>
        <w:rPr>
          <w:rFonts w:hint="eastAsia" w:ascii="黑体" w:eastAsia="黑体"/>
          <w:sz w:val="24"/>
        </w:rPr>
        <w:tab/>
      </w:r>
      <w:r>
        <w:rPr>
          <w:rFonts w:hint="eastAsia" w:ascii="黑体" w:eastAsia="黑体"/>
          <w:sz w:val="24"/>
        </w:rPr>
        <w:t>保修责任</w:t>
      </w:r>
      <w:bookmarkEnd w:id="417"/>
      <w:bookmarkEnd w:id="418"/>
      <w:bookmarkEnd w:id="419"/>
      <w:bookmarkEnd w:id="420"/>
    </w:p>
    <w:p>
      <w:pPr>
        <w:snapToGrid w:val="0"/>
        <w:spacing w:beforeLines="50"/>
        <w:ind w:left="991" w:leftChars="472"/>
        <w:rPr>
          <w:rFonts w:ascii="宋体" w:hAnsi="宋体"/>
          <w:sz w:val="24"/>
        </w:rPr>
      </w:pPr>
      <w:r>
        <w:rPr>
          <w:rFonts w:hint="eastAsia" w:ascii="宋体" w:hAnsi="宋体"/>
          <w:sz w:val="24"/>
        </w:rPr>
        <w:t>合同当事人根据有关法律规定，在专用合同条款中约定工程质量保修范围、期限和责任。保修期自实际竣工日期起计算。</w:t>
      </w:r>
      <w:bookmarkStart w:id="421" w:name="_Toc247085834"/>
      <w:bookmarkStart w:id="422" w:name="_Toc246997062"/>
      <w:bookmarkStart w:id="423" w:name="_Toc184635117"/>
      <w:bookmarkStart w:id="424" w:name="_Toc246996319"/>
    </w:p>
    <w:p>
      <w:pPr>
        <w:snapToGrid w:val="0"/>
        <w:spacing w:beforeLines="50"/>
        <w:ind w:left="991" w:hanging="991" w:hangingChars="413"/>
        <w:jc w:val="left"/>
        <w:outlineLvl w:val="2"/>
        <w:rPr>
          <w:rFonts w:ascii="黑体" w:eastAsia="黑体"/>
          <w:sz w:val="24"/>
        </w:rPr>
      </w:pPr>
      <w:bookmarkStart w:id="425" w:name="_Toc22677"/>
      <w:bookmarkStart w:id="426" w:name="_Toc296602565"/>
      <w:bookmarkStart w:id="427" w:name="_Toc13951"/>
      <w:r>
        <w:rPr>
          <w:rFonts w:hint="eastAsia" w:ascii="黑体" w:eastAsia="黑体"/>
          <w:sz w:val="24"/>
        </w:rPr>
        <w:t>13.</w:t>
      </w:r>
      <w:r>
        <w:rPr>
          <w:rFonts w:hint="eastAsia" w:ascii="黑体" w:eastAsia="黑体"/>
          <w:sz w:val="24"/>
        </w:rPr>
        <w:tab/>
      </w:r>
      <w:r>
        <w:rPr>
          <w:rFonts w:hint="eastAsia" w:ascii="黑体" w:eastAsia="黑体"/>
          <w:sz w:val="24"/>
        </w:rPr>
        <w:t>保险</w:t>
      </w:r>
      <w:bookmarkEnd w:id="421"/>
      <w:bookmarkEnd w:id="422"/>
      <w:bookmarkEnd w:id="423"/>
      <w:bookmarkEnd w:id="424"/>
      <w:bookmarkEnd w:id="425"/>
      <w:bookmarkEnd w:id="426"/>
      <w:bookmarkEnd w:id="427"/>
    </w:p>
    <w:p>
      <w:pPr>
        <w:snapToGrid w:val="0"/>
        <w:spacing w:beforeLines="50"/>
        <w:ind w:left="991" w:hanging="991" w:hangingChars="413"/>
        <w:jc w:val="left"/>
        <w:rPr>
          <w:rFonts w:ascii="黑体" w:eastAsia="黑体"/>
          <w:sz w:val="24"/>
        </w:rPr>
      </w:pPr>
      <w:bookmarkStart w:id="428" w:name="_Toc246996320"/>
      <w:bookmarkStart w:id="429" w:name="_Toc246997063"/>
      <w:bookmarkStart w:id="430" w:name="_Toc296602566"/>
      <w:bookmarkStart w:id="431" w:name="_Toc247085835"/>
      <w:r>
        <w:rPr>
          <w:rFonts w:hint="eastAsia" w:ascii="黑体" w:eastAsia="黑体"/>
          <w:sz w:val="24"/>
        </w:rPr>
        <w:t>13.1</w:t>
      </w:r>
      <w:r>
        <w:rPr>
          <w:rFonts w:hint="eastAsia" w:ascii="黑体" w:eastAsia="黑体"/>
          <w:sz w:val="24"/>
        </w:rPr>
        <w:tab/>
      </w:r>
      <w:r>
        <w:rPr>
          <w:rFonts w:hint="eastAsia" w:ascii="黑体" w:eastAsia="黑体"/>
          <w:sz w:val="24"/>
        </w:rPr>
        <w:t>保险范围</w:t>
      </w:r>
      <w:bookmarkEnd w:id="428"/>
      <w:bookmarkEnd w:id="429"/>
      <w:bookmarkEnd w:id="430"/>
      <w:bookmarkEnd w:id="431"/>
    </w:p>
    <w:p>
      <w:pPr>
        <w:snapToGrid w:val="0"/>
        <w:spacing w:beforeLines="50"/>
        <w:ind w:left="991" w:hanging="991" w:hangingChars="413"/>
        <w:jc w:val="left"/>
        <w:rPr>
          <w:rFonts w:ascii="宋体" w:hAnsi="宋体"/>
          <w:sz w:val="24"/>
        </w:rPr>
      </w:pPr>
      <w:r>
        <w:rPr>
          <w:rFonts w:hint="eastAsia" w:ascii="宋体" w:hAnsi="宋体"/>
          <w:sz w:val="24"/>
        </w:rPr>
        <w:t>13.1.1</w:t>
      </w:r>
      <w:r>
        <w:rPr>
          <w:rFonts w:hint="eastAsia" w:ascii="宋体" w:hAnsi="宋体"/>
          <w:sz w:val="24"/>
        </w:rPr>
        <w:tab/>
      </w:r>
      <w:r>
        <w:rPr>
          <w:rFonts w:hint="eastAsia" w:ascii="宋体" w:hAnsi="宋体"/>
          <w:sz w:val="24"/>
        </w:rPr>
        <w:t>承包人按照专用合同条款的约定向双方同意的保险人投保建筑工程一切险或安装工程一切险等保险。具体的投保险种、保险范围、保险金额、保险费率、保险期限等有关内容应当在专用合同条款中明确约定。</w:t>
      </w:r>
    </w:p>
    <w:p>
      <w:pPr>
        <w:snapToGrid w:val="0"/>
        <w:spacing w:beforeLines="50"/>
        <w:ind w:left="991" w:hanging="991" w:hangingChars="413"/>
        <w:jc w:val="left"/>
        <w:rPr>
          <w:rFonts w:ascii="宋体" w:hAnsi="宋体"/>
          <w:sz w:val="24"/>
        </w:rPr>
      </w:pPr>
      <w:r>
        <w:rPr>
          <w:rFonts w:hint="eastAsia" w:ascii="宋体" w:hAnsi="宋体"/>
          <w:sz w:val="24"/>
        </w:rPr>
        <w:t>13.1.2</w:t>
      </w:r>
      <w:r>
        <w:rPr>
          <w:rFonts w:hint="eastAsia" w:ascii="宋体" w:hAnsi="宋体"/>
          <w:sz w:val="24"/>
        </w:rPr>
        <w:tab/>
      </w:r>
      <w:r>
        <w:rPr>
          <w:rFonts w:hint="eastAsia" w:ascii="宋体" w:hAnsi="宋体"/>
          <w:sz w:val="24"/>
        </w:rPr>
        <w:t>承包</w:t>
      </w:r>
      <w:r>
        <w:rPr>
          <w:rFonts w:ascii="宋体" w:hAnsi="宋体"/>
          <w:sz w:val="24"/>
        </w:rPr>
        <w:t>人应依照有关法律规定参加工伤保险和人身意外伤害险，为其履行合同所雇佣的全部人员，缴纳工伤保险费和</w:t>
      </w:r>
      <w:r>
        <w:rPr>
          <w:rFonts w:hint="eastAsia" w:ascii="宋体" w:hAnsi="宋体"/>
          <w:sz w:val="24"/>
        </w:rPr>
        <w:t>人身</w:t>
      </w:r>
      <w:r>
        <w:rPr>
          <w:rFonts w:ascii="宋体" w:hAnsi="宋体"/>
          <w:sz w:val="24"/>
        </w:rPr>
        <w:t>意外伤害险费。</w:t>
      </w:r>
    </w:p>
    <w:p>
      <w:pPr>
        <w:snapToGrid w:val="0"/>
        <w:spacing w:beforeLines="50"/>
        <w:ind w:left="991" w:hanging="991" w:hangingChars="413"/>
        <w:jc w:val="left"/>
        <w:rPr>
          <w:rFonts w:ascii="宋体" w:hAnsi="宋体"/>
          <w:sz w:val="24"/>
        </w:rPr>
      </w:pPr>
      <w:r>
        <w:rPr>
          <w:rFonts w:hint="eastAsia" w:ascii="宋体" w:hAnsi="宋体"/>
          <w:sz w:val="24"/>
        </w:rPr>
        <w:t>13.1.3</w:t>
      </w:r>
      <w:r>
        <w:rPr>
          <w:rFonts w:hint="eastAsia" w:ascii="宋体" w:hAnsi="宋体"/>
          <w:sz w:val="24"/>
        </w:rPr>
        <w:tab/>
      </w:r>
      <w:r>
        <w:rPr>
          <w:rFonts w:ascii="宋体" w:hAnsi="宋体"/>
          <w:sz w:val="24"/>
        </w:rPr>
        <w:t>发包人应依照有关法律规定参加工伤保险和人身意外伤害险，为其现场机构雇佣的全部人员，缴纳工伤保险费和人身意外伤害险费，并要求其监理人也进行此类保险</w:t>
      </w:r>
      <w:r>
        <w:rPr>
          <w:rFonts w:hint="eastAsia" w:ascii="宋体" w:hAnsi="宋体"/>
          <w:sz w:val="24"/>
        </w:rPr>
        <w:t>。</w:t>
      </w:r>
    </w:p>
    <w:p>
      <w:pPr>
        <w:snapToGrid w:val="0"/>
        <w:spacing w:beforeLines="50"/>
        <w:ind w:left="991" w:hanging="991" w:hangingChars="413"/>
        <w:jc w:val="left"/>
        <w:rPr>
          <w:rFonts w:ascii="黑体" w:eastAsia="黑体"/>
          <w:sz w:val="24"/>
        </w:rPr>
      </w:pPr>
      <w:bookmarkStart w:id="432" w:name="_Toc246996321"/>
      <w:bookmarkStart w:id="433" w:name="_Toc246997064"/>
      <w:bookmarkStart w:id="434" w:name="_Toc296602567"/>
      <w:bookmarkStart w:id="435" w:name="_Toc247085836"/>
      <w:r>
        <w:rPr>
          <w:rFonts w:hint="eastAsia" w:ascii="黑体" w:eastAsia="黑体"/>
          <w:sz w:val="24"/>
        </w:rPr>
        <w:t>13.2</w:t>
      </w:r>
      <w:r>
        <w:rPr>
          <w:rFonts w:hint="eastAsia" w:ascii="黑体" w:eastAsia="黑体"/>
          <w:sz w:val="24"/>
        </w:rPr>
        <w:tab/>
      </w:r>
      <w:r>
        <w:rPr>
          <w:rFonts w:ascii="黑体" w:eastAsia="黑体"/>
          <w:sz w:val="24"/>
        </w:rPr>
        <w:t>未办理保</w:t>
      </w:r>
      <w:r>
        <w:rPr>
          <w:rFonts w:hint="eastAsia" w:ascii="黑体" w:eastAsia="黑体"/>
          <w:sz w:val="24"/>
        </w:rPr>
        <w:t>险</w:t>
      </w:r>
      <w:bookmarkEnd w:id="432"/>
      <w:bookmarkEnd w:id="433"/>
      <w:bookmarkEnd w:id="434"/>
      <w:bookmarkEnd w:id="435"/>
    </w:p>
    <w:p>
      <w:pPr>
        <w:snapToGrid w:val="0"/>
        <w:spacing w:beforeLines="50"/>
        <w:ind w:left="991" w:hanging="991" w:hangingChars="413"/>
        <w:jc w:val="left"/>
        <w:rPr>
          <w:rFonts w:ascii="宋体" w:hAnsi="宋体"/>
          <w:sz w:val="24"/>
        </w:rPr>
      </w:pPr>
      <w:bookmarkStart w:id="436" w:name="_Toc184635118"/>
      <w:r>
        <w:rPr>
          <w:rFonts w:hint="eastAsia" w:ascii="宋体" w:hAnsi="宋体"/>
          <w:sz w:val="24"/>
        </w:rPr>
        <w:t>13.2.1</w:t>
      </w:r>
      <w:r>
        <w:rPr>
          <w:rFonts w:hint="eastAsia" w:ascii="宋体" w:hAnsi="宋体"/>
          <w:sz w:val="24"/>
        </w:rPr>
        <w:tab/>
      </w:r>
      <w:r>
        <w:rPr>
          <w:rFonts w:ascii="宋体" w:hAnsi="宋体"/>
          <w:sz w:val="24"/>
        </w:rPr>
        <w:t>由于负有投保义务的一方当事人未按合同约定办理保险，或未能使保险持续有效的，另一方当事人可代为办理，所需费用由对方当事人承担。</w:t>
      </w:r>
    </w:p>
    <w:p>
      <w:pPr>
        <w:snapToGrid w:val="0"/>
        <w:spacing w:beforeLines="50"/>
        <w:ind w:left="991" w:hanging="991" w:hangingChars="413"/>
        <w:jc w:val="left"/>
        <w:rPr>
          <w:rFonts w:ascii="宋体" w:hAnsi="宋体"/>
          <w:sz w:val="24"/>
        </w:rPr>
      </w:pPr>
      <w:r>
        <w:rPr>
          <w:rFonts w:hint="eastAsia" w:ascii="宋体" w:hAnsi="宋体"/>
          <w:sz w:val="24"/>
        </w:rPr>
        <w:t>13.2.2</w:t>
      </w:r>
      <w:r>
        <w:rPr>
          <w:rFonts w:hint="eastAsia" w:ascii="宋体" w:hAnsi="宋体"/>
          <w:sz w:val="24"/>
        </w:rPr>
        <w:tab/>
      </w:r>
      <w:r>
        <w:rPr>
          <w:rFonts w:ascii="宋体" w:hAnsi="宋体"/>
          <w:sz w:val="24"/>
        </w:rPr>
        <w:t>由于负有投保义务的一方当事人未按合同约定办理某项保险，导致受益人未能得到保险人的赔偿，原应从该项保险得到的保险金应由负有投保义务的一方当事人支付</w:t>
      </w:r>
      <w:r>
        <w:rPr>
          <w:rFonts w:hint="eastAsia" w:ascii="宋体" w:hAnsi="宋体"/>
          <w:sz w:val="24"/>
        </w:rPr>
        <w:t>。</w:t>
      </w:r>
    </w:p>
    <w:bookmarkEnd w:id="436"/>
    <w:p>
      <w:pPr>
        <w:snapToGrid w:val="0"/>
        <w:spacing w:beforeLines="50"/>
        <w:ind w:left="991" w:hanging="991" w:hangingChars="413"/>
        <w:jc w:val="left"/>
        <w:outlineLvl w:val="2"/>
        <w:rPr>
          <w:rFonts w:ascii="黑体" w:eastAsia="黑体"/>
          <w:sz w:val="24"/>
        </w:rPr>
      </w:pPr>
      <w:bookmarkStart w:id="437" w:name="_Toc247527781"/>
      <w:bookmarkStart w:id="438" w:name="_Toc296602568"/>
      <w:bookmarkStart w:id="439" w:name="_Toc247514180"/>
      <w:bookmarkStart w:id="440" w:name="_Toc271821895"/>
      <w:bookmarkStart w:id="441" w:name="_Toc7229"/>
      <w:bookmarkStart w:id="442" w:name="_Toc5392"/>
      <w:bookmarkStart w:id="443" w:name="_Toc246997065"/>
      <w:bookmarkStart w:id="444" w:name="_Toc247085837"/>
      <w:bookmarkStart w:id="445" w:name="_Toc184635119"/>
      <w:bookmarkStart w:id="446" w:name="_Toc246996322"/>
      <w:r>
        <w:rPr>
          <w:rFonts w:hint="eastAsia" w:ascii="黑体" w:eastAsia="黑体"/>
          <w:sz w:val="24"/>
        </w:rPr>
        <w:t>14.</w:t>
      </w:r>
      <w:r>
        <w:rPr>
          <w:rFonts w:hint="eastAsia" w:ascii="黑体" w:eastAsia="黑体"/>
          <w:sz w:val="24"/>
        </w:rPr>
        <w:tab/>
      </w:r>
      <w:r>
        <w:rPr>
          <w:rFonts w:hint="eastAsia" w:ascii="黑体" w:eastAsia="黑体"/>
          <w:sz w:val="24"/>
        </w:rPr>
        <w:t>不可抗力</w:t>
      </w:r>
      <w:bookmarkEnd w:id="437"/>
      <w:bookmarkEnd w:id="438"/>
      <w:bookmarkEnd w:id="439"/>
      <w:bookmarkEnd w:id="440"/>
      <w:bookmarkEnd w:id="441"/>
      <w:bookmarkEnd w:id="442"/>
    </w:p>
    <w:p>
      <w:pPr>
        <w:snapToGrid w:val="0"/>
        <w:spacing w:beforeLines="50"/>
        <w:ind w:left="991" w:hanging="991" w:hangingChars="413"/>
        <w:jc w:val="left"/>
        <w:rPr>
          <w:rFonts w:ascii="黑体" w:eastAsia="黑体"/>
          <w:sz w:val="24"/>
        </w:rPr>
      </w:pPr>
      <w:bookmarkStart w:id="447" w:name="_Toc247527782"/>
      <w:bookmarkStart w:id="448" w:name="_Toc247514181"/>
      <w:bookmarkStart w:id="449" w:name="_Toc296602569"/>
      <w:bookmarkStart w:id="450" w:name="_Toc271821896"/>
      <w:r>
        <w:rPr>
          <w:rFonts w:hint="eastAsia" w:ascii="黑体" w:eastAsia="黑体"/>
          <w:sz w:val="24"/>
        </w:rPr>
        <w:t>14.1</w:t>
      </w:r>
      <w:r>
        <w:rPr>
          <w:rFonts w:hint="eastAsia" w:ascii="黑体" w:eastAsia="黑体"/>
          <w:sz w:val="24"/>
        </w:rPr>
        <w:tab/>
      </w:r>
      <w:r>
        <w:rPr>
          <w:rFonts w:hint="eastAsia" w:ascii="黑体" w:eastAsia="黑体"/>
          <w:sz w:val="24"/>
        </w:rPr>
        <w:t>不可抗力的确认</w:t>
      </w:r>
      <w:bookmarkEnd w:id="447"/>
      <w:bookmarkEnd w:id="448"/>
      <w:bookmarkEnd w:id="449"/>
      <w:bookmarkEnd w:id="450"/>
    </w:p>
    <w:p>
      <w:pPr>
        <w:snapToGrid w:val="0"/>
        <w:spacing w:beforeLines="50"/>
        <w:ind w:left="991" w:hanging="991" w:hangingChars="413"/>
        <w:jc w:val="left"/>
        <w:rPr>
          <w:rFonts w:ascii="宋体" w:hAnsi="宋体"/>
          <w:sz w:val="24"/>
        </w:rPr>
      </w:pPr>
      <w:r>
        <w:rPr>
          <w:rFonts w:hint="eastAsia" w:ascii="宋体" w:hAnsi="宋体"/>
          <w:sz w:val="24"/>
        </w:rPr>
        <w:t>14.1.1</w:t>
      </w:r>
      <w:r>
        <w:rPr>
          <w:rFonts w:hint="eastAsia" w:ascii="宋体" w:hAnsi="宋体"/>
          <w:sz w:val="24"/>
        </w:rPr>
        <w:tab/>
      </w:r>
      <w:r>
        <w:rPr>
          <w:rFonts w:hint="eastAsia" w:ascii="宋体" w:hAnsi="宋体"/>
          <w:sz w:val="24"/>
        </w:rPr>
        <w:t>不可抗力是指承包人和发包人在订立合同时不可预见，在履行合同过程中不可避免发生并不能克服的自然灾害和社会性突发事件，如地震、海啸、瘟疫、水灾、骚乱、暴动、战争和专用合同条款约定的其他情形。</w:t>
      </w:r>
    </w:p>
    <w:p>
      <w:pPr>
        <w:snapToGrid w:val="0"/>
        <w:spacing w:beforeLines="50"/>
        <w:ind w:left="991" w:hanging="991" w:hangingChars="413"/>
        <w:jc w:val="left"/>
        <w:rPr>
          <w:rFonts w:ascii="宋体" w:hAnsi="宋体"/>
          <w:sz w:val="24"/>
        </w:rPr>
      </w:pPr>
      <w:r>
        <w:rPr>
          <w:rFonts w:hint="eastAsia" w:ascii="宋体" w:hAnsi="宋体"/>
          <w:sz w:val="24"/>
        </w:rPr>
        <w:t>14.1.2</w:t>
      </w:r>
      <w:r>
        <w:rPr>
          <w:rFonts w:hint="eastAsia" w:ascii="宋体" w:hAnsi="宋体"/>
          <w:sz w:val="24"/>
        </w:rPr>
        <w:tab/>
      </w:r>
      <w:r>
        <w:rPr>
          <w:rFonts w:hint="eastAsia" w:ascii="宋体" w:hAnsi="宋体"/>
          <w:sz w:val="24"/>
        </w:rPr>
        <w:t>不可抗力发生后，发包人和承包人应及时认真统计所造成的损失，收集不可抗力造成损失的证据。合同双方对是否属于不可抗力或其损失的意见不一致的，由监理人按第3.5款商定或确定。发生争议时，按第17条的约定执行。</w:t>
      </w:r>
    </w:p>
    <w:p>
      <w:pPr>
        <w:snapToGrid w:val="0"/>
        <w:spacing w:beforeLines="50"/>
        <w:ind w:left="991" w:hanging="991" w:hangingChars="413"/>
        <w:jc w:val="left"/>
        <w:rPr>
          <w:rFonts w:ascii="黑体" w:eastAsia="黑体"/>
          <w:sz w:val="24"/>
        </w:rPr>
      </w:pPr>
      <w:bookmarkStart w:id="451" w:name="_Toc247527783"/>
      <w:bookmarkStart w:id="452" w:name="_Toc271821897"/>
      <w:bookmarkStart w:id="453" w:name="_Toc247514182"/>
      <w:bookmarkStart w:id="454" w:name="_Toc296602570"/>
      <w:r>
        <w:rPr>
          <w:rFonts w:hint="eastAsia" w:ascii="黑体" w:eastAsia="黑体"/>
          <w:sz w:val="24"/>
        </w:rPr>
        <w:t>14.2</w:t>
      </w:r>
      <w:r>
        <w:rPr>
          <w:rFonts w:hint="eastAsia" w:ascii="黑体" w:eastAsia="黑体"/>
          <w:sz w:val="24"/>
        </w:rPr>
        <w:tab/>
      </w:r>
      <w:r>
        <w:rPr>
          <w:rFonts w:hint="eastAsia" w:ascii="黑体" w:eastAsia="黑体"/>
          <w:sz w:val="24"/>
        </w:rPr>
        <w:t>不可抗力的通知</w:t>
      </w:r>
      <w:bookmarkEnd w:id="451"/>
      <w:bookmarkEnd w:id="452"/>
      <w:bookmarkEnd w:id="453"/>
      <w:bookmarkEnd w:id="454"/>
    </w:p>
    <w:p>
      <w:pPr>
        <w:snapToGrid w:val="0"/>
        <w:spacing w:beforeLines="50"/>
        <w:ind w:left="850" w:leftChars="405"/>
        <w:rPr>
          <w:rFonts w:ascii="宋体" w:hAnsi="宋体"/>
          <w:sz w:val="24"/>
        </w:rPr>
      </w:pPr>
      <w:r>
        <w:rPr>
          <w:rFonts w:hint="eastAsia" w:ascii="宋体" w:hAnsi="宋体"/>
          <w:sz w:val="24"/>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pPr>
        <w:snapToGrid w:val="0"/>
        <w:spacing w:beforeLines="50"/>
        <w:ind w:left="991" w:hanging="991" w:hangingChars="413"/>
        <w:jc w:val="left"/>
        <w:rPr>
          <w:rFonts w:ascii="黑体" w:eastAsia="黑体"/>
          <w:sz w:val="24"/>
        </w:rPr>
      </w:pPr>
      <w:bookmarkStart w:id="455" w:name="_Toc247514183"/>
      <w:bookmarkStart w:id="456" w:name="_Toc271821898"/>
      <w:bookmarkStart w:id="457" w:name="_Toc296602571"/>
      <w:bookmarkStart w:id="458" w:name="_Toc247527784"/>
      <w:r>
        <w:rPr>
          <w:rFonts w:hint="eastAsia" w:ascii="黑体" w:eastAsia="黑体"/>
          <w:sz w:val="24"/>
        </w:rPr>
        <w:t>14.3</w:t>
      </w:r>
      <w:r>
        <w:rPr>
          <w:rFonts w:hint="eastAsia" w:ascii="黑体" w:eastAsia="黑体"/>
          <w:sz w:val="24"/>
        </w:rPr>
        <w:tab/>
      </w:r>
      <w:r>
        <w:rPr>
          <w:rFonts w:hint="eastAsia" w:ascii="黑体" w:eastAsia="黑体"/>
          <w:sz w:val="24"/>
        </w:rPr>
        <w:t>不可抗力后果及其处理</w:t>
      </w:r>
      <w:bookmarkEnd w:id="455"/>
      <w:bookmarkEnd w:id="456"/>
      <w:bookmarkEnd w:id="457"/>
      <w:bookmarkEnd w:id="458"/>
    </w:p>
    <w:p>
      <w:pPr>
        <w:snapToGrid w:val="0"/>
        <w:spacing w:beforeLines="50"/>
        <w:ind w:left="991" w:leftChars="472"/>
        <w:rPr>
          <w:rFonts w:ascii="宋体" w:hAnsi="宋体"/>
          <w:sz w:val="24"/>
        </w:rPr>
      </w:pPr>
      <w:r>
        <w:rPr>
          <w:rFonts w:hint="eastAsia" w:ascii="宋体" w:hAnsi="宋体"/>
          <w:sz w:val="24"/>
        </w:rPr>
        <w:t>除专用合同条款另有约定外，不可抗力导致的人员伤亡、财产损失、费用增加和（或）工期延误等后果，由合同双方按以下原则承担：</w:t>
      </w:r>
    </w:p>
    <w:p>
      <w:pPr>
        <w:snapToGrid w:val="0"/>
        <w:spacing w:beforeLines="50"/>
        <w:ind w:left="1591" w:leftChars="472" w:hanging="600" w:hangingChars="250"/>
        <w:rPr>
          <w:rFonts w:ascii="宋体" w:hAnsi="宋体"/>
          <w:sz w:val="24"/>
        </w:rPr>
      </w:pPr>
      <w:r>
        <w:rPr>
          <w:rFonts w:hint="eastAsia" w:ascii="宋体" w:hAnsi="宋体"/>
          <w:sz w:val="24"/>
        </w:rPr>
        <w:t>（1）永久工程，包括已运至施工场地的材料和工程设备的损害，以及因工程损害造成的第三者人员伤亡和财产损失由发包人承担；</w:t>
      </w:r>
    </w:p>
    <w:p>
      <w:pPr>
        <w:snapToGrid w:val="0"/>
        <w:spacing w:beforeLines="50"/>
        <w:ind w:left="1591" w:leftChars="472" w:hanging="600" w:hangingChars="250"/>
        <w:rPr>
          <w:rFonts w:ascii="宋体" w:hAnsi="宋体"/>
          <w:sz w:val="24"/>
        </w:rPr>
      </w:pPr>
      <w:r>
        <w:rPr>
          <w:rFonts w:hint="eastAsia" w:ascii="宋体" w:hAnsi="宋体"/>
          <w:sz w:val="24"/>
        </w:rPr>
        <w:t>（2）承包人设备的损坏由承包人承担；</w:t>
      </w:r>
    </w:p>
    <w:p>
      <w:pPr>
        <w:snapToGrid w:val="0"/>
        <w:spacing w:beforeLines="50"/>
        <w:ind w:left="1591" w:leftChars="472" w:hanging="600" w:hangingChars="250"/>
        <w:rPr>
          <w:rFonts w:ascii="宋体" w:hAnsi="宋体"/>
          <w:sz w:val="24"/>
        </w:rPr>
      </w:pPr>
      <w:r>
        <w:rPr>
          <w:rFonts w:hint="eastAsia" w:ascii="宋体" w:hAnsi="宋体"/>
          <w:sz w:val="24"/>
        </w:rPr>
        <w:t>（3）发包人和承包人各自承担其人员伤亡和其他财产损失及其相关费用；</w:t>
      </w:r>
    </w:p>
    <w:p>
      <w:pPr>
        <w:snapToGrid w:val="0"/>
        <w:spacing w:beforeLines="50"/>
        <w:ind w:left="1591" w:leftChars="472" w:hanging="600" w:hangingChars="250"/>
        <w:rPr>
          <w:rFonts w:ascii="宋体" w:hAnsi="宋体"/>
          <w:sz w:val="24"/>
        </w:rPr>
      </w:pPr>
      <w:r>
        <w:rPr>
          <w:rFonts w:hint="eastAsia" w:ascii="宋体" w:hAnsi="宋体"/>
          <w:sz w:val="24"/>
        </w:rPr>
        <w:t>（4）承包人的停工损失由承包人承担，但停工期间应监理人要求照管工程和清理、修复工程的金额由发包人承担；</w:t>
      </w:r>
    </w:p>
    <w:p>
      <w:pPr>
        <w:snapToGrid w:val="0"/>
        <w:spacing w:beforeLines="50"/>
        <w:ind w:left="1591" w:leftChars="472" w:hanging="600" w:hangingChars="250"/>
        <w:rPr>
          <w:rFonts w:ascii="宋体" w:hAnsi="宋体"/>
          <w:sz w:val="24"/>
        </w:rPr>
      </w:pPr>
      <w:r>
        <w:rPr>
          <w:rFonts w:hint="eastAsia" w:ascii="宋体" w:hAnsi="宋体"/>
          <w:sz w:val="24"/>
        </w:rPr>
        <w:t>（5）不能按期竣工的，应合理延长工期，承包人不需支付逾期竣工违约金。发包人要求赶工的，承包人应采取赶工措施，赶工费用由发包人承担。</w:t>
      </w:r>
    </w:p>
    <w:p>
      <w:pPr>
        <w:snapToGrid w:val="0"/>
        <w:spacing w:beforeLines="50"/>
        <w:ind w:left="991" w:hanging="991" w:hangingChars="413"/>
        <w:jc w:val="left"/>
        <w:outlineLvl w:val="2"/>
        <w:rPr>
          <w:rFonts w:ascii="黑体" w:eastAsia="黑体"/>
          <w:sz w:val="24"/>
        </w:rPr>
      </w:pPr>
      <w:bookmarkStart w:id="459" w:name="_Toc296602572"/>
      <w:bookmarkStart w:id="460" w:name="_Toc1036"/>
      <w:bookmarkStart w:id="461" w:name="_Toc1"/>
      <w:r>
        <w:rPr>
          <w:rFonts w:hint="eastAsia" w:ascii="黑体" w:eastAsia="黑体"/>
          <w:sz w:val="24"/>
        </w:rPr>
        <w:t>15.</w:t>
      </w:r>
      <w:r>
        <w:rPr>
          <w:rFonts w:hint="eastAsia" w:ascii="黑体" w:eastAsia="黑体"/>
          <w:sz w:val="24"/>
        </w:rPr>
        <w:tab/>
      </w:r>
      <w:r>
        <w:rPr>
          <w:rFonts w:hint="eastAsia" w:ascii="黑体" w:eastAsia="黑体"/>
          <w:sz w:val="24"/>
        </w:rPr>
        <w:t>违约</w:t>
      </w:r>
      <w:bookmarkEnd w:id="443"/>
      <w:bookmarkEnd w:id="444"/>
      <w:bookmarkEnd w:id="445"/>
      <w:bookmarkEnd w:id="446"/>
      <w:bookmarkEnd w:id="459"/>
      <w:bookmarkEnd w:id="460"/>
      <w:bookmarkEnd w:id="461"/>
    </w:p>
    <w:p>
      <w:pPr>
        <w:snapToGrid w:val="0"/>
        <w:spacing w:beforeLines="50"/>
        <w:ind w:left="991" w:hanging="991" w:hangingChars="413"/>
        <w:jc w:val="left"/>
        <w:rPr>
          <w:rFonts w:ascii="黑体" w:eastAsia="黑体"/>
          <w:sz w:val="24"/>
        </w:rPr>
      </w:pPr>
      <w:bookmarkStart w:id="462" w:name="_Toc296602573"/>
      <w:bookmarkStart w:id="463" w:name="_Toc246996323"/>
      <w:bookmarkStart w:id="464" w:name="_Toc247085838"/>
      <w:bookmarkStart w:id="465" w:name="_Toc246997066"/>
      <w:r>
        <w:rPr>
          <w:rFonts w:hint="eastAsia" w:ascii="黑体" w:eastAsia="黑体"/>
          <w:sz w:val="24"/>
        </w:rPr>
        <w:t>15.1</w:t>
      </w:r>
      <w:r>
        <w:rPr>
          <w:rFonts w:hint="eastAsia" w:ascii="黑体" w:eastAsia="黑体"/>
          <w:sz w:val="24"/>
        </w:rPr>
        <w:tab/>
      </w:r>
      <w:r>
        <w:rPr>
          <w:rFonts w:hint="eastAsia" w:ascii="黑体" w:eastAsia="黑体"/>
          <w:sz w:val="24"/>
        </w:rPr>
        <w:t>承包人违约</w:t>
      </w:r>
      <w:bookmarkEnd w:id="462"/>
      <w:bookmarkEnd w:id="463"/>
      <w:bookmarkEnd w:id="464"/>
      <w:bookmarkEnd w:id="465"/>
    </w:p>
    <w:p>
      <w:pPr>
        <w:snapToGrid w:val="0"/>
        <w:spacing w:beforeLines="50"/>
        <w:ind w:left="991" w:hanging="991" w:hangingChars="413"/>
        <w:jc w:val="left"/>
        <w:rPr>
          <w:rFonts w:ascii="宋体" w:hAnsi="宋体"/>
          <w:sz w:val="24"/>
        </w:rPr>
      </w:pPr>
      <w:r>
        <w:rPr>
          <w:rFonts w:hint="eastAsia" w:ascii="宋体" w:hAnsi="宋体"/>
          <w:sz w:val="24"/>
        </w:rPr>
        <w:t>15.1.1</w:t>
      </w:r>
      <w:r>
        <w:rPr>
          <w:rFonts w:hint="eastAsia" w:ascii="宋体" w:hAnsi="宋体"/>
          <w:sz w:val="24"/>
        </w:rPr>
        <w:tab/>
      </w:r>
      <w:r>
        <w:rPr>
          <w:rFonts w:ascii="宋体" w:hAnsi="宋体"/>
          <w:sz w:val="24"/>
        </w:rPr>
        <w:t>如果</w:t>
      </w:r>
      <w:r>
        <w:rPr>
          <w:rFonts w:hint="eastAsia" w:ascii="宋体" w:hAnsi="宋体"/>
          <w:sz w:val="24"/>
        </w:rPr>
        <w:t>承包</w:t>
      </w:r>
      <w:r>
        <w:rPr>
          <w:rFonts w:ascii="宋体" w:hAnsi="宋体"/>
          <w:sz w:val="24"/>
        </w:rPr>
        <w:t>人拒绝或未能遵守监理人的指示，或未能按合同进度计划及时完成合同约定的工作，已造成或预期造成工期延误，或违反合同不顾书面警告，监理人可发出通知</w:t>
      </w:r>
      <w:r>
        <w:rPr>
          <w:rFonts w:hint="eastAsia" w:ascii="宋体" w:hAnsi="宋体"/>
          <w:sz w:val="24"/>
        </w:rPr>
        <w:t>，告知</w:t>
      </w:r>
      <w:r>
        <w:rPr>
          <w:rFonts w:ascii="宋体" w:hAnsi="宋体"/>
          <w:sz w:val="24"/>
        </w:rPr>
        <w:t>承包人违约</w:t>
      </w:r>
      <w:r>
        <w:rPr>
          <w:rFonts w:hint="eastAsia" w:ascii="宋体" w:hAnsi="宋体"/>
          <w:sz w:val="24"/>
        </w:rPr>
        <w:t>。</w:t>
      </w:r>
    </w:p>
    <w:p>
      <w:pPr>
        <w:snapToGrid w:val="0"/>
        <w:spacing w:beforeLines="50"/>
        <w:ind w:left="991" w:hanging="991" w:hangingChars="413"/>
        <w:jc w:val="left"/>
        <w:rPr>
          <w:rFonts w:ascii="宋体" w:hAnsi="宋体"/>
          <w:sz w:val="24"/>
        </w:rPr>
      </w:pPr>
      <w:r>
        <w:rPr>
          <w:rFonts w:hint="eastAsia" w:ascii="宋体" w:hAnsi="宋体"/>
          <w:sz w:val="24"/>
        </w:rPr>
        <w:t>15.1.2</w:t>
      </w:r>
      <w:r>
        <w:rPr>
          <w:rFonts w:hint="eastAsia" w:ascii="宋体" w:hAnsi="宋体"/>
          <w:sz w:val="24"/>
        </w:rPr>
        <w:tab/>
      </w:r>
      <w:r>
        <w:rPr>
          <w:rFonts w:ascii="宋体" w:hAnsi="宋体"/>
          <w:sz w:val="24"/>
        </w:rPr>
        <w:t>如果</w:t>
      </w:r>
      <w:r>
        <w:rPr>
          <w:rFonts w:hint="eastAsia" w:ascii="宋体" w:hAnsi="宋体"/>
          <w:sz w:val="24"/>
        </w:rPr>
        <w:t>承包</w:t>
      </w:r>
      <w:r>
        <w:rPr>
          <w:rFonts w:ascii="宋体" w:hAnsi="宋体"/>
          <w:sz w:val="24"/>
        </w:rPr>
        <w:t>人在收到监理人通知后21天内，没有采取可行的措施纠正违约，发包人可向</w:t>
      </w:r>
      <w:r>
        <w:rPr>
          <w:rFonts w:hint="eastAsia" w:ascii="宋体" w:hAnsi="宋体"/>
          <w:sz w:val="24"/>
        </w:rPr>
        <w:t>承包</w:t>
      </w:r>
      <w:r>
        <w:rPr>
          <w:rFonts w:ascii="宋体" w:hAnsi="宋体"/>
          <w:sz w:val="24"/>
        </w:rPr>
        <w:t>人发出解除合同通知。发包人因继续完成该工程的需要，有权扣留使用承包人在现场的材料、设备</w:t>
      </w:r>
      <w:r>
        <w:rPr>
          <w:rFonts w:hint="eastAsia" w:ascii="宋体" w:hAnsi="宋体"/>
          <w:sz w:val="24"/>
        </w:rPr>
        <w:t>和</w:t>
      </w:r>
      <w:r>
        <w:rPr>
          <w:rFonts w:ascii="宋体" w:hAnsi="宋体"/>
          <w:sz w:val="24"/>
        </w:rPr>
        <w:t>临时设施。但发包人的这一行动不免除</w:t>
      </w:r>
      <w:r>
        <w:rPr>
          <w:rFonts w:hint="eastAsia" w:ascii="宋体" w:hAnsi="宋体"/>
          <w:sz w:val="24"/>
        </w:rPr>
        <w:t>承包</w:t>
      </w:r>
      <w:r>
        <w:rPr>
          <w:rFonts w:ascii="宋体" w:hAnsi="宋体"/>
          <w:sz w:val="24"/>
        </w:rPr>
        <w:t>人应承担的违约责任，也不影响发包人根据合同约定享有的索赔权利</w:t>
      </w:r>
      <w:r>
        <w:rPr>
          <w:rFonts w:hint="eastAsia" w:ascii="宋体" w:hAnsi="宋体"/>
          <w:sz w:val="24"/>
        </w:rPr>
        <w:t>。</w:t>
      </w:r>
    </w:p>
    <w:p>
      <w:pPr>
        <w:snapToGrid w:val="0"/>
        <w:spacing w:beforeLines="50"/>
        <w:ind w:left="991" w:hanging="991" w:hangingChars="413"/>
        <w:jc w:val="left"/>
        <w:rPr>
          <w:rFonts w:ascii="黑体" w:eastAsia="黑体"/>
          <w:sz w:val="24"/>
        </w:rPr>
      </w:pPr>
      <w:bookmarkStart w:id="466" w:name="_Toc296602574"/>
      <w:bookmarkStart w:id="467" w:name="_Toc247085839"/>
      <w:bookmarkStart w:id="468" w:name="_Toc246996324"/>
      <w:bookmarkStart w:id="469" w:name="_Toc246997067"/>
      <w:r>
        <w:rPr>
          <w:rFonts w:hint="eastAsia" w:ascii="黑体" w:eastAsia="黑体"/>
          <w:sz w:val="24"/>
        </w:rPr>
        <w:t>15.2</w:t>
      </w:r>
      <w:r>
        <w:rPr>
          <w:rFonts w:hint="eastAsia" w:ascii="黑体" w:eastAsia="黑体"/>
          <w:sz w:val="24"/>
        </w:rPr>
        <w:tab/>
      </w:r>
      <w:r>
        <w:rPr>
          <w:rFonts w:hint="eastAsia" w:ascii="黑体" w:eastAsia="黑体"/>
          <w:sz w:val="24"/>
        </w:rPr>
        <w:t>发包人违约</w:t>
      </w:r>
      <w:bookmarkEnd w:id="466"/>
      <w:bookmarkEnd w:id="467"/>
      <w:bookmarkEnd w:id="468"/>
      <w:bookmarkEnd w:id="469"/>
    </w:p>
    <w:p>
      <w:pPr>
        <w:snapToGrid w:val="0"/>
        <w:spacing w:beforeLines="50"/>
        <w:ind w:left="991" w:hanging="991" w:hangingChars="413"/>
        <w:jc w:val="left"/>
        <w:rPr>
          <w:rFonts w:ascii="宋体" w:hAnsi="宋体"/>
          <w:sz w:val="24"/>
        </w:rPr>
      </w:pPr>
      <w:r>
        <w:rPr>
          <w:rFonts w:hint="eastAsia" w:ascii="宋体" w:hAnsi="宋体"/>
          <w:sz w:val="24"/>
        </w:rPr>
        <w:t>15.2.1</w:t>
      </w:r>
      <w:r>
        <w:rPr>
          <w:rFonts w:hint="eastAsia" w:ascii="宋体" w:hAnsi="宋体"/>
          <w:sz w:val="24"/>
        </w:rPr>
        <w:tab/>
      </w:r>
      <w:r>
        <w:rPr>
          <w:rFonts w:ascii="宋体" w:hAnsi="宋体"/>
          <w:sz w:val="24"/>
        </w:rPr>
        <w:t>如果发包人未能按合同付款，或违反合同不顾书面警告，承包人可发出通知</w:t>
      </w:r>
      <w:r>
        <w:rPr>
          <w:rFonts w:hint="eastAsia" w:ascii="宋体" w:hAnsi="宋体"/>
          <w:sz w:val="24"/>
        </w:rPr>
        <w:t>，告知</w:t>
      </w:r>
      <w:r>
        <w:rPr>
          <w:rFonts w:ascii="宋体" w:hAnsi="宋体"/>
          <w:sz w:val="24"/>
        </w:rPr>
        <w:t>发包人违约。如果发包人在收到该通知后14天内</w:t>
      </w:r>
      <w:r>
        <w:rPr>
          <w:rFonts w:hint="eastAsia" w:ascii="宋体" w:hAnsi="宋体"/>
          <w:sz w:val="24"/>
        </w:rPr>
        <w:t>未</w:t>
      </w:r>
      <w:r>
        <w:rPr>
          <w:rFonts w:ascii="宋体" w:hAnsi="宋体"/>
          <w:sz w:val="24"/>
        </w:rPr>
        <w:t>纠正违约，承包人可暂停工作或放慢工作进度。</w:t>
      </w:r>
    </w:p>
    <w:p>
      <w:pPr>
        <w:snapToGrid w:val="0"/>
        <w:spacing w:beforeLines="50"/>
        <w:ind w:left="991" w:hanging="991" w:hangingChars="413"/>
        <w:jc w:val="left"/>
        <w:rPr>
          <w:rFonts w:ascii="宋体" w:hAnsi="宋体"/>
          <w:sz w:val="24"/>
        </w:rPr>
      </w:pPr>
      <w:r>
        <w:rPr>
          <w:rFonts w:hint="eastAsia" w:ascii="宋体" w:hAnsi="宋体"/>
          <w:sz w:val="24"/>
        </w:rPr>
        <w:t>15.2.2</w:t>
      </w:r>
      <w:r>
        <w:rPr>
          <w:rFonts w:hint="eastAsia" w:ascii="宋体" w:hAnsi="宋体"/>
          <w:sz w:val="24"/>
        </w:rPr>
        <w:tab/>
      </w:r>
      <w:r>
        <w:rPr>
          <w:rFonts w:ascii="宋体" w:hAnsi="宋体"/>
          <w:sz w:val="24"/>
        </w:rPr>
        <w:t>如果发包人收到承包人通知后28内</w:t>
      </w:r>
      <w:r>
        <w:rPr>
          <w:rFonts w:hint="eastAsia" w:ascii="宋体" w:hAnsi="宋体"/>
          <w:sz w:val="24"/>
        </w:rPr>
        <w:t>未</w:t>
      </w:r>
      <w:r>
        <w:rPr>
          <w:rFonts w:ascii="宋体" w:hAnsi="宋体"/>
          <w:sz w:val="24"/>
        </w:rPr>
        <w:t>纠正违约，承包人可向发包人发出解除合同通知。合同解除后，承包人应妥善做好已竣工工程和已购材料、设备的保护和移交工作，按发包人要求将承包人设备和人员撤出施工场地，同时发包人应为承包人</w:t>
      </w:r>
      <w:r>
        <w:rPr>
          <w:rFonts w:hint="eastAsia" w:ascii="宋体" w:hAnsi="宋体"/>
          <w:sz w:val="24"/>
        </w:rPr>
        <w:t>的</w:t>
      </w:r>
      <w:r>
        <w:rPr>
          <w:rFonts w:ascii="宋体" w:hAnsi="宋体"/>
          <w:sz w:val="24"/>
        </w:rPr>
        <w:t>撤出提供必要条件</w:t>
      </w:r>
      <w:r>
        <w:rPr>
          <w:rFonts w:hint="eastAsia" w:ascii="宋体" w:hAnsi="宋体"/>
          <w:sz w:val="24"/>
        </w:rPr>
        <w:t>，</w:t>
      </w:r>
      <w:r>
        <w:rPr>
          <w:rFonts w:ascii="宋体" w:hAnsi="宋体"/>
          <w:sz w:val="24"/>
        </w:rPr>
        <w:t>但承包人的</w:t>
      </w:r>
      <w:r>
        <w:rPr>
          <w:rFonts w:hint="eastAsia" w:ascii="宋体" w:hAnsi="宋体"/>
          <w:sz w:val="24"/>
        </w:rPr>
        <w:t>这一</w:t>
      </w:r>
      <w:r>
        <w:rPr>
          <w:rFonts w:ascii="宋体" w:hAnsi="宋体"/>
          <w:sz w:val="24"/>
        </w:rPr>
        <w:t>行动不免除发包人应承担的违约责任，也不影响承包人根据合同约定享有的索赔权利</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470" w:name="_Toc184635120"/>
      <w:bookmarkStart w:id="471" w:name="_Toc246996326"/>
      <w:bookmarkStart w:id="472" w:name="_Toc296602575"/>
      <w:bookmarkStart w:id="473" w:name="_Toc246997069"/>
      <w:bookmarkStart w:id="474" w:name="_Toc247085841"/>
      <w:bookmarkStart w:id="475" w:name="_Toc12216"/>
      <w:bookmarkStart w:id="476" w:name="_Toc11826"/>
      <w:r>
        <w:rPr>
          <w:rFonts w:hint="eastAsia" w:ascii="黑体" w:eastAsia="黑体"/>
          <w:sz w:val="24"/>
        </w:rPr>
        <w:t>16.</w:t>
      </w:r>
      <w:r>
        <w:rPr>
          <w:rFonts w:hint="eastAsia" w:ascii="黑体" w:eastAsia="黑体"/>
          <w:sz w:val="24"/>
        </w:rPr>
        <w:tab/>
      </w:r>
      <w:r>
        <w:rPr>
          <w:rFonts w:hint="eastAsia" w:ascii="黑体" w:eastAsia="黑体"/>
          <w:sz w:val="24"/>
        </w:rPr>
        <w:t>索赔</w:t>
      </w:r>
      <w:bookmarkEnd w:id="470"/>
      <w:bookmarkEnd w:id="471"/>
      <w:bookmarkEnd w:id="472"/>
      <w:bookmarkEnd w:id="473"/>
      <w:bookmarkEnd w:id="474"/>
      <w:bookmarkEnd w:id="475"/>
      <w:bookmarkEnd w:id="476"/>
    </w:p>
    <w:p>
      <w:pPr>
        <w:snapToGrid w:val="0"/>
        <w:spacing w:beforeLines="50"/>
        <w:ind w:left="991" w:hanging="991" w:hangingChars="413"/>
        <w:jc w:val="left"/>
        <w:rPr>
          <w:rFonts w:ascii="黑体" w:eastAsia="黑体"/>
          <w:sz w:val="24"/>
        </w:rPr>
      </w:pPr>
      <w:bookmarkStart w:id="477" w:name="_Toc246996327"/>
      <w:bookmarkStart w:id="478" w:name="_Toc246997070"/>
      <w:bookmarkStart w:id="479" w:name="_Toc247085842"/>
      <w:bookmarkStart w:id="480" w:name="_Toc296602576"/>
      <w:r>
        <w:rPr>
          <w:rFonts w:hint="eastAsia" w:ascii="黑体" w:eastAsia="黑体"/>
          <w:sz w:val="24"/>
        </w:rPr>
        <w:t>16.1</w:t>
      </w:r>
      <w:r>
        <w:rPr>
          <w:rFonts w:hint="eastAsia" w:ascii="黑体" w:eastAsia="黑体"/>
          <w:sz w:val="24"/>
        </w:rPr>
        <w:tab/>
      </w:r>
      <w:r>
        <w:rPr>
          <w:rFonts w:hint="eastAsia" w:ascii="黑体" w:eastAsia="黑体"/>
          <w:sz w:val="24"/>
        </w:rPr>
        <w:t>承包人索赔的提出</w:t>
      </w:r>
      <w:bookmarkEnd w:id="477"/>
      <w:bookmarkEnd w:id="478"/>
      <w:bookmarkEnd w:id="479"/>
      <w:bookmarkEnd w:id="480"/>
    </w:p>
    <w:p>
      <w:pPr>
        <w:snapToGrid w:val="0"/>
        <w:spacing w:beforeLines="50"/>
        <w:ind w:left="991" w:leftChars="472"/>
        <w:rPr>
          <w:rFonts w:ascii="宋体" w:hAnsi="宋体"/>
          <w:sz w:val="24"/>
        </w:rPr>
      </w:pPr>
      <w:r>
        <w:rPr>
          <w:rFonts w:hint="eastAsia" w:ascii="宋体" w:hAnsi="宋体"/>
          <w:sz w:val="24"/>
        </w:rPr>
        <w:t>根据合同约定，承包人认为有权得到追加付款和（或）延长工期的，应按以下程序向发包人提出索赔：</w:t>
      </w:r>
    </w:p>
    <w:p>
      <w:pPr>
        <w:snapToGrid w:val="0"/>
        <w:spacing w:beforeLines="50"/>
        <w:ind w:left="1699" w:leftChars="472" w:hanging="708" w:hangingChars="295"/>
        <w:rPr>
          <w:rFonts w:ascii="宋体" w:hAnsi="宋体"/>
          <w:sz w:val="24"/>
        </w:rPr>
      </w:pPr>
      <w:r>
        <w:rPr>
          <w:rFonts w:hint="eastAsia" w:ascii="宋体" w:hAnsi="宋体"/>
          <w:sz w:val="24"/>
        </w:rPr>
        <w:t>（l）</w:t>
      </w:r>
      <w:r>
        <w:rPr>
          <w:rFonts w:hint="eastAsia" w:ascii="宋体" w:hAnsi="宋体"/>
          <w:sz w:val="24"/>
        </w:rPr>
        <w:tab/>
      </w:r>
      <w:r>
        <w:rPr>
          <w:rFonts w:hint="eastAsia" w:ascii="宋体" w:hAnsi="宋体"/>
          <w:sz w:val="24"/>
        </w:rPr>
        <w:t>承包人应在知道或应当知道索赔事件发生后14天内，向监理人递交索赔通知书。索赔通知书应详细说明索赔理由以及要求追加的付款金额和（或）延长的工期，并附必要的记录和证明材料；</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索赔事件具有连续影响的，承包人应在索赔事件影响结束后的14天内，向监理人递交最终索赔通知书，说明最终要求索赔的追加付款金额和延长的工期，并附必要的记录和证明材料；</w:t>
      </w:r>
    </w:p>
    <w:p>
      <w:pPr>
        <w:snapToGrid w:val="0"/>
        <w:spacing w:beforeLines="50"/>
        <w:ind w:left="1699" w:leftChars="472" w:hanging="708" w:hangingChars="29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承包人未在前述14天内递交索赔通知书的，丧失要求追加付款和（或）延长工期的权利。</w:t>
      </w:r>
    </w:p>
    <w:p>
      <w:pPr>
        <w:snapToGrid w:val="0"/>
        <w:spacing w:beforeLines="50"/>
        <w:ind w:left="991" w:hanging="991" w:hangingChars="413"/>
        <w:jc w:val="left"/>
        <w:rPr>
          <w:rFonts w:ascii="黑体" w:eastAsia="黑体"/>
          <w:sz w:val="24"/>
        </w:rPr>
      </w:pPr>
      <w:bookmarkStart w:id="481" w:name="_Toc246997071"/>
      <w:bookmarkStart w:id="482" w:name="_Toc246996328"/>
      <w:bookmarkStart w:id="483" w:name="_Toc247085843"/>
      <w:bookmarkStart w:id="484" w:name="_Toc296602577"/>
      <w:r>
        <w:rPr>
          <w:rFonts w:hint="eastAsia" w:ascii="黑体" w:eastAsia="黑体"/>
          <w:sz w:val="24"/>
        </w:rPr>
        <w:t>16.2</w:t>
      </w:r>
      <w:r>
        <w:rPr>
          <w:rFonts w:hint="eastAsia" w:ascii="黑体" w:eastAsia="黑体"/>
          <w:sz w:val="24"/>
        </w:rPr>
        <w:tab/>
      </w:r>
      <w:r>
        <w:rPr>
          <w:rFonts w:hint="eastAsia" w:ascii="黑体" w:eastAsia="黑体"/>
          <w:sz w:val="24"/>
        </w:rPr>
        <w:t>承包人索赔处理程序</w:t>
      </w:r>
      <w:bookmarkEnd w:id="481"/>
      <w:bookmarkEnd w:id="482"/>
      <w:bookmarkEnd w:id="483"/>
      <w:bookmarkEnd w:id="484"/>
    </w:p>
    <w:p>
      <w:pPr>
        <w:snapToGrid w:val="0"/>
        <w:spacing w:beforeLines="50"/>
        <w:ind w:left="1699" w:leftChars="472" w:hanging="708" w:hangingChars="29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监理人收到承包人提交的索赔通知书后，应按第3.5款商定或确定追加的付款和（或）延长的工期，并在收到上述索赔通知书或有关索赔的进一步证明材料后的14天内，将索赔处理结果答复承包人。</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承包人接受索赔处理结果的，发包人应在作出索赔处理结果答复后14天内完成赔付。承包人不接受索赔处理结果的，按第17条的约定执行。</w:t>
      </w:r>
    </w:p>
    <w:p>
      <w:pPr>
        <w:snapToGrid w:val="0"/>
        <w:spacing w:beforeLines="50"/>
        <w:ind w:left="991" w:hanging="991" w:hangingChars="413"/>
        <w:jc w:val="left"/>
        <w:rPr>
          <w:rFonts w:ascii="黑体" w:eastAsia="黑体"/>
          <w:sz w:val="24"/>
        </w:rPr>
      </w:pPr>
      <w:bookmarkStart w:id="485" w:name="_Toc246997072"/>
      <w:bookmarkStart w:id="486" w:name="_Toc296602578"/>
      <w:bookmarkStart w:id="487" w:name="_Toc246996329"/>
      <w:bookmarkStart w:id="488" w:name="_Toc247085844"/>
      <w:r>
        <w:rPr>
          <w:rFonts w:hint="eastAsia" w:ascii="黑体" w:eastAsia="黑体"/>
          <w:sz w:val="24"/>
        </w:rPr>
        <w:t>16.3</w:t>
      </w:r>
      <w:r>
        <w:rPr>
          <w:rFonts w:hint="eastAsia" w:ascii="黑体" w:eastAsia="黑体"/>
          <w:sz w:val="24"/>
        </w:rPr>
        <w:tab/>
      </w:r>
      <w:r>
        <w:rPr>
          <w:rFonts w:hint="eastAsia" w:ascii="黑体" w:eastAsia="黑体"/>
          <w:sz w:val="24"/>
        </w:rPr>
        <w:t>承包人提出索赔的期限</w:t>
      </w:r>
      <w:bookmarkEnd w:id="485"/>
      <w:bookmarkEnd w:id="486"/>
      <w:bookmarkEnd w:id="487"/>
      <w:bookmarkEnd w:id="488"/>
    </w:p>
    <w:p>
      <w:pPr>
        <w:snapToGrid w:val="0"/>
        <w:spacing w:beforeLines="50"/>
        <w:ind w:left="991" w:leftChars="472"/>
        <w:rPr>
          <w:rFonts w:ascii="宋体" w:hAnsi="宋体"/>
          <w:sz w:val="24"/>
        </w:rPr>
      </w:pPr>
      <w:r>
        <w:rPr>
          <w:rFonts w:hint="eastAsia" w:ascii="宋体" w:hAnsi="宋体"/>
          <w:sz w:val="24"/>
        </w:rPr>
        <w:t>承包人按第10.5款的约定接受了竣工付款证书后，应被认为已无权再提出在合同工程接收证书颁发前所发生的任何索赔。</w:t>
      </w:r>
    </w:p>
    <w:p>
      <w:pPr>
        <w:snapToGrid w:val="0"/>
        <w:spacing w:beforeLines="50"/>
        <w:ind w:left="991" w:hanging="991" w:hangingChars="413"/>
        <w:jc w:val="left"/>
        <w:rPr>
          <w:rFonts w:ascii="黑体" w:eastAsia="黑体"/>
          <w:sz w:val="24"/>
        </w:rPr>
      </w:pPr>
      <w:bookmarkStart w:id="489" w:name="_Toc296602579"/>
      <w:r>
        <w:rPr>
          <w:rFonts w:hint="eastAsia" w:ascii="黑体" w:eastAsia="黑体"/>
          <w:sz w:val="24"/>
        </w:rPr>
        <w:t>16.4</w:t>
      </w:r>
      <w:r>
        <w:rPr>
          <w:rFonts w:hint="eastAsia" w:ascii="黑体" w:eastAsia="黑体"/>
          <w:sz w:val="24"/>
        </w:rPr>
        <w:tab/>
      </w:r>
      <w:r>
        <w:rPr>
          <w:rFonts w:hint="eastAsia" w:ascii="黑体" w:eastAsia="黑体"/>
          <w:sz w:val="24"/>
        </w:rPr>
        <w:t>发包人索赔的提出</w:t>
      </w:r>
      <w:bookmarkEnd w:id="489"/>
    </w:p>
    <w:p>
      <w:pPr>
        <w:snapToGrid w:val="0"/>
        <w:spacing w:beforeLines="50"/>
        <w:ind w:left="991" w:leftChars="472"/>
        <w:rPr>
          <w:rFonts w:ascii="宋体" w:hAnsi="宋体"/>
          <w:sz w:val="24"/>
        </w:rPr>
      </w:pPr>
      <w:r>
        <w:rPr>
          <w:rFonts w:hint="eastAsia" w:ascii="宋体" w:hAnsi="宋体"/>
          <w:sz w:val="24"/>
        </w:rPr>
        <w:t>根据合同约定，发包人认为有权得到追加付款和（或）延长工期的，应按以下程序向承包人提出索赔：</w:t>
      </w:r>
    </w:p>
    <w:p>
      <w:pPr>
        <w:snapToGrid w:val="0"/>
        <w:spacing w:beforeLines="50"/>
        <w:ind w:left="1699" w:leftChars="472" w:hanging="708" w:hangingChars="295"/>
        <w:rPr>
          <w:rFonts w:ascii="宋体" w:hAnsi="宋体"/>
          <w:sz w:val="24"/>
        </w:rPr>
      </w:pPr>
      <w:r>
        <w:rPr>
          <w:rFonts w:hint="eastAsia" w:ascii="宋体" w:hAnsi="宋体"/>
          <w:sz w:val="24"/>
        </w:rPr>
        <w:t>（l）</w:t>
      </w:r>
      <w:r>
        <w:rPr>
          <w:rFonts w:hint="eastAsia" w:ascii="宋体" w:hAnsi="宋体"/>
          <w:sz w:val="24"/>
        </w:rPr>
        <w:tab/>
      </w:r>
      <w:r>
        <w:rPr>
          <w:rFonts w:hint="eastAsia" w:ascii="宋体" w:hAnsi="宋体"/>
          <w:sz w:val="24"/>
        </w:rPr>
        <w:t>监理人应在知道或应当知道索赔事件发生后14天内，向承包人递交索赔通知书。索赔通知书应详细说明索赔理由以及要求追加的付款金额和（或）延长的工期，并附必要的记录和证明材料；</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索赔事件具有连续影响的，监理人应在索赔事件影响结束后的14天内，向承包人递交最终索赔通知书，说明最终要求索赔的追加付款金额和延长的工期，并附必要的记录和证明材料。</w:t>
      </w:r>
    </w:p>
    <w:p>
      <w:pPr>
        <w:snapToGrid w:val="0"/>
        <w:spacing w:beforeLines="50"/>
        <w:ind w:left="991" w:hanging="991" w:hangingChars="413"/>
        <w:jc w:val="left"/>
        <w:rPr>
          <w:rFonts w:ascii="黑体" w:eastAsia="黑体"/>
          <w:sz w:val="24"/>
        </w:rPr>
      </w:pPr>
      <w:bookmarkStart w:id="490" w:name="_Toc296602580"/>
      <w:r>
        <w:rPr>
          <w:rFonts w:hint="eastAsia" w:ascii="黑体" w:eastAsia="黑体"/>
          <w:sz w:val="24"/>
        </w:rPr>
        <w:t>16.5</w:t>
      </w:r>
      <w:r>
        <w:rPr>
          <w:rFonts w:hint="eastAsia" w:ascii="黑体" w:eastAsia="黑体"/>
          <w:sz w:val="24"/>
        </w:rPr>
        <w:tab/>
      </w:r>
      <w:r>
        <w:rPr>
          <w:rFonts w:hint="eastAsia" w:ascii="黑体" w:eastAsia="黑体"/>
          <w:sz w:val="24"/>
        </w:rPr>
        <w:t>发包人索赔处理程序</w:t>
      </w:r>
      <w:bookmarkEnd w:id="490"/>
    </w:p>
    <w:p>
      <w:pPr>
        <w:snapToGrid w:val="0"/>
        <w:spacing w:beforeLines="50"/>
        <w:ind w:left="1699" w:leftChars="472" w:hanging="708" w:hangingChars="29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承包人收到监理人提交的索赔通知书后，应按第3.5款商定或确定追加的付款和（或）延长的工期，并在收到上述索赔通知书或有关索赔的进一步证明材料后的14天内，将索赔处理结果答复监理人。</w:t>
      </w:r>
    </w:p>
    <w:p>
      <w:pPr>
        <w:snapToGrid w:val="0"/>
        <w:spacing w:beforeLines="50"/>
        <w:ind w:left="1699" w:leftChars="472"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监理人接受索赔处理结果的，承包人应在作出索赔处理结果答复后14天内完成赔付。监理人不接受索赔处理结果的，按第17条的约定执行。</w:t>
      </w:r>
    </w:p>
    <w:p>
      <w:pPr>
        <w:snapToGrid w:val="0"/>
        <w:spacing w:beforeLines="50"/>
        <w:ind w:left="991" w:hanging="991" w:hangingChars="413"/>
        <w:jc w:val="left"/>
        <w:outlineLvl w:val="2"/>
        <w:rPr>
          <w:rFonts w:ascii="黑体" w:eastAsia="黑体"/>
          <w:sz w:val="24"/>
        </w:rPr>
      </w:pPr>
      <w:bookmarkStart w:id="491" w:name="_Toc246997074"/>
      <w:bookmarkStart w:id="492" w:name="_Toc247085846"/>
      <w:bookmarkStart w:id="493" w:name="_Toc184635121"/>
      <w:bookmarkStart w:id="494" w:name="_Toc246996331"/>
      <w:bookmarkStart w:id="495" w:name="_Toc296602581"/>
      <w:bookmarkStart w:id="496" w:name="_Toc20766"/>
      <w:bookmarkStart w:id="497" w:name="_Toc3523"/>
      <w:r>
        <w:rPr>
          <w:rFonts w:hint="eastAsia" w:ascii="黑体" w:eastAsia="黑体"/>
          <w:sz w:val="24"/>
        </w:rPr>
        <w:t>17.</w:t>
      </w:r>
      <w:r>
        <w:rPr>
          <w:rFonts w:hint="eastAsia" w:ascii="黑体" w:eastAsia="黑体"/>
          <w:sz w:val="24"/>
        </w:rPr>
        <w:tab/>
      </w:r>
      <w:r>
        <w:rPr>
          <w:rFonts w:hint="eastAsia" w:ascii="黑体" w:eastAsia="黑体"/>
          <w:sz w:val="24"/>
        </w:rPr>
        <w:t>争议的解决</w:t>
      </w:r>
      <w:bookmarkEnd w:id="491"/>
      <w:bookmarkEnd w:id="492"/>
      <w:bookmarkEnd w:id="493"/>
      <w:bookmarkEnd w:id="494"/>
      <w:bookmarkEnd w:id="495"/>
      <w:bookmarkEnd w:id="496"/>
      <w:bookmarkEnd w:id="497"/>
    </w:p>
    <w:p>
      <w:pPr>
        <w:snapToGrid w:val="0"/>
        <w:spacing w:beforeLines="50"/>
        <w:ind w:left="991" w:hanging="991" w:hangingChars="413"/>
        <w:jc w:val="left"/>
        <w:rPr>
          <w:rFonts w:ascii="黑体" w:eastAsia="黑体"/>
          <w:sz w:val="24"/>
        </w:rPr>
      </w:pPr>
      <w:bookmarkStart w:id="498" w:name="_Toc247085847"/>
      <w:bookmarkStart w:id="499" w:name="_Toc296602582"/>
      <w:bookmarkStart w:id="500" w:name="_Toc246996332"/>
      <w:bookmarkStart w:id="501" w:name="_Toc246997075"/>
      <w:r>
        <w:rPr>
          <w:rFonts w:hint="eastAsia" w:ascii="黑体" w:eastAsia="黑体"/>
          <w:sz w:val="24"/>
        </w:rPr>
        <w:t>17.1</w:t>
      </w:r>
      <w:r>
        <w:rPr>
          <w:rFonts w:hint="eastAsia" w:ascii="黑体" w:eastAsia="黑体"/>
          <w:sz w:val="24"/>
        </w:rPr>
        <w:tab/>
      </w:r>
      <w:r>
        <w:rPr>
          <w:rFonts w:hint="eastAsia" w:ascii="黑体" w:eastAsia="黑体"/>
          <w:sz w:val="24"/>
        </w:rPr>
        <w:t>争议的解决方式</w:t>
      </w:r>
      <w:bookmarkEnd w:id="498"/>
      <w:bookmarkEnd w:id="499"/>
      <w:bookmarkEnd w:id="500"/>
      <w:bookmarkEnd w:id="501"/>
    </w:p>
    <w:p>
      <w:pPr>
        <w:snapToGrid w:val="0"/>
        <w:spacing w:beforeLines="50"/>
        <w:ind w:left="991" w:leftChars="472"/>
        <w:rPr>
          <w:rFonts w:ascii="宋体" w:hAnsi="宋体"/>
          <w:sz w:val="24"/>
        </w:rPr>
      </w:pPr>
      <w:r>
        <w:rPr>
          <w:rFonts w:hint="eastAsia" w:ascii="宋体" w:hAnsi="宋体"/>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napToGrid w:val="0"/>
        <w:spacing w:beforeLines="50"/>
        <w:ind w:left="991" w:leftChars="472"/>
        <w:rPr>
          <w:rFonts w:ascii="宋体" w:hAnsi="宋体"/>
          <w:sz w:val="24"/>
        </w:rPr>
      </w:pPr>
      <w:r>
        <w:rPr>
          <w:rFonts w:hint="eastAsia" w:ascii="宋体" w:hAnsi="宋体"/>
          <w:sz w:val="24"/>
        </w:rPr>
        <w:t>（l）向约定的仲裁委员会申请仲裁；</w:t>
      </w:r>
    </w:p>
    <w:p>
      <w:pPr>
        <w:snapToGrid w:val="0"/>
        <w:spacing w:beforeLines="50"/>
        <w:ind w:left="991" w:leftChars="472"/>
        <w:rPr>
          <w:rFonts w:ascii="宋体" w:hAnsi="宋体"/>
          <w:sz w:val="24"/>
        </w:rPr>
      </w:pPr>
      <w:r>
        <w:rPr>
          <w:rFonts w:hint="eastAsia" w:ascii="宋体" w:hAnsi="宋体"/>
          <w:sz w:val="24"/>
        </w:rPr>
        <w:t>（2）向有管辖权的人民法院提起诉讼。</w:t>
      </w:r>
    </w:p>
    <w:p>
      <w:pPr>
        <w:snapToGrid w:val="0"/>
        <w:spacing w:beforeLines="50"/>
        <w:ind w:left="991" w:hanging="991" w:hangingChars="413"/>
        <w:jc w:val="left"/>
        <w:rPr>
          <w:rFonts w:ascii="黑体" w:eastAsia="黑体"/>
          <w:sz w:val="24"/>
        </w:rPr>
      </w:pPr>
      <w:bookmarkStart w:id="502" w:name="_Toc296602583"/>
      <w:bookmarkStart w:id="503" w:name="_Toc246996333"/>
      <w:bookmarkStart w:id="504" w:name="_Toc246997076"/>
      <w:bookmarkStart w:id="505" w:name="_Toc247085848"/>
      <w:r>
        <w:rPr>
          <w:rFonts w:hint="eastAsia" w:ascii="黑体" w:eastAsia="黑体"/>
          <w:sz w:val="24"/>
        </w:rPr>
        <w:t>17.2</w:t>
      </w:r>
      <w:r>
        <w:rPr>
          <w:rFonts w:hint="eastAsia" w:ascii="黑体" w:eastAsia="黑体"/>
          <w:sz w:val="24"/>
        </w:rPr>
        <w:tab/>
      </w:r>
      <w:r>
        <w:rPr>
          <w:rFonts w:hint="eastAsia" w:ascii="黑体" w:eastAsia="黑体"/>
          <w:sz w:val="24"/>
        </w:rPr>
        <w:t>友好解决</w:t>
      </w:r>
      <w:bookmarkEnd w:id="502"/>
      <w:bookmarkEnd w:id="503"/>
      <w:bookmarkEnd w:id="504"/>
      <w:bookmarkEnd w:id="505"/>
    </w:p>
    <w:p>
      <w:pPr>
        <w:snapToGrid w:val="0"/>
        <w:spacing w:beforeLines="50"/>
        <w:ind w:left="991" w:leftChars="472"/>
        <w:rPr>
          <w:rFonts w:ascii="宋体" w:hAnsi="宋体"/>
          <w:sz w:val="24"/>
        </w:rPr>
      </w:pPr>
      <w:r>
        <w:rPr>
          <w:rFonts w:hint="eastAsia" w:ascii="宋体" w:hAnsi="宋体"/>
          <w:sz w:val="24"/>
        </w:rPr>
        <w:t>在提请争议评审、仲裁或者诉讼前，以及在争议评审、仲裁或诉讼过程中，发包人和承包人均可共同努力友好协商解决争议。</w:t>
      </w:r>
    </w:p>
    <w:p>
      <w:pPr>
        <w:snapToGrid w:val="0"/>
        <w:spacing w:beforeLines="50"/>
        <w:ind w:left="991" w:hanging="991" w:hangingChars="413"/>
        <w:jc w:val="left"/>
        <w:rPr>
          <w:rFonts w:ascii="黑体" w:eastAsia="黑体"/>
          <w:sz w:val="24"/>
        </w:rPr>
      </w:pPr>
      <w:bookmarkStart w:id="506" w:name="_Toc246996334"/>
      <w:bookmarkStart w:id="507" w:name="_Toc246997077"/>
      <w:bookmarkStart w:id="508" w:name="_Toc247085849"/>
      <w:bookmarkStart w:id="509" w:name="_Toc296602584"/>
      <w:r>
        <w:rPr>
          <w:rFonts w:hint="eastAsia" w:ascii="黑体" w:eastAsia="黑体"/>
          <w:sz w:val="24"/>
        </w:rPr>
        <w:t>17.3</w:t>
      </w:r>
      <w:r>
        <w:rPr>
          <w:rFonts w:hint="eastAsia" w:ascii="黑体" w:eastAsia="黑体"/>
          <w:sz w:val="24"/>
        </w:rPr>
        <w:tab/>
      </w:r>
      <w:r>
        <w:rPr>
          <w:rFonts w:hint="eastAsia" w:ascii="黑体" w:eastAsia="黑体"/>
          <w:sz w:val="24"/>
        </w:rPr>
        <w:t>争议评审</w:t>
      </w:r>
      <w:bookmarkEnd w:id="506"/>
      <w:bookmarkEnd w:id="507"/>
      <w:bookmarkEnd w:id="508"/>
      <w:bookmarkEnd w:id="509"/>
    </w:p>
    <w:p>
      <w:pPr>
        <w:snapToGrid w:val="0"/>
        <w:spacing w:beforeLines="50"/>
        <w:ind w:left="991" w:hanging="991" w:hangingChars="413"/>
        <w:jc w:val="left"/>
        <w:rPr>
          <w:rFonts w:ascii="宋体" w:hAnsi="宋体"/>
          <w:sz w:val="24"/>
        </w:rPr>
      </w:pPr>
      <w:r>
        <w:rPr>
          <w:rFonts w:hint="eastAsia" w:ascii="宋体" w:hAnsi="宋体"/>
          <w:sz w:val="24"/>
        </w:rPr>
        <w:t>17.3.1</w:t>
      </w:r>
      <w:r>
        <w:rPr>
          <w:rFonts w:hint="eastAsia" w:ascii="宋体" w:hAnsi="宋体"/>
          <w:sz w:val="24"/>
        </w:rPr>
        <w:tab/>
      </w:r>
      <w:r>
        <w:rPr>
          <w:rFonts w:hint="eastAsia" w:ascii="宋体" w:hAnsi="宋体"/>
          <w:sz w:val="24"/>
        </w:rPr>
        <w:t>采用争议评审的，发包人和承包人应当在专用合同条款中约定争议评审的程序和规则，并在开工日后的28天内或在争议发生后，协商成立争议评审组。</w:t>
      </w:r>
    </w:p>
    <w:p>
      <w:pPr>
        <w:snapToGrid w:val="0"/>
        <w:spacing w:beforeLines="50"/>
        <w:ind w:left="991" w:hanging="991" w:hangingChars="413"/>
        <w:jc w:val="left"/>
        <w:rPr>
          <w:rFonts w:ascii="宋体" w:hAnsi="宋体"/>
          <w:sz w:val="24"/>
        </w:rPr>
      </w:pPr>
      <w:r>
        <w:rPr>
          <w:rFonts w:hint="eastAsia" w:ascii="宋体" w:hAnsi="宋体"/>
          <w:sz w:val="24"/>
        </w:rPr>
        <w:t>17.3.2</w:t>
      </w:r>
      <w:r>
        <w:rPr>
          <w:rFonts w:hint="eastAsia" w:ascii="宋体" w:hAnsi="宋体"/>
          <w:sz w:val="24"/>
        </w:rPr>
        <w:tab/>
      </w:r>
      <w:r>
        <w:rPr>
          <w:rFonts w:hint="eastAsia" w:ascii="宋体" w:hAnsi="宋体"/>
          <w:sz w:val="24"/>
        </w:rPr>
        <w:t>发包人和承包人接受评审意见的，由监理人根据评审意见拟定执行协议，经争议双方签字后作为合同的补充文件，并遵照执行。</w:t>
      </w:r>
    </w:p>
    <w:p>
      <w:pPr>
        <w:snapToGrid w:val="0"/>
        <w:spacing w:beforeLines="50"/>
        <w:ind w:left="991" w:hanging="991" w:hangingChars="413"/>
        <w:jc w:val="left"/>
        <w:rPr>
          <w:rFonts w:ascii="宋体" w:hAnsi="宋体"/>
          <w:sz w:val="24"/>
        </w:rPr>
      </w:pPr>
      <w:r>
        <w:rPr>
          <w:rFonts w:hint="eastAsia" w:ascii="宋体" w:hAnsi="宋体"/>
          <w:sz w:val="24"/>
        </w:rPr>
        <w:t>17.3.3</w:t>
      </w:r>
      <w:r>
        <w:rPr>
          <w:rFonts w:hint="eastAsia" w:ascii="宋体" w:hAnsi="宋体"/>
          <w:sz w:val="24"/>
        </w:rPr>
        <w:tab/>
      </w:r>
      <w:r>
        <w:rPr>
          <w:rFonts w:hint="eastAsia" w:ascii="宋体" w:hAnsi="宋体"/>
          <w:sz w:val="24"/>
        </w:rPr>
        <w:t>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line="360" w:lineRule="auto"/>
        <w:ind w:firstLine="420" w:firstLineChars="200"/>
      </w:pPr>
      <w:r>
        <w:br w:type="page"/>
      </w:r>
    </w:p>
    <w:p>
      <w:pPr>
        <w:jc w:val="center"/>
        <w:outlineLvl w:val="1"/>
        <w:rPr>
          <w:sz w:val="30"/>
          <w:szCs w:val="30"/>
        </w:rPr>
      </w:pPr>
      <w:bookmarkStart w:id="510" w:name="_Toc246996335"/>
      <w:bookmarkStart w:id="511" w:name="_Toc246997078"/>
      <w:bookmarkStart w:id="512" w:name="_Toc247085850"/>
      <w:bookmarkStart w:id="513" w:name="_Toc296602585"/>
      <w:bookmarkStart w:id="514" w:name="_Toc19221"/>
      <w:r>
        <w:rPr>
          <w:rFonts w:hint="eastAsia"/>
          <w:sz w:val="30"/>
          <w:szCs w:val="30"/>
        </w:rPr>
        <w:t xml:space="preserve">第二节 </w:t>
      </w:r>
      <w:r>
        <w:rPr>
          <w:rFonts w:hint="eastAsia"/>
          <w:sz w:val="30"/>
          <w:szCs w:val="30"/>
          <w:lang w:val="en-US" w:eastAsia="zh-CN"/>
        </w:rPr>
        <w:t xml:space="preserve"> </w:t>
      </w:r>
      <w:r>
        <w:rPr>
          <w:rFonts w:hint="eastAsia"/>
          <w:sz w:val="30"/>
          <w:szCs w:val="30"/>
        </w:rPr>
        <w:t>专用合同条款</w:t>
      </w:r>
      <w:bookmarkEnd w:id="510"/>
      <w:bookmarkEnd w:id="511"/>
      <w:bookmarkEnd w:id="512"/>
      <w:bookmarkEnd w:id="513"/>
      <w:bookmarkEnd w:id="514"/>
    </w:p>
    <w:p>
      <w:pPr>
        <w:snapToGrid w:val="0"/>
        <w:spacing w:beforeLines="50"/>
        <w:ind w:left="991" w:hanging="991" w:hangingChars="413"/>
        <w:jc w:val="left"/>
        <w:outlineLvl w:val="2"/>
        <w:rPr>
          <w:rFonts w:ascii="黑体" w:eastAsia="黑体"/>
          <w:sz w:val="24"/>
        </w:rPr>
      </w:pPr>
      <w:bookmarkStart w:id="515" w:name="_Toc17448"/>
      <w:bookmarkStart w:id="516" w:name="_Toc28607"/>
      <w:r>
        <w:rPr>
          <w:rFonts w:hint="eastAsia" w:ascii="黑体" w:eastAsia="黑体"/>
          <w:sz w:val="24"/>
        </w:rPr>
        <w:t>1.</w:t>
      </w:r>
      <w:r>
        <w:rPr>
          <w:rFonts w:hint="eastAsia" w:ascii="黑体" w:eastAsia="黑体"/>
          <w:sz w:val="24"/>
        </w:rPr>
        <w:tab/>
      </w:r>
      <w:r>
        <w:rPr>
          <w:rFonts w:hint="eastAsia" w:ascii="黑体" w:eastAsia="黑体"/>
          <w:sz w:val="24"/>
        </w:rPr>
        <w:t>一般约定</w:t>
      </w:r>
      <w:bookmarkEnd w:id="515"/>
      <w:bookmarkEnd w:id="516"/>
    </w:p>
    <w:p>
      <w:pPr>
        <w:snapToGrid w:val="0"/>
        <w:spacing w:beforeLines="50"/>
        <w:ind w:left="991" w:hanging="991" w:hangingChars="413"/>
        <w:jc w:val="left"/>
        <w:rPr>
          <w:rFonts w:ascii="黑体" w:eastAsia="黑体"/>
          <w:sz w:val="24"/>
        </w:rPr>
      </w:pPr>
      <w:r>
        <w:rPr>
          <w:rFonts w:hint="eastAsia" w:ascii="黑体" w:eastAsia="黑体"/>
          <w:sz w:val="24"/>
        </w:rPr>
        <w:t>1.1</w:t>
      </w:r>
      <w:r>
        <w:rPr>
          <w:rFonts w:hint="eastAsia" w:ascii="黑体" w:eastAsia="黑体"/>
          <w:sz w:val="24"/>
        </w:rPr>
        <w:tab/>
      </w:r>
      <w:r>
        <w:rPr>
          <w:rFonts w:hint="eastAsia" w:ascii="黑体" w:eastAsia="黑体"/>
          <w:sz w:val="24"/>
        </w:rPr>
        <w:t>词语定义</w:t>
      </w:r>
    </w:p>
    <w:p>
      <w:pPr>
        <w:snapToGrid w:val="0"/>
        <w:spacing w:beforeLines="50"/>
        <w:ind w:left="991" w:hanging="991" w:hangingChars="413"/>
        <w:jc w:val="left"/>
        <w:rPr>
          <w:rFonts w:ascii="宋体" w:hAnsi="宋体"/>
          <w:sz w:val="24"/>
        </w:rPr>
      </w:pPr>
      <w:r>
        <w:rPr>
          <w:rFonts w:hint="eastAsia" w:ascii="宋体" w:hAnsi="宋体"/>
          <w:sz w:val="24"/>
        </w:rPr>
        <w:t>1.1.2</w:t>
      </w:r>
      <w:r>
        <w:rPr>
          <w:rFonts w:hint="eastAsia" w:ascii="宋体" w:hAnsi="宋体"/>
          <w:sz w:val="24"/>
        </w:rPr>
        <w:tab/>
      </w:r>
      <w:r>
        <w:rPr>
          <w:rFonts w:hint="eastAsia" w:ascii="宋体" w:hAnsi="宋体"/>
          <w:sz w:val="24"/>
        </w:rPr>
        <w:t>合同当事人和人员</w:t>
      </w:r>
    </w:p>
    <w:p>
      <w:pPr>
        <w:snapToGrid w:val="0"/>
        <w:spacing w:beforeLines="50"/>
        <w:ind w:left="991" w:hanging="991" w:hangingChars="413"/>
        <w:jc w:val="left"/>
        <w:rPr>
          <w:rFonts w:ascii="宋体" w:hAnsi="宋体"/>
          <w:sz w:val="24"/>
        </w:rPr>
      </w:pPr>
      <w:r>
        <w:rPr>
          <w:rFonts w:hint="eastAsia" w:ascii="宋体" w:hAnsi="宋体"/>
          <w:sz w:val="24"/>
        </w:rPr>
        <w:t>1.1.2.2</w:t>
      </w:r>
      <w:r>
        <w:rPr>
          <w:rFonts w:hint="eastAsia" w:ascii="宋体" w:hAnsi="宋体"/>
          <w:sz w:val="24"/>
        </w:rPr>
        <w:tab/>
      </w:r>
      <w:r>
        <w:rPr>
          <w:rFonts w:hint="eastAsia" w:ascii="宋体" w:hAnsi="宋体"/>
          <w:sz w:val="24"/>
        </w:rPr>
        <w:t xml:space="preserve">发包人：。 </w:t>
      </w:r>
    </w:p>
    <w:p>
      <w:pPr>
        <w:snapToGrid w:val="0"/>
        <w:spacing w:beforeLines="50"/>
        <w:ind w:left="991" w:hanging="991" w:hangingChars="413"/>
        <w:jc w:val="left"/>
        <w:rPr>
          <w:rFonts w:ascii="宋体" w:hAnsi="宋体"/>
          <w:sz w:val="24"/>
        </w:rPr>
      </w:pPr>
      <w:r>
        <w:rPr>
          <w:rFonts w:hint="eastAsia" w:ascii="宋体" w:hAnsi="宋体"/>
          <w:sz w:val="24"/>
        </w:rPr>
        <w:t>1.1.2.3</w:t>
      </w:r>
      <w:r>
        <w:rPr>
          <w:rFonts w:hint="eastAsia" w:ascii="宋体" w:hAnsi="宋体"/>
          <w:sz w:val="24"/>
        </w:rPr>
        <w:tab/>
      </w:r>
      <w:r>
        <w:rPr>
          <w:rFonts w:hint="eastAsia" w:ascii="宋体" w:hAnsi="宋体"/>
          <w:sz w:val="24"/>
        </w:rPr>
        <w:t>承包人：。</w:t>
      </w:r>
    </w:p>
    <w:p>
      <w:pPr>
        <w:snapToGrid w:val="0"/>
        <w:spacing w:beforeLines="50"/>
        <w:ind w:left="991" w:hanging="991" w:hangingChars="413"/>
        <w:jc w:val="left"/>
        <w:rPr>
          <w:rFonts w:ascii="宋体" w:hAnsi="宋体"/>
          <w:sz w:val="24"/>
        </w:rPr>
      </w:pPr>
      <w:r>
        <w:rPr>
          <w:rFonts w:hint="eastAsia" w:ascii="宋体" w:hAnsi="宋体"/>
          <w:sz w:val="24"/>
        </w:rPr>
        <w:t>1.1.2.4</w:t>
      </w:r>
      <w:r>
        <w:rPr>
          <w:rFonts w:hint="eastAsia" w:ascii="宋体" w:hAnsi="宋体"/>
          <w:sz w:val="24"/>
        </w:rPr>
        <w:tab/>
      </w:r>
      <w:r>
        <w:rPr>
          <w:rFonts w:hint="eastAsia" w:ascii="宋体" w:hAnsi="宋体"/>
          <w:sz w:val="24"/>
        </w:rPr>
        <w:t>承包人项目经理：</w:t>
      </w:r>
    </w:p>
    <w:p>
      <w:pPr>
        <w:snapToGrid w:val="0"/>
        <w:spacing w:beforeLines="50"/>
        <w:ind w:left="989" w:leftChars="471" w:firstLine="141" w:firstLineChars="59"/>
        <w:jc w:val="left"/>
        <w:rPr>
          <w:rFonts w:ascii="宋体" w:hAnsi="宋体"/>
          <w:sz w:val="24"/>
        </w:rPr>
      </w:pPr>
      <w:r>
        <w:rPr>
          <w:rFonts w:hint="eastAsia" w:ascii="宋体" w:hAnsi="宋体"/>
          <w:sz w:val="24"/>
        </w:rPr>
        <w:t>姓      名：</w:t>
      </w:r>
    </w:p>
    <w:p>
      <w:pPr>
        <w:snapToGrid w:val="0"/>
        <w:spacing w:beforeLines="50"/>
        <w:ind w:left="989" w:leftChars="471" w:firstLine="141" w:firstLineChars="59"/>
        <w:jc w:val="left"/>
        <w:rPr>
          <w:rFonts w:ascii="宋体" w:hAnsi="宋体"/>
          <w:sz w:val="24"/>
        </w:rPr>
      </w:pPr>
      <w:r>
        <w:rPr>
          <w:rFonts w:hint="eastAsia" w:ascii="宋体" w:hAnsi="宋体"/>
          <w:sz w:val="24"/>
        </w:rPr>
        <w:t>执业资格证书编号：</w:t>
      </w:r>
    </w:p>
    <w:p>
      <w:pPr>
        <w:snapToGrid w:val="0"/>
        <w:spacing w:beforeLines="50"/>
        <w:ind w:left="989" w:leftChars="471" w:firstLine="141" w:firstLineChars="59"/>
        <w:jc w:val="left"/>
        <w:rPr>
          <w:rFonts w:ascii="宋体" w:hAnsi="宋体"/>
          <w:sz w:val="24"/>
        </w:rPr>
      </w:pPr>
      <w:r>
        <w:rPr>
          <w:rFonts w:hint="eastAsia" w:ascii="宋体" w:hAnsi="宋体"/>
          <w:sz w:val="24"/>
        </w:rPr>
        <w:t>注册证书编号：</w:t>
      </w:r>
    </w:p>
    <w:p>
      <w:pPr>
        <w:snapToGrid w:val="0"/>
        <w:spacing w:beforeLines="50"/>
        <w:ind w:left="991" w:hanging="991" w:hangingChars="413"/>
        <w:jc w:val="left"/>
        <w:rPr>
          <w:rFonts w:ascii="宋体" w:hAnsi="宋体"/>
          <w:sz w:val="24"/>
        </w:rPr>
      </w:pPr>
      <w:r>
        <w:rPr>
          <w:rFonts w:hint="eastAsia" w:ascii="宋体" w:hAnsi="宋体"/>
          <w:sz w:val="24"/>
        </w:rPr>
        <w:t>1.1.2.5</w:t>
      </w:r>
      <w:r>
        <w:rPr>
          <w:rFonts w:hint="eastAsia" w:ascii="宋体" w:hAnsi="宋体"/>
          <w:sz w:val="24"/>
        </w:rPr>
        <w:tab/>
      </w:r>
      <w:r>
        <w:rPr>
          <w:rFonts w:hint="eastAsia" w:ascii="宋体" w:hAnsi="宋体"/>
          <w:sz w:val="24"/>
        </w:rPr>
        <w:t>监理人：。</w:t>
      </w:r>
    </w:p>
    <w:p>
      <w:pPr>
        <w:snapToGrid w:val="0"/>
        <w:spacing w:beforeLines="50"/>
        <w:ind w:left="991" w:hanging="991" w:hangingChars="413"/>
        <w:jc w:val="left"/>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日期</w:t>
      </w:r>
    </w:p>
    <w:p>
      <w:pPr>
        <w:snapToGrid w:val="0"/>
        <w:spacing w:beforeLines="50"/>
        <w:ind w:left="991" w:hanging="991" w:hangingChars="413"/>
        <w:jc w:val="left"/>
        <w:rPr>
          <w:rFonts w:ascii="宋体" w:hAnsi="宋体"/>
          <w:sz w:val="24"/>
        </w:rPr>
      </w:pPr>
      <w:r>
        <w:rPr>
          <w:rFonts w:hint="eastAsia" w:ascii="宋体" w:hAnsi="宋体"/>
          <w:sz w:val="24"/>
        </w:rPr>
        <w:t>1.1.4.5</w:t>
      </w:r>
      <w:r>
        <w:rPr>
          <w:rFonts w:hint="eastAsia" w:ascii="宋体" w:hAnsi="宋体"/>
          <w:sz w:val="24"/>
        </w:rPr>
        <w:tab/>
      </w:r>
      <w:r>
        <w:rPr>
          <w:rFonts w:hint="eastAsia" w:ascii="宋体" w:hAnsi="宋体"/>
          <w:sz w:val="24"/>
        </w:rPr>
        <w:t>缺陷责任期：</w:t>
      </w:r>
      <w:r>
        <w:rPr>
          <w:rFonts w:ascii="宋体" w:hAnsi="宋体"/>
          <w:sz w:val="24"/>
          <w:highlight w:val="yellow"/>
          <w:u w:val="single"/>
        </w:rPr>
        <w:t xml:space="preserve"> 12  </w:t>
      </w:r>
      <w:r>
        <w:rPr>
          <w:rFonts w:hint="eastAsia" w:ascii="宋体" w:hAnsi="宋体"/>
          <w:sz w:val="24"/>
          <w:u w:val="single"/>
        </w:rPr>
        <w:t>个</w:t>
      </w:r>
      <w:r>
        <w:rPr>
          <w:rFonts w:hint="eastAsia" w:ascii="宋体" w:hAnsi="宋体"/>
          <w:sz w:val="24"/>
        </w:rPr>
        <w:t>月。</w:t>
      </w:r>
    </w:p>
    <w:p>
      <w:pPr>
        <w:snapToGrid w:val="0"/>
        <w:spacing w:beforeLines="50"/>
        <w:ind w:left="991" w:hanging="991" w:hangingChars="413"/>
        <w:jc w:val="left"/>
        <w:rPr>
          <w:rFonts w:ascii="黑体" w:eastAsia="黑体"/>
          <w:sz w:val="24"/>
        </w:rPr>
      </w:pPr>
      <w:r>
        <w:rPr>
          <w:rFonts w:hint="eastAsia" w:ascii="黑体" w:eastAsia="黑体"/>
          <w:sz w:val="24"/>
        </w:rPr>
        <w:t>1.4</w:t>
      </w:r>
      <w:r>
        <w:rPr>
          <w:rFonts w:hint="eastAsia" w:ascii="黑体" w:eastAsia="黑体"/>
          <w:sz w:val="24"/>
        </w:rPr>
        <w:tab/>
      </w:r>
      <w:r>
        <w:rPr>
          <w:rFonts w:hint="eastAsia" w:ascii="黑体" w:eastAsia="黑体"/>
          <w:sz w:val="24"/>
        </w:rPr>
        <w:t>合同文件的优先顺序</w:t>
      </w:r>
    </w:p>
    <w:p>
      <w:pPr>
        <w:snapToGrid w:val="0"/>
        <w:spacing w:beforeLines="50"/>
        <w:ind w:left="991" w:leftChars="472"/>
        <w:rPr>
          <w:rFonts w:ascii="宋体" w:hAnsi="宋体"/>
          <w:sz w:val="24"/>
        </w:rPr>
      </w:pPr>
      <w:r>
        <w:rPr>
          <w:rFonts w:hint="eastAsia" w:ascii="宋体" w:hAnsi="宋体"/>
          <w:sz w:val="24"/>
        </w:rPr>
        <w:t xml:space="preserve">解释合同文件的优先顺序: </w:t>
      </w:r>
      <w:r>
        <w:rPr>
          <w:rFonts w:hint="eastAsia" w:ascii="宋体" w:hAnsi="宋体"/>
          <w:sz w:val="24"/>
          <w:u w:val="single"/>
        </w:rPr>
        <w:t xml:space="preserve"> 同通用合同条款，无另外约定 </w:t>
      </w:r>
      <w:r>
        <w:rPr>
          <w:rFonts w:hint="eastAsia" w:ascii="宋体" w:hAnsi="宋体"/>
          <w:sz w:val="24"/>
        </w:rPr>
        <w:t xml:space="preserve"> 。</w:t>
      </w:r>
    </w:p>
    <w:p>
      <w:pPr>
        <w:snapToGrid w:val="0"/>
        <w:spacing w:beforeLines="50"/>
        <w:ind w:left="991" w:leftChars="472"/>
        <w:rPr>
          <w:rFonts w:ascii="宋体" w:hAnsi="宋体"/>
          <w:sz w:val="24"/>
        </w:rPr>
      </w:pPr>
      <w:r>
        <w:rPr>
          <w:rFonts w:hint="eastAsia" w:ascii="宋体" w:hAnsi="宋体"/>
          <w:sz w:val="24"/>
        </w:rPr>
        <w:t>合同协议书中约定采用总价合同形式的，已标价工程量清单中的各项工程量对合同双方不具合同约束力。</w:t>
      </w:r>
    </w:p>
    <w:p>
      <w:pPr>
        <w:snapToGrid w:val="0"/>
        <w:spacing w:beforeLines="50"/>
        <w:ind w:left="991" w:leftChars="472"/>
        <w:rPr>
          <w:rFonts w:ascii="宋体" w:hAnsi="宋体"/>
          <w:sz w:val="24"/>
        </w:rPr>
      </w:pPr>
      <w:r>
        <w:rPr>
          <w:rFonts w:hint="eastAsia" w:ascii="宋体" w:hAnsi="宋体"/>
          <w:sz w:val="24"/>
        </w:rPr>
        <w:t>图纸与技术标准和要求之间有矛盾或者不一致的，以其中要求较严格的标准为准。</w:t>
      </w:r>
    </w:p>
    <w:p>
      <w:pPr>
        <w:snapToGrid w:val="0"/>
        <w:spacing w:beforeLines="50"/>
        <w:ind w:left="991" w:leftChars="472"/>
        <w:rPr>
          <w:rFonts w:ascii="宋体" w:hAnsi="宋体"/>
          <w:sz w:val="24"/>
        </w:rPr>
      </w:pPr>
      <w:r>
        <w:rPr>
          <w:rFonts w:hint="eastAsia" w:ascii="宋体" w:hAnsi="宋体"/>
          <w:sz w:val="24"/>
        </w:rPr>
        <w:t>合同双方在合同履行过程中签订的补充协议亦构成合同文件的组成部分，其解释顺序视其内容与其他合同文件的相互关系而定。</w:t>
      </w:r>
    </w:p>
    <w:p>
      <w:pPr>
        <w:snapToGrid w:val="0"/>
        <w:spacing w:beforeLines="50"/>
        <w:ind w:left="991" w:hanging="991" w:hangingChars="413"/>
        <w:jc w:val="left"/>
        <w:rPr>
          <w:rFonts w:ascii="黑体" w:eastAsia="黑体"/>
          <w:sz w:val="24"/>
        </w:rPr>
      </w:pPr>
      <w:r>
        <w:rPr>
          <w:rFonts w:hint="eastAsia" w:ascii="黑体" w:eastAsia="黑体"/>
          <w:sz w:val="24"/>
        </w:rPr>
        <w:t>1.6</w:t>
      </w:r>
      <w:r>
        <w:rPr>
          <w:rFonts w:hint="eastAsia" w:ascii="黑体" w:eastAsia="黑体"/>
          <w:sz w:val="24"/>
        </w:rPr>
        <w:tab/>
      </w:r>
      <w:r>
        <w:rPr>
          <w:rFonts w:hint="eastAsia" w:ascii="黑体" w:eastAsia="黑体"/>
          <w:sz w:val="24"/>
        </w:rPr>
        <w:t>图纸和承包人文件</w:t>
      </w:r>
    </w:p>
    <w:p>
      <w:pPr>
        <w:snapToGrid w:val="0"/>
        <w:spacing w:beforeLines="50"/>
        <w:ind w:left="991" w:hanging="991" w:hangingChars="413"/>
        <w:jc w:val="left"/>
        <w:rPr>
          <w:rFonts w:ascii="宋体" w:hAnsi="宋体"/>
          <w:sz w:val="24"/>
        </w:rPr>
      </w:pPr>
      <w:r>
        <w:rPr>
          <w:rFonts w:hint="eastAsia" w:ascii="宋体" w:hAnsi="宋体"/>
          <w:sz w:val="24"/>
        </w:rPr>
        <w:t>1.6.1</w:t>
      </w:r>
      <w:r>
        <w:rPr>
          <w:rFonts w:hint="eastAsia" w:ascii="宋体" w:hAnsi="宋体"/>
          <w:sz w:val="24"/>
        </w:rPr>
        <w:tab/>
      </w:r>
      <w:r>
        <w:rPr>
          <w:rFonts w:hint="eastAsia" w:ascii="宋体" w:hAnsi="宋体"/>
          <w:sz w:val="24"/>
        </w:rPr>
        <w:t>发包人提供的图纸</w:t>
      </w:r>
    </w:p>
    <w:p>
      <w:pPr>
        <w:snapToGrid w:val="0"/>
        <w:spacing w:beforeLines="50"/>
        <w:ind w:left="991" w:leftChars="472"/>
        <w:rPr>
          <w:rFonts w:ascii="宋体" w:hAnsi="宋体"/>
          <w:sz w:val="24"/>
        </w:rPr>
      </w:pPr>
      <w:r>
        <w:rPr>
          <w:rFonts w:hint="eastAsia" w:ascii="宋体" w:hAnsi="宋体"/>
          <w:sz w:val="24"/>
        </w:rPr>
        <w:t>发包人提供图纸时间：</w:t>
      </w:r>
      <w:r>
        <w:rPr>
          <w:rFonts w:hint="eastAsia" w:ascii="宋体" w:hAnsi="宋体"/>
          <w:sz w:val="24"/>
          <w:u w:val="single"/>
        </w:rPr>
        <w:t xml:space="preserve"> 开工通知中载明的开工日期前14天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发包人提供图纸份数：</w:t>
      </w:r>
      <w:r>
        <w:rPr>
          <w:rFonts w:ascii="宋体" w:hAnsi="宋体"/>
          <w:sz w:val="24"/>
          <w:highlight w:val="yellow"/>
          <w:u w:val="single"/>
        </w:rPr>
        <w:t xml:space="preserve">  4 份 </w:t>
      </w:r>
      <w:r>
        <w:rPr>
          <w:rFonts w:hint="eastAsia" w:ascii="宋体" w:hAnsi="宋体"/>
          <w:sz w:val="24"/>
          <w:u w:val="single"/>
        </w:rPr>
        <w:t>。</w:t>
      </w:r>
    </w:p>
    <w:p>
      <w:pPr>
        <w:snapToGrid w:val="0"/>
        <w:spacing w:beforeLines="50"/>
        <w:ind w:left="991" w:hanging="991" w:hangingChars="413"/>
        <w:jc w:val="left"/>
        <w:rPr>
          <w:rFonts w:ascii="宋体" w:hAnsi="宋体"/>
          <w:sz w:val="24"/>
        </w:rPr>
      </w:pPr>
      <w:r>
        <w:rPr>
          <w:rFonts w:hint="eastAsia" w:ascii="宋体" w:hAnsi="宋体"/>
          <w:sz w:val="24"/>
        </w:rPr>
        <w:t>1.6.2</w:t>
      </w:r>
      <w:r>
        <w:rPr>
          <w:rFonts w:hint="eastAsia" w:ascii="宋体" w:hAnsi="宋体"/>
          <w:sz w:val="24"/>
        </w:rPr>
        <w:tab/>
      </w:r>
      <w:r>
        <w:rPr>
          <w:rFonts w:hint="eastAsia" w:ascii="宋体" w:hAnsi="宋体"/>
          <w:sz w:val="24"/>
        </w:rPr>
        <w:t>承包人提供的文件</w:t>
      </w:r>
    </w:p>
    <w:p>
      <w:pPr>
        <w:snapToGrid w:val="0"/>
        <w:spacing w:beforeLines="50"/>
        <w:ind w:left="1619" w:leftChars="473" w:hanging="626" w:hangingChars="261"/>
        <w:rPr>
          <w:rFonts w:ascii="宋体" w:hAnsi="宋体"/>
          <w:sz w:val="24"/>
        </w:rPr>
      </w:pPr>
      <w:r>
        <w:rPr>
          <w:rFonts w:hint="eastAsia" w:ascii="宋体" w:hAnsi="宋体"/>
          <w:sz w:val="24"/>
        </w:rPr>
        <w:t>(1)由承包人提供的文件范围：。</w:t>
      </w:r>
    </w:p>
    <w:p>
      <w:pPr>
        <w:snapToGrid w:val="0"/>
        <w:spacing w:beforeLines="50"/>
        <w:ind w:left="1619" w:leftChars="473" w:hanging="626" w:hangingChars="261"/>
        <w:rPr>
          <w:rFonts w:ascii="宋体" w:hAnsi="宋体"/>
          <w:sz w:val="24"/>
        </w:rPr>
      </w:pPr>
      <w:r>
        <w:rPr>
          <w:rFonts w:hint="eastAsia" w:ascii="宋体" w:hAnsi="宋体"/>
          <w:sz w:val="24"/>
        </w:rPr>
        <w:t>(2)承包人提供文件的期限：。</w:t>
      </w:r>
    </w:p>
    <w:p>
      <w:pPr>
        <w:snapToGrid w:val="0"/>
        <w:spacing w:beforeLines="50"/>
        <w:ind w:left="1619" w:leftChars="473" w:hanging="626" w:hangingChars="261"/>
        <w:rPr>
          <w:rFonts w:ascii="宋体" w:hAnsi="宋体"/>
          <w:sz w:val="24"/>
        </w:rPr>
      </w:pPr>
      <w:r>
        <w:rPr>
          <w:rFonts w:hint="eastAsia" w:ascii="宋体" w:hAnsi="宋体"/>
          <w:sz w:val="24"/>
        </w:rPr>
        <w:t>(3)承包人提供文件的数量：。</w:t>
      </w:r>
    </w:p>
    <w:p>
      <w:pPr>
        <w:snapToGrid w:val="0"/>
        <w:spacing w:beforeLines="50"/>
        <w:ind w:left="1619" w:leftChars="473" w:hanging="626" w:hangingChars="261"/>
        <w:rPr>
          <w:rFonts w:ascii="宋体" w:hAnsi="宋体"/>
          <w:sz w:val="24"/>
        </w:rPr>
      </w:pPr>
      <w:r>
        <w:rPr>
          <w:rFonts w:hint="eastAsia" w:ascii="宋体" w:hAnsi="宋体"/>
          <w:sz w:val="24"/>
        </w:rPr>
        <w:t>(4)监理人批复承包人提供文件的期限：。</w:t>
      </w:r>
    </w:p>
    <w:p>
      <w:pPr>
        <w:snapToGrid w:val="0"/>
        <w:spacing w:beforeLines="50"/>
        <w:ind w:left="1619" w:leftChars="473" w:hanging="626" w:hangingChars="261"/>
        <w:rPr>
          <w:rFonts w:ascii="宋体" w:hAnsi="宋体"/>
          <w:sz w:val="24"/>
        </w:rPr>
      </w:pPr>
      <w:r>
        <w:rPr>
          <w:rFonts w:hint="eastAsia" w:ascii="宋体" w:hAnsi="宋体"/>
          <w:sz w:val="24"/>
        </w:rPr>
        <w:t>(5)其他约定：。</w:t>
      </w:r>
    </w:p>
    <w:p>
      <w:pPr>
        <w:snapToGrid w:val="0"/>
        <w:spacing w:beforeLines="50"/>
        <w:ind w:left="991" w:leftChars="472"/>
        <w:rPr>
          <w:rFonts w:ascii="宋体" w:hAnsi="宋体"/>
          <w:sz w:val="24"/>
        </w:rPr>
      </w:pPr>
    </w:p>
    <w:p>
      <w:pPr>
        <w:snapToGrid w:val="0"/>
        <w:spacing w:beforeLines="50"/>
        <w:ind w:left="991" w:hanging="991" w:hangingChars="413"/>
        <w:jc w:val="left"/>
        <w:rPr>
          <w:rFonts w:ascii="黑体" w:eastAsia="黑体"/>
          <w:sz w:val="24"/>
        </w:rPr>
      </w:pPr>
      <w:r>
        <w:rPr>
          <w:rFonts w:hint="eastAsia" w:ascii="黑体" w:eastAsia="黑体"/>
          <w:sz w:val="24"/>
        </w:rPr>
        <w:t>2.3</w:t>
      </w:r>
      <w:r>
        <w:rPr>
          <w:rFonts w:hint="eastAsia" w:ascii="黑体" w:eastAsia="黑体"/>
          <w:sz w:val="24"/>
        </w:rPr>
        <w:tab/>
      </w:r>
      <w:r>
        <w:rPr>
          <w:rFonts w:hint="eastAsia" w:ascii="黑体" w:eastAsia="黑体"/>
          <w:sz w:val="24"/>
        </w:rPr>
        <w:t>提供施工场地</w:t>
      </w:r>
    </w:p>
    <w:p>
      <w:pPr>
        <w:snapToGrid w:val="0"/>
        <w:spacing w:beforeLines="50"/>
        <w:ind w:left="991" w:leftChars="472"/>
        <w:rPr>
          <w:rFonts w:ascii="宋体" w:hAnsi="宋体"/>
          <w:sz w:val="24"/>
        </w:rPr>
      </w:pPr>
      <w:r>
        <w:rPr>
          <w:rFonts w:hint="eastAsia" w:ascii="宋体" w:hAnsi="宋体"/>
          <w:sz w:val="24"/>
        </w:rPr>
        <w:t>发包人提供施工场地时间：</w:t>
      </w:r>
      <w:r>
        <w:rPr>
          <w:rFonts w:hint="eastAsia" w:ascii="宋体" w:hAnsi="宋体"/>
          <w:sz w:val="24"/>
          <w:u w:val="single"/>
        </w:rPr>
        <w:t xml:space="preserve"> 开工通知中载明的开工日期前7天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17" w:name="_Toc4048"/>
      <w:bookmarkStart w:id="518" w:name="_Toc22985"/>
      <w:r>
        <w:rPr>
          <w:rFonts w:hint="eastAsia" w:ascii="黑体" w:eastAsia="黑体"/>
          <w:sz w:val="24"/>
        </w:rPr>
        <w:t>3.</w:t>
      </w:r>
      <w:r>
        <w:rPr>
          <w:rFonts w:hint="eastAsia" w:ascii="黑体" w:eastAsia="黑体"/>
          <w:sz w:val="24"/>
        </w:rPr>
        <w:tab/>
      </w:r>
      <w:r>
        <w:rPr>
          <w:rFonts w:hint="eastAsia" w:ascii="黑体" w:eastAsia="黑体"/>
          <w:sz w:val="24"/>
        </w:rPr>
        <w:t>监理人</w:t>
      </w:r>
      <w:bookmarkEnd w:id="517"/>
      <w:bookmarkEnd w:id="518"/>
    </w:p>
    <w:p>
      <w:pPr>
        <w:snapToGrid w:val="0"/>
        <w:spacing w:beforeLines="50"/>
        <w:ind w:left="991" w:hanging="991" w:hangingChars="413"/>
        <w:jc w:val="left"/>
        <w:rPr>
          <w:rFonts w:ascii="黑体" w:eastAsia="黑体"/>
          <w:sz w:val="24"/>
        </w:rPr>
      </w:pPr>
      <w:r>
        <w:rPr>
          <w:rFonts w:hint="eastAsia" w:ascii="黑体" w:eastAsia="黑体"/>
          <w:sz w:val="24"/>
        </w:rPr>
        <w:t>3.1</w:t>
      </w:r>
      <w:r>
        <w:rPr>
          <w:rFonts w:hint="eastAsia" w:ascii="黑体" w:eastAsia="黑体"/>
          <w:sz w:val="24"/>
        </w:rPr>
        <w:tab/>
      </w:r>
      <w:r>
        <w:rPr>
          <w:rFonts w:hint="eastAsia" w:ascii="黑体" w:eastAsia="黑体"/>
          <w:sz w:val="24"/>
        </w:rPr>
        <w:t>监理人的职责和权力</w:t>
      </w:r>
    </w:p>
    <w:p>
      <w:pPr>
        <w:snapToGrid w:val="0"/>
        <w:spacing w:beforeLines="50"/>
        <w:ind w:left="991" w:hanging="991" w:hangingChars="413"/>
        <w:jc w:val="left"/>
        <w:rPr>
          <w:rFonts w:ascii="宋体" w:hAnsi="宋体"/>
          <w:sz w:val="24"/>
        </w:rPr>
      </w:pPr>
      <w:r>
        <w:rPr>
          <w:rFonts w:hint="eastAsia" w:ascii="宋体" w:hAnsi="宋体"/>
          <w:sz w:val="24"/>
        </w:rPr>
        <w:t>3.1.1</w:t>
      </w:r>
      <w:r>
        <w:rPr>
          <w:rFonts w:hint="eastAsia" w:ascii="宋体" w:hAnsi="宋体"/>
          <w:sz w:val="24"/>
        </w:rPr>
        <w:tab/>
      </w:r>
      <w:r>
        <w:rPr>
          <w:rFonts w:hint="eastAsia" w:ascii="宋体" w:hAnsi="宋体"/>
          <w:sz w:val="24"/>
        </w:rPr>
        <w:t>须经发包人批准行使的权力：</w:t>
      </w:r>
      <w:r>
        <w:rPr>
          <w:rFonts w:hint="eastAsia" w:ascii="宋体" w:hAnsi="宋体"/>
          <w:sz w:val="24"/>
          <w:u w:val="single"/>
        </w:rPr>
        <w:t xml:space="preserve"> 见GB/T 50319-2013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3.3</w:t>
      </w:r>
      <w:r>
        <w:rPr>
          <w:rFonts w:hint="eastAsia" w:ascii="黑体" w:eastAsia="黑体"/>
          <w:sz w:val="24"/>
        </w:rPr>
        <w:tab/>
      </w:r>
      <w:r>
        <w:rPr>
          <w:rFonts w:hint="eastAsia" w:ascii="黑体" w:eastAsia="黑体"/>
          <w:sz w:val="24"/>
        </w:rPr>
        <w:t>监理人员</w:t>
      </w:r>
    </w:p>
    <w:p>
      <w:pPr>
        <w:snapToGrid w:val="0"/>
        <w:spacing w:beforeLines="50"/>
        <w:ind w:left="991" w:hanging="991" w:hangingChars="413"/>
        <w:jc w:val="left"/>
        <w:rPr>
          <w:rFonts w:ascii="宋体" w:hAnsi="宋体"/>
          <w:sz w:val="24"/>
        </w:rPr>
      </w:pPr>
      <w:r>
        <w:rPr>
          <w:rFonts w:hint="eastAsia" w:ascii="宋体" w:hAnsi="宋体"/>
          <w:sz w:val="24"/>
        </w:rPr>
        <w:t>3.3.4</w:t>
      </w:r>
      <w:r>
        <w:rPr>
          <w:rFonts w:hint="eastAsia" w:ascii="宋体" w:hAnsi="宋体"/>
          <w:sz w:val="24"/>
        </w:rPr>
        <w:tab/>
      </w:r>
      <w:r>
        <w:rPr>
          <w:rFonts w:hint="eastAsia" w:ascii="宋体" w:hAnsi="宋体"/>
          <w:sz w:val="24"/>
        </w:rPr>
        <w:t>总监理工程师不应将第3.5款约定应由总监理工程师作出确定的权力授权或委托给其他监理人员。</w:t>
      </w:r>
    </w:p>
    <w:p>
      <w:pPr>
        <w:snapToGrid w:val="0"/>
        <w:spacing w:beforeLines="50"/>
        <w:ind w:left="991" w:hanging="991" w:hangingChars="413"/>
        <w:jc w:val="left"/>
        <w:outlineLvl w:val="2"/>
        <w:rPr>
          <w:rFonts w:ascii="黑体" w:eastAsia="黑体"/>
          <w:sz w:val="24"/>
        </w:rPr>
      </w:pPr>
      <w:bookmarkStart w:id="519" w:name="_Toc1232"/>
      <w:bookmarkStart w:id="520" w:name="_Toc2500"/>
      <w:r>
        <w:rPr>
          <w:rFonts w:hint="eastAsia" w:ascii="黑体" w:eastAsia="黑体"/>
          <w:sz w:val="24"/>
        </w:rPr>
        <w:t>4.</w:t>
      </w:r>
      <w:r>
        <w:rPr>
          <w:rFonts w:hint="eastAsia" w:ascii="黑体" w:eastAsia="黑体"/>
          <w:sz w:val="24"/>
        </w:rPr>
        <w:tab/>
      </w:r>
      <w:r>
        <w:rPr>
          <w:rFonts w:hint="eastAsia" w:ascii="黑体" w:eastAsia="黑体"/>
          <w:sz w:val="24"/>
        </w:rPr>
        <w:t>承包人</w:t>
      </w:r>
      <w:bookmarkEnd w:id="519"/>
      <w:bookmarkEnd w:id="520"/>
    </w:p>
    <w:p>
      <w:pPr>
        <w:snapToGrid w:val="0"/>
        <w:spacing w:beforeLines="50"/>
        <w:ind w:left="991" w:hanging="991" w:hangingChars="413"/>
        <w:jc w:val="left"/>
        <w:rPr>
          <w:rFonts w:ascii="黑体" w:eastAsia="黑体"/>
          <w:sz w:val="24"/>
        </w:rPr>
      </w:pPr>
      <w:r>
        <w:rPr>
          <w:rFonts w:hint="eastAsia" w:ascii="黑体" w:eastAsia="黑体"/>
          <w:sz w:val="24"/>
        </w:rPr>
        <w:t>4.1</w:t>
      </w:r>
      <w:r>
        <w:rPr>
          <w:rFonts w:hint="eastAsia" w:ascii="黑体" w:eastAsia="黑体"/>
          <w:sz w:val="24"/>
        </w:rPr>
        <w:tab/>
      </w:r>
      <w:r>
        <w:rPr>
          <w:rFonts w:hint="eastAsia" w:ascii="黑体" w:eastAsia="黑体"/>
          <w:sz w:val="24"/>
        </w:rPr>
        <w:t>承包人的一般义务</w:t>
      </w:r>
    </w:p>
    <w:p>
      <w:pPr>
        <w:snapToGrid w:val="0"/>
        <w:spacing w:beforeLines="50"/>
        <w:ind w:left="991" w:hanging="991" w:hangingChars="413"/>
        <w:jc w:val="left"/>
        <w:rPr>
          <w:rFonts w:ascii="宋体" w:hAnsi="宋体"/>
          <w:sz w:val="24"/>
        </w:rPr>
      </w:pPr>
      <w:r>
        <w:rPr>
          <w:rFonts w:hint="eastAsia" w:ascii="宋体" w:hAnsi="宋体"/>
          <w:sz w:val="24"/>
        </w:rPr>
        <w:t>4.1.6</w:t>
      </w:r>
      <w:r>
        <w:rPr>
          <w:rFonts w:hint="eastAsia" w:ascii="宋体" w:hAnsi="宋体"/>
          <w:sz w:val="24"/>
        </w:rPr>
        <w:tab/>
      </w:r>
      <w:r>
        <w:rPr>
          <w:rFonts w:hint="eastAsia" w:ascii="宋体" w:hAnsi="宋体"/>
          <w:sz w:val="24"/>
        </w:rPr>
        <w:t>承包人应履行合同约定的其他义务。</w:t>
      </w:r>
    </w:p>
    <w:p>
      <w:pPr>
        <w:snapToGrid w:val="0"/>
        <w:spacing w:beforeLines="50"/>
        <w:ind w:left="991" w:hanging="991" w:hangingChars="413"/>
        <w:jc w:val="left"/>
        <w:rPr>
          <w:rFonts w:ascii="黑体" w:eastAsia="黑体"/>
          <w:sz w:val="24"/>
        </w:rPr>
      </w:pPr>
      <w:r>
        <w:rPr>
          <w:rFonts w:hint="eastAsia" w:ascii="黑体" w:eastAsia="黑体"/>
          <w:sz w:val="24"/>
        </w:rPr>
        <w:t>4.3</w:t>
      </w:r>
      <w:r>
        <w:rPr>
          <w:rFonts w:hint="eastAsia" w:ascii="黑体" w:eastAsia="黑体"/>
          <w:sz w:val="24"/>
        </w:rPr>
        <w:tab/>
      </w:r>
      <w:r>
        <w:rPr>
          <w:rFonts w:hint="eastAsia" w:ascii="黑体" w:eastAsia="黑体"/>
          <w:sz w:val="24"/>
        </w:rPr>
        <w:t>承包人项目经理</w:t>
      </w:r>
    </w:p>
    <w:p>
      <w:pPr>
        <w:snapToGrid w:val="0"/>
        <w:spacing w:beforeLines="50"/>
        <w:ind w:left="991" w:leftChars="472"/>
        <w:rPr>
          <w:rFonts w:ascii="宋体" w:hAnsi="宋体"/>
          <w:sz w:val="24"/>
        </w:rPr>
      </w:pPr>
      <w:r>
        <w:rPr>
          <w:rFonts w:hint="eastAsia" w:ascii="宋体" w:hAnsi="宋体"/>
          <w:sz w:val="24"/>
        </w:rPr>
        <w:t>承包人指派的项目经理，应在接到发</w:t>
      </w:r>
      <w:r>
        <w:rPr>
          <w:rFonts w:hint="eastAsia" w:ascii="宋体" w:hAnsi="宋体"/>
          <w:sz w:val="24"/>
          <w:highlight w:val="yellow"/>
        </w:rPr>
        <w:t>包人通知后</w:t>
      </w:r>
      <w:r>
        <w:rPr>
          <w:rFonts w:ascii="宋体" w:hAnsi="宋体"/>
          <w:sz w:val="24"/>
          <w:highlight w:val="yellow"/>
          <w:u w:val="single"/>
        </w:rPr>
        <w:t xml:space="preserve"> </w:t>
      </w:r>
      <w:r>
        <w:rPr>
          <w:rFonts w:hint="eastAsia" w:ascii="宋体" w:hAnsi="宋体"/>
          <w:sz w:val="24"/>
          <w:highlight w:val="yellow"/>
          <w:u w:val="single"/>
          <w:lang w:val="en-US" w:eastAsia="zh-CN"/>
        </w:rPr>
        <w:t xml:space="preserve"> </w:t>
      </w:r>
      <w:r>
        <w:rPr>
          <w:rFonts w:ascii="宋体" w:hAnsi="宋体"/>
          <w:sz w:val="24"/>
          <w:highlight w:val="yellow"/>
          <w:u w:val="single"/>
        </w:rPr>
        <w:t>7</w:t>
      </w:r>
      <w:r>
        <w:rPr>
          <w:rFonts w:hint="eastAsia" w:ascii="宋体" w:hAnsi="宋体"/>
          <w:sz w:val="24"/>
          <w:highlight w:val="yellow"/>
          <w:u w:val="single"/>
          <w:lang w:val="en-US" w:eastAsia="zh-CN"/>
        </w:rPr>
        <w:t xml:space="preserve"> </w:t>
      </w:r>
      <w:r>
        <w:rPr>
          <w:rFonts w:ascii="宋体" w:hAnsi="宋体"/>
          <w:sz w:val="24"/>
          <w:highlight w:val="yellow"/>
          <w:u w:val="single"/>
        </w:rPr>
        <w:t xml:space="preserve"> </w:t>
      </w:r>
      <w:r>
        <w:rPr>
          <w:rFonts w:hint="eastAsia" w:ascii="宋体" w:hAnsi="宋体"/>
          <w:sz w:val="24"/>
        </w:rPr>
        <w:t>日内到职。</w:t>
      </w:r>
    </w:p>
    <w:p>
      <w:pPr>
        <w:snapToGrid w:val="0"/>
        <w:spacing w:beforeLines="50"/>
        <w:ind w:left="991" w:leftChars="472"/>
        <w:rPr>
          <w:rFonts w:ascii="宋体" w:hAnsi="宋体"/>
          <w:sz w:val="24"/>
        </w:rPr>
      </w:pPr>
      <w:r>
        <w:rPr>
          <w:rFonts w:hint="eastAsia" w:ascii="宋体" w:hAnsi="宋体"/>
          <w:sz w:val="24"/>
        </w:rPr>
        <w:t>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napToGrid w:val="0"/>
        <w:spacing w:beforeLines="50"/>
        <w:ind w:left="991" w:hanging="991" w:hangingChars="413"/>
        <w:jc w:val="left"/>
        <w:rPr>
          <w:rFonts w:ascii="黑体" w:eastAsia="黑体"/>
          <w:sz w:val="24"/>
        </w:rPr>
      </w:pPr>
      <w:r>
        <w:rPr>
          <w:rFonts w:hint="eastAsia" w:ascii="黑体" w:eastAsia="黑体"/>
          <w:sz w:val="24"/>
        </w:rPr>
        <w:t>4.5</w:t>
      </w:r>
      <w:r>
        <w:rPr>
          <w:rFonts w:hint="eastAsia" w:ascii="黑体" w:eastAsia="黑体"/>
          <w:sz w:val="24"/>
        </w:rPr>
        <w:tab/>
      </w:r>
      <w:r>
        <w:rPr>
          <w:rFonts w:hint="eastAsia" w:ascii="黑体" w:eastAsia="黑体"/>
          <w:sz w:val="24"/>
        </w:rPr>
        <w:t>不利物质条件</w:t>
      </w:r>
    </w:p>
    <w:p>
      <w:pPr>
        <w:snapToGrid w:val="0"/>
        <w:spacing w:beforeLines="50"/>
        <w:ind w:left="991" w:hanging="991" w:hangingChars="413"/>
        <w:jc w:val="left"/>
        <w:rPr>
          <w:rFonts w:ascii="宋体" w:hAnsi="宋体"/>
          <w:sz w:val="24"/>
        </w:rPr>
      </w:pPr>
      <w:r>
        <w:rPr>
          <w:rFonts w:hint="eastAsia" w:ascii="宋体" w:hAnsi="宋体"/>
          <w:sz w:val="24"/>
        </w:rPr>
        <w:t>4.5.1</w:t>
      </w:r>
      <w:r>
        <w:rPr>
          <w:rFonts w:hint="eastAsia" w:ascii="宋体" w:hAnsi="宋体"/>
          <w:sz w:val="24"/>
        </w:rPr>
        <w:tab/>
      </w:r>
      <w:r>
        <w:rPr>
          <w:rFonts w:hint="eastAsia" w:ascii="宋体" w:hAnsi="宋体"/>
          <w:sz w:val="24"/>
        </w:rPr>
        <w:t>不利物质条件的范围：</w:t>
      </w:r>
      <w:r>
        <w:rPr>
          <w:rFonts w:hint="eastAsia" w:ascii="宋体" w:hAnsi="宋体"/>
          <w:sz w:val="24"/>
          <w:u w:val="single"/>
        </w:rPr>
        <w:t xml:space="preserve"> 未探明的高度超过3m的溶洞、大于5立方米孤石、废弃的建（构）筑物以及超过国家标准的幅射物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1" w:name="_Toc8152"/>
      <w:bookmarkStart w:id="522" w:name="_Toc3323"/>
      <w:r>
        <w:rPr>
          <w:rFonts w:hint="eastAsia" w:ascii="黑体" w:eastAsia="黑体"/>
          <w:sz w:val="24"/>
        </w:rPr>
        <w:t>5.</w:t>
      </w:r>
      <w:r>
        <w:rPr>
          <w:rFonts w:hint="eastAsia" w:ascii="黑体" w:eastAsia="黑体"/>
          <w:sz w:val="24"/>
        </w:rPr>
        <w:tab/>
      </w:r>
      <w:r>
        <w:rPr>
          <w:rFonts w:hint="eastAsia" w:ascii="黑体" w:eastAsia="黑体"/>
          <w:sz w:val="24"/>
        </w:rPr>
        <w:t>施工控制网</w:t>
      </w:r>
      <w:bookmarkEnd w:id="521"/>
      <w:bookmarkEnd w:id="522"/>
    </w:p>
    <w:p>
      <w:pPr>
        <w:snapToGrid w:val="0"/>
        <w:spacing w:beforeLines="50"/>
        <w:ind w:left="991" w:hanging="991" w:hangingChars="413"/>
        <w:jc w:val="left"/>
        <w:rPr>
          <w:rFonts w:ascii="宋体" w:hAnsi="宋体"/>
          <w:sz w:val="24"/>
        </w:rPr>
      </w:pPr>
      <w:r>
        <w:rPr>
          <w:rFonts w:hint="eastAsia" w:ascii="宋体" w:hAnsi="宋体"/>
          <w:sz w:val="24"/>
        </w:rPr>
        <w:t>5.1</w:t>
      </w:r>
      <w:r>
        <w:rPr>
          <w:rFonts w:hint="eastAsia" w:ascii="宋体" w:hAnsi="宋体"/>
          <w:sz w:val="24"/>
        </w:rPr>
        <w:tab/>
      </w:r>
      <w:r>
        <w:rPr>
          <w:rFonts w:hint="eastAsia" w:ascii="宋体" w:hAnsi="宋体"/>
          <w:sz w:val="24"/>
        </w:rPr>
        <w:t xml:space="preserve">发包人向承包人提供测量基准点、基准线和水准点及其书面资料时间： </w:t>
      </w:r>
      <w:r>
        <w:rPr>
          <w:rFonts w:hint="eastAsia" w:ascii="宋体" w:hAnsi="宋体"/>
          <w:sz w:val="24"/>
          <w:u w:val="single"/>
        </w:rPr>
        <w:t xml:space="preserve">开工通知中载明的开工日期前14天 </w:t>
      </w:r>
      <w:r>
        <w:rPr>
          <w:rFonts w:hint="eastAsia" w:ascii="宋体" w:hAnsi="宋体"/>
          <w:sz w:val="24"/>
        </w:rPr>
        <w:t>。</w:t>
      </w:r>
    </w:p>
    <w:p>
      <w:pPr>
        <w:snapToGrid w:val="0"/>
        <w:spacing w:beforeLines="50"/>
        <w:ind w:left="989" w:leftChars="471" w:firstLine="2"/>
        <w:jc w:val="left"/>
        <w:rPr>
          <w:rFonts w:ascii="宋体" w:hAnsi="宋体"/>
          <w:sz w:val="24"/>
        </w:rPr>
      </w:pPr>
      <w:r>
        <w:rPr>
          <w:rFonts w:hint="eastAsia" w:ascii="宋体" w:hAnsi="宋体"/>
          <w:sz w:val="24"/>
        </w:rPr>
        <w:t xml:space="preserve">承包人向监理人报送施工控制网的时间： </w:t>
      </w:r>
      <w:r>
        <w:rPr>
          <w:rFonts w:hint="eastAsia" w:ascii="宋体" w:hAnsi="宋体"/>
          <w:sz w:val="24"/>
          <w:u w:val="single"/>
        </w:rPr>
        <w:t xml:space="preserve">开工通知中载明的开工日期前7天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3" w:name="_Toc6871"/>
      <w:bookmarkStart w:id="524" w:name="_Toc29075"/>
      <w:r>
        <w:rPr>
          <w:rFonts w:hint="eastAsia" w:ascii="黑体" w:eastAsia="黑体"/>
          <w:sz w:val="24"/>
        </w:rPr>
        <w:t>6.</w:t>
      </w:r>
      <w:r>
        <w:rPr>
          <w:rFonts w:hint="eastAsia" w:ascii="黑体" w:eastAsia="黑体"/>
          <w:sz w:val="24"/>
        </w:rPr>
        <w:tab/>
      </w:r>
      <w:r>
        <w:rPr>
          <w:rFonts w:hint="eastAsia" w:ascii="黑体" w:eastAsia="黑体"/>
          <w:sz w:val="24"/>
        </w:rPr>
        <w:t>工期</w:t>
      </w:r>
      <w:bookmarkEnd w:id="523"/>
      <w:bookmarkEnd w:id="524"/>
    </w:p>
    <w:p>
      <w:pPr>
        <w:snapToGrid w:val="0"/>
        <w:spacing w:beforeLines="50"/>
        <w:ind w:left="991" w:hanging="991" w:hangingChars="413"/>
        <w:jc w:val="left"/>
        <w:rPr>
          <w:rFonts w:ascii="黑体" w:eastAsia="黑体"/>
          <w:sz w:val="24"/>
        </w:rPr>
      </w:pPr>
      <w:r>
        <w:rPr>
          <w:rFonts w:hint="eastAsia" w:ascii="黑体" w:eastAsia="黑体"/>
          <w:sz w:val="24"/>
        </w:rPr>
        <w:t>6.1</w:t>
      </w:r>
      <w:r>
        <w:rPr>
          <w:rFonts w:hint="eastAsia" w:ascii="黑体" w:eastAsia="黑体"/>
          <w:sz w:val="24"/>
        </w:rPr>
        <w:tab/>
      </w:r>
      <w:r>
        <w:rPr>
          <w:rFonts w:hint="eastAsia" w:ascii="黑体" w:eastAsia="黑体"/>
          <w:sz w:val="24"/>
        </w:rPr>
        <w:t>进度计划</w:t>
      </w:r>
    </w:p>
    <w:p>
      <w:pPr>
        <w:snapToGrid w:val="0"/>
        <w:spacing w:beforeLines="50"/>
        <w:ind w:left="991" w:leftChars="472"/>
        <w:rPr>
          <w:rFonts w:ascii="宋体" w:hAnsi="宋体"/>
          <w:sz w:val="24"/>
        </w:rPr>
      </w:pPr>
      <w:r>
        <w:rPr>
          <w:rFonts w:hint="eastAsia" w:ascii="宋体" w:hAnsi="宋体"/>
          <w:sz w:val="24"/>
        </w:rPr>
        <w:t>承包</w:t>
      </w:r>
      <w:r>
        <w:rPr>
          <w:rFonts w:ascii="宋体" w:hAnsi="宋体"/>
          <w:sz w:val="24"/>
        </w:rPr>
        <w:t>人向监理人提交</w:t>
      </w:r>
      <w:r>
        <w:rPr>
          <w:rFonts w:hint="eastAsia" w:ascii="宋体" w:hAnsi="宋体"/>
          <w:sz w:val="24"/>
        </w:rPr>
        <w:t>详细的施工进度计划和施工方案说明的</w:t>
      </w:r>
      <w:r>
        <w:rPr>
          <w:rFonts w:ascii="宋体" w:hAnsi="宋体"/>
          <w:sz w:val="24"/>
        </w:rPr>
        <w:t>时间：</w:t>
      </w:r>
      <w:r>
        <w:rPr>
          <w:rFonts w:hint="eastAsia" w:ascii="宋体" w:hAnsi="宋体"/>
          <w:sz w:val="24"/>
          <w:u w:val="single"/>
        </w:rPr>
        <w:t>开工通知中载明的开工日期前7天</w:t>
      </w:r>
      <w:r>
        <w:rPr>
          <w:rFonts w:ascii="宋体" w:hAnsi="宋体"/>
          <w:sz w:val="24"/>
        </w:rPr>
        <w:t>。</w:t>
      </w:r>
    </w:p>
    <w:p>
      <w:pPr>
        <w:spacing w:beforeLines="50"/>
        <w:ind w:left="1415" w:leftChars="472" w:hanging="424" w:hangingChars="177"/>
        <w:rPr>
          <w:rFonts w:ascii="宋体" w:hAnsi="宋体"/>
          <w:sz w:val="24"/>
        </w:rPr>
      </w:pPr>
      <w:r>
        <w:rPr>
          <w:rFonts w:hint="eastAsia" w:ascii="宋体" w:hAnsi="宋体"/>
          <w:sz w:val="24"/>
        </w:rPr>
        <w:t>(1)承包人报送修订合同进度计划申请报告和相关资料的期限：</w:t>
      </w:r>
      <w:r>
        <w:rPr>
          <w:rFonts w:hint="eastAsia" w:ascii="宋体" w:hAnsi="宋体"/>
          <w:sz w:val="24"/>
          <w:u w:val="single"/>
        </w:rPr>
        <w:t xml:space="preserve"> 当发生工程实际进度与经监理人批准的合同进度计划情况后7天内</w:t>
      </w:r>
      <w:r>
        <w:rPr>
          <w:rFonts w:hint="eastAsia" w:ascii="宋体" w:hAnsi="宋体"/>
          <w:sz w:val="24"/>
        </w:rPr>
        <w:t xml:space="preserve"> 。</w:t>
      </w:r>
    </w:p>
    <w:p>
      <w:pPr>
        <w:spacing w:beforeLines="50"/>
        <w:ind w:left="1415" w:leftChars="472" w:hanging="424" w:hangingChars="177"/>
        <w:rPr>
          <w:rFonts w:ascii="宋体" w:hAnsi="宋体"/>
          <w:sz w:val="24"/>
        </w:rPr>
      </w:pPr>
      <w:r>
        <w:rPr>
          <w:rFonts w:hint="eastAsia" w:ascii="宋体" w:hAnsi="宋体"/>
          <w:sz w:val="24"/>
        </w:rPr>
        <w:t>(2)监理人批复修订合同进度计划的期限：</w:t>
      </w:r>
      <w:r>
        <w:rPr>
          <w:rFonts w:hint="eastAsia" w:ascii="宋体" w:hAnsi="宋体"/>
          <w:sz w:val="24"/>
          <w:u w:val="single"/>
        </w:rPr>
        <w:t xml:space="preserve"> 7天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6.4</w:t>
      </w:r>
      <w:r>
        <w:rPr>
          <w:rFonts w:hint="eastAsia" w:ascii="黑体" w:eastAsia="黑体"/>
          <w:sz w:val="24"/>
        </w:rPr>
        <w:tab/>
      </w:r>
      <w:r>
        <w:rPr>
          <w:rFonts w:hint="eastAsia" w:ascii="黑体" w:eastAsia="黑体"/>
          <w:sz w:val="24"/>
        </w:rPr>
        <w:t>异常恶劣的气候条件</w:t>
      </w:r>
    </w:p>
    <w:p>
      <w:pPr>
        <w:snapToGrid w:val="0"/>
        <w:spacing w:beforeLines="50"/>
        <w:ind w:left="991" w:leftChars="472"/>
        <w:rPr>
          <w:rFonts w:ascii="宋体" w:hAnsi="宋体"/>
          <w:sz w:val="24"/>
        </w:rPr>
      </w:pPr>
      <w:r>
        <w:rPr>
          <w:rFonts w:hint="eastAsia" w:ascii="宋体" w:hAnsi="宋体"/>
          <w:sz w:val="24"/>
        </w:rPr>
        <w:t>异常恶劣气候指：</w:t>
      </w:r>
      <w:r>
        <w:rPr>
          <w:rFonts w:hint="eastAsia" w:ascii="宋体" w:hAnsi="宋体"/>
          <w:sz w:val="24"/>
          <w:u w:val="single"/>
        </w:rPr>
        <w:t xml:space="preserve"> 持续 3天的大雨（降雨量＞25mm/d</w:t>
      </w:r>
      <w:r>
        <w:rPr>
          <w:rFonts w:ascii="宋体" w:hAnsi="宋体"/>
          <w:sz w:val="24"/>
          <w:u w:val="single"/>
        </w:rPr>
        <w:t>）</w:t>
      </w:r>
      <w:r>
        <w:rPr>
          <w:rFonts w:hint="eastAsia" w:ascii="宋体" w:hAnsi="宋体"/>
          <w:sz w:val="24"/>
          <w:u w:val="single"/>
        </w:rPr>
        <w:t xml:space="preserve">；台风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6.5</w:t>
      </w:r>
      <w:r>
        <w:rPr>
          <w:rFonts w:hint="eastAsia" w:ascii="黑体" w:eastAsia="黑体"/>
          <w:sz w:val="24"/>
        </w:rPr>
        <w:tab/>
      </w:r>
      <w:r>
        <w:rPr>
          <w:rFonts w:hint="eastAsia" w:ascii="黑体" w:eastAsia="黑体"/>
          <w:sz w:val="24"/>
        </w:rPr>
        <w:t>承包人引起的工期延误</w:t>
      </w:r>
    </w:p>
    <w:p>
      <w:pPr>
        <w:snapToGrid w:val="0"/>
        <w:spacing w:beforeLines="50"/>
        <w:ind w:left="991" w:leftChars="472"/>
        <w:rPr>
          <w:rFonts w:asciiTheme="minorEastAsia" w:hAnsiTheme="minorEastAsia" w:eastAsiaTheme="minorEastAsia"/>
          <w:sz w:val="24"/>
        </w:rPr>
      </w:pPr>
      <w:r>
        <w:rPr>
          <w:rFonts w:hint="eastAsia" w:asciiTheme="minorEastAsia" w:hAnsiTheme="minorEastAsia" w:eastAsiaTheme="minorEastAsia"/>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w:t>
      </w:r>
    </w:p>
    <w:p>
      <w:pPr>
        <w:snapToGrid w:val="0"/>
        <w:spacing w:beforeLines="50"/>
        <w:ind w:left="991" w:leftChars="472"/>
        <w:rPr>
          <w:rFonts w:ascii="宋体" w:hAnsi="宋体"/>
          <w:sz w:val="24"/>
        </w:rPr>
      </w:pPr>
      <w:r>
        <w:rPr>
          <w:rFonts w:ascii="宋体" w:hAnsi="宋体"/>
          <w:sz w:val="24"/>
        </w:rPr>
        <w:t>逾期竣工违约金：</w:t>
      </w:r>
      <w:r>
        <w:rPr>
          <w:rFonts w:hint="eastAsia" w:ascii="宋体" w:hAnsi="宋体"/>
          <w:sz w:val="24"/>
          <w:u w:val="single"/>
        </w:rPr>
        <w:t xml:space="preserve"> 最高限额为合同价款的10%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5" w:name="_Toc16898"/>
      <w:bookmarkStart w:id="526" w:name="_Toc22280"/>
      <w:r>
        <w:rPr>
          <w:rFonts w:hint="eastAsia" w:ascii="黑体" w:eastAsia="黑体"/>
          <w:sz w:val="24"/>
        </w:rPr>
        <w:t>7.</w:t>
      </w:r>
      <w:r>
        <w:rPr>
          <w:rFonts w:hint="eastAsia" w:ascii="黑体" w:eastAsia="黑体"/>
          <w:sz w:val="24"/>
        </w:rPr>
        <w:tab/>
      </w:r>
      <w:r>
        <w:rPr>
          <w:rFonts w:hint="eastAsia" w:ascii="黑体" w:eastAsia="黑体"/>
          <w:sz w:val="24"/>
        </w:rPr>
        <w:t>工程质量</w:t>
      </w:r>
      <w:bookmarkEnd w:id="525"/>
      <w:bookmarkEnd w:id="526"/>
    </w:p>
    <w:p>
      <w:pPr>
        <w:snapToGrid w:val="0"/>
        <w:spacing w:beforeLines="50"/>
        <w:ind w:left="991" w:hanging="991" w:hangingChars="413"/>
        <w:jc w:val="left"/>
        <w:rPr>
          <w:rFonts w:ascii="黑体" w:eastAsia="黑体"/>
          <w:sz w:val="24"/>
        </w:rPr>
      </w:pPr>
      <w:r>
        <w:rPr>
          <w:rFonts w:hint="eastAsia" w:ascii="黑体" w:eastAsia="黑体"/>
          <w:sz w:val="24"/>
        </w:rPr>
        <w:t>7.3</w:t>
      </w:r>
      <w:r>
        <w:rPr>
          <w:rFonts w:hint="eastAsia" w:ascii="黑体" w:eastAsia="黑体"/>
          <w:sz w:val="24"/>
        </w:rPr>
        <w:tab/>
      </w:r>
      <w:r>
        <w:rPr>
          <w:rFonts w:hint="eastAsia" w:ascii="黑体" w:eastAsia="黑体"/>
          <w:sz w:val="24"/>
        </w:rPr>
        <w:t>工程隐蔽部位覆盖前的检查</w:t>
      </w:r>
    </w:p>
    <w:p>
      <w:pPr>
        <w:snapToGrid w:val="0"/>
        <w:spacing w:beforeLines="50"/>
        <w:ind w:left="991" w:leftChars="472"/>
        <w:rPr>
          <w:rFonts w:ascii="宋体" w:hAnsi="宋体"/>
          <w:sz w:val="24"/>
        </w:rPr>
      </w:pPr>
      <w:r>
        <w:rPr>
          <w:rFonts w:hint="eastAsia" w:ascii="宋体" w:hAnsi="宋体"/>
          <w:sz w:val="24"/>
        </w:rPr>
        <w:t>承包人自检确认的工程隐蔽部位具备覆盖条件后，承包人应提前48小时通知监理人进行检查。</w:t>
      </w:r>
    </w:p>
    <w:p>
      <w:pPr>
        <w:snapToGrid w:val="0"/>
        <w:spacing w:beforeLines="50"/>
        <w:ind w:left="991" w:hanging="991" w:hangingChars="413"/>
        <w:jc w:val="left"/>
        <w:outlineLvl w:val="2"/>
        <w:rPr>
          <w:rFonts w:ascii="黑体" w:eastAsia="黑体"/>
          <w:sz w:val="24"/>
        </w:rPr>
      </w:pPr>
      <w:bookmarkStart w:id="527" w:name="_Toc9879"/>
      <w:bookmarkStart w:id="528" w:name="_Toc15167"/>
      <w:r>
        <w:rPr>
          <w:rFonts w:hint="eastAsia" w:ascii="黑体" w:eastAsia="黑体"/>
          <w:sz w:val="24"/>
        </w:rPr>
        <w:t>9.</w:t>
      </w:r>
      <w:r>
        <w:rPr>
          <w:rFonts w:hint="eastAsia" w:ascii="黑体" w:eastAsia="黑体"/>
          <w:sz w:val="24"/>
        </w:rPr>
        <w:tab/>
      </w:r>
      <w:r>
        <w:rPr>
          <w:rFonts w:hint="eastAsia" w:ascii="黑体" w:eastAsia="黑体"/>
          <w:sz w:val="24"/>
        </w:rPr>
        <w:t>变更</w:t>
      </w:r>
      <w:bookmarkEnd w:id="527"/>
      <w:bookmarkEnd w:id="528"/>
    </w:p>
    <w:p>
      <w:pPr>
        <w:snapToGrid w:val="0"/>
        <w:spacing w:beforeLines="50"/>
        <w:ind w:left="991" w:hanging="991" w:hangingChars="413"/>
        <w:jc w:val="left"/>
        <w:rPr>
          <w:rFonts w:ascii="黑体" w:eastAsia="黑体"/>
          <w:sz w:val="24"/>
        </w:rPr>
      </w:pPr>
      <w:r>
        <w:rPr>
          <w:rFonts w:hint="eastAsia" w:ascii="黑体" w:eastAsia="黑体"/>
          <w:sz w:val="24"/>
        </w:rPr>
        <w:t>9.3</w:t>
      </w:r>
      <w:r>
        <w:rPr>
          <w:rFonts w:hint="eastAsia" w:ascii="黑体" w:eastAsia="黑体"/>
          <w:sz w:val="24"/>
        </w:rPr>
        <w:tab/>
      </w:r>
      <w:r>
        <w:rPr>
          <w:rFonts w:hint="eastAsia" w:ascii="黑体" w:eastAsia="黑体"/>
          <w:sz w:val="24"/>
        </w:rPr>
        <w:t>变更的估价原则</w:t>
      </w:r>
    </w:p>
    <w:p>
      <w:pPr>
        <w:snapToGrid w:val="0"/>
        <w:spacing w:beforeLines="50"/>
        <w:ind w:left="991" w:leftChars="472"/>
        <w:rPr>
          <w:rFonts w:ascii="宋体" w:hAnsi="宋体"/>
          <w:sz w:val="24"/>
        </w:rPr>
      </w:pPr>
      <w:r>
        <w:rPr>
          <w:rFonts w:hint="eastAsia" w:ascii="宋体" w:hAnsi="宋体"/>
          <w:sz w:val="24"/>
        </w:rPr>
        <w:t>因</w:t>
      </w:r>
      <w:r>
        <w:rPr>
          <w:rFonts w:ascii="宋体" w:hAnsi="宋体"/>
          <w:sz w:val="24"/>
        </w:rPr>
        <w:t>变更</w:t>
      </w:r>
      <w:r>
        <w:rPr>
          <w:rFonts w:hint="eastAsia" w:ascii="宋体" w:hAnsi="宋体"/>
          <w:sz w:val="24"/>
        </w:rPr>
        <w:t>引起的价格调整</w:t>
      </w:r>
      <w:r>
        <w:rPr>
          <w:rFonts w:ascii="宋体" w:hAnsi="宋体"/>
          <w:sz w:val="24"/>
        </w:rPr>
        <w:t>：</w:t>
      </w:r>
      <w:r>
        <w:rPr>
          <w:rFonts w:ascii="宋体" w:hAnsi="宋体"/>
          <w:sz w:val="24"/>
          <w:u w:val="single"/>
        </w:rPr>
        <w:t>同通用条款，无另外约定</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29" w:name="_Toc18548"/>
      <w:bookmarkStart w:id="530" w:name="_Toc8285"/>
      <w:r>
        <w:rPr>
          <w:rFonts w:hint="eastAsia" w:ascii="黑体" w:eastAsia="黑体"/>
          <w:sz w:val="24"/>
        </w:rPr>
        <w:t>10.</w:t>
      </w:r>
      <w:r>
        <w:rPr>
          <w:rFonts w:hint="eastAsia" w:ascii="黑体" w:eastAsia="黑体"/>
          <w:sz w:val="24"/>
        </w:rPr>
        <w:tab/>
      </w:r>
      <w:r>
        <w:rPr>
          <w:rFonts w:hint="eastAsia" w:ascii="黑体" w:eastAsia="黑体"/>
          <w:sz w:val="24"/>
        </w:rPr>
        <w:t>计量与支付</w:t>
      </w:r>
      <w:bookmarkEnd w:id="529"/>
      <w:bookmarkEnd w:id="530"/>
    </w:p>
    <w:p>
      <w:pPr>
        <w:snapToGrid w:val="0"/>
        <w:spacing w:beforeLines="50"/>
        <w:ind w:left="991" w:hanging="991" w:hangingChars="413"/>
        <w:jc w:val="left"/>
        <w:rPr>
          <w:rFonts w:ascii="黑体" w:eastAsia="黑体"/>
          <w:sz w:val="24"/>
          <w:highlight w:val="yellow"/>
        </w:rPr>
      </w:pPr>
      <w:r>
        <w:rPr>
          <w:rFonts w:hint="eastAsia" w:ascii="黑体" w:eastAsia="黑体"/>
          <w:sz w:val="24"/>
        </w:rPr>
        <w:t>10.1</w:t>
      </w:r>
      <w:r>
        <w:rPr>
          <w:rFonts w:hint="eastAsia" w:ascii="黑体" w:eastAsia="黑体"/>
          <w:sz w:val="24"/>
        </w:rPr>
        <w:tab/>
      </w:r>
      <w:r>
        <w:rPr>
          <w:rFonts w:hint="eastAsia" w:ascii="黑体" w:eastAsia="黑体"/>
          <w:sz w:val="24"/>
        </w:rPr>
        <w:t>计量</w:t>
      </w:r>
    </w:p>
    <w:p>
      <w:pPr>
        <w:snapToGrid w:val="0"/>
        <w:spacing w:beforeLines="50"/>
        <w:ind w:left="2267" w:leftChars="472" w:hanging="1276" w:hangingChars="532"/>
        <w:rPr>
          <w:rFonts w:ascii="宋体" w:hAnsi="宋体"/>
          <w:sz w:val="24"/>
        </w:rPr>
      </w:pPr>
      <w:r>
        <w:rPr>
          <w:rFonts w:hint="eastAsia" w:ascii="宋体" w:hAnsi="宋体"/>
          <w:sz w:val="24"/>
        </w:rPr>
        <w:t xml:space="preserve">计量方法： </w:t>
      </w:r>
      <w:r>
        <w:rPr>
          <w:rFonts w:hint="eastAsia" w:ascii="宋体" w:hAnsi="宋体"/>
          <w:sz w:val="24"/>
          <w:u w:val="single"/>
        </w:rPr>
        <w:t>本项目在合同工程竣工验收合格后进行工程计量与结算，施工过程中不计量。</w:t>
      </w:r>
    </w:p>
    <w:p>
      <w:pPr>
        <w:snapToGrid w:val="0"/>
        <w:spacing w:beforeLines="50"/>
        <w:ind w:left="2267" w:leftChars="472" w:hanging="1276" w:hangingChars="532"/>
        <w:rPr>
          <w:rFonts w:ascii="宋体" w:hAnsi="宋体"/>
          <w:sz w:val="24"/>
        </w:rPr>
      </w:pPr>
      <w:r>
        <w:rPr>
          <w:rFonts w:hint="eastAsia" w:ascii="宋体" w:hAnsi="宋体"/>
          <w:sz w:val="24"/>
        </w:rPr>
        <w:t xml:space="preserve">计量周期： </w:t>
      </w:r>
      <w:r>
        <w:rPr>
          <w:rFonts w:hint="eastAsia" w:ascii="宋体" w:hAnsi="宋体"/>
          <w:sz w:val="24"/>
          <w:u w:val="single"/>
        </w:rPr>
        <w:t xml:space="preserve">    /    </w:t>
      </w:r>
      <w:r>
        <w:rPr>
          <w:rFonts w:hint="eastAsia" w:ascii="宋体" w:hAnsi="宋体"/>
          <w:sz w:val="24"/>
        </w:rPr>
        <w:t>。</w:t>
      </w:r>
    </w:p>
    <w:p>
      <w:pPr>
        <w:snapToGrid w:val="0"/>
        <w:spacing w:beforeLines="50"/>
        <w:ind w:left="2267" w:leftChars="472" w:hanging="1276" w:hangingChars="532"/>
        <w:rPr>
          <w:rFonts w:ascii="宋体" w:hAnsi="宋体"/>
          <w:sz w:val="24"/>
        </w:rPr>
      </w:pPr>
    </w:p>
    <w:p>
      <w:pPr>
        <w:snapToGrid w:val="0"/>
        <w:spacing w:beforeLines="50"/>
        <w:ind w:left="991" w:hanging="991" w:hangingChars="413"/>
        <w:jc w:val="left"/>
        <w:rPr>
          <w:rFonts w:ascii="黑体" w:eastAsia="黑体"/>
          <w:sz w:val="24"/>
        </w:rPr>
      </w:pPr>
      <w:r>
        <w:rPr>
          <w:rFonts w:hint="eastAsia" w:ascii="黑体" w:eastAsia="黑体"/>
          <w:sz w:val="24"/>
        </w:rPr>
        <w:t>10.2</w:t>
      </w:r>
      <w:r>
        <w:rPr>
          <w:rFonts w:hint="eastAsia" w:ascii="黑体" w:eastAsia="黑体"/>
          <w:sz w:val="24"/>
        </w:rPr>
        <w:tab/>
      </w:r>
      <w:r>
        <w:rPr>
          <w:rFonts w:hint="eastAsia" w:ascii="黑体" w:eastAsia="黑体"/>
          <w:sz w:val="24"/>
        </w:rPr>
        <w:t>预付款</w:t>
      </w:r>
    </w:p>
    <w:p>
      <w:pPr>
        <w:snapToGrid w:val="0"/>
        <w:spacing w:beforeLines="50"/>
        <w:ind w:left="991" w:leftChars="472"/>
        <w:rPr>
          <w:rFonts w:ascii="宋体" w:hAnsi="宋体"/>
          <w:sz w:val="24"/>
        </w:rPr>
      </w:pPr>
      <w:r>
        <w:rPr>
          <w:rFonts w:hint="eastAsia" w:ascii="宋体" w:hAnsi="宋体"/>
          <w:sz w:val="24"/>
        </w:rPr>
        <w:t>预付款的额度：</w:t>
      </w:r>
      <w:r>
        <w:rPr>
          <w:rFonts w:hint="eastAsia" w:ascii="宋体" w:hAnsi="宋体"/>
          <w:sz w:val="24"/>
          <w:highlight w:val="yellow"/>
          <w:u w:val="single"/>
        </w:rPr>
        <w:t>签约合同价的</w:t>
      </w:r>
      <w:r>
        <w:rPr>
          <w:rFonts w:ascii="宋体" w:hAnsi="宋体"/>
          <w:sz w:val="24"/>
          <w:highlight w:val="yellow"/>
          <w:u w:val="single"/>
        </w:rPr>
        <w:t xml:space="preserve"> 30 %</w:t>
      </w:r>
      <w:r>
        <w:rPr>
          <w:rFonts w:hint="eastAsia" w:ascii="宋体" w:hAnsi="宋体"/>
          <w:sz w:val="24"/>
        </w:rPr>
        <w:t>。</w:t>
      </w:r>
    </w:p>
    <w:p>
      <w:pPr>
        <w:snapToGrid w:val="0"/>
        <w:spacing w:beforeLines="50"/>
        <w:ind w:left="2267" w:leftChars="472" w:hanging="1276" w:hangingChars="532"/>
        <w:rPr>
          <w:rFonts w:ascii="宋体" w:hAnsi="宋体"/>
          <w:sz w:val="24"/>
        </w:rPr>
      </w:pPr>
      <w:r>
        <w:rPr>
          <w:rFonts w:hint="eastAsia" w:ascii="宋体" w:hAnsi="宋体"/>
          <w:sz w:val="24"/>
        </w:rPr>
        <w:t>预付办法：</w:t>
      </w:r>
      <w:r>
        <w:rPr>
          <w:rFonts w:hint="eastAsia" w:ascii="宋体" w:hAnsi="宋体"/>
          <w:sz w:val="24"/>
          <w:u w:val="single"/>
        </w:rPr>
        <w:t xml:space="preserve"> 承包人提交了等额的</w:t>
      </w:r>
      <w:r>
        <w:rPr>
          <w:rFonts w:hint="eastAsia" w:ascii="宋体" w:hAnsi="宋体"/>
          <w:sz w:val="24"/>
        </w:rPr>
        <w:t>预付款</w:t>
      </w:r>
      <w:r>
        <w:rPr>
          <w:rFonts w:hint="eastAsia" w:ascii="宋体" w:hAnsi="宋体"/>
          <w:sz w:val="24"/>
          <w:u w:val="single"/>
        </w:rPr>
        <w:t xml:space="preserve">增值税专用发票后7日内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预付款扣回：</w:t>
      </w:r>
      <w:r>
        <w:rPr>
          <w:rFonts w:hint="eastAsia" w:ascii="宋体" w:hAnsi="宋体"/>
          <w:sz w:val="24"/>
          <w:u w:val="single"/>
        </w:rPr>
        <w:t>工程结算时扣回预付款。</w:t>
      </w:r>
    </w:p>
    <w:p>
      <w:pPr>
        <w:snapToGrid w:val="0"/>
        <w:spacing w:beforeLines="50"/>
        <w:ind w:left="991" w:hanging="991" w:hangingChars="413"/>
        <w:jc w:val="left"/>
        <w:rPr>
          <w:rFonts w:ascii="黑体" w:eastAsia="黑体"/>
          <w:sz w:val="24"/>
        </w:rPr>
      </w:pPr>
      <w:r>
        <w:rPr>
          <w:rFonts w:hint="eastAsia" w:ascii="黑体" w:eastAsia="黑体"/>
          <w:sz w:val="24"/>
        </w:rPr>
        <w:t>10.3</w:t>
      </w:r>
      <w:r>
        <w:rPr>
          <w:rFonts w:hint="eastAsia" w:ascii="黑体" w:eastAsia="黑体"/>
          <w:sz w:val="24"/>
        </w:rPr>
        <w:tab/>
      </w:r>
      <w:r>
        <w:rPr>
          <w:rFonts w:hint="eastAsia" w:ascii="黑体" w:eastAsia="黑体"/>
          <w:sz w:val="24"/>
        </w:rPr>
        <w:t>工程进度付款</w:t>
      </w:r>
    </w:p>
    <w:p>
      <w:pPr>
        <w:snapToGrid w:val="0"/>
        <w:spacing w:beforeLines="50"/>
        <w:ind w:left="991" w:leftChars="472"/>
        <w:rPr>
          <w:rFonts w:ascii="宋体" w:hAnsi="宋体"/>
          <w:sz w:val="24"/>
        </w:rPr>
      </w:pPr>
      <w:r>
        <w:rPr>
          <w:rFonts w:hint="eastAsia" w:ascii="宋体" w:hAnsi="宋体"/>
          <w:sz w:val="24"/>
        </w:rPr>
        <w:t>进度付款申请单的份数：</w:t>
      </w:r>
      <w:r>
        <w:rPr>
          <w:rFonts w:hint="eastAsia" w:ascii="宋体" w:hAnsi="宋体"/>
          <w:sz w:val="24"/>
          <w:u w:val="single"/>
        </w:rPr>
        <w:t xml:space="preserve">  /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进度付款申请单的内容：</w:t>
      </w:r>
      <w:r>
        <w:rPr>
          <w:rFonts w:hint="eastAsia" w:ascii="宋体" w:hAnsi="宋体"/>
          <w:sz w:val="24"/>
          <w:u w:val="single"/>
        </w:rPr>
        <w:t xml:space="preserve">  /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涉及政府投资资金的：</w:t>
      </w:r>
      <w:r>
        <w:rPr>
          <w:rFonts w:hint="eastAsia" w:ascii="宋体" w:hAnsi="宋体"/>
          <w:sz w:val="24"/>
          <w:u w:val="single"/>
        </w:rPr>
        <w:t xml:space="preserve">    /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10.4</w:t>
      </w:r>
      <w:r>
        <w:rPr>
          <w:rFonts w:hint="eastAsia" w:ascii="黑体" w:eastAsia="黑体"/>
          <w:sz w:val="24"/>
        </w:rPr>
        <w:tab/>
      </w:r>
      <w:r>
        <w:rPr>
          <w:rFonts w:hint="eastAsia" w:ascii="黑体" w:eastAsia="黑体"/>
          <w:sz w:val="24"/>
        </w:rPr>
        <w:t>质量保证金</w:t>
      </w:r>
    </w:p>
    <w:p>
      <w:pPr>
        <w:snapToGrid w:val="0"/>
        <w:spacing w:beforeLines="50"/>
        <w:ind w:left="991" w:leftChars="472"/>
        <w:rPr>
          <w:rFonts w:ascii="宋体" w:hAnsi="宋体"/>
          <w:sz w:val="24"/>
        </w:rPr>
      </w:pPr>
      <w:r>
        <w:rPr>
          <w:rFonts w:hint="eastAsia" w:ascii="宋体" w:hAnsi="宋体"/>
          <w:sz w:val="24"/>
        </w:rPr>
        <w:t>质量保证金额度：</w:t>
      </w:r>
      <w:r>
        <w:rPr>
          <w:rFonts w:hint="eastAsia" w:ascii="宋体" w:hAnsi="宋体"/>
          <w:sz w:val="24"/>
          <w:u w:val="single"/>
        </w:rPr>
        <w:t xml:space="preserve"> 合同价款的3% </w:t>
      </w:r>
      <w:r>
        <w:rPr>
          <w:rFonts w:hint="eastAsia" w:ascii="宋体" w:hAnsi="宋体"/>
          <w:sz w:val="24"/>
        </w:rPr>
        <w:t>。</w:t>
      </w:r>
    </w:p>
    <w:p>
      <w:pPr>
        <w:snapToGrid w:val="0"/>
        <w:spacing w:beforeLines="50"/>
        <w:ind w:left="991" w:leftChars="472"/>
        <w:rPr>
          <w:rFonts w:ascii="宋体" w:hAnsi="宋体"/>
          <w:sz w:val="24"/>
        </w:rPr>
      </w:pPr>
      <w:r>
        <w:rPr>
          <w:rFonts w:hint="eastAsia" w:ascii="宋体" w:hAnsi="宋体"/>
          <w:sz w:val="24"/>
        </w:rPr>
        <w:t>质量保证金提供方式：工程结算时承包人须提供发包人认可的质量保证金保函。</w:t>
      </w:r>
    </w:p>
    <w:p>
      <w:pPr>
        <w:snapToGrid w:val="0"/>
        <w:spacing w:beforeLines="50"/>
        <w:ind w:left="991" w:hanging="991" w:hangingChars="413"/>
        <w:jc w:val="left"/>
        <w:rPr>
          <w:rFonts w:ascii="黑体" w:eastAsia="黑体"/>
          <w:sz w:val="24"/>
        </w:rPr>
      </w:pPr>
      <w:r>
        <w:rPr>
          <w:rFonts w:hint="eastAsia" w:ascii="黑体" w:eastAsia="黑体"/>
          <w:sz w:val="24"/>
        </w:rPr>
        <w:t>10.5</w:t>
      </w:r>
      <w:r>
        <w:rPr>
          <w:rFonts w:hint="eastAsia" w:ascii="黑体" w:eastAsia="黑体"/>
          <w:sz w:val="24"/>
        </w:rPr>
        <w:tab/>
      </w:r>
      <w:r>
        <w:rPr>
          <w:rFonts w:hint="eastAsia" w:ascii="黑体" w:eastAsia="黑体"/>
          <w:sz w:val="24"/>
        </w:rPr>
        <w:t>竣工结算</w:t>
      </w:r>
    </w:p>
    <w:p>
      <w:pPr>
        <w:snapToGrid w:val="0"/>
        <w:spacing w:beforeLines="50"/>
        <w:ind w:left="991" w:hanging="991" w:hangingChars="413"/>
        <w:jc w:val="left"/>
        <w:rPr>
          <w:rFonts w:ascii="宋体" w:hAnsi="宋体"/>
          <w:sz w:val="24"/>
        </w:rPr>
      </w:pPr>
      <w:r>
        <w:rPr>
          <w:rFonts w:hint="eastAsia" w:ascii="宋体" w:hAnsi="宋体"/>
          <w:sz w:val="24"/>
        </w:rPr>
        <w:t>10.5.1</w:t>
      </w:r>
      <w:r>
        <w:rPr>
          <w:rFonts w:hint="eastAsia" w:ascii="宋体" w:hAnsi="宋体"/>
          <w:sz w:val="24"/>
        </w:rPr>
        <w:tab/>
      </w:r>
      <w:r>
        <w:rPr>
          <w:rFonts w:hint="eastAsia" w:ascii="宋体" w:hAnsi="宋体"/>
          <w:sz w:val="24"/>
        </w:rPr>
        <w:t>竣工结算价格调整：</w:t>
      </w:r>
      <w:r>
        <w:rPr>
          <w:rFonts w:hint="eastAsia" w:ascii="宋体" w:hAnsi="宋体"/>
          <w:sz w:val="24"/>
          <w:u w:val="single"/>
        </w:rPr>
        <w:t xml:space="preserve"> 同通用条款，无另外约定 </w:t>
      </w:r>
      <w:r>
        <w:rPr>
          <w:rFonts w:hint="eastAsia" w:ascii="宋体" w:hAnsi="宋体"/>
          <w:sz w:val="24"/>
        </w:rPr>
        <w:t>。</w:t>
      </w:r>
    </w:p>
    <w:p>
      <w:pPr>
        <w:snapToGrid w:val="0"/>
        <w:spacing w:beforeLines="50"/>
        <w:ind w:left="991" w:hanging="991" w:hangingChars="413"/>
        <w:jc w:val="left"/>
        <w:rPr>
          <w:rFonts w:ascii="宋体" w:hAnsi="宋体"/>
          <w:sz w:val="24"/>
        </w:rPr>
      </w:pPr>
      <w:r>
        <w:rPr>
          <w:rFonts w:hint="eastAsia" w:ascii="宋体" w:hAnsi="宋体"/>
          <w:sz w:val="24"/>
        </w:rPr>
        <w:t>10.5.2</w:t>
      </w:r>
      <w:r>
        <w:rPr>
          <w:rFonts w:hint="eastAsia" w:ascii="宋体" w:hAnsi="宋体"/>
          <w:sz w:val="24"/>
        </w:rPr>
        <w:tab/>
      </w:r>
      <w:r>
        <w:rPr>
          <w:rFonts w:hint="eastAsia" w:ascii="宋体" w:hAnsi="宋体"/>
          <w:sz w:val="24"/>
        </w:rPr>
        <w:t>竣工付款申请单</w:t>
      </w:r>
    </w:p>
    <w:p>
      <w:pPr>
        <w:snapToGrid w:val="0"/>
        <w:spacing w:beforeLines="50"/>
        <w:ind w:left="989" w:leftChars="471" w:firstLine="2"/>
        <w:jc w:val="left"/>
        <w:rPr>
          <w:rFonts w:ascii="宋体" w:hAnsi="宋体"/>
          <w:sz w:val="24"/>
        </w:rPr>
      </w:pPr>
      <w:r>
        <w:rPr>
          <w:rFonts w:hint="eastAsia" w:ascii="宋体" w:hAnsi="宋体"/>
          <w:sz w:val="24"/>
        </w:rPr>
        <w:t>交竣工付款申请单的份数：</w:t>
      </w:r>
      <w:r>
        <w:rPr>
          <w:rFonts w:hint="eastAsia" w:ascii="宋体" w:hAnsi="宋体"/>
          <w:sz w:val="24"/>
          <w:u w:val="single"/>
        </w:rPr>
        <w:t xml:space="preserve">  4   </w:t>
      </w:r>
      <w:r>
        <w:rPr>
          <w:rFonts w:hint="eastAsia" w:ascii="宋体" w:hAnsi="宋体"/>
          <w:sz w:val="24"/>
        </w:rPr>
        <w:t>。</w:t>
      </w:r>
    </w:p>
    <w:p>
      <w:pPr>
        <w:snapToGrid w:val="0"/>
        <w:spacing w:beforeLines="50"/>
        <w:ind w:left="989" w:leftChars="471" w:firstLine="2"/>
        <w:jc w:val="left"/>
        <w:rPr>
          <w:rFonts w:ascii="宋体" w:hAnsi="宋体"/>
          <w:sz w:val="24"/>
        </w:rPr>
      </w:pPr>
      <w:r>
        <w:rPr>
          <w:rFonts w:hint="eastAsia" w:ascii="宋体" w:hAnsi="宋体"/>
          <w:sz w:val="24"/>
        </w:rPr>
        <w:t>承包人提交竣工付款申请单的期限：</w:t>
      </w:r>
      <w:r>
        <w:rPr>
          <w:rFonts w:ascii="宋体" w:hAnsi="宋体"/>
          <w:sz w:val="24"/>
          <w:u w:val="single"/>
        </w:rPr>
        <w:t>工程接收证书颁发后</w:t>
      </w:r>
      <w:r>
        <w:rPr>
          <w:rFonts w:hint="eastAsia" w:ascii="宋体" w:hAnsi="宋体"/>
          <w:sz w:val="24"/>
          <w:u w:val="single"/>
        </w:rPr>
        <w:t xml:space="preserve">28天内 </w:t>
      </w:r>
      <w:r>
        <w:rPr>
          <w:rFonts w:hint="eastAsia" w:ascii="宋体" w:hAnsi="宋体"/>
          <w:sz w:val="24"/>
        </w:rPr>
        <w:t>。</w:t>
      </w:r>
    </w:p>
    <w:p>
      <w:pPr>
        <w:snapToGrid w:val="0"/>
        <w:spacing w:beforeLines="50"/>
        <w:ind w:left="991" w:hanging="991" w:hangingChars="413"/>
        <w:jc w:val="left"/>
        <w:rPr>
          <w:rFonts w:ascii="宋体" w:hAnsi="宋体"/>
          <w:sz w:val="24"/>
        </w:rPr>
      </w:pPr>
      <w:r>
        <w:rPr>
          <w:rFonts w:hint="eastAsia" w:ascii="宋体" w:hAnsi="宋体"/>
          <w:sz w:val="24"/>
        </w:rPr>
        <w:t>10.5.3</w:t>
      </w:r>
      <w:r>
        <w:rPr>
          <w:rFonts w:hint="eastAsia" w:ascii="宋体" w:hAnsi="宋体"/>
          <w:sz w:val="24"/>
        </w:rPr>
        <w:tab/>
      </w:r>
      <w:r>
        <w:rPr>
          <w:rFonts w:hint="eastAsia" w:ascii="宋体" w:hAnsi="宋体"/>
          <w:sz w:val="24"/>
        </w:rPr>
        <w:t>竣工付款涉及政府投资资金的：</w:t>
      </w:r>
      <w:r>
        <w:rPr>
          <w:rFonts w:hint="eastAsia" w:ascii="宋体" w:hAnsi="宋体"/>
          <w:sz w:val="24"/>
          <w:u w:val="single"/>
        </w:rPr>
        <w:t xml:space="preserve">同通用条款，无另外约定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10.6</w:t>
      </w:r>
      <w:r>
        <w:rPr>
          <w:rFonts w:hint="eastAsia" w:ascii="黑体" w:eastAsia="黑体"/>
          <w:sz w:val="24"/>
        </w:rPr>
        <w:tab/>
      </w:r>
      <w:r>
        <w:rPr>
          <w:rFonts w:hint="eastAsia" w:ascii="黑体" w:eastAsia="黑体"/>
          <w:sz w:val="24"/>
        </w:rPr>
        <w:t>付款延误</w:t>
      </w:r>
    </w:p>
    <w:p>
      <w:pPr>
        <w:snapToGrid w:val="0"/>
        <w:spacing w:beforeLines="50"/>
        <w:ind w:left="991" w:leftChars="472"/>
        <w:rPr>
          <w:rFonts w:ascii="宋体" w:hAnsi="宋体"/>
          <w:sz w:val="24"/>
        </w:rPr>
      </w:pPr>
      <w:r>
        <w:rPr>
          <w:rFonts w:hint="eastAsia" w:ascii="宋体" w:hAnsi="宋体"/>
          <w:sz w:val="24"/>
        </w:rPr>
        <w:t>发包人逾期付款违约金：</w:t>
      </w:r>
      <w:r>
        <w:rPr>
          <w:rFonts w:hint="eastAsia" w:ascii="宋体" w:hAnsi="宋体"/>
          <w:sz w:val="24"/>
          <w:u w:val="single"/>
        </w:rPr>
        <w:t xml:space="preserve"> 发包人逾期付款超过14天时，按同期中国人民银行发布的贷款基准利率及逾期支付时间（实际逾期天数减14天）支付逾期支付违约金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11.3</w:t>
      </w:r>
      <w:r>
        <w:rPr>
          <w:rFonts w:hint="eastAsia" w:ascii="黑体" w:eastAsia="黑体"/>
          <w:sz w:val="24"/>
        </w:rPr>
        <w:tab/>
      </w:r>
      <w:r>
        <w:rPr>
          <w:rFonts w:hint="eastAsia" w:ascii="黑体" w:eastAsia="黑体"/>
          <w:sz w:val="24"/>
        </w:rPr>
        <w:t>竣工和验收</w:t>
      </w:r>
    </w:p>
    <w:p>
      <w:pPr>
        <w:snapToGrid w:val="0"/>
        <w:spacing w:beforeLines="50"/>
        <w:ind w:left="991" w:leftChars="472"/>
        <w:rPr>
          <w:rFonts w:ascii="宋体" w:hAnsi="宋体"/>
          <w:sz w:val="24"/>
        </w:rPr>
      </w:pPr>
      <w:r>
        <w:rPr>
          <w:rFonts w:ascii="宋体" w:hAnsi="宋体"/>
          <w:sz w:val="24"/>
        </w:rPr>
        <w:t>实际竣工日期：</w:t>
      </w:r>
      <w:r>
        <w:rPr>
          <w:rFonts w:hint="eastAsia" w:ascii="宋体" w:hAnsi="宋体"/>
          <w:sz w:val="24"/>
          <w:u w:val="single"/>
        </w:rPr>
        <w:t xml:space="preserve">无另外约定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11.4</w:t>
      </w:r>
      <w:r>
        <w:rPr>
          <w:rFonts w:hint="eastAsia" w:ascii="黑体" w:eastAsia="黑体"/>
          <w:sz w:val="24"/>
        </w:rPr>
        <w:tab/>
      </w:r>
      <w:r>
        <w:rPr>
          <w:rFonts w:hint="eastAsia" w:ascii="黑体" w:eastAsia="黑体"/>
          <w:sz w:val="24"/>
        </w:rPr>
        <w:t>试运行</w:t>
      </w:r>
    </w:p>
    <w:p>
      <w:pPr>
        <w:snapToGrid w:val="0"/>
        <w:spacing w:beforeLines="50"/>
        <w:ind w:left="991" w:leftChars="472"/>
        <w:rPr>
          <w:rFonts w:ascii="宋体" w:hAnsi="宋体"/>
          <w:sz w:val="24"/>
        </w:rPr>
      </w:pPr>
      <w:r>
        <w:rPr>
          <w:rFonts w:hint="eastAsia" w:ascii="宋体" w:hAnsi="宋体"/>
          <w:sz w:val="24"/>
        </w:rPr>
        <w:t>工程及工程设备试运行：</w:t>
      </w:r>
      <w:r>
        <w:rPr>
          <w:rFonts w:hint="eastAsia" w:ascii="宋体" w:hAnsi="宋体"/>
          <w:sz w:val="24"/>
          <w:u w:val="single"/>
        </w:rPr>
        <w:t>无另外约定</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31" w:name="_Toc6772"/>
      <w:bookmarkStart w:id="532" w:name="_Toc3381"/>
      <w:r>
        <w:rPr>
          <w:rFonts w:hint="eastAsia" w:ascii="黑体" w:eastAsia="黑体"/>
          <w:sz w:val="24"/>
        </w:rPr>
        <w:t>12.</w:t>
      </w:r>
      <w:r>
        <w:rPr>
          <w:rFonts w:hint="eastAsia" w:ascii="黑体" w:eastAsia="黑体"/>
          <w:sz w:val="24"/>
        </w:rPr>
        <w:tab/>
      </w:r>
      <w:r>
        <w:rPr>
          <w:rFonts w:hint="eastAsia" w:ascii="黑体" w:eastAsia="黑体"/>
          <w:sz w:val="24"/>
        </w:rPr>
        <w:t>缺陷责任与保修责任</w:t>
      </w:r>
      <w:bookmarkEnd w:id="531"/>
      <w:bookmarkEnd w:id="532"/>
    </w:p>
    <w:p>
      <w:pPr>
        <w:snapToGrid w:val="0"/>
        <w:spacing w:beforeLines="50"/>
        <w:ind w:left="991" w:hanging="991" w:hangingChars="413"/>
        <w:jc w:val="left"/>
        <w:rPr>
          <w:rFonts w:ascii="黑体" w:eastAsia="黑体"/>
          <w:sz w:val="24"/>
        </w:rPr>
      </w:pPr>
      <w:r>
        <w:rPr>
          <w:rFonts w:hint="eastAsia" w:ascii="黑体" w:eastAsia="黑体"/>
          <w:sz w:val="24"/>
        </w:rPr>
        <w:t>12.2</w:t>
      </w:r>
      <w:r>
        <w:rPr>
          <w:rFonts w:hint="eastAsia" w:ascii="黑体" w:eastAsia="黑体"/>
          <w:sz w:val="24"/>
        </w:rPr>
        <w:tab/>
      </w:r>
      <w:r>
        <w:rPr>
          <w:rFonts w:hint="eastAsia" w:ascii="黑体" w:eastAsia="黑体"/>
          <w:sz w:val="24"/>
        </w:rPr>
        <w:t>保修责任</w:t>
      </w:r>
    </w:p>
    <w:p>
      <w:pPr>
        <w:spacing w:beforeLines="50"/>
        <w:ind w:left="1416" w:leftChars="503" w:hanging="360" w:hangingChars="150"/>
        <w:rPr>
          <w:rFonts w:ascii="宋体" w:hAnsi="宋体"/>
          <w:sz w:val="24"/>
        </w:rPr>
      </w:pPr>
      <w:r>
        <w:rPr>
          <w:rFonts w:hint="eastAsia" w:ascii="宋体" w:hAnsi="宋体"/>
          <w:sz w:val="24"/>
        </w:rPr>
        <w:t>(1)工程质量保修范围：</w:t>
      </w:r>
      <w:r>
        <w:rPr>
          <w:rFonts w:hint="eastAsia" w:ascii="宋体" w:hAnsi="宋体"/>
          <w:sz w:val="24"/>
          <w:u w:val="single"/>
        </w:rPr>
        <w:t xml:space="preserve"> 承包人实施的全部永久工程 </w:t>
      </w:r>
      <w:r>
        <w:rPr>
          <w:rFonts w:hint="eastAsia" w:ascii="宋体" w:hAnsi="宋体"/>
          <w:sz w:val="24"/>
        </w:rPr>
        <w:t>。</w:t>
      </w:r>
    </w:p>
    <w:p>
      <w:pPr>
        <w:spacing w:beforeLines="50"/>
        <w:ind w:left="1416" w:leftChars="503" w:hanging="360" w:hangingChars="150"/>
        <w:rPr>
          <w:rFonts w:ascii="宋体" w:hAnsi="宋体"/>
          <w:sz w:val="24"/>
        </w:rPr>
      </w:pPr>
      <w:r>
        <w:rPr>
          <w:rFonts w:hint="eastAsia" w:ascii="宋体" w:hAnsi="宋体"/>
          <w:sz w:val="24"/>
        </w:rPr>
        <w:t>(2)工程质量保修期限：</w:t>
      </w:r>
      <w:r>
        <w:rPr>
          <w:rFonts w:hint="eastAsia" w:ascii="宋体" w:hAnsi="宋体"/>
          <w:sz w:val="24"/>
          <w:u w:val="single"/>
        </w:rPr>
        <w:t xml:space="preserve"> 执行国家相关规定。详见合同附件《质量保修书》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33" w:name="_Toc545"/>
      <w:bookmarkStart w:id="534" w:name="_Toc1536"/>
      <w:r>
        <w:rPr>
          <w:rFonts w:hint="eastAsia" w:ascii="黑体" w:eastAsia="黑体"/>
          <w:sz w:val="24"/>
        </w:rPr>
        <w:t>13.</w:t>
      </w:r>
      <w:r>
        <w:rPr>
          <w:rFonts w:hint="eastAsia" w:ascii="黑体" w:eastAsia="黑体"/>
          <w:sz w:val="24"/>
        </w:rPr>
        <w:tab/>
      </w:r>
      <w:r>
        <w:rPr>
          <w:rFonts w:hint="eastAsia" w:ascii="黑体" w:eastAsia="黑体"/>
          <w:sz w:val="24"/>
        </w:rPr>
        <w:t>保险</w:t>
      </w:r>
      <w:bookmarkEnd w:id="533"/>
      <w:bookmarkEnd w:id="534"/>
    </w:p>
    <w:p>
      <w:pPr>
        <w:snapToGrid w:val="0"/>
        <w:spacing w:beforeLines="50"/>
        <w:ind w:left="991" w:hanging="991" w:hangingChars="413"/>
        <w:jc w:val="left"/>
        <w:rPr>
          <w:rFonts w:ascii="黑体" w:eastAsia="黑体"/>
          <w:sz w:val="24"/>
        </w:rPr>
      </w:pPr>
      <w:r>
        <w:rPr>
          <w:rFonts w:hint="eastAsia" w:ascii="黑体" w:eastAsia="黑体"/>
          <w:sz w:val="24"/>
        </w:rPr>
        <w:t>13.1</w:t>
      </w:r>
      <w:r>
        <w:rPr>
          <w:rFonts w:hint="eastAsia" w:ascii="黑体" w:eastAsia="黑体"/>
          <w:sz w:val="24"/>
        </w:rPr>
        <w:tab/>
      </w:r>
      <w:r>
        <w:rPr>
          <w:rFonts w:hint="eastAsia" w:ascii="黑体" w:eastAsia="黑体"/>
          <w:sz w:val="24"/>
        </w:rPr>
        <w:t>保险范围</w:t>
      </w:r>
    </w:p>
    <w:p>
      <w:pPr>
        <w:snapToGrid w:val="0"/>
        <w:spacing w:beforeLines="50"/>
        <w:ind w:left="991" w:hanging="991" w:hangingChars="413"/>
        <w:jc w:val="left"/>
        <w:rPr>
          <w:rFonts w:ascii="宋体" w:hAnsi="宋体"/>
          <w:sz w:val="24"/>
        </w:rPr>
      </w:pPr>
      <w:r>
        <w:rPr>
          <w:rFonts w:hint="eastAsia" w:ascii="宋体" w:hAnsi="宋体"/>
          <w:sz w:val="24"/>
        </w:rPr>
        <w:t>13.1.1</w:t>
      </w:r>
      <w:r>
        <w:rPr>
          <w:rFonts w:hint="eastAsia" w:ascii="宋体" w:hAnsi="宋体"/>
          <w:sz w:val="24"/>
        </w:rPr>
        <w:tab/>
      </w:r>
      <w:r>
        <w:rPr>
          <w:rFonts w:hint="eastAsia" w:ascii="宋体" w:hAnsi="宋体"/>
          <w:sz w:val="24"/>
        </w:rPr>
        <w:t>本工程</w:t>
      </w:r>
      <w:r>
        <w:rPr>
          <w:rFonts w:hint="eastAsia" w:ascii="宋体" w:hAnsi="宋体"/>
          <w:sz w:val="24"/>
          <w:u w:val="single"/>
        </w:rPr>
        <w:t xml:space="preserve">  投保</w:t>
      </w:r>
      <w:r>
        <w:rPr>
          <w:rFonts w:hint="eastAsia" w:ascii="宋体" w:hAnsi="宋体"/>
          <w:sz w:val="24"/>
          <w:u w:val="single"/>
          <w:lang w:val="en-US" w:eastAsia="zh-CN"/>
        </w:rPr>
        <w:t xml:space="preserve">  </w:t>
      </w:r>
      <w:r>
        <w:rPr>
          <w:rFonts w:hint="eastAsia" w:ascii="宋体" w:hAnsi="宋体"/>
          <w:sz w:val="24"/>
        </w:rPr>
        <w:t>工程保险。投保工程保险时，险种为：</w:t>
      </w:r>
      <w:r>
        <w:rPr>
          <w:rFonts w:hint="eastAsia" w:ascii="宋体" w:hAnsi="宋体"/>
          <w:sz w:val="24"/>
          <w:u w:val="single"/>
        </w:rPr>
        <w:t xml:space="preserve"> 建筑工程一切险及第三者责任险</w:t>
      </w:r>
      <w:r>
        <w:rPr>
          <w:rFonts w:hint="eastAsia" w:ascii="宋体" w:hAnsi="宋体"/>
          <w:sz w:val="24"/>
        </w:rPr>
        <w:t>，并符合以下约定。</w:t>
      </w:r>
    </w:p>
    <w:p>
      <w:pPr>
        <w:spacing w:beforeLines="50"/>
        <w:ind w:left="1351" w:leftChars="472" w:hanging="360" w:hangingChars="150"/>
        <w:rPr>
          <w:rFonts w:ascii="宋体" w:hAnsi="宋体"/>
          <w:sz w:val="24"/>
        </w:rPr>
      </w:pPr>
      <w:r>
        <w:rPr>
          <w:rFonts w:hint="eastAsia" w:ascii="宋体" w:hAnsi="宋体"/>
          <w:sz w:val="24"/>
        </w:rPr>
        <w:t>(1)投保人：</w:t>
      </w:r>
      <w:r>
        <w:rPr>
          <w:rFonts w:hint="eastAsia" w:ascii="宋体" w:hAnsi="宋体"/>
          <w:sz w:val="24"/>
          <w:u w:val="single"/>
        </w:rPr>
        <w:t xml:space="preserve">   承包人   </w:t>
      </w:r>
      <w:r>
        <w:rPr>
          <w:rFonts w:hint="eastAsia" w:ascii="宋体" w:hAnsi="宋体"/>
          <w:sz w:val="24"/>
        </w:rPr>
        <w:t>。</w:t>
      </w:r>
    </w:p>
    <w:p>
      <w:pPr>
        <w:spacing w:beforeLines="50"/>
        <w:ind w:left="1351" w:leftChars="472" w:hanging="360" w:hangingChars="150"/>
        <w:rPr>
          <w:rFonts w:ascii="宋体" w:hAnsi="宋体"/>
          <w:sz w:val="24"/>
        </w:rPr>
      </w:pPr>
      <w:r>
        <w:rPr>
          <w:rFonts w:hint="eastAsia" w:ascii="宋体" w:hAnsi="宋体"/>
          <w:sz w:val="24"/>
        </w:rPr>
        <w:t>(2)投保内容：</w:t>
      </w:r>
      <w:r>
        <w:rPr>
          <w:rFonts w:hint="eastAsia" w:ascii="宋体" w:hAnsi="宋体"/>
          <w:sz w:val="24"/>
          <w:u w:val="single"/>
        </w:rPr>
        <w:t xml:space="preserve"> 永久工程、工程设备、本项目第三者 </w:t>
      </w:r>
      <w:r>
        <w:rPr>
          <w:rFonts w:hint="eastAsia" w:ascii="宋体" w:hAnsi="宋体"/>
          <w:sz w:val="24"/>
        </w:rPr>
        <w:t>。</w:t>
      </w:r>
    </w:p>
    <w:p>
      <w:pPr>
        <w:spacing w:beforeLines="50"/>
        <w:ind w:left="1351" w:leftChars="472" w:hanging="360" w:hangingChars="150"/>
        <w:rPr>
          <w:rFonts w:ascii="宋体" w:hAnsi="宋体"/>
          <w:sz w:val="24"/>
        </w:rPr>
      </w:pPr>
      <w:r>
        <w:rPr>
          <w:rFonts w:hint="eastAsia" w:ascii="宋体" w:hAnsi="宋体"/>
          <w:sz w:val="24"/>
        </w:rPr>
        <w:t>(3)保险费率：由投保人与合同双方同意的保险人商定。</w:t>
      </w:r>
    </w:p>
    <w:p>
      <w:pPr>
        <w:spacing w:beforeLines="50"/>
        <w:ind w:left="1351" w:leftChars="472" w:hanging="360" w:hangingChars="150"/>
        <w:rPr>
          <w:rFonts w:ascii="宋体" w:hAnsi="宋体"/>
          <w:sz w:val="24"/>
        </w:rPr>
      </w:pPr>
      <w:r>
        <w:rPr>
          <w:rFonts w:hint="eastAsia" w:ascii="宋体" w:hAnsi="宋体"/>
          <w:sz w:val="24"/>
        </w:rPr>
        <w:t>(4)保险期限：</w:t>
      </w:r>
      <w:r>
        <w:rPr>
          <w:rFonts w:hint="eastAsia" w:ascii="宋体" w:hAnsi="宋体"/>
          <w:sz w:val="24"/>
          <w:u w:val="single"/>
        </w:rPr>
        <w:t xml:space="preserve"> 自项目开工日起至竣工验收合格日止 </w:t>
      </w:r>
      <w:r>
        <w:rPr>
          <w:rFonts w:hint="eastAsia" w:ascii="宋体" w:hAnsi="宋体"/>
          <w:sz w:val="24"/>
        </w:rPr>
        <w:t>。</w:t>
      </w:r>
    </w:p>
    <w:p>
      <w:pPr>
        <w:snapToGrid w:val="0"/>
        <w:spacing w:beforeLines="50"/>
        <w:ind w:left="991" w:hanging="991" w:hangingChars="413"/>
        <w:jc w:val="left"/>
        <w:outlineLvl w:val="2"/>
        <w:rPr>
          <w:rFonts w:ascii="黑体" w:eastAsia="黑体"/>
          <w:sz w:val="24"/>
        </w:rPr>
      </w:pPr>
      <w:bookmarkStart w:id="535" w:name="_Toc25794"/>
      <w:bookmarkStart w:id="536" w:name="_Toc25047"/>
      <w:r>
        <w:rPr>
          <w:rFonts w:hint="eastAsia" w:ascii="黑体" w:eastAsia="黑体"/>
          <w:sz w:val="24"/>
        </w:rPr>
        <w:t>14.</w:t>
      </w:r>
      <w:r>
        <w:rPr>
          <w:rFonts w:hint="eastAsia" w:ascii="黑体" w:eastAsia="黑体"/>
          <w:sz w:val="24"/>
        </w:rPr>
        <w:tab/>
      </w:r>
      <w:r>
        <w:rPr>
          <w:rFonts w:hint="eastAsia" w:ascii="黑体" w:eastAsia="黑体"/>
          <w:sz w:val="24"/>
        </w:rPr>
        <w:t>不可抗力</w:t>
      </w:r>
      <w:bookmarkEnd w:id="535"/>
      <w:bookmarkEnd w:id="536"/>
    </w:p>
    <w:p>
      <w:pPr>
        <w:snapToGrid w:val="0"/>
        <w:spacing w:beforeLines="50"/>
        <w:ind w:left="991" w:hanging="991" w:hangingChars="413"/>
        <w:jc w:val="left"/>
        <w:rPr>
          <w:rFonts w:ascii="黑体" w:eastAsia="黑体"/>
          <w:sz w:val="24"/>
        </w:rPr>
      </w:pPr>
      <w:r>
        <w:rPr>
          <w:rFonts w:hint="eastAsia" w:ascii="黑体" w:eastAsia="黑体"/>
          <w:sz w:val="24"/>
        </w:rPr>
        <w:t>14.1</w:t>
      </w:r>
      <w:r>
        <w:rPr>
          <w:rFonts w:hint="eastAsia" w:ascii="黑体" w:eastAsia="黑体"/>
          <w:sz w:val="24"/>
        </w:rPr>
        <w:tab/>
      </w:r>
      <w:r>
        <w:rPr>
          <w:rFonts w:hint="eastAsia" w:ascii="黑体" w:eastAsia="黑体"/>
          <w:sz w:val="24"/>
        </w:rPr>
        <w:t>不可抗力的确认</w:t>
      </w:r>
    </w:p>
    <w:p>
      <w:pPr>
        <w:snapToGrid w:val="0"/>
        <w:spacing w:beforeLines="50"/>
        <w:ind w:left="991" w:hanging="991" w:hangingChars="413"/>
        <w:jc w:val="left"/>
        <w:rPr>
          <w:rFonts w:ascii="宋体" w:hAnsi="宋体"/>
          <w:sz w:val="24"/>
        </w:rPr>
      </w:pPr>
      <w:r>
        <w:rPr>
          <w:rFonts w:hint="eastAsia" w:ascii="宋体" w:hAnsi="宋体"/>
          <w:sz w:val="24"/>
        </w:rPr>
        <w:t>14.1.1</w:t>
      </w:r>
      <w:r>
        <w:rPr>
          <w:rFonts w:hint="eastAsia" w:ascii="宋体" w:hAnsi="宋体"/>
          <w:sz w:val="24"/>
        </w:rPr>
        <w:tab/>
      </w:r>
      <w:r>
        <w:rPr>
          <w:rFonts w:hint="eastAsia" w:ascii="宋体" w:hAnsi="宋体"/>
          <w:sz w:val="24"/>
        </w:rPr>
        <w:t>不可抗力</w:t>
      </w:r>
    </w:p>
    <w:p>
      <w:pPr>
        <w:snapToGrid w:val="0"/>
        <w:spacing w:beforeLines="50"/>
        <w:ind w:left="989" w:leftChars="471" w:firstLine="2"/>
        <w:jc w:val="left"/>
        <w:rPr>
          <w:rFonts w:ascii="宋体" w:hAnsi="宋体"/>
          <w:sz w:val="24"/>
        </w:rPr>
      </w:pPr>
      <w:r>
        <w:rPr>
          <w:rFonts w:hint="eastAsia" w:ascii="宋体" w:hAnsi="宋体"/>
          <w:sz w:val="24"/>
        </w:rPr>
        <w:t>其他不可抗力：</w:t>
      </w:r>
      <w:r>
        <w:rPr>
          <w:rFonts w:hint="eastAsia" w:ascii="宋体" w:hAnsi="宋体"/>
          <w:sz w:val="24"/>
          <w:u w:val="single"/>
        </w:rPr>
        <w:t xml:space="preserve"> 无  </w:t>
      </w:r>
      <w:r>
        <w:rPr>
          <w:rFonts w:hint="eastAsia" w:ascii="宋体" w:hAnsi="宋体"/>
          <w:sz w:val="24"/>
        </w:rPr>
        <w:t>。</w:t>
      </w:r>
    </w:p>
    <w:p>
      <w:pPr>
        <w:snapToGrid w:val="0"/>
        <w:spacing w:beforeLines="50"/>
        <w:ind w:left="991" w:hanging="991" w:hangingChars="413"/>
        <w:jc w:val="left"/>
        <w:rPr>
          <w:rFonts w:ascii="黑体" w:eastAsia="黑体"/>
          <w:sz w:val="24"/>
        </w:rPr>
      </w:pPr>
      <w:r>
        <w:rPr>
          <w:rFonts w:hint="eastAsia" w:ascii="黑体" w:eastAsia="黑体"/>
          <w:sz w:val="24"/>
        </w:rPr>
        <w:t>14.3</w:t>
      </w:r>
      <w:r>
        <w:rPr>
          <w:rFonts w:hint="eastAsia" w:ascii="黑体" w:eastAsia="黑体"/>
          <w:sz w:val="24"/>
        </w:rPr>
        <w:tab/>
      </w:r>
      <w:r>
        <w:rPr>
          <w:rFonts w:hint="eastAsia" w:ascii="黑体" w:eastAsia="黑体"/>
          <w:sz w:val="24"/>
        </w:rPr>
        <w:t>不可抗力后果及其处理</w:t>
      </w:r>
    </w:p>
    <w:p>
      <w:pPr>
        <w:snapToGrid w:val="0"/>
        <w:spacing w:beforeLines="50"/>
        <w:ind w:left="991" w:leftChars="472"/>
        <w:rPr>
          <w:rFonts w:ascii="宋体" w:hAnsi="宋体"/>
          <w:sz w:val="24"/>
        </w:rPr>
      </w:pPr>
      <w:r>
        <w:rPr>
          <w:rFonts w:hint="eastAsia" w:ascii="宋体" w:hAnsi="宋体"/>
          <w:sz w:val="24"/>
        </w:rPr>
        <w:t>不可抗力后果及其处理：同通用合同条款，无另外约定。</w:t>
      </w:r>
    </w:p>
    <w:p>
      <w:pPr>
        <w:snapToGrid w:val="0"/>
        <w:spacing w:beforeLines="50"/>
        <w:ind w:left="991" w:hanging="991" w:hangingChars="413"/>
        <w:jc w:val="left"/>
        <w:outlineLvl w:val="2"/>
        <w:rPr>
          <w:rFonts w:ascii="黑体" w:eastAsia="黑体"/>
          <w:sz w:val="24"/>
        </w:rPr>
      </w:pPr>
      <w:bookmarkStart w:id="537" w:name="_Toc6100"/>
      <w:bookmarkStart w:id="538" w:name="_Toc12064"/>
      <w:r>
        <w:rPr>
          <w:rFonts w:hint="eastAsia" w:ascii="黑体" w:eastAsia="黑体"/>
          <w:sz w:val="24"/>
        </w:rPr>
        <w:t>17.</w:t>
      </w:r>
      <w:r>
        <w:rPr>
          <w:rFonts w:hint="eastAsia" w:ascii="黑体" w:eastAsia="黑体"/>
          <w:sz w:val="24"/>
        </w:rPr>
        <w:tab/>
      </w:r>
      <w:r>
        <w:rPr>
          <w:rFonts w:hint="eastAsia" w:ascii="黑体" w:eastAsia="黑体"/>
          <w:sz w:val="24"/>
        </w:rPr>
        <w:t>争议的解决</w:t>
      </w:r>
      <w:bookmarkEnd w:id="537"/>
      <w:bookmarkEnd w:id="538"/>
    </w:p>
    <w:p>
      <w:pPr>
        <w:snapToGrid w:val="0"/>
        <w:spacing w:beforeLines="50"/>
        <w:ind w:left="991" w:hanging="991" w:hangingChars="413"/>
        <w:jc w:val="left"/>
        <w:rPr>
          <w:rFonts w:ascii="黑体" w:eastAsia="黑体"/>
          <w:sz w:val="24"/>
        </w:rPr>
      </w:pPr>
      <w:r>
        <w:rPr>
          <w:rFonts w:hint="eastAsia" w:ascii="黑体" w:eastAsia="黑体"/>
          <w:sz w:val="24"/>
        </w:rPr>
        <w:t>17.1</w:t>
      </w:r>
      <w:r>
        <w:rPr>
          <w:rFonts w:hint="eastAsia" w:ascii="黑体" w:eastAsia="黑体"/>
          <w:sz w:val="24"/>
        </w:rPr>
        <w:tab/>
      </w:r>
      <w:r>
        <w:rPr>
          <w:rFonts w:hint="eastAsia" w:ascii="黑体" w:eastAsia="黑体"/>
          <w:sz w:val="24"/>
        </w:rPr>
        <w:t>争议的解决方式</w:t>
      </w:r>
    </w:p>
    <w:p>
      <w:pPr>
        <w:snapToGrid w:val="0"/>
        <w:spacing w:beforeLines="50"/>
        <w:ind w:left="991" w:leftChars="472"/>
        <w:rPr>
          <w:rFonts w:ascii="宋体" w:hAnsi="宋体"/>
          <w:sz w:val="24"/>
        </w:rPr>
      </w:pPr>
      <w:r>
        <w:rPr>
          <w:rFonts w:hint="eastAsia" w:ascii="宋体" w:hAnsi="宋体"/>
          <w:sz w:val="24"/>
        </w:rPr>
        <w:t>合同当事人友好协商解决不成、不愿提请争议评审或者不接受争议评审组意见的，选择下</w:t>
      </w:r>
      <w:r>
        <w:rPr>
          <w:rFonts w:hint="eastAsia" w:ascii="宋体" w:hAnsi="宋体"/>
          <w:sz w:val="24"/>
          <w:highlight w:val="none"/>
        </w:rPr>
        <w:t>列第</w:t>
      </w:r>
      <w:r>
        <w:rPr>
          <w:rFonts w:hint="eastAsia" w:ascii="宋体" w:hAnsi="宋体"/>
          <w:sz w:val="24"/>
          <w:highlight w:val="none"/>
          <w:lang w:eastAsia="zh-CN"/>
        </w:rPr>
        <w:t>2</w:t>
      </w:r>
      <w:r>
        <w:rPr>
          <w:rFonts w:ascii="宋体" w:hAnsi="宋体"/>
          <w:sz w:val="24"/>
          <w:highlight w:val="none"/>
        </w:rPr>
        <w:t xml:space="preserve"> </w:t>
      </w:r>
      <w:r>
        <w:rPr>
          <w:rFonts w:hint="eastAsia" w:ascii="宋体" w:hAnsi="宋体"/>
          <w:sz w:val="24"/>
          <w:highlight w:val="none"/>
        </w:rPr>
        <w:t>种</w:t>
      </w:r>
      <w:r>
        <w:rPr>
          <w:rFonts w:hint="eastAsia" w:ascii="宋体" w:hAnsi="宋体"/>
          <w:sz w:val="24"/>
        </w:rPr>
        <w:t>方式解决：</w:t>
      </w:r>
    </w:p>
    <w:p>
      <w:pPr>
        <w:snapToGrid w:val="0"/>
        <w:spacing w:beforeLines="50"/>
        <w:ind w:left="991" w:leftChars="472"/>
        <w:rPr>
          <w:rFonts w:ascii="宋体" w:hAnsi="宋体"/>
          <w:sz w:val="24"/>
        </w:rPr>
      </w:pPr>
      <w:r>
        <w:rPr>
          <w:rFonts w:hint="eastAsia" w:ascii="宋体" w:hAnsi="宋体"/>
          <w:sz w:val="24"/>
        </w:rPr>
        <w:t>（l）向仲裁委员会申请仲裁；</w:t>
      </w:r>
    </w:p>
    <w:p>
      <w:pPr>
        <w:snapToGrid w:val="0"/>
        <w:spacing w:beforeLines="50"/>
        <w:ind w:left="991" w:leftChars="472"/>
        <w:rPr>
          <w:rFonts w:ascii="宋体" w:hAnsi="宋体"/>
          <w:sz w:val="24"/>
        </w:rPr>
      </w:pPr>
      <w:r>
        <w:rPr>
          <w:rFonts w:hint="eastAsia" w:ascii="宋体" w:hAnsi="宋体"/>
          <w:sz w:val="24"/>
        </w:rPr>
        <w:t>（2）向</w:t>
      </w:r>
      <w:r>
        <w:rPr>
          <w:rFonts w:hint="eastAsia" w:ascii="宋体" w:hAnsi="宋体"/>
          <w:sz w:val="24"/>
          <w:u w:val="single"/>
        </w:rPr>
        <w:t xml:space="preserve"> 工程所在地 </w:t>
      </w:r>
      <w:r>
        <w:rPr>
          <w:rFonts w:hint="eastAsia" w:ascii="宋体" w:hAnsi="宋体"/>
          <w:sz w:val="24"/>
        </w:rPr>
        <w:t>的人民法院提起诉讼。</w:t>
      </w:r>
    </w:p>
    <w:p>
      <w:pPr>
        <w:snapToGrid w:val="0"/>
        <w:spacing w:beforeLines="50"/>
        <w:ind w:left="991" w:hanging="991" w:hangingChars="413"/>
        <w:jc w:val="left"/>
        <w:rPr>
          <w:rFonts w:ascii="黑体" w:eastAsia="黑体"/>
          <w:sz w:val="24"/>
        </w:rPr>
      </w:pPr>
      <w:r>
        <w:rPr>
          <w:rFonts w:hint="eastAsia" w:ascii="黑体" w:eastAsia="黑体"/>
          <w:sz w:val="24"/>
        </w:rPr>
        <w:t>17.3</w:t>
      </w:r>
      <w:r>
        <w:rPr>
          <w:rFonts w:hint="eastAsia" w:ascii="黑体" w:eastAsia="黑体"/>
          <w:sz w:val="24"/>
        </w:rPr>
        <w:tab/>
      </w:r>
      <w:r>
        <w:rPr>
          <w:rFonts w:hint="eastAsia" w:ascii="黑体" w:eastAsia="黑体"/>
          <w:sz w:val="24"/>
        </w:rPr>
        <w:t>争议评审</w:t>
      </w:r>
    </w:p>
    <w:p>
      <w:pPr>
        <w:snapToGrid w:val="0"/>
        <w:spacing w:beforeLines="50"/>
        <w:ind w:left="991" w:hanging="991" w:hangingChars="413"/>
        <w:jc w:val="left"/>
        <w:rPr>
          <w:rFonts w:ascii="宋体" w:hAnsi="宋体"/>
          <w:sz w:val="24"/>
        </w:rPr>
      </w:pPr>
      <w:r>
        <w:rPr>
          <w:rFonts w:hint="eastAsia" w:ascii="宋体" w:hAnsi="宋体"/>
          <w:sz w:val="24"/>
        </w:rPr>
        <w:t>17.3.1</w:t>
      </w:r>
      <w:r>
        <w:rPr>
          <w:rFonts w:hint="eastAsia" w:ascii="宋体" w:hAnsi="宋体"/>
          <w:sz w:val="24"/>
        </w:rPr>
        <w:tab/>
      </w:r>
      <w:r>
        <w:rPr>
          <w:rFonts w:hint="eastAsia" w:ascii="宋体" w:hAnsi="宋体"/>
          <w:sz w:val="24"/>
        </w:rPr>
        <w:t>争议评审：</w:t>
      </w:r>
      <w:r>
        <w:rPr>
          <w:rFonts w:hint="eastAsia" w:ascii="宋体" w:hAnsi="宋体"/>
          <w:sz w:val="24"/>
          <w:u w:val="single"/>
        </w:rPr>
        <w:t xml:space="preserve"> 本项目不采用争议评审 </w:t>
      </w:r>
      <w:r>
        <w:rPr>
          <w:rFonts w:hint="eastAsia" w:ascii="宋体" w:hAnsi="宋体"/>
          <w:sz w:val="24"/>
        </w:rPr>
        <w:t>。</w:t>
      </w:r>
    </w:p>
    <w:p>
      <w:pPr>
        <w:pStyle w:val="41"/>
        <w:snapToGrid w:val="0"/>
        <w:spacing w:afterLines="50"/>
        <w:outlineLvl w:val="1"/>
        <w:rPr>
          <w:rFonts w:hAnsi="宋体" w:cs="宋体"/>
          <w:sz w:val="24"/>
          <w:szCs w:val="24"/>
        </w:rPr>
      </w:pPr>
      <w:r>
        <w:rPr>
          <w:rFonts w:hAnsi="宋体" w:cs="宋体"/>
          <w:sz w:val="24"/>
          <w:szCs w:val="24"/>
        </w:rPr>
        <w:br w:type="page"/>
      </w:r>
      <w:bookmarkStart w:id="539" w:name="_Toc19082"/>
      <w:r>
        <w:rPr>
          <w:rFonts w:hint="eastAsia" w:hAnsi="宋体" w:cs="宋体"/>
          <w:sz w:val="24"/>
          <w:szCs w:val="24"/>
        </w:rPr>
        <w:t>第三节</w:t>
      </w:r>
      <w:r>
        <w:rPr>
          <w:rFonts w:hint="eastAsia" w:hAnsi="宋体" w:cs="宋体"/>
          <w:sz w:val="24"/>
          <w:szCs w:val="24"/>
          <w:lang w:val="en-US" w:eastAsia="zh-CN"/>
        </w:rPr>
        <w:t xml:space="preserve">  </w:t>
      </w:r>
      <w:r>
        <w:rPr>
          <w:rFonts w:hint="eastAsia" w:hAnsi="宋体" w:cs="宋体"/>
          <w:sz w:val="24"/>
          <w:szCs w:val="24"/>
        </w:rPr>
        <w:t>合同附件格式</w:t>
      </w:r>
      <w:bookmarkEnd w:id="539"/>
    </w:p>
    <w:p>
      <w:pPr>
        <w:pStyle w:val="4"/>
        <w:spacing w:line="413" w:lineRule="auto"/>
        <w:jc w:val="center"/>
        <w:outlineLvl w:val="2"/>
        <w:rPr>
          <w:rFonts w:hint="eastAsia" w:eastAsia="黑体"/>
          <w:lang w:eastAsia="zh-CN"/>
        </w:rPr>
      </w:pPr>
      <w:bookmarkStart w:id="540" w:name="_Toc15720"/>
      <w:bookmarkStart w:id="541" w:name="_Toc7441"/>
      <w:r>
        <w:rPr>
          <w:rFonts w:hint="eastAsia"/>
        </w:rPr>
        <w:t>合同协议书</w:t>
      </w:r>
      <w:r>
        <w:rPr>
          <w:rFonts w:hint="eastAsia"/>
          <w:lang w:eastAsia="zh-CN"/>
        </w:rPr>
        <w:t>（格式）</w:t>
      </w:r>
      <w:bookmarkEnd w:id="540"/>
    </w:p>
    <w:p>
      <w:pPr>
        <w:spacing w:line="360" w:lineRule="auto"/>
        <w:rPr>
          <w:rFonts w:ascii="仿宋" w:hAnsi="仿宋" w:eastAsia="仿宋" w:cs="仿宋"/>
          <w:b/>
          <w:color w:val="000000"/>
          <w:sz w:val="24"/>
          <w:u w:val="single"/>
        </w:rPr>
      </w:pPr>
      <w:r>
        <w:rPr>
          <w:rFonts w:hint="eastAsia" w:ascii="仿宋" w:hAnsi="仿宋" w:eastAsia="仿宋" w:cs="仿宋"/>
          <w:b/>
          <w:color w:val="000000"/>
          <w:sz w:val="24"/>
        </w:rPr>
        <w:t>发包人（全称）：</w:t>
      </w:r>
      <w:r>
        <w:rPr>
          <w:rFonts w:hint="eastAsia" w:ascii="仿宋" w:hAnsi="仿宋" w:eastAsia="仿宋" w:cs="仿宋"/>
          <w:b/>
          <w:color w:val="000000"/>
          <w:sz w:val="24"/>
          <w:u w:val="single"/>
        </w:rPr>
        <w:t>                       </w:t>
      </w:r>
    </w:p>
    <w:p>
      <w:pPr>
        <w:spacing w:line="360" w:lineRule="auto"/>
        <w:rPr>
          <w:rFonts w:ascii="仿宋" w:hAnsi="仿宋" w:eastAsia="仿宋" w:cs="仿宋"/>
          <w:b/>
          <w:color w:val="000000"/>
          <w:sz w:val="24"/>
          <w:u w:val="single"/>
        </w:rPr>
      </w:pPr>
      <w:r>
        <w:rPr>
          <w:rFonts w:hint="eastAsia" w:ascii="仿宋" w:hAnsi="仿宋" w:eastAsia="仿宋" w:cs="仿宋"/>
          <w:b/>
          <w:color w:val="000000"/>
          <w:sz w:val="24"/>
        </w:rPr>
        <w:t>承包人（全称）：</w:t>
      </w:r>
      <w:r>
        <w:rPr>
          <w:rFonts w:hint="eastAsia" w:ascii="仿宋" w:hAnsi="仿宋" w:eastAsia="仿宋" w:cs="仿宋"/>
          <w:b/>
          <w:color w:val="000000"/>
          <w:sz w:val="24"/>
          <w:u w:val="single"/>
        </w:rPr>
        <w:t>                      </w:t>
      </w:r>
    </w:p>
    <w:p>
      <w:pPr>
        <w:spacing w:line="360" w:lineRule="auto"/>
        <w:ind w:firstLine="480" w:firstLineChars="200"/>
        <w:rPr>
          <w:rFonts w:eastAsia="仿宋_GB2312"/>
          <w:color w:val="000000"/>
          <w:sz w:val="24"/>
        </w:rPr>
      </w:pPr>
      <w:r>
        <w:rPr>
          <w:rFonts w:eastAsia="仿宋_GB2312"/>
          <w:color w:val="000000"/>
          <w:sz w:val="24"/>
        </w:rPr>
        <w:t>根据《中华人民共和国合同法》、《中华人民共和国建筑法》及有关法律规定，遵循平等、自愿、公平和诚实信用的原则，双方就</w:t>
      </w:r>
      <w:r>
        <w:rPr>
          <w:rFonts w:eastAsia="仿宋_GB2312"/>
          <w:color w:val="000000"/>
          <w:sz w:val="24"/>
          <w:u w:val="single"/>
        </w:rPr>
        <w:t xml:space="preserve">                       </w:t>
      </w:r>
      <w:r>
        <w:rPr>
          <w:rFonts w:eastAsia="仿宋_GB2312"/>
          <w:color w:val="000000"/>
          <w:sz w:val="24"/>
        </w:rPr>
        <w:t>工程施工及有关事项协商一致</w:t>
      </w:r>
      <w:r>
        <w:rPr>
          <w:rFonts w:hint="eastAsia" w:eastAsia="仿宋_GB2312"/>
          <w:color w:val="000000"/>
          <w:sz w:val="24"/>
        </w:rPr>
        <w:t>，</w:t>
      </w:r>
      <w:r>
        <w:rPr>
          <w:rFonts w:eastAsia="仿宋_GB2312"/>
          <w:color w:val="000000"/>
          <w:sz w:val="24"/>
        </w:rPr>
        <w:t>共同达成如下协议：</w:t>
      </w:r>
    </w:p>
    <w:p>
      <w:pPr>
        <w:pStyle w:val="5"/>
        <w:spacing w:line="416" w:lineRule="auto"/>
        <w:outlineLvl w:val="3"/>
        <w:rPr>
          <w:sz w:val="24"/>
          <w:szCs w:val="24"/>
        </w:rPr>
      </w:pPr>
      <w:bookmarkStart w:id="542" w:name="_Toc351203481"/>
      <w:r>
        <w:rPr>
          <w:rFonts w:hint="eastAsia"/>
          <w:sz w:val="24"/>
          <w:szCs w:val="24"/>
        </w:rPr>
        <w:t>一、工程概况</w:t>
      </w:r>
      <w:bookmarkEnd w:id="542"/>
    </w:p>
    <w:p>
      <w:pPr>
        <w:spacing w:line="360" w:lineRule="auto"/>
        <w:ind w:firstLine="470" w:firstLineChars="196"/>
        <w:rPr>
          <w:rFonts w:ascii="仿宋" w:hAnsi="仿宋" w:eastAsia="仿宋" w:cs="仿宋"/>
          <w:color w:val="000000"/>
          <w:sz w:val="24"/>
          <w:u w:val="single"/>
        </w:rPr>
      </w:pPr>
      <w:r>
        <w:rPr>
          <w:rFonts w:hint="eastAsia" w:ascii="仿宋" w:hAnsi="仿宋" w:eastAsia="仿宋" w:cs="仿宋"/>
          <w:bCs/>
          <w:color w:val="000000"/>
          <w:sz w:val="24"/>
        </w:rPr>
        <w:t>1.工程名称</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2.工程地点：</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3.工程立项批准文号：</w:t>
      </w:r>
      <w:r>
        <w:rPr>
          <w:rFonts w:hint="eastAsia" w:ascii="仿宋" w:hAnsi="仿宋" w:eastAsia="仿宋" w:cs="仿宋"/>
          <w:color w:val="000000"/>
          <w:sz w:val="24"/>
          <w:u w:val="single"/>
        </w:rPr>
        <w:t xml:space="preserve">       </w:t>
      </w:r>
      <w:r>
        <w:rPr>
          <w:rFonts w:hint="eastAsia" w:ascii="仿宋" w:hAnsi="仿宋" w:eastAsia="仿宋" w:cs="仿宋"/>
          <w:bCs/>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4.资金来源：</w:t>
      </w:r>
      <w:r>
        <w:rPr>
          <w:rFonts w:hint="eastAsia" w:ascii="仿宋" w:hAnsi="仿宋" w:eastAsia="仿宋" w:cs="仿宋"/>
          <w:color w:val="000000"/>
          <w:sz w:val="24"/>
          <w:u w:val="single"/>
        </w:rPr>
        <w:t xml:space="preserve">       </w:t>
      </w:r>
      <w:r>
        <w:rPr>
          <w:rFonts w:hint="eastAsia" w:ascii="仿宋" w:hAnsi="仿宋" w:eastAsia="仿宋" w:cs="仿宋"/>
          <w:bCs/>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5.工程内容：</w:t>
      </w:r>
      <w:r>
        <w:rPr>
          <w:rFonts w:hint="eastAsia" w:ascii="仿宋" w:hAnsi="仿宋" w:eastAsia="仿宋" w:cs="仿宋"/>
          <w:color w:val="000000"/>
          <w:sz w:val="24"/>
          <w:u w:val="single"/>
        </w:rPr>
        <w:t xml:space="preserve">       </w:t>
      </w:r>
      <w:r>
        <w:rPr>
          <w:rFonts w:hint="eastAsia" w:ascii="仿宋" w:hAnsi="仿宋" w:eastAsia="仿宋" w:cs="仿宋"/>
          <w:bCs/>
          <w:color w:val="000000"/>
          <w:sz w:val="24"/>
        </w:rPr>
        <w:t>。</w:t>
      </w:r>
    </w:p>
    <w:p>
      <w:pPr>
        <w:spacing w:line="360" w:lineRule="auto"/>
        <w:ind w:firstLine="470" w:firstLineChars="196"/>
        <w:rPr>
          <w:rFonts w:ascii="仿宋" w:hAnsi="仿宋" w:eastAsia="仿宋" w:cs="仿宋"/>
          <w:bCs/>
          <w:color w:val="000000"/>
          <w:sz w:val="24"/>
        </w:rPr>
      </w:pPr>
      <w:r>
        <w:rPr>
          <w:rFonts w:hint="eastAsia" w:ascii="仿宋" w:hAnsi="仿宋" w:eastAsia="仿宋" w:cs="仿宋"/>
          <w:color w:val="000000"/>
          <w:sz w:val="24"/>
        </w:rPr>
        <w:t>群体工程应附《承包人承揽工程项目一览表》（附件1）。</w:t>
      </w:r>
    </w:p>
    <w:p>
      <w:pPr>
        <w:spacing w:line="360" w:lineRule="auto"/>
        <w:ind w:firstLine="470" w:firstLineChars="196"/>
        <w:rPr>
          <w:rFonts w:ascii="仿宋" w:hAnsi="仿宋" w:eastAsia="仿宋" w:cs="仿宋"/>
          <w:bCs/>
          <w:color w:val="000000"/>
          <w:sz w:val="24"/>
        </w:rPr>
      </w:pPr>
      <w:r>
        <w:rPr>
          <w:rFonts w:hint="eastAsia" w:ascii="仿宋" w:hAnsi="仿宋" w:eastAsia="仿宋" w:cs="仿宋"/>
          <w:bCs/>
          <w:color w:val="000000"/>
          <w:sz w:val="24"/>
        </w:rPr>
        <w:t>6.工程承包范围：</w:t>
      </w:r>
    </w:p>
    <w:p>
      <w:pPr>
        <w:spacing w:line="360" w:lineRule="auto"/>
        <w:ind w:firstLine="463" w:firstLineChars="193"/>
        <w:rPr>
          <w:rFonts w:ascii="仿宋" w:hAnsi="仿宋" w:eastAsia="仿宋" w:cs="仿宋"/>
          <w:color w:val="000000"/>
          <w:sz w:val="24"/>
        </w:rPr>
      </w:pPr>
      <w:r>
        <w:rPr>
          <w:rFonts w:hint="eastAsia" w:ascii="仿宋" w:hAnsi="仿宋" w:eastAsia="仿宋" w:cs="仿宋"/>
          <w:color w:val="000000"/>
          <w:sz w:val="24"/>
          <w:u w:val="single"/>
        </w:rPr>
        <w:t>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u w:val="single"/>
        </w:rPr>
        <w:t> </w:t>
      </w:r>
      <w:r>
        <w:rPr>
          <w:rFonts w:hint="eastAsia" w:ascii="仿宋" w:hAnsi="仿宋" w:eastAsia="仿宋" w:cs="仿宋"/>
          <w:color w:val="000000"/>
          <w:sz w:val="24"/>
        </w:rPr>
        <w:t>。</w:t>
      </w:r>
    </w:p>
    <w:p>
      <w:pPr>
        <w:pStyle w:val="5"/>
        <w:outlineLvl w:val="3"/>
        <w:rPr>
          <w:sz w:val="24"/>
          <w:szCs w:val="24"/>
        </w:rPr>
      </w:pPr>
      <w:bookmarkStart w:id="543" w:name="_Toc351203482"/>
      <w:r>
        <w:rPr>
          <w:rFonts w:hint="eastAsia"/>
          <w:sz w:val="24"/>
          <w:szCs w:val="24"/>
        </w:rPr>
        <w:t>二、合同工期</w:t>
      </w:r>
      <w:bookmarkEnd w:id="543"/>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计划开工日期：</w:t>
      </w:r>
      <w:r>
        <w:rPr>
          <w:rFonts w:hint="eastAsia" w:ascii="仿宋" w:hAnsi="仿宋" w:eastAsia="仿宋" w:cs="仿宋"/>
          <w:color w:val="000000"/>
          <w:sz w:val="24"/>
          <w:u w:val="single"/>
        </w:rPr>
        <w:t></w:t>
      </w:r>
      <w:r>
        <w:rPr>
          <w:rFonts w:hint="eastAsia" w:ascii="仿宋" w:hAnsi="仿宋" w:eastAsia="仿宋" w:cs="仿宋"/>
          <w:color w:val="000000"/>
          <w:sz w:val="24"/>
        </w:rPr>
        <w:t>年</w:t>
      </w:r>
      <w:r>
        <w:rPr>
          <w:rFonts w:hint="eastAsia" w:ascii="仿宋" w:hAnsi="仿宋" w:eastAsia="仿宋" w:cs="仿宋"/>
          <w:color w:val="000000"/>
          <w:sz w:val="24"/>
          <w:u w:val="single"/>
        </w:rPr>
        <w:t></w:t>
      </w:r>
      <w:r>
        <w:rPr>
          <w:rFonts w:hint="eastAsia" w:ascii="仿宋" w:hAnsi="仿宋" w:eastAsia="仿宋" w:cs="仿宋"/>
          <w:color w:val="000000"/>
          <w:sz w:val="24"/>
        </w:rPr>
        <w:t>月</w:t>
      </w:r>
      <w:r>
        <w:rPr>
          <w:rFonts w:hint="eastAsia" w:ascii="仿宋" w:hAnsi="仿宋" w:eastAsia="仿宋" w:cs="仿宋"/>
          <w:color w:val="000000"/>
          <w:sz w:val="24"/>
          <w:u w:val="single"/>
        </w:rPr>
        <w:t></w:t>
      </w:r>
      <w:r>
        <w:rPr>
          <w:rFonts w:hint="eastAsia" w:ascii="仿宋" w:hAnsi="仿宋" w:eastAsia="仿宋" w:cs="仿宋"/>
          <w:color w:val="000000"/>
          <w:sz w:val="24"/>
        </w:rPr>
        <w:t>日。</w:t>
      </w:r>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计划竣工日期：</w:t>
      </w:r>
      <w:r>
        <w:rPr>
          <w:rFonts w:hint="eastAsia" w:ascii="仿宋" w:hAnsi="仿宋" w:eastAsia="仿宋" w:cs="仿宋"/>
          <w:color w:val="000000"/>
          <w:sz w:val="24"/>
          <w:u w:val="single"/>
        </w:rPr>
        <w:t></w:t>
      </w:r>
      <w:r>
        <w:rPr>
          <w:rFonts w:hint="eastAsia" w:ascii="仿宋" w:hAnsi="仿宋" w:eastAsia="仿宋" w:cs="仿宋"/>
          <w:color w:val="000000"/>
          <w:sz w:val="24"/>
        </w:rPr>
        <w:t>年</w:t>
      </w:r>
      <w:r>
        <w:rPr>
          <w:rFonts w:hint="eastAsia" w:ascii="仿宋" w:hAnsi="仿宋" w:eastAsia="仿宋" w:cs="仿宋"/>
          <w:color w:val="000000"/>
          <w:sz w:val="24"/>
          <w:u w:val="single"/>
        </w:rPr>
        <w:t></w:t>
      </w:r>
      <w:r>
        <w:rPr>
          <w:rFonts w:hint="eastAsia" w:ascii="仿宋" w:hAnsi="仿宋" w:eastAsia="仿宋" w:cs="仿宋"/>
          <w:color w:val="000000"/>
          <w:sz w:val="24"/>
        </w:rPr>
        <w:t>月</w:t>
      </w:r>
      <w:r>
        <w:rPr>
          <w:rFonts w:hint="eastAsia" w:ascii="仿宋" w:hAnsi="仿宋" w:eastAsia="仿宋" w:cs="仿宋"/>
          <w:color w:val="000000"/>
          <w:sz w:val="24"/>
          <w:u w:val="single"/>
        </w:rPr>
        <w:t></w:t>
      </w:r>
      <w:r>
        <w:rPr>
          <w:rFonts w:hint="eastAsia" w:ascii="仿宋" w:hAnsi="仿宋" w:eastAsia="仿宋" w:cs="仿宋"/>
          <w:color w:val="000000"/>
          <w:sz w:val="24"/>
        </w:rPr>
        <w:t>日。</w:t>
      </w:r>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工期总日历天数：</w:t>
      </w:r>
      <w:r>
        <w:rPr>
          <w:rFonts w:hint="eastAsia" w:ascii="仿宋" w:hAnsi="仿宋" w:eastAsia="仿宋" w:cs="仿宋"/>
          <w:color w:val="000000"/>
          <w:sz w:val="24"/>
          <w:u w:val="single"/>
        </w:rPr>
        <w:t></w:t>
      </w:r>
      <w:r>
        <w:rPr>
          <w:rFonts w:hint="eastAsia" w:ascii="仿宋" w:hAnsi="仿宋" w:eastAsia="仿宋" w:cs="仿宋"/>
          <w:color w:val="000000"/>
          <w:sz w:val="24"/>
        </w:rPr>
        <w:t>天。工期总日历天数与根据前述计划开竣工日期计算的工期天数不一致的，以工期总日历天数为准。</w:t>
      </w:r>
    </w:p>
    <w:p>
      <w:pPr>
        <w:pStyle w:val="5"/>
        <w:outlineLvl w:val="3"/>
        <w:rPr>
          <w:sz w:val="24"/>
          <w:szCs w:val="24"/>
        </w:rPr>
      </w:pPr>
      <w:bookmarkStart w:id="544" w:name="_Toc351203483"/>
      <w:r>
        <w:rPr>
          <w:rFonts w:hint="eastAsia"/>
          <w:sz w:val="24"/>
          <w:szCs w:val="24"/>
        </w:rPr>
        <w:t>三、质量标准</w:t>
      </w:r>
      <w:bookmarkEnd w:id="544"/>
    </w:p>
    <w:p>
      <w:pPr>
        <w:spacing w:line="360" w:lineRule="auto"/>
        <w:ind w:firstLine="459"/>
        <w:rPr>
          <w:rFonts w:ascii="仿宋" w:hAnsi="仿宋" w:eastAsia="仿宋" w:cs="仿宋"/>
          <w:color w:val="000000"/>
          <w:sz w:val="24"/>
        </w:rPr>
      </w:pPr>
      <w:r>
        <w:rPr>
          <w:rFonts w:hint="eastAsia" w:ascii="仿宋" w:hAnsi="仿宋" w:eastAsia="仿宋" w:cs="仿宋"/>
          <w:color w:val="000000"/>
          <w:sz w:val="24"/>
        </w:rPr>
        <w:t>工程质量符合</w:t>
      </w:r>
      <w:r>
        <w:rPr>
          <w:rFonts w:hint="eastAsia" w:ascii="仿宋" w:hAnsi="仿宋" w:eastAsia="仿宋" w:cs="仿宋"/>
          <w:color w:val="000000"/>
          <w:sz w:val="24"/>
          <w:u w:val="single"/>
        </w:rPr>
        <w:t></w:t>
      </w:r>
      <w:r>
        <w:rPr>
          <w:rFonts w:hint="eastAsia" w:ascii="仿宋" w:hAnsi="仿宋" w:eastAsia="仿宋" w:cs="仿宋"/>
          <w:color w:val="000000"/>
          <w:sz w:val="24"/>
        </w:rPr>
        <w:t>标准。</w:t>
      </w:r>
    </w:p>
    <w:p>
      <w:pPr>
        <w:pStyle w:val="5"/>
        <w:outlineLvl w:val="3"/>
        <w:rPr>
          <w:rFonts w:hint="eastAsia" w:ascii="Cambria" w:hAnsi="Cambria" w:eastAsia="宋体" w:cs="Times New Roman"/>
          <w:bCs/>
          <w:sz w:val="24"/>
          <w:szCs w:val="24"/>
        </w:rPr>
      </w:pPr>
      <w:bookmarkStart w:id="545" w:name="_Toc351203484"/>
      <w:r>
        <w:rPr>
          <w:rFonts w:hint="eastAsia" w:ascii="Cambria" w:hAnsi="Cambria" w:eastAsia="宋体" w:cs="Times New Roman"/>
          <w:b/>
          <w:bCs/>
          <w:sz w:val="24"/>
          <w:szCs w:val="24"/>
        </w:rPr>
        <w:t>四、签约合同价与合同价格形式</w:t>
      </w:r>
      <w:bookmarkEnd w:id="545"/>
      <w:r>
        <w:rPr>
          <w:rFonts w:hint="eastAsia" w:ascii="Cambria" w:hAnsi="Cambria" w:eastAsia="宋体" w:cs="Times New Roman"/>
          <w:sz w:val="24"/>
          <w:szCs w:val="24"/>
        </w:rPr>
        <w:tab/>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1.签约合同价为：</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其中：</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（1）安全文明施工费：</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（2）材料和工程设备暂估价金额：</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（3）专业工程暂估价金额：</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（4）暂列金额：</w:t>
      </w:r>
    </w:p>
    <w:p>
      <w:pPr>
        <w:spacing w:line="360" w:lineRule="auto"/>
        <w:ind w:firstLine="1080" w:firstLineChars="450"/>
        <w:rPr>
          <w:rFonts w:ascii="仿宋" w:hAnsi="仿宋" w:eastAsia="仿宋" w:cs="仿宋"/>
          <w:color w:val="000000"/>
          <w:sz w:val="24"/>
        </w:rPr>
      </w:pPr>
      <w:r>
        <w:rPr>
          <w:rFonts w:hint="eastAsia" w:ascii="仿宋" w:hAnsi="仿宋" w:eastAsia="仿宋" w:cs="仿宋"/>
          <w:color w:val="000000"/>
          <w:sz w:val="24"/>
        </w:rPr>
        <w:t>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2.合同价格形式：</w:t>
      </w:r>
      <w:r>
        <w:rPr>
          <w:rFonts w:hint="eastAsia" w:ascii="仿宋" w:hAnsi="仿宋" w:eastAsia="仿宋" w:cs="仿宋"/>
          <w:color w:val="000000"/>
          <w:sz w:val="24"/>
          <w:u w:val="single"/>
        </w:rPr>
        <w:t>                      </w:t>
      </w:r>
      <w:r>
        <w:rPr>
          <w:rFonts w:hint="eastAsia" w:ascii="仿宋" w:hAnsi="仿宋" w:eastAsia="仿宋" w:cs="仿宋"/>
          <w:color w:val="000000"/>
          <w:sz w:val="24"/>
        </w:rPr>
        <w:t>。</w:t>
      </w:r>
    </w:p>
    <w:p>
      <w:pPr>
        <w:pStyle w:val="5"/>
        <w:outlineLvl w:val="3"/>
        <w:rPr>
          <w:rFonts w:hint="eastAsia"/>
          <w:sz w:val="24"/>
          <w:szCs w:val="24"/>
        </w:rPr>
      </w:pPr>
      <w:bookmarkStart w:id="546" w:name="_Toc351203485"/>
      <w:r>
        <w:rPr>
          <w:rFonts w:hint="eastAsia"/>
          <w:sz w:val="24"/>
          <w:szCs w:val="24"/>
        </w:rPr>
        <w:t>五、</w:t>
      </w:r>
      <w:bookmarkEnd w:id="546"/>
      <w:r>
        <w:rPr>
          <w:rFonts w:hint="eastAsia"/>
          <w:sz w:val="24"/>
          <w:szCs w:val="24"/>
        </w:rPr>
        <w:t>项目经理</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承包人项目经理：</w:t>
      </w:r>
      <w:r>
        <w:rPr>
          <w:rFonts w:hint="eastAsia" w:ascii="仿宋" w:hAnsi="仿宋" w:eastAsia="仿宋" w:cs="仿宋"/>
          <w:color w:val="000000"/>
          <w:sz w:val="24"/>
          <w:u w:val="single"/>
        </w:rPr>
        <w:t>                     </w:t>
      </w:r>
      <w:r>
        <w:rPr>
          <w:rFonts w:hint="eastAsia" w:ascii="仿宋" w:hAnsi="仿宋" w:eastAsia="仿宋" w:cs="仿宋"/>
          <w:color w:val="000000"/>
          <w:sz w:val="24"/>
        </w:rPr>
        <w:t>。</w:t>
      </w:r>
    </w:p>
    <w:p>
      <w:pPr>
        <w:pStyle w:val="5"/>
        <w:outlineLvl w:val="3"/>
        <w:rPr>
          <w:sz w:val="24"/>
          <w:szCs w:val="24"/>
        </w:rPr>
      </w:pPr>
      <w:bookmarkStart w:id="547" w:name="_Toc351203486"/>
      <w:r>
        <w:rPr>
          <w:rFonts w:hint="eastAsia"/>
          <w:sz w:val="24"/>
          <w:szCs w:val="24"/>
        </w:rPr>
        <w:t>六、合同文件构成</w:t>
      </w:r>
      <w:bookmarkEnd w:id="547"/>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（1）中标通知书（如果有）；</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（2）投标函及其附录（如果有）； </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（3）专用合同条款及其附件；</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（4）通用合同条款；</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（5）技术标准和要求；</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（6）图纸；</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（7）已标价工程量清单或预算书；</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（8）其他合同文件。</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上述各项合同文件包括合同当事人就该项合同文件所作出的补充和修改，属于同一类内容的文件，应以最新签署的为准。专用合同条款及其附件须经合同当事人签字或盖章。</w:t>
      </w:r>
    </w:p>
    <w:p>
      <w:pPr>
        <w:pStyle w:val="5"/>
        <w:outlineLvl w:val="3"/>
        <w:rPr>
          <w:sz w:val="24"/>
          <w:szCs w:val="24"/>
        </w:rPr>
      </w:pPr>
      <w:bookmarkStart w:id="548" w:name="_Toc351203487"/>
      <w:r>
        <w:rPr>
          <w:rFonts w:hint="eastAsia"/>
          <w:sz w:val="24"/>
          <w:szCs w:val="24"/>
        </w:rPr>
        <w:t>七、承诺</w:t>
      </w:r>
      <w:bookmarkEnd w:id="548"/>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1.发包人承诺按照法律规定履行项目审批手续、筹集工程建设资金并按照合同约定的期限和方式支付合同价款。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3.发包人和承包人通过招投标形式签订合同的，双方理解并承诺不再就同一工程另行签订与合同实质性内容相背离的协议。</w:t>
      </w:r>
    </w:p>
    <w:p>
      <w:pPr>
        <w:pStyle w:val="5"/>
        <w:outlineLvl w:val="3"/>
        <w:rPr>
          <w:sz w:val="24"/>
          <w:szCs w:val="24"/>
        </w:rPr>
      </w:pPr>
      <w:bookmarkStart w:id="549" w:name="_Toc351203488"/>
      <w:r>
        <w:rPr>
          <w:rFonts w:hint="eastAsia"/>
          <w:sz w:val="24"/>
          <w:szCs w:val="24"/>
        </w:rPr>
        <w:t>八、词语含义</w:t>
      </w:r>
      <w:bookmarkEnd w:id="549"/>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本协议书中词语含义与第二部分通用合同条款中赋予的含义相同。</w:t>
      </w:r>
    </w:p>
    <w:p>
      <w:pPr>
        <w:pStyle w:val="5"/>
        <w:outlineLvl w:val="3"/>
        <w:rPr>
          <w:sz w:val="24"/>
          <w:szCs w:val="24"/>
        </w:rPr>
      </w:pPr>
      <w:bookmarkStart w:id="550" w:name="_Toc351203489"/>
      <w:r>
        <w:rPr>
          <w:rFonts w:hint="eastAsia"/>
          <w:sz w:val="24"/>
          <w:szCs w:val="24"/>
        </w:rPr>
        <w:t>九、签订时间</w:t>
      </w:r>
      <w:bookmarkEnd w:id="550"/>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本合同于</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年</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月</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日签订。</w:t>
      </w:r>
    </w:p>
    <w:p>
      <w:pPr>
        <w:pStyle w:val="5"/>
        <w:outlineLvl w:val="3"/>
        <w:rPr>
          <w:sz w:val="24"/>
          <w:szCs w:val="24"/>
        </w:rPr>
      </w:pPr>
      <w:bookmarkStart w:id="551" w:name="_Toc351203490"/>
      <w:r>
        <w:rPr>
          <w:rFonts w:hint="eastAsia"/>
          <w:sz w:val="24"/>
          <w:szCs w:val="24"/>
        </w:rPr>
        <w:t>十、签订地点</w:t>
      </w:r>
      <w:bookmarkEnd w:id="551"/>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本合同在</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签订。</w:t>
      </w:r>
    </w:p>
    <w:p>
      <w:pPr>
        <w:pStyle w:val="5"/>
        <w:outlineLvl w:val="3"/>
        <w:rPr>
          <w:sz w:val="24"/>
          <w:szCs w:val="24"/>
        </w:rPr>
      </w:pPr>
      <w:bookmarkStart w:id="552" w:name="_Toc351203491"/>
      <w:r>
        <w:rPr>
          <w:rFonts w:hint="eastAsia"/>
          <w:sz w:val="24"/>
          <w:szCs w:val="24"/>
        </w:rPr>
        <w:t>十一、补充协议</w:t>
      </w:r>
      <w:bookmarkEnd w:id="552"/>
    </w:p>
    <w:p>
      <w:pPr>
        <w:spacing w:line="360" w:lineRule="auto"/>
        <w:ind w:firstLine="480" w:firstLineChars="200"/>
        <w:rPr>
          <w:rFonts w:ascii="仿宋" w:hAnsi="仿宋" w:eastAsia="仿宋" w:cs="仿宋"/>
          <w:b/>
          <w:bCs/>
          <w:color w:val="000000"/>
          <w:sz w:val="24"/>
        </w:rPr>
      </w:pPr>
      <w:r>
        <w:rPr>
          <w:rFonts w:hint="eastAsia" w:ascii="仿宋" w:hAnsi="仿宋" w:eastAsia="仿宋" w:cs="仿宋"/>
          <w:bCs/>
          <w:color w:val="000000"/>
          <w:sz w:val="24"/>
        </w:rPr>
        <w:t>合同未尽事宜，合同当事人另行签订补充协议，补充协议是合同的组成部分。</w:t>
      </w:r>
    </w:p>
    <w:p>
      <w:pPr>
        <w:pStyle w:val="5"/>
        <w:outlineLvl w:val="3"/>
        <w:rPr>
          <w:sz w:val="24"/>
          <w:szCs w:val="24"/>
        </w:rPr>
      </w:pPr>
      <w:bookmarkStart w:id="553" w:name="_Toc351203492"/>
      <w:r>
        <w:rPr>
          <w:rFonts w:hint="eastAsia"/>
          <w:sz w:val="24"/>
          <w:szCs w:val="24"/>
        </w:rPr>
        <w:t>十二、合同生效</w:t>
      </w:r>
      <w:bookmarkEnd w:id="553"/>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本合同自</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生效。</w:t>
      </w:r>
    </w:p>
    <w:p>
      <w:pPr>
        <w:pStyle w:val="5"/>
        <w:outlineLvl w:val="3"/>
        <w:rPr>
          <w:sz w:val="24"/>
          <w:szCs w:val="24"/>
        </w:rPr>
      </w:pPr>
      <w:bookmarkStart w:id="554" w:name="_Toc351203493"/>
      <w:r>
        <w:rPr>
          <w:rFonts w:hint="eastAsia"/>
          <w:sz w:val="24"/>
          <w:szCs w:val="24"/>
        </w:rPr>
        <w:t>十三、合同份数</w:t>
      </w:r>
      <w:bookmarkEnd w:id="554"/>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本合同一式</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份，均具有同等法律效力，发包人执</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份，承包人执</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份。</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r>
        <w:rPr>
          <w:rFonts w:hint="eastAsia" w:ascii="仿宋" w:hAnsi="仿宋" w:eastAsia="仿宋" w:cs="仿宋"/>
          <w:color w:val="000000"/>
          <w:sz w:val="24"/>
        </w:rPr>
        <w:t>发包人：  (公章)                        承包人：  (公章)</w:t>
      </w:r>
    </w:p>
    <w:p>
      <w:pPr>
        <w:spacing w:line="360" w:lineRule="auto"/>
        <w:rPr>
          <w:rFonts w:ascii="仿宋" w:hAnsi="仿宋" w:eastAsia="仿宋" w:cs="仿宋"/>
          <w:color w:val="000000"/>
          <w:sz w:val="24"/>
          <w:u w:val="single"/>
        </w:rPr>
      </w:pPr>
      <w:r>
        <w:rPr>
          <w:rFonts w:hint="eastAsia" w:ascii="仿宋" w:hAnsi="仿宋" w:eastAsia="仿宋" w:cs="仿宋"/>
          <w:color w:val="000000"/>
          <w:sz w:val="24"/>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法定代表人或其委托代理人：              法定代表人或其委托代理人：</w:t>
      </w:r>
    </w:p>
    <w:p>
      <w:pPr>
        <w:spacing w:line="360" w:lineRule="auto"/>
        <w:rPr>
          <w:rFonts w:ascii="仿宋" w:hAnsi="仿宋" w:eastAsia="仿宋" w:cs="仿宋"/>
          <w:color w:val="000000"/>
          <w:sz w:val="24"/>
        </w:rPr>
      </w:pPr>
      <w:r>
        <w:rPr>
          <w:rFonts w:hint="eastAsia" w:ascii="仿宋" w:hAnsi="仿宋" w:eastAsia="仿宋" w:cs="仿宋"/>
          <w:color w:val="000000"/>
          <w:sz w:val="24"/>
        </w:rPr>
        <w:t>（签字）                               （签字）</w:t>
      </w:r>
    </w:p>
    <w:p>
      <w:pPr>
        <w:spacing w:line="360" w:lineRule="auto"/>
        <w:rPr>
          <w:rFonts w:ascii="仿宋" w:hAnsi="仿宋" w:eastAsia="仿宋" w:cs="仿宋"/>
          <w:color w:val="000000"/>
          <w:sz w:val="24"/>
          <w:u w:val="single"/>
        </w:rPr>
      </w:pPr>
    </w:p>
    <w:p>
      <w:pPr>
        <w:tabs>
          <w:tab w:val="left" w:pos="4410"/>
        </w:tabs>
        <w:spacing w:line="360" w:lineRule="auto"/>
        <w:rPr>
          <w:rFonts w:ascii="仿宋" w:hAnsi="仿宋" w:eastAsia="仿宋" w:cs="仿宋"/>
          <w:color w:val="000000"/>
          <w:sz w:val="24"/>
        </w:rPr>
      </w:pPr>
      <w:r>
        <w:rPr>
          <w:rFonts w:hint="eastAsia" w:ascii="仿宋" w:hAnsi="仿宋" w:eastAsia="仿宋" w:cs="仿宋"/>
          <w:color w:val="000000"/>
          <w:sz w:val="24"/>
        </w:rPr>
        <w:t>组织机构代码：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组织机构代码：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地  址：</w:t>
      </w:r>
      <w:r>
        <w:rPr>
          <w:rFonts w:hint="eastAsia" w:ascii="仿宋" w:hAnsi="仿宋" w:eastAsia="仿宋" w:cs="仿宋"/>
          <w:color w:val="000000"/>
          <w:sz w:val="24"/>
          <w:u w:val="single"/>
        </w:rPr>
        <w:t xml:space="preserve">        </w:t>
      </w:r>
    </w:p>
    <w:p>
      <w:pPr>
        <w:spacing w:line="360" w:lineRule="auto"/>
        <w:rPr>
          <w:rFonts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     </w:t>
      </w:r>
      <w:r>
        <w:rPr>
          <w:rFonts w:hint="eastAsia" w:ascii="仿宋" w:hAnsi="仿宋" w:eastAsia="仿宋" w:cs="仿宋"/>
          <w:color w:val="000000"/>
          <w:sz w:val="24"/>
        </w:rPr>
        <w:t xml:space="preserve">            邮政编码：</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法定代表人：</w:t>
      </w:r>
      <w:r>
        <w:rPr>
          <w:rFonts w:hint="eastAsia" w:ascii="仿宋" w:hAnsi="仿宋" w:eastAsia="仿宋" w:cs="仿宋"/>
          <w:color w:val="000000"/>
          <w:sz w:val="24"/>
          <w:u w:val="single"/>
        </w:rPr>
        <w:t xml:space="preserve">             </w:t>
      </w:r>
    </w:p>
    <w:p>
      <w:pPr>
        <w:spacing w:line="360" w:lineRule="auto"/>
        <w:rPr>
          <w:rFonts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委托代理人：</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  话：</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传  真：</w:t>
      </w:r>
      <w:r>
        <w:rPr>
          <w:rFonts w:hint="eastAsia" w:ascii="仿宋" w:hAnsi="仿宋" w:eastAsia="仿宋" w:cs="仿宋"/>
          <w:color w:val="000000"/>
          <w:sz w:val="24"/>
          <w:u w:val="single"/>
        </w:rPr>
        <w:t xml:space="preserve">     </w:t>
      </w:r>
    </w:p>
    <w:p>
      <w:pPr>
        <w:spacing w:line="360" w:lineRule="auto"/>
        <w:rPr>
          <w:rFonts w:ascii="仿宋" w:hAnsi="仿宋" w:eastAsia="仿宋" w:cs="仿宋"/>
          <w:color w:val="000000"/>
          <w:sz w:val="24"/>
        </w:rPr>
      </w:pPr>
      <w:r>
        <w:rPr>
          <w:rFonts w:hint="eastAsia" w:ascii="仿宋" w:hAnsi="仿宋" w:eastAsia="仿宋" w:cs="仿宋"/>
          <w:color w:val="000000"/>
          <w:sz w:val="24"/>
        </w:rPr>
        <w:t>电子信箱：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电子信箱：</w:t>
      </w:r>
      <w:r>
        <w:rPr>
          <w:rFonts w:hint="eastAsia" w:ascii="仿宋" w:hAnsi="仿宋" w:eastAsia="仿宋" w:cs="仿宋"/>
          <w:color w:val="000000"/>
          <w:sz w:val="24"/>
          <w:u w:val="single"/>
        </w:rPr>
        <w:t xml:space="preserve">   </w:t>
      </w:r>
    </w:p>
    <w:p>
      <w:pPr>
        <w:spacing w:line="360" w:lineRule="auto"/>
        <w:rPr>
          <w:rFonts w:ascii="仿宋" w:hAnsi="仿宋" w:eastAsia="仿宋" w:cs="仿宋"/>
          <w:color w:val="000000"/>
          <w:sz w:val="24"/>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开户银行：</w:t>
      </w:r>
      <w:r>
        <w:rPr>
          <w:rFonts w:hint="eastAsia" w:ascii="仿宋" w:hAnsi="仿宋" w:eastAsia="仿宋" w:cs="仿宋"/>
          <w:color w:val="000000"/>
          <w:sz w:val="24"/>
          <w:u w:val="single"/>
        </w:rPr>
        <w:t xml:space="preserve">   </w:t>
      </w:r>
    </w:p>
    <w:p>
      <w:pPr>
        <w:spacing w:line="240" w:lineRule="auto"/>
        <w:jc w:val="left"/>
        <w:outlineLvl w:val="9"/>
        <w:rPr>
          <w:rFonts w:hint="eastAsia"/>
          <w:sz w:val="24"/>
        </w:rPr>
      </w:pPr>
      <w:r>
        <w:rPr>
          <w:rFonts w:hint="eastAsia" w:ascii="仿宋" w:hAnsi="仿宋" w:eastAsia="仿宋" w:cs="仿宋"/>
          <w:color w:val="000000"/>
          <w:sz w:val="24"/>
        </w:rPr>
        <w:t>账  号：</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账  号：</w:t>
      </w:r>
      <w:r>
        <w:rPr>
          <w:rFonts w:hint="eastAsia" w:ascii="仿宋" w:hAnsi="仿宋" w:eastAsia="仿宋" w:cs="仿宋"/>
          <w:color w:val="000000"/>
          <w:sz w:val="24"/>
          <w:u w:val="single"/>
        </w:rPr>
        <w:t xml:space="preserve">  </w:t>
      </w:r>
    </w:p>
    <w:p>
      <w:pPr>
        <w:spacing w:line="240" w:lineRule="auto"/>
        <w:jc w:val="left"/>
        <w:outlineLvl w:val="9"/>
        <w:rPr>
          <w:rFonts w:hint="eastAsia"/>
        </w:rPr>
      </w:pPr>
    </w:p>
    <w:p>
      <w:pPr>
        <w:spacing w:line="240" w:lineRule="auto"/>
        <w:jc w:val="left"/>
        <w:outlineLvl w:val="9"/>
        <w:rPr>
          <w:rFonts w:hint="eastAsia"/>
        </w:rPr>
      </w:pPr>
      <w:r>
        <w:rPr>
          <w:rFonts w:hint="eastAsia"/>
        </w:rPr>
        <w:br w:type="page"/>
      </w:r>
    </w:p>
    <w:p>
      <w:pPr>
        <w:spacing w:line="240" w:lineRule="auto"/>
        <w:jc w:val="left"/>
        <w:outlineLvl w:val="9"/>
        <w:rPr>
          <w:rFonts w:hint="eastAsia"/>
        </w:rPr>
      </w:pPr>
    </w:p>
    <w:p>
      <w:pPr>
        <w:spacing w:line="360" w:lineRule="auto"/>
        <w:jc w:val="center"/>
        <w:outlineLvl w:val="2"/>
        <w:rPr>
          <w:rFonts w:ascii="仿宋_GB2312" w:hAnsi="仿宋_GB2312" w:eastAsia="仿宋_GB2312" w:cs="宋体"/>
          <w:kern w:val="0"/>
        </w:rPr>
      </w:pPr>
      <w:bookmarkStart w:id="555" w:name="_Toc26796"/>
      <w:r>
        <w:rPr>
          <w:rFonts w:hint="eastAsia" w:ascii="仿宋_GB2312" w:hAnsi="仿宋_GB2312" w:eastAsia="仿宋_GB2312" w:cs="宋体"/>
          <w:kern w:val="0"/>
        </w:rPr>
        <w:t>履约保证金保函（格式）</w:t>
      </w:r>
      <w:bookmarkEnd w:id="541"/>
      <w:bookmarkEnd w:id="555"/>
    </w:p>
    <w:p>
      <w:pPr>
        <w:spacing w:line="360" w:lineRule="auto"/>
        <w:rPr>
          <w:rFonts w:ascii="仿宋_GB2312" w:hAnsi="仿宋_GB2312" w:eastAsia="仿宋_GB2312" w:cs="宋体"/>
          <w:b/>
          <w:kern w:val="0"/>
        </w:rPr>
      </w:pPr>
      <w:r>
        <w:rPr>
          <w:rFonts w:hint="eastAsia" w:ascii="仿宋_GB2312" w:hAnsi="仿宋_GB2312" w:eastAsia="仿宋_GB2312" w:cs="宋体"/>
          <w:kern w:val="0"/>
        </w:rPr>
        <w:t>编号：</w:t>
      </w:r>
    </w:p>
    <w:p>
      <w:pPr>
        <w:spacing w:beforeLines="50" w:line="360" w:lineRule="auto"/>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（采购人）： </w:t>
      </w:r>
    </w:p>
    <w:p>
      <w:pPr>
        <w:spacing w:beforeLines="50"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鉴于你方与（以下简称供应商）于年月日签定编号为的《</w:t>
      </w:r>
      <w:r>
        <w:rPr>
          <w:rFonts w:hint="eastAsia" w:ascii="仿宋_GB2312" w:hAnsi="仿宋_GB2312" w:eastAsia="仿宋_GB2312" w:cs="宋体"/>
          <w:kern w:val="0"/>
          <w:sz w:val="24"/>
          <w:szCs w:val="28"/>
          <w:u w:val="single"/>
        </w:rPr>
        <w:t xml:space="preserve">      政府采购</w:t>
      </w:r>
      <w:r>
        <w:rPr>
          <w:rFonts w:hint="eastAsia" w:ascii="仿宋_GB2312" w:hAnsi="仿宋_GB2312" w:eastAsia="仿宋_GB2312" w:cs="宋体"/>
          <w:kern w:val="0"/>
          <w:sz w:val="24"/>
          <w:szCs w:val="28"/>
        </w:rPr>
        <w:t>合同》（以下简称主合同），且依据该合同的约定，供应商应在年月日前向你方交纳履约保证金，且可以履约保证金函的形式交纳履约保证金。应供应商的申请，我方以保证的方式向你方提供如下履约保证金担保：</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一、保证责任的情形及保证金额</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（一）在供应商出现下列情形之一时，我方承担保证责任：</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1．将成交项目转让给他人，或者在响应文件中未说明，且未经采购人同意，将成交项目分包给他人的；</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2．主合同约定的应当缴纳履约保证金的情形: </w:t>
      </w:r>
    </w:p>
    <w:p>
      <w:pPr>
        <w:spacing w:line="360" w:lineRule="auto"/>
        <w:ind w:firstLine="480" w:firstLineChars="200"/>
        <w:rPr>
          <w:rFonts w:ascii="仿宋_GB2312" w:hAnsi="仿宋_GB2312" w:eastAsia="仿宋_GB2312" w:cs="宋体"/>
          <w:b/>
          <w:kern w:val="0"/>
          <w:sz w:val="24"/>
          <w:szCs w:val="28"/>
        </w:rPr>
      </w:pPr>
      <w:r>
        <w:rPr>
          <w:rFonts w:hint="eastAsia" w:ascii="仿宋_GB2312" w:hAnsi="仿宋_GB2312" w:eastAsia="仿宋_GB2312" w:cs="宋体"/>
          <w:kern w:val="0"/>
          <w:sz w:val="24"/>
          <w:szCs w:val="28"/>
        </w:rPr>
        <w:t xml:space="preserve">（1）未按主合同约定的质量、数量和期限完成工程的； </w:t>
      </w:r>
    </w:p>
    <w:p>
      <w:pPr>
        <w:spacing w:line="360" w:lineRule="auto"/>
        <w:ind w:firstLine="480" w:firstLineChars="200"/>
        <w:rPr>
          <w:rFonts w:ascii="仿宋_GB2312" w:hAnsi="仿宋_GB2312" w:eastAsia="仿宋_GB2312" w:cs="宋体"/>
          <w:kern w:val="0"/>
          <w:sz w:val="24"/>
          <w:szCs w:val="28"/>
          <w:u w:val="single"/>
        </w:rPr>
      </w:pPr>
      <w:r>
        <w:rPr>
          <w:rFonts w:hint="eastAsia" w:ascii="仿宋_GB2312" w:hAnsi="仿宋_GB2312" w:eastAsia="仿宋_GB2312" w:cs="宋体"/>
          <w:kern w:val="0"/>
          <w:sz w:val="24"/>
          <w:szCs w:val="28"/>
        </w:rPr>
        <w:t>（2）。</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（二）我方的保证范围是主合同约定的合同价款总额的%数额为元（大写），币种为。（即主合同履约保证金金额）</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 xml:space="preserve">二、保证的方式及保证期间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我方保证的方式为：连带责任保证。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我方保证的期间为：自本合同生效之日起至供应商按照主合同约定的供货/完工期限届满后日内。</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如果供应商未按主合同约定向贵方完成工程的，由我方在保证金额内向你方支付上述款项。 </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三、承担保证责任的程序</w:t>
      </w:r>
    </w:p>
    <w:p>
      <w:pPr>
        <w:spacing w:line="360" w:lineRule="auto"/>
        <w:ind w:firstLine="480" w:firstLineChars="200"/>
        <w:rPr>
          <w:rFonts w:ascii="仿宋_GB2312" w:hAnsi="仿宋_GB2312" w:eastAsia="仿宋_GB2312" w:cs="宋体"/>
          <w:b/>
          <w:kern w:val="0"/>
          <w:sz w:val="24"/>
          <w:szCs w:val="28"/>
        </w:rPr>
      </w:pPr>
      <w:r>
        <w:rPr>
          <w:rFonts w:hint="eastAsia" w:ascii="仿宋_GB2312" w:hAnsi="仿宋_GB2312" w:eastAsia="仿宋_GB2312" w:cs="宋体"/>
          <w:kern w:val="0"/>
          <w:sz w:val="24"/>
          <w:szCs w:val="28"/>
        </w:rPr>
        <w:t xml:space="preserve">1．你方要求我方承担保证责任的，应在本保函保证期间内向我方发出书面索赔通知。索赔通知应写明要求索赔的金额，支付款项应到达的帐号。并附有证明供应商违约事实的证明材料。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2．我方收到你方的书面索赔通知及相应证明材料，在工作日内进行核定后按照本保函的承诺承担保证责任。</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四、保证责任的终止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1．保证期间届满你方未向我方书面主张保证责任的，自保证期间届满次日起，我方保证责任自动终止。保证期间届满前，主合同约定的工程全部验收合格的，自验收合格日起，我方保证责任自动终止。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2．我方按照本保函向你方履行了保证责任后，自我方向你方支付款项（支付款项从我方账户划出）之日起，保证责任即终止。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3．按照法律法规的规定或出现应终止我方保证责任的其它情形的，我方在本保函项下的保证责任亦终止。</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五、免责条款</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1．因你方违反主合同约定致使供应商不能履行义务的，我方不承担保证责任。</w:t>
      </w:r>
    </w:p>
    <w:p>
      <w:pPr>
        <w:spacing w:line="360" w:lineRule="auto"/>
        <w:ind w:firstLine="480" w:firstLineChars="200"/>
        <w:rPr>
          <w:rFonts w:ascii="仿宋_GB2312" w:hAnsi="仿宋_GB2312" w:eastAsia="仿宋_GB2312" w:cs="宋体"/>
          <w:b/>
          <w:kern w:val="0"/>
          <w:sz w:val="24"/>
          <w:szCs w:val="28"/>
        </w:rPr>
      </w:pPr>
      <w:r>
        <w:rPr>
          <w:rFonts w:hint="eastAsia" w:ascii="仿宋_GB2312" w:hAnsi="仿宋_GB2312" w:eastAsia="仿宋_GB2312" w:cs="宋体"/>
          <w:kern w:val="0"/>
          <w:sz w:val="24"/>
          <w:szCs w:val="28"/>
        </w:rPr>
        <w:t>2．依照法律法规的规定或你方与供应商的另行约定，全部或者部分免除供应商应缴纳的保证金义务的，我方亦免除相应的保证责任。</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3．因不可抗力造成供应商不能履行供货义务的，我方不承担保证责任。</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六、争议的解决</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因本保函发生的纠纷，由你我双方协商解决，协商不成的，通过诉讼程序解决，诉讼管辖地法院为法院。</w:t>
      </w:r>
    </w:p>
    <w:p>
      <w:pPr>
        <w:spacing w:line="360" w:lineRule="auto"/>
        <w:ind w:firstLine="482" w:firstLineChars="200"/>
        <w:rPr>
          <w:rFonts w:ascii="仿宋_GB2312" w:hAnsi="仿宋_GB2312" w:eastAsia="仿宋_GB2312" w:cs="宋体"/>
          <w:b/>
          <w:kern w:val="0"/>
          <w:sz w:val="24"/>
          <w:szCs w:val="28"/>
        </w:rPr>
      </w:pPr>
      <w:r>
        <w:rPr>
          <w:rFonts w:hint="eastAsia" w:ascii="仿宋_GB2312" w:hAnsi="仿宋_GB2312" w:eastAsia="仿宋_GB2312" w:cs="宋体"/>
          <w:b/>
          <w:kern w:val="0"/>
          <w:sz w:val="24"/>
          <w:szCs w:val="28"/>
        </w:rPr>
        <w:t xml:space="preserve">七、保函的生效 </w:t>
      </w:r>
    </w:p>
    <w:p>
      <w:pPr>
        <w:spacing w:line="360" w:lineRule="auto"/>
        <w:ind w:firstLine="480" w:firstLineChars="200"/>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本保函自我方加盖公章之日起生效。 </w:t>
      </w:r>
    </w:p>
    <w:p>
      <w:pPr>
        <w:spacing w:line="360" w:lineRule="auto"/>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                                   保证人：（公章）                     </w:t>
      </w:r>
    </w:p>
    <w:p>
      <w:pPr>
        <w:spacing w:line="360" w:lineRule="auto"/>
        <w:rPr>
          <w:rFonts w:ascii="仿宋_GB2312" w:hAnsi="仿宋_GB2312" w:eastAsia="仿宋_GB2312" w:cs="宋体"/>
          <w:kern w:val="0"/>
          <w:sz w:val="24"/>
          <w:szCs w:val="28"/>
        </w:rPr>
      </w:pPr>
      <w:r>
        <w:rPr>
          <w:rFonts w:hint="eastAsia" w:ascii="仿宋_GB2312" w:hAnsi="仿宋_GB2312" w:eastAsia="仿宋_GB2312" w:cs="宋体"/>
          <w:kern w:val="0"/>
          <w:sz w:val="24"/>
          <w:szCs w:val="28"/>
        </w:rPr>
        <w:t xml:space="preserve">                                    年   月   日</w:t>
      </w:r>
    </w:p>
    <w:p>
      <w:pPr>
        <w:widowControl/>
        <w:jc w:val="left"/>
        <w:rPr>
          <w:rFonts w:ascii="宋体" w:hAnsi="宋体" w:cs="宋体"/>
          <w:sz w:val="24"/>
        </w:rPr>
      </w:pPr>
      <w:r>
        <w:rPr>
          <w:rFonts w:ascii="宋体" w:hAnsi="宋体" w:cs="宋体"/>
          <w:sz w:val="24"/>
        </w:rPr>
        <w:br w:type="page"/>
      </w: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r>
        <w:rPr>
          <w:rFonts w:ascii="宋体" w:hAnsi="宋体" w:cs="宋体"/>
          <w:sz w:val="24"/>
        </w:rPr>
        <w:br w:type="page"/>
      </w:r>
    </w:p>
    <w:p>
      <w:pPr>
        <w:widowControl/>
        <w:jc w:val="center"/>
        <w:outlineLvl w:val="0"/>
        <w:rPr>
          <w:rFonts w:ascii="宋体" w:hAnsi="宋体" w:cs="宋体"/>
          <w:sz w:val="32"/>
          <w:szCs w:val="32"/>
        </w:rPr>
      </w:pPr>
      <w:bookmarkStart w:id="556" w:name="_Toc8628"/>
      <w:r>
        <w:rPr>
          <w:rFonts w:ascii="宋体" w:hAnsi="宋体" w:cs="宋体"/>
          <w:sz w:val="32"/>
          <w:szCs w:val="32"/>
        </w:rPr>
        <w:t>第五章</w:t>
      </w:r>
      <w:r>
        <w:rPr>
          <w:rFonts w:hint="eastAsia" w:ascii="宋体" w:hAnsi="宋体" w:cs="宋体"/>
          <w:sz w:val="32"/>
          <w:szCs w:val="32"/>
          <w:lang w:val="en-US" w:eastAsia="zh-CN"/>
        </w:rPr>
        <w:t xml:space="preserve">  </w:t>
      </w:r>
      <w:r>
        <w:rPr>
          <w:rFonts w:hint="eastAsia" w:ascii="宋体" w:hAnsi="宋体" w:cs="宋体"/>
          <w:sz w:val="32"/>
          <w:szCs w:val="32"/>
        </w:rPr>
        <w:t>工程量清单（综合单价）</w:t>
      </w:r>
      <w:bookmarkEnd w:id="556"/>
    </w:p>
    <w:p>
      <w:pPr>
        <w:snapToGrid w:val="0"/>
        <w:spacing w:beforeLines="50"/>
        <w:ind w:left="850" w:hanging="849" w:hangingChars="354"/>
        <w:outlineLvl w:val="1"/>
        <w:rPr>
          <w:rFonts w:ascii="黑体" w:hAnsi="宋体" w:eastAsia="黑体"/>
          <w:sz w:val="24"/>
        </w:rPr>
      </w:pPr>
      <w:bookmarkStart w:id="557" w:name="_Toc13010"/>
      <w:bookmarkStart w:id="558" w:name="_Toc20552"/>
      <w:r>
        <w:rPr>
          <w:rFonts w:hint="eastAsia" w:ascii="黑体" w:hAnsi="宋体" w:eastAsia="黑体"/>
          <w:sz w:val="24"/>
        </w:rPr>
        <w:t>1</w:t>
      </w:r>
      <w:r>
        <w:rPr>
          <w:rFonts w:hint="eastAsia" w:ascii="黑体" w:eastAsia="黑体"/>
          <w:sz w:val="24"/>
        </w:rPr>
        <w:tab/>
      </w:r>
      <w:r>
        <w:rPr>
          <w:rFonts w:hint="eastAsia" w:ascii="黑体" w:hAnsi="宋体" w:eastAsia="黑体"/>
          <w:sz w:val="24"/>
        </w:rPr>
        <w:t>工程量清单说明</w:t>
      </w:r>
      <w:bookmarkEnd w:id="557"/>
      <w:bookmarkEnd w:id="558"/>
    </w:p>
    <w:p>
      <w:pPr>
        <w:snapToGrid w:val="0"/>
        <w:spacing w:beforeLines="50"/>
        <w:ind w:left="878" w:hanging="878" w:hangingChars="366"/>
        <w:rPr>
          <w:rFonts w:ascii="宋体" w:hAnsi="宋体"/>
          <w:sz w:val="24"/>
        </w:rPr>
      </w:pPr>
      <w:r>
        <w:rPr>
          <w:rFonts w:hint="eastAsia" w:ascii="黑体" w:hAnsi="宋体" w:eastAsia="黑体"/>
          <w:sz w:val="24"/>
        </w:rPr>
        <w:t>1.1</w:t>
      </w:r>
      <w:r>
        <w:rPr>
          <w:rFonts w:hint="eastAsia" w:ascii="黑体" w:eastAsia="黑体"/>
          <w:sz w:val="24"/>
        </w:rPr>
        <w:tab/>
      </w:r>
      <w:r>
        <w:rPr>
          <w:rFonts w:hint="eastAsia" w:ascii="宋体" w:hAnsi="宋体"/>
          <w:sz w:val="24"/>
        </w:rPr>
        <w:t>本工程量清单是依据中华人民共和国国家标准《建设工程工程量清单计价规范》(以下简称“计价规范”)以及谈判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napToGrid w:val="0"/>
        <w:spacing w:beforeLines="50"/>
        <w:ind w:left="864" w:hanging="864" w:hangingChars="360"/>
        <w:rPr>
          <w:rFonts w:ascii="宋体" w:hAnsi="宋体"/>
          <w:sz w:val="24"/>
        </w:rPr>
      </w:pPr>
      <w:r>
        <w:rPr>
          <w:rFonts w:hint="eastAsia" w:ascii="黑体" w:hAnsi="宋体" w:eastAsia="黑体"/>
          <w:sz w:val="24"/>
        </w:rPr>
        <w:t>1.2</w:t>
      </w:r>
      <w:r>
        <w:rPr>
          <w:rFonts w:hint="eastAsia" w:ascii="黑体" w:eastAsia="黑体"/>
          <w:sz w:val="24"/>
        </w:rPr>
        <w:tab/>
      </w:r>
      <w:r>
        <w:rPr>
          <w:rFonts w:hint="eastAsia" w:ascii="宋体" w:hAnsi="宋体"/>
          <w:sz w:val="24"/>
        </w:rPr>
        <w:t>本工程量清单应与谈判文件中的供应商须知、通用合同条款、专用合同条款、技术标准和要求及图纸等章节内容一起阅读和理解。</w:t>
      </w:r>
    </w:p>
    <w:p>
      <w:pPr>
        <w:snapToGrid w:val="0"/>
        <w:spacing w:beforeLines="50"/>
        <w:ind w:left="847" w:hanging="847" w:hangingChars="353"/>
        <w:rPr>
          <w:rFonts w:ascii="宋体" w:hAnsi="宋体"/>
          <w:sz w:val="24"/>
        </w:rPr>
      </w:pPr>
      <w:r>
        <w:rPr>
          <w:rFonts w:hint="eastAsia" w:ascii="黑体" w:hAnsi="宋体" w:eastAsia="黑体"/>
          <w:sz w:val="24"/>
        </w:rPr>
        <w:t>1.3</w:t>
      </w:r>
      <w:r>
        <w:rPr>
          <w:rFonts w:hint="eastAsia" w:ascii="黑体" w:eastAsia="黑体"/>
          <w:sz w:val="24"/>
        </w:rPr>
        <w:tab/>
      </w:r>
      <w:r>
        <w:rPr>
          <w:rFonts w:hint="eastAsia" w:ascii="宋体" w:hAnsi="宋体"/>
          <w:sz w:val="24"/>
        </w:rPr>
        <w:t>本工程量清单仅是报价的共同基础，竣工结算的工程量按合同约定确定。合同价格的确定以及价款支付应遵循合同条款(包括通用合同条款和专用合同条款)、技术标准和要求以及本章的有关约定。</w:t>
      </w:r>
    </w:p>
    <w:p>
      <w:pPr>
        <w:snapToGrid w:val="0"/>
        <w:spacing w:beforeLines="50"/>
        <w:ind w:left="847" w:hanging="847" w:hangingChars="353"/>
        <w:rPr>
          <w:rFonts w:ascii="宋体" w:hAnsi="宋体"/>
          <w:sz w:val="24"/>
        </w:rPr>
      </w:pPr>
      <w:r>
        <w:rPr>
          <w:rFonts w:hint="eastAsia" w:ascii="黑体" w:hAnsi="宋体" w:eastAsia="黑体"/>
          <w:sz w:val="24"/>
        </w:rPr>
        <w:t>1.4</w:t>
      </w:r>
      <w:r>
        <w:rPr>
          <w:rFonts w:hint="eastAsia" w:ascii="黑体" w:eastAsia="黑体"/>
          <w:sz w:val="24"/>
        </w:rPr>
        <w:tab/>
      </w:r>
      <w:r>
        <w:rPr>
          <w:rFonts w:hint="eastAsia" w:ascii="宋体" w:hAnsi="宋体"/>
          <w:sz w:val="24"/>
        </w:rPr>
        <w:t>补充子目的子目特征、计量单位、工程量计算规则及工作内容说明如下：</w:t>
      </w:r>
    </w:p>
    <w:p>
      <w:pPr>
        <w:snapToGrid w:val="0"/>
        <w:spacing w:beforeLines="50"/>
        <w:ind w:left="846" w:leftChars="403" w:firstLine="2" w:firstLineChars="1"/>
        <w:rPr>
          <w:rFonts w:ascii="宋体" w:hAnsi="宋体"/>
          <w:sz w:val="24"/>
        </w:rPr>
      </w:pPr>
      <w:r>
        <w:rPr>
          <w:rFonts w:hint="eastAsia" w:ascii="宋体" w:hAnsi="宋体"/>
          <w:sz w:val="24"/>
          <w:u w:val="single"/>
        </w:rPr>
        <w:t>/</w:t>
      </w:r>
      <w:r>
        <w:rPr>
          <w:rFonts w:hint="eastAsia" w:ascii="宋体" w:hAnsi="宋体"/>
          <w:sz w:val="24"/>
        </w:rPr>
        <w:t>。</w:t>
      </w:r>
    </w:p>
    <w:p>
      <w:pPr>
        <w:snapToGrid w:val="0"/>
        <w:spacing w:beforeLines="50"/>
        <w:ind w:left="783" w:hanging="895" w:hangingChars="373"/>
        <w:rPr>
          <w:rFonts w:ascii="宋体" w:hAnsi="宋体"/>
          <w:sz w:val="24"/>
        </w:rPr>
      </w:pPr>
      <w:r>
        <w:rPr>
          <w:rFonts w:hint="eastAsia" w:ascii="黑体" w:hAnsi="宋体" w:eastAsia="黑体"/>
          <w:sz w:val="24"/>
        </w:rPr>
        <w:t>1.5</w:t>
      </w:r>
      <w:r>
        <w:rPr>
          <w:rFonts w:hint="eastAsia" w:ascii="黑体" w:eastAsia="黑体"/>
          <w:sz w:val="24"/>
        </w:rPr>
        <w:tab/>
      </w:r>
      <w:r>
        <w:rPr>
          <w:rFonts w:hint="eastAsia" w:ascii="宋体" w:hAnsi="宋体"/>
          <w:sz w:val="24"/>
        </w:rPr>
        <w:t>本条第1.1款中约定的计量和计价规则适用于合同履约过程中工程量计量与价款支付、工程变更、索赔和工程结算。</w:t>
      </w:r>
    </w:p>
    <w:p>
      <w:pPr>
        <w:snapToGrid w:val="0"/>
        <w:spacing w:beforeLines="50"/>
        <w:ind w:left="878" w:hanging="878" w:hangingChars="366"/>
        <w:rPr>
          <w:rFonts w:ascii="宋体" w:hAnsi="宋体"/>
          <w:sz w:val="24"/>
        </w:rPr>
      </w:pPr>
      <w:r>
        <w:rPr>
          <w:rFonts w:hint="eastAsia" w:ascii="黑体" w:hAnsi="宋体" w:eastAsia="黑体"/>
          <w:sz w:val="24"/>
        </w:rPr>
        <w:t>1.6</w:t>
      </w:r>
      <w:r>
        <w:rPr>
          <w:rFonts w:hint="eastAsia" w:ascii="黑体" w:eastAsia="黑体"/>
          <w:sz w:val="24"/>
        </w:rPr>
        <w:tab/>
      </w:r>
      <w:r>
        <w:rPr>
          <w:rFonts w:hint="eastAsia" w:ascii="宋体" w:hAnsi="宋体"/>
          <w:sz w:val="24"/>
        </w:rPr>
        <w:t>本条与下述第2条和第3条的说明内容是构成合同文件的已标价工程量清单的组成部分。</w:t>
      </w:r>
    </w:p>
    <w:p>
      <w:pPr>
        <w:snapToGrid w:val="0"/>
        <w:spacing w:beforeLines="50"/>
        <w:ind w:left="850" w:hanging="849" w:hangingChars="354"/>
        <w:outlineLvl w:val="1"/>
        <w:rPr>
          <w:rFonts w:ascii="黑体" w:hAnsi="宋体" w:eastAsia="黑体"/>
          <w:sz w:val="24"/>
        </w:rPr>
      </w:pPr>
      <w:bookmarkStart w:id="559" w:name="_Toc17517"/>
      <w:bookmarkStart w:id="560" w:name="_Toc17606"/>
      <w:r>
        <w:rPr>
          <w:rFonts w:hint="eastAsia" w:ascii="黑体" w:hAnsi="宋体" w:eastAsia="黑体"/>
          <w:sz w:val="24"/>
        </w:rPr>
        <w:t>2</w:t>
      </w:r>
      <w:r>
        <w:rPr>
          <w:rFonts w:hint="eastAsia" w:ascii="黑体" w:hAnsi="宋体" w:eastAsia="黑体"/>
          <w:sz w:val="24"/>
        </w:rPr>
        <w:tab/>
      </w:r>
      <w:r>
        <w:rPr>
          <w:rFonts w:hint="eastAsia" w:ascii="黑体" w:hAnsi="宋体" w:eastAsia="黑体"/>
          <w:sz w:val="24"/>
        </w:rPr>
        <w:t>报价说明</w:t>
      </w:r>
      <w:bookmarkEnd w:id="559"/>
      <w:bookmarkEnd w:id="560"/>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w:t>
      </w:r>
      <w:r>
        <w:rPr>
          <w:rFonts w:hint="eastAsia" w:asciiTheme="minorEastAsia" w:hAnsiTheme="minorEastAsia" w:eastAsiaTheme="minorEastAsia"/>
          <w:sz w:val="24"/>
        </w:rPr>
        <w:tab/>
      </w:r>
      <w:r>
        <w:rPr>
          <w:rFonts w:hint="eastAsia" w:asciiTheme="minorEastAsia" w:hAnsiTheme="minorEastAsia" w:eastAsiaTheme="minorEastAsia"/>
          <w:sz w:val="24"/>
        </w:rPr>
        <w:t>报价应根据谈判文件中的有关计价要求，并按照下列依据自主报价。</w:t>
      </w:r>
    </w:p>
    <w:p>
      <w:pPr>
        <w:snapToGrid w:val="0"/>
        <w:spacing w:beforeLines="50"/>
        <w:ind w:firstLine="830" w:firstLineChars="346"/>
        <w:rPr>
          <w:rFonts w:ascii="宋体" w:hAnsi="宋体"/>
          <w:sz w:val="24"/>
        </w:rPr>
      </w:pPr>
      <w:r>
        <w:rPr>
          <w:rFonts w:hint="eastAsia" w:ascii="黑体" w:hAnsi="宋体" w:eastAsia="黑体"/>
          <w:sz w:val="24"/>
        </w:rPr>
        <w:t>(1)</w:t>
      </w:r>
      <w:r>
        <w:rPr>
          <w:rFonts w:hint="eastAsia" w:ascii="宋体" w:hAnsi="宋体"/>
          <w:sz w:val="24"/>
        </w:rPr>
        <w:t xml:space="preserve">  本谈判文件；</w:t>
      </w:r>
    </w:p>
    <w:p>
      <w:pPr>
        <w:snapToGrid w:val="0"/>
        <w:spacing w:beforeLines="50"/>
        <w:ind w:firstLine="830" w:firstLineChars="346"/>
        <w:rPr>
          <w:rFonts w:ascii="宋体" w:hAnsi="宋体"/>
          <w:sz w:val="24"/>
        </w:rPr>
      </w:pPr>
      <w:r>
        <w:rPr>
          <w:rFonts w:hint="eastAsia" w:ascii="黑体" w:hAnsi="宋体" w:eastAsia="黑体"/>
          <w:sz w:val="24"/>
        </w:rPr>
        <w:t>(2)</w:t>
      </w:r>
      <w:r>
        <w:rPr>
          <w:rFonts w:hint="eastAsia" w:ascii="宋体" w:hAnsi="宋体"/>
          <w:sz w:val="24"/>
        </w:rPr>
        <w:t xml:space="preserve">  《建设工程工程量清单计价规范》；</w:t>
      </w:r>
    </w:p>
    <w:p>
      <w:pPr>
        <w:snapToGrid w:val="0"/>
        <w:spacing w:beforeLines="50"/>
        <w:ind w:firstLine="830" w:firstLineChars="346"/>
        <w:rPr>
          <w:rFonts w:ascii="宋体" w:hAnsi="宋体"/>
          <w:sz w:val="24"/>
        </w:rPr>
      </w:pPr>
      <w:r>
        <w:rPr>
          <w:rFonts w:hint="eastAsia" w:ascii="黑体" w:hAnsi="宋体" w:eastAsia="黑体"/>
          <w:sz w:val="24"/>
        </w:rPr>
        <w:t>(3)</w:t>
      </w:r>
      <w:r>
        <w:rPr>
          <w:rFonts w:hint="eastAsia" w:ascii="宋体" w:hAnsi="宋体"/>
          <w:sz w:val="24"/>
        </w:rPr>
        <w:t xml:space="preserve">  国家或省级、行业建设主管部门颁发的计价办法；</w:t>
      </w:r>
    </w:p>
    <w:p>
      <w:pPr>
        <w:snapToGrid w:val="0"/>
        <w:spacing w:beforeLines="50"/>
        <w:ind w:firstLine="830" w:firstLineChars="346"/>
        <w:rPr>
          <w:rFonts w:ascii="宋体" w:hAnsi="宋体"/>
          <w:sz w:val="24"/>
        </w:rPr>
      </w:pPr>
      <w:r>
        <w:rPr>
          <w:rFonts w:hint="eastAsia" w:ascii="黑体" w:hAnsi="宋体" w:eastAsia="黑体"/>
          <w:sz w:val="24"/>
        </w:rPr>
        <w:t>(4)</w:t>
      </w:r>
      <w:r>
        <w:rPr>
          <w:rFonts w:hint="eastAsia" w:ascii="宋体" w:hAnsi="宋体"/>
          <w:sz w:val="24"/>
        </w:rPr>
        <w:t xml:space="preserve">  企业定额，国家或省级、行业建设主管部门颁发的计价定额；</w:t>
      </w:r>
    </w:p>
    <w:p>
      <w:pPr>
        <w:snapToGrid w:val="0"/>
        <w:spacing w:beforeLines="50"/>
        <w:ind w:firstLine="830" w:firstLineChars="346"/>
        <w:rPr>
          <w:rFonts w:ascii="宋体" w:hAnsi="宋体"/>
          <w:sz w:val="24"/>
        </w:rPr>
      </w:pPr>
      <w:r>
        <w:rPr>
          <w:rFonts w:hint="eastAsia" w:ascii="黑体" w:hAnsi="宋体" w:eastAsia="黑体"/>
          <w:sz w:val="24"/>
        </w:rPr>
        <w:t>(5)</w:t>
      </w:r>
      <w:r>
        <w:rPr>
          <w:rFonts w:hint="eastAsia" w:ascii="宋体" w:hAnsi="宋体"/>
          <w:sz w:val="24"/>
        </w:rPr>
        <w:t xml:space="preserve">  谈判文件(包括工程量清单)的澄清、补充和修改文件；</w:t>
      </w:r>
    </w:p>
    <w:p>
      <w:pPr>
        <w:snapToGrid w:val="0"/>
        <w:spacing w:beforeLines="50"/>
        <w:ind w:firstLine="830" w:firstLineChars="346"/>
        <w:rPr>
          <w:rFonts w:ascii="宋体" w:hAnsi="宋体"/>
          <w:sz w:val="24"/>
        </w:rPr>
      </w:pPr>
      <w:r>
        <w:rPr>
          <w:rFonts w:hint="eastAsia" w:ascii="黑体" w:hAnsi="宋体" w:eastAsia="黑体"/>
          <w:sz w:val="24"/>
        </w:rPr>
        <w:t>(6)</w:t>
      </w:r>
      <w:r>
        <w:rPr>
          <w:rFonts w:hint="eastAsia" w:ascii="宋体" w:hAnsi="宋体"/>
          <w:sz w:val="24"/>
        </w:rPr>
        <w:t xml:space="preserve">  建设工程设计文件及相关资料；</w:t>
      </w:r>
    </w:p>
    <w:p>
      <w:pPr>
        <w:snapToGrid w:val="0"/>
        <w:spacing w:beforeLines="50"/>
        <w:ind w:firstLine="830" w:firstLineChars="346"/>
        <w:rPr>
          <w:rFonts w:ascii="宋体" w:hAnsi="宋体"/>
          <w:sz w:val="24"/>
        </w:rPr>
      </w:pPr>
      <w:r>
        <w:rPr>
          <w:rFonts w:hint="eastAsia" w:ascii="黑体" w:hAnsi="宋体" w:eastAsia="黑体"/>
          <w:sz w:val="24"/>
        </w:rPr>
        <w:t>(7)</w:t>
      </w:r>
      <w:r>
        <w:rPr>
          <w:rFonts w:hint="eastAsia" w:ascii="宋体" w:hAnsi="宋体"/>
          <w:sz w:val="24"/>
        </w:rPr>
        <w:t xml:space="preserve">  施工现场情况、工程特点及拟定的施工组织设计或施工方案；</w:t>
      </w:r>
    </w:p>
    <w:p>
      <w:pPr>
        <w:snapToGrid w:val="0"/>
        <w:spacing w:beforeLines="50"/>
        <w:ind w:firstLine="830" w:firstLineChars="346"/>
        <w:rPr>
          <w:sz w:val="24"/>
        </w:rPr>
      </w:pPr>
      <w:r>
        <w:rPr>
          <w:rFonts w:hint="eastAsia" w:ascii="黑体" w:eastAsia="黑体"/>
          <w:sz w:val="24"/>
        </w:rPr>
        <w:t>(8)</w:t>
      </w:r>
      <w:r>
        <w:rPr>
          <w:rFonts w:hint="eastAsia"/>
          <w:sz w:val="24"/>
        </w:rPr>
        <w:t xml:space="preserve">  与建设项目相关的标准、规定等技术资料；</w:t>
      </w:r>
    </w:p>
    <w:p>
      <w:pPr>
        <w:snapToGrid w:val="0"/>
        <w:spacing w:beforeLines="50"/>
        <w:ind w:firstLine="830" w:firstLineChars="346"/>
        <w:rPr>
          <w:sz w:val="24"/>
        </w:rPr>
      </w:pPr>
      <w:r>
        <w:rPr>
          <w:rFonts w:hint="eastAsia" w:ascii="黑体" w:eastAsia="黑体"/>
          <w:sz w:val="24"/>
        </w:rPr>
        <w:t>(9)</w:t>
      </w:r>
      <w:r>
        <w:rPr>
          <w:rFonts w:hint="eastAsia"/>
          <w:sz w:val="24"/>
        </w:rPr>
        <w:t xml:space="preserve">  市场价格信息或工程造价管理机构发布的工程造价信息；</w:t>
      </w:r>
    </w:p>
    <w:p>
      <w:pPr>
        <w:snapToGrid w:val="0"/>
        <w:spacing w:beforeLines="50"/>
        <w:ind w:firstLine="830" w:firstLineChars="346"/>
        <w:rPr>
          <w:sz w:val="24"/>
        </w:rPr>
      </w:pPr>
      <w:r>
        <w:rPr>
          <w:rFonts w:hint="eastAsia" w:ascii="黑体" w:eastAsia="黑体"/>
          <w:sz w:val="24"/>
        </w:rPr>
        <w:t xml:space="preserve">(10) </w:t>
      </w:r>
      <w:r>
        <w:rPr>
          <w:rFonts w:hint="eastAsia"/>
          <w:sz w:val="24"/>
        </w:rPr>
        <w:t>其他的相关资料。</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2.2</w:t>
      </w:r>
      <w:r>
        <w:rPr>
          <w:rFonts w:hint="eastAsia" w:asciiTheme="minorEastAsia" w:hAnsiTheme="minorEastAsia" w:eastAsiaTheme="minorEastAsia"/>
          <w:sz w:val="24"/>
        </w:rPr>
        <w:tab/>
      </w:r>
      <w:r>
        <w:rPr>
          <w:rFonts w:hint="eastAsia" w:asciiTheme="minorEastAsia" w:hAnsiTheme="minorEastAsia" w:eastAsiaTheme="minorEastAsia"/>
          <w:sz w:val="24"/>
        </w:rPr>
        <w:t>工程量清单中的每一子目须填入单价或价格，且只允许有一个报价。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2.3</w:t>
      </w:r>
      <w:r>
        <w:rPr>
          <w:rFonts w:hint="eastAsia" w:asciiTheme="minorEastAsia" w:hAnsiTheme="minorEastAsia" w:eastAsiaTheme="minorEastAsia"/>
          <w:sz w:val="24"/>
        </w:rPr>
        <w:tab/>
      </w:r>
      <w:r>
        <w:rPr>
          <w:rFonts w:hint="eastAsia" w:asciiTheme="minorEastAsia" w:hAnsiTheme="minorEastAsia" w:eastAsiaTheme="minorEastAsia"/>
          <w:sz w:val="24"/>
        </w:rPr>
        <w:t>工程量清单中标价的单价或金额，应包括所需人工费、材料费、施工机械使用费和管理费及利润，以及一定范围内的风险费用。所谓“一定范围内的风险”是指合同约定的风险。</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2.4</w:t>
      </w:r>
      <w:r>
        <w:rPr>
          <w:rFonts w:hint="eastAsia" w:asciiTheme="minorEastAsia" w:hAnsiTheme="minorEastAsia" w:eastAsiaTheme="minorEastAsia"/>
          <w:sz w:val="24"/>
        </w:rPr>
        <w:tab/>
      </w:r>
      <w:r>
        <w:rPr>
          <w:rFonts w:hint="eastAsia" w:asciiTheme="minorEastAsia" w:hAnsiTheme="minorEastAsia" w:eastAsiaTheme="minorEastAsia"/>
          <w:sz w:val="24"/>
        </w:rPr>
        <w:t>已标价工程量清单中供应商没有填入单价或价格的子目，其费用视为已分摊在工程量清单中其他已标价的相关子目的单价或价格之中。</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2.5</w:t>
      </w:r>
      <w:r>
        <w:rPr>
          <w:rFonts w:hint="eastAsia" w:asciiTheme="minorEastAsia" w:hAnsiTheme="minorEastAsia" w:eastAsiaTheme="minorEastAsia"/>
          <w:sz w:val="24"/>
        </w:rPr>
        <w:tab/>
      </w:r>
      <w:r>
        <w:rPr>
          <w:rFonts w:hint="eastAsia" w:asciiTheme="minorEastAsia" w:hAnsiTheme="minorEastAsia" w:eastAsiaTheme="minorEastAsia"/>
          <w:sz w:val="24"/>
        </w:rPr>
        <w:t>“报价汇总表”中的总价由分部分项工程费、措施项目费、其他项目费、规费和税金组成，并且“报价汇总表”中的总价应当与构成已标价工程量清单的分部分项工程费、措施项目费、其他项目费、规费、税金的合计金额一致。</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w:t>
      </w:r>
      <w:r>
        <w:rPr>
          <w:rFonts w:hint="eastAsia" w:asciiTheme="minorEastAsia" w:hAnsiTheme="minorEastAsia" w:eastAsiaTheme="minorEastAsia"/>
          <w:sz w:val="24"/>
        </w:rPr>
        <w:tab/>
      </w:r>
      <w:r>
        <w:rPr>
          <w:rFonts w:hint="eastAsia" w:asciiTheme="minorEastAsia" w:hAnsiTheme="minorEastAsia" w:eastAsiaTheme="minorEastAsia"/>
          <w:sz w:val="24"/>
        </w:rPr>
        <w:t>分部分项工程项目按下列要求报价：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2.6.1</w:t>
      </w:r>
      <w:r>
        <w:rPr>
          <w:rFonts w:hint="eastAsia" w:asciiTheme="minorEastAsia" w:hAnsiTheme="minorEastAsia" w:eastAsiaTheme="minorEastAsia"/>
          <w:sz w:val="24"/>
        </w:rPr>
        <w:tab/>
      </w:r>
      <w:r>
        <w:rPr>
          <w:rFonts w:hint="eastAsia" w:asciiTheme="minorEastAsia" w:hAnsiTheme="minorEastAsia" w:eastAsiaTheme="minorEastAsia"/>
          <w:sz w:val="24"/>
        </w:rPr>
        <w:t>分部分项工程量清单计价应依据计价规范中关于综合单价的组成内容确定报价。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2.6.2</w:t>
      </w:r>
      <w:r>
        <w:rPr>
          <w:rFonts w:hint="eastAsia" w:asciiTheme="minorEastAsia" w:hAnsiTheme="minorEastAsia" w:eastAsiaTheme="minorEastAsia"/>
          <w:sz w:val="24"/>
        </w:rPr>
        <w:tab/>
      </w:r>
      <w:r>
        <w:rPr>
          <w:rFonts w:hint="eastAsia" w:asciiTheme="minorEastAsia" w:hAnsiTheme="minorEastAsia" w:eastAsiaTheme="minorEastAsia"/>
          <w:sz w:val="24"/>
        </w:rPr>
        <w:t>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2.6.3</w:t>
      </w:r>
      <w:r>
        <w:rPr>
          <w:rFonts w:hint="eastAsia" w:asciiTheme="minorEastAsia" w:hAnsiTheme="minorEastAsia" w:eastAsiaTheme="minorEastAsia"/>
          <w:sz w:val="24"/>
        </w:rPr>
        <w:tab/>
      </w:r>
      <w:r>
        <w:rPr>
          <w:rFonts w:hint="eastAsia" w:asciiTheme="minorEastAsia" w:hAnsiTheme="minorEastAsia" w:eastAsiaTheme="minorEastAsia"/>
          <w:sz w:val="24"/>
        </w:rPr>
        <w:t>如果分部分项工程量清单中涉及“发包人提供的材料和工程设备一览表”中列出的材料和工程设备，则该类材料和工程设备供应至现场指定位置的采购供应价本身不计入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2.6.4</w:t>
      </w:r>
      <w:r>
        <w:rPr>
          <w:rFonts w:hint="eastAsia" w:asciiTheme="minorEastAsia" w:hAnsiTheme="minorEastAsia" w:eastAsiaTheme="minorEastAsia"/>
          <w:sz w:val="24"/>
        </w:rPr>
        <w:tab/>
      </w:r>
      <w:r>
        <w:rPr>
          <w:rFonts w:hint="eastAsia" w:asciiTheme="minorEastAsia" w:hAnsiTheme="minorEastAsia" w:eastAsiaTheme="minorEastAsia"/>
          <w:sz w:val="24"/>
        </w:rPr>
        <w:t>“</w:t>
      </w:r>
      <w:r>
        <w:rPr>
          <w:rFonts w:hint="eastAsia" w:ascii="黑体" w:eastAsia="黑体"/>
          <w:sz w:val="24"/>
        </w:rPr>
        <w:t>分部分项工程和措施项目</w:t>
      </w:r>
      <w:r>
        <w:rPr>
          <w:rFonts w:hint="eastAsia" w:asciiTheme="minorEastAsia" w:hAnsiTheme="minorEastAsia" w:eastAsiaTheme="minorEastAsia"/>
          <w:sz w:val="24"/>
        </w:rPr>
        <w:t>清单与计价表”所列各子目的综合单价组成中，各子目的人工、材料和机械台班消耗量由供应商按照其自身情况做充分的、竞争性考虑。材料消耗量包括损耗量。</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2.6.5</w:t>
      </w:r>
      <w:r>
        <w:rPr>
          <w:rFonts w:hint="eastAsia" w:asciiTheme="minorEastAsia" w:hAnsiTheme="minorEastAsia" w:eastAsiaTheme="minorEastAsia"/>
          <w:sz w:val="24"/>
        </w:rPr>
        <w:tab/>
      </w:r>
      <w:r>
        <w:rPr>
          <w:rFonts w:hint="eastAsia" w:asciiTheme="minorEastAsia" w:hAnsiTheme="minorEastAsia" w:eastAsiaTheme="minorEastAsia"/>
          <w:sz w:val="24"/>
        </w:rPr>
        <w:t>供应商在响应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报价中考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w:t>
      </w:r>
      <w:r>
        <w:rPr>
          <w:rFonts w:hint="eastAsia" w:asciiTheme="minorEastAsia" w:hAnsiTheme="minorEastAsia" w:eastAsiaTheme="minorEastAsia"/>
          <w:sz w:val="24"/>
        </w:rPr>
        <w:tab/>
      </w:r>
      <w:r>
        <w:rPr>
          <w:rFonts w:hint="eastAsia" w:asciiTheme="minorEastAsia" w:hAnsiTheme="minorEastAsia" w:eastAsiaTheme="minorEastAsia"/>
          <w:sz w:val="24"/>
        </w:rPr>
        <w:t>措施项目按下列要求报价：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2.7.1</w:t>
      </w:r>
      <w:r>
        <w:rPr>
          <w:rFonts w:hint="eastAsia" w:asciiTheme="minorEastAsia" w:hAnsiTheme="minorEastAsia" w:eastAsiaTheme="minorEastAsia"/>
          <w:sz w:val="24"/>
        </w:rPr>
        <w:tab/>
      </w:r>
      <w:r>
        <w:rPr>
          <w:rFonts w:hint="eastAsia" w:asciiTheme="minorEastAsia" w:hAnsiTheme="minorEastAsia" w:eastAsiaTheme="minorEastAsia"/>
          <w:sz w:val="24"/>
        </w:rPr>
        <w:t>措施项目清单计价应根据供应商的施工组织设计进行报价。可以计量工程量的措施项目，应按分部分项工程量清单的方式采用综合单价计价；其余的措施项目可以“项”为单位的方式计价。供应商所填报价格应包括除规费、税金外的全部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2.7.2</w:t>
      </w:r>
      <w:r>
        <w:rPr>
          <w:rFonts w:hint="eastAsia" w:asciiTheme="minorEastAsia" w:hAnsiTheme="minorEastAsia" w:eastAsiaTheme="minorEastAsia"/>
          <w:sz w:val="24"/>
        </w:rPr>
        <w:tab/>
      </w:r>
      <w:r>
        <w:rPr>
          <w:rFonts w:hint="eastAsia" w:asciiTheme="minorEastAsia" w:hAnsiTheme="minorEastAsia" w:eastAsiaTheme="minorEastAsia"/>
          <w:sz w:val="24"/>
        </w:rPr>
        <w:t>措施项目清单中的安全文明施工费应按国家、省级或行业建设主管部门的规定计价，不得作为竞争性费用。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2.7.3</w:t>
      </w:r>
      <w:r>
        <w:rPr>
          <w:rFonts w:hint="eastAsia" w:asciiTheme="minorEastAsia" w:hAnsiTheme="minorEastAsia" w:eastAsiaTheme="minorEastAsia"/>
          <w:sz w:val="24"/>
        </w:rPr>
        <w:tab/>
      </w:r>
      <w:r>
        <w:rPr>
          <w:rFonts w:hint="eastAsia" w:asciiTheme="minorEastAsia" w:hAnsiTheme="minorEastAsia" w:eastAsiaTheme="minorEastAsia"/>
          <w:sz w:val="24"/>
        </w:rPr>
        <w:t>采购人提供的措施项目清单中所列项目仅指一般的通用项目，供应商在报价时应充分、全面地阅读和理解谈判文件的相关内容和约定，包括第七章“技术标准和要求”的相关约定，详实了解工程场地及其周围环境，充分考虑本工程特点及拟定的施工方案和施工组织设计，对采购人给出的措施项目清单的内容进行细化或增减。</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2.7.4</w:t>
      </w:r>
      <w:r>
        <w:rPr>
          <w:rFonts w:hint="eastAsia" w:asciiTheme="minorEastAsia" w:hAnsiTheme="minorEastAsia" w:eastAsiaTheme="minorEastAsia"/>
          <w:sz w:val="24"/>
        </w:rPr>
        <w:tab/>
      </w:r>
      <w:r>
        <w:rPr>
          <w:rFonts w:hint="eastAsia" w:asciiTheme="minorEastAsia" w:hAnsiTheme="minorEastAsia" w:eastAsiaTheme="minorEastAsia"/>
          <w:sz w:val="24"/>
        </w:rPr>
        <w:t>“措施项目清单与计价表”中所填写的报价金额，应全面涵盖谈判文件约定的供应商成交后施工、竣工、交付本工程并维修其任何缺陷所需要履行的责任和义务的全部费用。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2.7.5</w:t>
      </w:r>
      <w:r>
        <w:rPr>
          <w:rFonts w:hint="eastAsia" w:asciiTheme="minorEastAsia" w:hAnsiTheme="minorEastAsia" w:eastAsiaTheme="minorEastAsia"/>
          <w:sz w:val="24"/>
        </w:rPr>
        <w:tab/>
      </w:r>
      <w:r>
        <w:rPr>
          <w:rFonts w:hint="eastAsia" w:asciiTheme="minorEastAsia" w:hAnsiTheme="minorEastAsia" w:eastAsiaTheme="minorEastAsia"/>
          <w:sz w:val="24"/>
        </w:rPr>
        <w:t>对于“措施项目清单与计价表”中所填写的报价金额，应按照“措施项目清单报价分析表”对措施项目报价的组成进行详细的列项和分析。</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w:t>
      </w:r>
      <w:r>
        <w:rPr>
          <w:rFonts w:hint="eastAsia" w:asciiTheme="minorEastAsia" w:hAnsiTheme="minorEastAsia" w:eastAsiaTheme="minorEastAsia"/>
          <w:sz w:val="24"/>
        </w:rPr>
        <w:tab/>
      </w:r>
      <w:r>
        <w:rPr>
          <w:rFonts w:hint="eastAsia" w:asciiTheme="minorEastAsia" w:hAnsiTheme="minorEastAsia" w:eastAsiaTheme="minorEastAsia"/>
          <w:sz w:val="24"/>
        </w:rPr>
        <w:t>其他项目清单费应按下列规定报价：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2.8.1</w:t>
      </w:r>
      <w:r>
        <w:rPr>
          <w:rFonts w:hint="eastAsia" w:asciiTheme="minorEastAsia" w:hAnsiTheme="minorEastAsia" w:eastAsiaTheme="minorEastAsia"/>
          <w:sz w:val="24"/>
        </w:rPr>
        <w:tab/>
      </w:r>
      <w:r>
        <w:rPr>
          <w:rFonts w:hint="eastAsia" w:asciiTheme="minorEastAsia" w:hAnsiTheme="minorEastAsia" w:eastAsiaTheme="minorEastAsia"/>
          <w:sz w:val="24"/>
        </w:rPr>
        <w:t>暂列金额按“暂列金额明细表”中列出的金额报价，此处的暂列金额是采购人在谈判文件中统一给定的，并不包括本章第2.8.3项的计日工金额。</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2.8.2</w:t>
      </w:r>
      <w:r>
        <w:rPr>
          <w:rFonts w:hint="eastAsia" w:asciiTheme="minorEastAsia" w:hAnsiTheme="minorEastAsia" w:eastAsiaTheme="minorEastAsia"/>
          <w:sz w:val="24"/>
        </w:rPr>
        <w:tab/>
      </w:r>
      <w:r>
        <w:rPr>
          <w:rFonts w:hint="eastAsia" w:asciiTheme="minorEastAsia" w:hAnsiTheme="minorEastAsia" w:eastAsiaTheme="minorEastAsia"/>
          <w:sz w:val="24"/>
        </w:rPr>
        <w:t>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2.8.3</w:t>
      </w:r>
      <w:r>
        <w:rPr>
          <w:rFonts w:hint="eastAsia" w:asciiTheme="minorEastAsia" w:hAnsiTheme="minorEastAsia" w:eastAsiaTheme="minorEastAsia"/>
          <w:sz w:val="24"/>
        </w:rPr>
        <w:tab/>
      </w:r>
      <w:r>
        <w:rPr>
          <w:rFonts w:hint="eastAsia" w:asciiTheme="minorEastAsia" w:hAnsiTheme="minorEastAsia" w:eastAsiaTheme="minorEastAsia"/>
          <w:sz w:val="24"/>
        </w:rPr>
        <w:t>计日工按“计日工表”中列出的子目和估算数量，自主确定综合单价并计算计日工金额。计日工综合单价均不包括规费和税金，其中：</w:t>
      </w:r>
    </w:p>
    <w:p>
      <w:pPr>
        <w:snapToGrid w:val="0"/>
        <w:spacing w:beforeLines="50"/>
        <w:ind w:left="1200" w:leftChars="400" w:hanging="360" w:hangingChars="150"/>
        <w:rPr>
          <w:rFonts w:asciiTheme="minorEastAsia" w:hAnsiTheme="minorEastAsia" w:eastAsiaTheme="minorEastAsia"/>
          <w:sz w:val="24"/>
        </w:rPr>
      </w:pPr>
      <w:r>
        <w:rPr>
          <w:rFonts w:hint="eastAsia" w:asciiTheme="minorEastAsia" w:hAnsiTheme="minorEastAsia" w:eastAsiaTheme="minorEastAsia"/>
          <w:sz w:val="24"/>
        </w:rPr>
        <w:t>(1)劳务单价应当包括工人工资、交通费用、各种补贴、劳动安全保护、社保费用、手提手动和电动工器具、施工场地内已经搭设的脚手架、水电和低值易耗品费用、现场管理费用、企业管理费和利润；</w:t>
      </w:r>
    </w:p>
    <w:p>
      <w:pPr>
        <w:snapToGrid w:val="0"/>
        <w:spacing w:beforeLines="50"/>
        <w:ind w:left="1200" w:leftChars="400" w:hanging="360" w:hangingChars="150"/>
        <w:rPr>
          <w:rFonts w:asciiTheme="minorEastAsia" w:hAnsiTheme="minorEastAsia" w:eastAsiaTheme="minorEastAsia"/>
          <w:sz w:val="24"/>
        </w:rPr>
      </w:pPr>
      <w:r>
        <w:rPr>
          <w:rFonts w:hint="eastAsia" w:asciiTheme="minorEastAsia" w:hAnsiTheme="minorEastAsia" w:eastAsiaTheme="minorEastAsia"/>
          <w:sz w:val="24"/>
        </w:rPr>
        <w:t>(2)材料价格包括材料运到现场的价格以及现场搬运、仓储、二次搬运、损耗、保险、企业管理费和利润；</w:t>
      </w:r>
    </w:p>
    <w:p>
      <w:pPr>
        <w:snapToGrid w:val="0"/>
        <w:spacing w:beforeLines="50"/>
        <w:ind w:left="1200" w:leftChars="400" w:hanging="360" w:hangingChars="150"/>
        <w:rPr>
          <w:rFonts w:asciiTheme="minorEastAsia" w:hAnsiTheme="minorEastAsia" w:eastAsiaTheme="minorEastAsia"/>
          <w:sz w:val="24"/>
        </w:rPr>
      </w:pPr>
      <w:r>
        <w:rPr>
          <w:rFonts w:hint="eastAsia" w:asciiTheme="minorEastAsia" w:hAnsiTheme="minorEastAsia" w:eastAsiaTheme="minorEastAsia"/>
          <w:sz w:val="24"/>
        </w:rPr>
        <w:t>(3)施工机械限于在施工场地(现场)的机械设备，其价格包括租赁或折旧、维修、维护和燃油等消耗品以及操作人员费用，包括承包人企业管理费和利润，但不包括规费和税金。辅助人员按劳务价格另计。</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2.8.4</w:t>
      </w:r>
      <w:r>
        <w:rPr>
          <w:rFonts w:hint="eastAsia" w:asciiTheme="minorEastAsia" w:hAnsiTheme="minorEastAsia" w:eastAsiaTheme="minorEastAsia"/>
          <w:sz w:val="24"/>
        </w:rPr>
        <w:tab/>
      </w:r>
      <w:r>
        <w:rPr>
          <w:rFonts w:hint="eastAsia" w:asciiTheme="minorEastAsia" w:hAnsiTheme="minorEastAsia" w:eastAsiaTheme="minorEastAsia"/>
          <w:sz w:val="24"/>
        </w:rPr>
        <w:t>总承包服务费根据谈判文件中列出的内容和要求，按“总承包服务费计价表”所列格式自主报价。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2.9</w:t>
      </w:r>
      <w:r>
        <w:rPr>
          <w:rFonts w:hint="eastAsia" w:asciiTheme="minorEastAsia" w:hAnsiTheme="minorEastAsia" w:eastAsiaTheme="minorEastAsia"/>
          <w:sz w:val="24"/>
        </w:rPr>
        <w:tab/>
      </w:r>
      <w:r>
        <w:rPr>
          <w:rFonts w:hint="eastAsia" w:asciiTheme="minorEastAsia" w:hAnsiTheme="minorEastAsia" w:eastAsiaTheme="minorEastAsia"/>
          <w:sz w:val="24"/>
        </w:rPr>
        <w:t>规费和税金应按“规费、税金项目清单与计价表”所列项目并根据国家、省级或行业建设主管部门的有关规定列项和计算，不得作为竞争性费用。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2.10</w:t>
      </w:r>
      <w:r>
        <w:rPr>
          <w:rFonts w:hint="eastAsia" w:asciiTheme="minorEastAsia" w:hAnsiTheme="minorEastAsia" w:eastAsiaTheme="minorEastAsia"/>
          <w:sz w:val="24"/>
        </w:rPr>
        <w:tab/>
      </w:r>
      <w:r>
        <w:rPr>
          <w:rFonts w:hint="eastAsia" w:asciiTheme="minorEastAsia" w:hAnsiTheme="minorEastAsia" w:eastAsiaTheme="minorEastAsia"/>
          <w:sz w:val="24"/>
        </w:rPr>
        <w:t>除谈判文件有强制性规定以及不可竞争部分以外，报价由供应商自主确定，但不得低于其成本。</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2.11</w:t>
      </w:r>
      <w:r>
        <w:rPr>
          <w:rFonts w:hint="eastAsia" w:asciiTheme="minorEastAsia" w:hAnsiTheme="minorEastAsia" w:eastAsiaTheme="minorEastAsia"/>
          <w:sz w:val="24"/>
        </w:rPr>
        <w:tab/>
      </w:r>
      <w:r>
        <w:rPr>
          <w:rFonts w:hint="eastAsia" w:asciiTheme="minorEastAsia" w:hAnsiTheme="minorEastAsia" w:eastAsiaTheme="minorEastAsia"/>
          <w:sz w:val="24"/>
        </w:rPr>
        <w:t>工程量清单计价所涉及的生产资源(包括各类人工、材料、工程设备、施工设备、临时设施、临时用水、临时用电等)的价格，应根据自身的信息渠道和采购渠道，分析其市场价格水平并判断其整个施工周期内的变化趋势，体现供应商自身的管理水平、技术水平和综合实力。</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2.12</w:t>
      </w:r>
      <w:r>
        <w:rPr>
          <w:rFonts w:hint="eastAsia" w:asciiTheme="minorEastAsia" w:hAnsiTheme="minorEastAsia" w:eastAsiaTheme="minorEastAsia"/>
          <w:sz w:val="24"/>
        </w:rPr>
        <w:tab/>
      </w:r>
      <w:r>
        <w:rPr>
          <w:rFonts w:hint="eastAsia" w:asciiTheme="minorEastAsia" w:hAnsiTheme="minorEastAsia" w:eastAsiaTheme="minorEastAsia"/>
          <w:sz w:val="24"/>
        </w:rPr>
        <w:t>管理费应由供应商在保证不低于其成本的基础上做竞争性考虑；利润由供应商根据自身情况和综合实力做竞争性考虑。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2.13</w:t>
      </w:r>
      <w:r>
        <w:rPr>
          <w:rFonts w:hint="eastAsia" w:asciiTheme="minorEastAsia" w:hAnsiTheme="minorEastAsia" w:eastAsiaTheme="minorEastAsia"/>
          <w:sz w:val="24"/>
        </w:rPr>
        <w:tab/>
      </w:r>
      <w:r>
        <w:rPr>
          <w:rFonts w:hint="eastAsia" w:asciiTheme="minorEastAsia" w:hAnsiTheme="minorEastAsia" w:eastAsiaTheme="minorEastAsia"/>
          <w:sz w:val="24"/>
        </w:rPr>
        <w:t>报价中应考虑谈判文件中要求供应商承担的风险范围以及相关的费用。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2.14</w:t>
      </w:r>
      <w:r>
        <w:rPr>
          <w:rFonts w:hint="eastAsia" w:asciiTheme="minorEastAsia" w:hAnsiTheme="minorEastAsia" w:eastAsiaTheme="minorEastAsia"/>
          <w:sz w:val="24"/>
        </w:rPr>
        <w:tab/>
      </w:r>
      <w:r>
        <w:rPr>
          <w:rFonts w:hint="eastAsia" w:asciiTheme="minorEastAsia" w:hAnsiTheme="minorEastAsia" w:eastAsiaTheme="minorEastAsia"/>
          <w:sz w:val="24"/>
        </w:rPr>
        <w:t>报价总价为供应商在响应文件中提出的各项支付金额的总和，为实施、完成本工程并修补缺陷以及履行谈判文件中约定的风险范围内的所有责任和义务所发生的全部费用。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2.15</w:t>
      </w:r>
      <w:r>
        <w:rPr>
          <w:rFonts w:hint="eastAsia" w:asciiTheme="minorEastAsia" w:hAnsiTheme="minorEastAsia" w:eastAsiaTheme="minorEastAsia"/>
          <w:sz w:val="24"/>
        </w:rPr>
        <w:tab/>
      </w:r>
      <w:r>
        <w:rPr>
          <w:rFonts w:hint="eastAsia" w:asciiTheme="minorEastAsia" w:hAnsiTheme="minorEastAsia" w:eastAsiaTheme="minorEastAsia"/>
          <w:sz w:val="24"/>
        </w:rPr>
        <w:t>有关报价的其他说明：</w:t>
      </w:r>
    </w:p>
    <w:p>
      <w:pPr>
        <w:adjustRightInd w:val="0"/>
        <w:snapToGrid w:val="0"/>
        <w:spacing w:beforeLines="50"/>
        <w:ind w:left="849" w:leftChars="404" w:hanging="1"/>
        <w:rPr>
          <w:sz w:val="24"/>
          <w:u w:val="single"/>
        </w:rPr>
      </w:pPr>
      <w:r>
        <w:rPr>
          <w:rFonts w:hint="eastAsia"/>
          <w:sz w:val="24"/>
          <w:u w:val="single"/>
        </w:rPr>
        <w:t>供应商不得修改采购人发出的工程量清单的任何内容，包括：分部分项工程和单价措施项目清单中的序号、项目编码、项目名称、项目特征描述、计量单位和工程量；暂列金额明细表、材料设备的暂估单价以及计日工表中的项目名称、暂定数量等。否则其响应文件无效，并不得参与谈判。</w:t>
      </w:r>
    </w:p>
    <w:p>
      <w:pPr>
        <w:snapToGrid w:val="0"/>
        <w:spacing w:beforeLines="50"/>
        <w:ind w:left="850" w:hanging="849" w:hangingChars="354"/>
        <w:outlineLvl w:val="1"/>
        <w:rPr>
          <w:rFonts w:ascii="黑体" w:hAnsi="宋体" w:eastAsia="黑体"/>
          <w:sz w:val="24"/>
        </w:rPr>
      </w:pPr>
      <w:bookmarkStart w:id="561" w:name="_Toc2123"/>
      <w:bookmarkStart w:id="562" w:name="_Toc4400"/>
      <w:r>
        <w:rPr>
          <w:rFonts w:hint="eastAsia" w:ascii="黑体" w:hAnsi="宋体" w:eastAsia="黑体"/>
          <w:sz w:val="24"/>
        </w:rPr>
        <w:t>3</w:t>
      </w:r>
      <w:r>
        <w:rPr>
          <w:rFonts w:hint="eastAsia" w:ascii="黑体" w:hAnsi="宋体" w:eastAsia="黑体"/>
          <w:sz w:val="24"/>
        </w:rPr>
        <w:tab/>
      </w:r>
      <w:r>
        <w:rPr>
          <w:rFonts w:hint="eastAsia" w:ascii="黑体" w:hAnsi="宋体" w:eastAsia="黑体"/>
          <w:sz w:val="24"/>
        </w:rPr>
        <w:t>其他说明</w:t>
      </w:r>
      <w:bookmarkEnd w:id="561"/>
      <w:bookmarkEnd w:id="562"/>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w:t>
      </w:r>
      <w:r>
        <w:rPr>
          <w:rFonts w:hint="eastAsia" w:asciiTheme="minorEastAsia" w:hAnsiTheme="minorEastAsia" w:eastAsiaTheme="minorEastAsia"/>
          <w:sz w:val="24"/>
        </w:rPr>
        <w:tab/>
      </w:r>
      <w:r>
        <w:rPr>
          <w:rFonts w:hint="eastAsia" w:asciiTheme="minorEastAsia" w:hAnsiTheme="minorEastAsia" w:eastAsiaTheme="minorEastAsia"/>
          <w:sz w:val="24"/>
        </w:rPr>
        <w:t>词语和定义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3.1.1</w:t>
      </w:r>
      <w:r>
        <w:rPr>
          <w:rFonts w:hint="eastAsia" w:asciiTheme="minorEastAsia" w:hAnsiTheme="minorEastAsia" w:eastAsiaTheme="minorEastAsia"/>
          <w:sz w:val="24"/>
        </w:rPr>
        <w:tab/>
      </w:r>
      <w:r>
        <w:rPr>
          <w:rFonts w:hint="eastAsia" w:asciiTheme="minorEastAsia" w:hAnsiTheme="minorEastAsia" w:eastAsiaTheme="minorEastAsia"/>
          <w:sz w:val="24"/>
        </w:rPr>
        <w:t>工程量清单</w:t>
      </w:r>
    </w:p>
    <w:p>
      <w:pPr>
        <w:snapToGrid w:val="0"/>
        <w:spacing w:beforeLines="50"/>
        <w:ind w:left="840" w:leftChars="400"/>
        <w:rPr>
          <w:sz w:val="24"/>
        </w:rPr>
      </w:pPr>
      <w:r>
        <w:rPr>
          <w:rFonts w:hint="eastAsia"/>
          <w:sz w:val="24"/>
        </w:rPr>
        <w:t>是表现本工程分部分项工程项目、措施项目、其他项目、规费项目和税金的名称和相应数量等的明细清单。</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3.1.2</w:t>
      </w:r>
      <w:r>
        <w:rPr>
          <w:rFonts w:hint="eastAsia" w:asciiTheme="minorEastAsia" w:hAnsiTheme="minorEastAsia" w:eastAsiaTheme="minorEastAsia"/>
          <w:sz w:val="24"/>
        </w:rPr>
        <w:tab/>
      </w:r>
      <w:r>
        <w:rPr>
          <w:rFonts w:hint="eastAsia" w:asciiTheme="minorEastAsia" w:hAnsiTheme="minorEastAsia" w:eastAsiaTheme="minorEastAsia"/>
          <w:sz w:val="24"/>
        </w:rPr>
        <w:t>总价子目</w:t>
      </w:r>
    </w:p>
    <w:p>
      <w:pPr>
        <w:snapToGrid w:val="0"/>
        <w:spacing w:beforeLines="50"/>
        <w:ind w:left="840" w:leftChars="400"/>
        <w:rPr>
          <w:sz w:val="24"/>
        </w:rPr>
      </w:pPr>
      <w:r>
        <w:rPr>
          <w:rFonts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约定的变更除外)。</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3.1.3</w:t>
      </w:r>
      <w:r>
        <w:rPr>
          <w:rFonts w:hint="eastAsia" w:asciiTheme="minorEastAsia" w:hAnsiTheme="minorEastAsia" w:eastAsiaTheme="minorEastAsia"/>
          <w:sz w:val="24"/>
        </w:rPr>
        <w:tab/>
      </w:r>
      <w:r>
        <w:rPr>
          <w:rFonts w:hint="eastAsia" w:asciiTheme="minorEastAsia" w:hAnsiTheme="minorEastAsia" w:eastAsiaTheme="minorEastAsia"/>
          <w:sz w:val="24"/>
        </w:rPr>
        <w:t>单价子目</w:t>
      </w:r>
    </w:p>
    <w:p>
      <w:pPr>
        <w:snapToGrid w:val="0"/>
        <w:spacing w:beforeLines="50"/>
        <w:ind w:left="840" w:leftChars="400"/>
        <w:rPr>
          <w:sz w:val="24"/>
        </w:rPr>
      </w:pPr>
      <w:r>
        <w:rPr>
          <w:rFonts w:hint="eastAsia"/>
          <w:sz w:val="24"/>
        </w:rPr>
        <w:t>工程量清单中以单价计价，根据有合同约束力的图纸和工程量计算规则进行计量，以实际完成数量乘以相应单价进行结算的子目。</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3.1.4</w:t>
      </w:r>
      <w:r>
        <w:rPr>
          <w:rFonts w:hint="eastAsia" w:asciiTheme="minorEastAsia" w:hAnsiTheme="minorEastAsia" w:eastAsiaTheme="minorEastAsia"/>
          <w:sz w:val="24"/>
        </w:rPr>
        <w:tab/>
      </w:r>
      <w:r>
        <w:rPr>
          <w:rFonts w:hint="eastAsia" w:asciiTheme="minorEastAsia" w:hAnsiTheme="minorEastAsia" w:eastAsiaTheme="minorEastAsia"/>
          <w:sz w:val="24"/>
        </w:rPr>
        <w:t>子目编码</w:t>
      </w:r>
    </w:p>
    <w:p>
      <w:pPr>
        <w:snapToGrid w:val="0"/>
        <w:spacing w:beforeLines="50"/>
        <w:ind w:left="840" w:leftChars="400"/>
        <w:rPr>
          <w:sz w:val="24"/>
        </w:rPr>
      </w:pPr>
      <w:r>
        <w:rPr>
          <w:rFonts w:hint="eastAsia"/>
          <w:sz w:val="24"/>
        </w:rPr>
        <w:t>分部分项工程项目清单中所列的子目名称的数字标识和代码，子目编码与项目编码同义。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3.1.5</w:t>
      </w:r>
      <w:r>
        <w:rPr>
          <w:rFonts w:hint="eastAsia" w:asciiTheme="minorEastAsia" w:hAnsiTheme="minorEastAsia" w:eastAsiaTheme="minorEastAsia"/>
          <w:sz w:val="24"/>
        </w:rPr>
        <w:tab/>
      </w:r>
      <w:r>
        <w:rPr>
          <w:rFonts w:hint="eastAsia" w:asciiTheme="minorEastAsia" w:hAnsiTheme="minorEastAsia" w:eastAsiaTheme="minorEastAsia"/>
          <w:sz w:val="24"/>
        </w:rPr>
        <w:t>子目特征</w:t>
      </w:r>
    </w:p>
    <w:p>
      <w:pPr>
        <w:snapToGrid w:val="0"/>
        <w:spacing w:beforeLines="50"/>
        <w:ind w:left="840" w:leftChars="400"/>
        <w:rPr>
          <w:sz w:val="24"/>
        </w:rPr>
      </w:pPr>
      <w:r>
        <w:rPr>
          <w:rFonts w:hint="eastAsia"/>
          <w:sz w:val="24"/>
        </w:rPr>
        <w:t>构成分部分项工程项目清单子目、措施项目的实质内容、决定其自身价值的本质特征，子目特征与项目特征同义。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3.1.6</w:t>
      </w:r>
      <w:r>
        <w:rPr>
          <w:rFonts w:hint="eastAsia" w:asciiTheme="minorEastAsia" w:hAnsiTheme="minorEastAsia" w:eastAsiaTheme="minorEastAsia"/>
          <w:sz w:val="24"/>
        </w:rPr>
        <w:tab/>
      </w:r>
      <w:r>
        <w:rPr>
          <w:rFonts w:hint="eastAsia" w:asciiTheme="minorEastAsia" w:hAnsiTheme="minorEastAsia" w:eastAsiaTheme="minorEastAsia"/>
          <w:sz w:val="24"/>
        </w:rPr>
        <w:t>规费</w:t>
      </w:r>
    </w:p>
    <w:p>
      <w:pPr>
        <w:snapToGrid w:val="0"/>
        <w:spacing w:beforeLines="50"/>
        <w:ind w:left="840" w:leftChars="400"/>
        <w:rPr>
          <w:sz w:val="24"/>
        </w:rPr>
      </w:pPr>
      <w:r>
        <w:rPr>
          <w:rFonts w:hint="eastAsia"/>
          <w:sz w:val="24"/>
        </w:rPr>
        <w:t>承包人根据省级政府或省级有关权力部门规定必须缴纳的，应计入建筑安装工程造价的费用。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3.1.7</w:t>
      </w:r>
      <w:r>
        <w:rPr>
          <w:rFonts w:hint="eastAsia" w:asciiTheme="minorEastAsia" w:hAnsiTheme="minorEastAsia" w:eastAsiaTheme="minorEastAsia"/>
          <w:sz w:val="24"/>
        </w:rPr>
        <w:tab/>
      </w:r>
      <w:r>
        <w:rPr>
          <w:rFonts w:hint="eastAsia" w:asciiTheme="minorEastAsia" w:hAnsiTheme="minorEastAsia" w:eastAsiaTheme="minorEastAsia"/>
          <w:sz w:val="24"/>
        </w:rPr>
        <w:t>税金</w:t>
      </w:r>
    </w:p>
    <w:p>
      <w:pPr>
        <w:snapToGrid w:val="0"/>
        <w:spacing w:beforeLines="50"/>
        <w:ind w:left="840" w:leftChars="400"/>
        <w:rPr>
          <w:sz w:val="24"/>
        </w:rPr>
      </w:pPr>
      <w:r>
        <w:rPr>
          <w:rFonts w:hint="eastAsia"/>
          <w:sz w:val="24"/>
        </w:rPr>
        <w:t>国家税法规定的应计入建筑安装工程造价内的营业税、城市维护建设税及教育费附加等。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3.1.8</w:t>
      </w:r>
      <w:r>
        <w:rPr>
          <w:rFonts w:hint="eastAsia" w:asciiTheme="minorEastAsia" w:hAnsiTheme="minorEastAsia" w:eastAsiaTheme="minorEastAsia"/>
          <w:sz w:val="24"/>
        </w:rPr>
        <w:tab/>
      </w:r>
      <w:r>
        <w:rPr>
          <w:rFonts w:hint="eastAsia" w:asciiTheme="minorEastAsia" w:hAnsiTheme="minorEastAsia" w:eastAsiaTheme="minorEastAsia"/>
          <w:sz w:val="24"/>
        </w:rPr>
        <w:t>总承包服务费</w:t>
      </w:r>
    </w:p>
    <w:p>
      <w:pPr>
        <w:snapToGrid w:val="0"/>
        <w:spacing w:beforeLines="50"/>
        <w:ind w:left="840" w:leftChars="400"/>
        <w:rPr>
          <w:sz w:val="24"/>
        </w:rPr>
      </w:pPr>
      <w:r>
        <w:rPr>
          <w:rFonts w:hint="eastAsia"/>
          <w:sz w:val="24"/>
        </w:rPr>
        <w:t>总承包人为配合协调发包人发包的专业工程以及发包人采购的材料和工程设备等进行管理、服务以及施工现场管理、竣工资料汇总整理等所需的费用。</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3.1.9</w:t>
      </w:r>
      <w:r>
        <w:rPr>
          <w:rFonts w:hint="eastAsia" w:asciiTheme="minorEastAsia" w:hAnsiTheme="minorEastAsia" w:eastAsiaTheme="minorEastAsia"/>
          <w:sz w:val="24"/>
        </w:rPr>
        <w:tab/>
      </w:r>
      <w:r>
        <w:rPr>
          <w:rFonts w:hint="eastAsia" w:asciiTheme="minorEastAsia" w:hAnsiTheme="minorEastAsia" w:eastAsiaTheme="minorEastAsia"/>
          <w:sz w:val="24"/>
        </w:rPr>
        <w:t>同义词语</w:t>
      </w:r>
    </w:p>
    <w:p>
      <w:pPr>
        <w:snapToGrid w:val="0"/>
        <w:spacing w:beforeLines="50"/>
        <w:ind w:left="850" w:leftChars="405" w:firstLine="2" w:firstLineChars="1"/>
        <w:rPr>
          <w:sz w:val="24"/>
        </w:rPr>
      </w:pPr>
      <w:r>
        <w:rPr>
          <w:rFonts w:hint="eastAsia"/>
          <w:sz w:val="24"/>
        </w:rPr>
        <w:t>本章中使用的词语“采购人”和“供应商”分别与合同条款中定义的“发包人”和“承包人”同义</w:t>
      </w:r>
      <w:r>
        <w:rPr>
          <w:rFonts w:hint="eastAsia" w:ascii="宋体" w:hAnsi="宋体"/>
          <w:sz w:val="24"/>
        </w:rPr>
        <w:t>；</w:t>
      </w:r>
      <w:r>
        <w:rPr>
          <w:rFonts w:hint="eastAsia"/>
          <w:sz w:val="24"/>
        </w:rPr>
        <w:t>就工程量清单而言，“子目”与“项目”同义。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w:t>
      </w:r>
      <w:r>
        <w:rPr>
          <w:rFonts w:hint="eastAsia" w:asciiTheme="minorEastAsia" w:hAnsiTheme="minorEastAsia" w:eastAsiaTheme="minorEastAsia"/>
          <w:sz w:val="24"/>
        </w:rPr>
        <w:tab/>
      </w:r>
      <w:r>
        <w:rPr>
          <w:rFonts w:hint="eastAsia" w:asciiTheme="minorEastAsia" w:hAnsiTheme="minorEastAsia" w:eastAsiaTheme="minorEastAsia"/>
          <w:sz w:val="24"/>
        </w:rPr>
        <w:t>工程量差异调整</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3.2.1</w:t>
      </w:r>
      <w:r>
        <w:rPr>
          <w:rFonts w:hint="eastAsia" w:asciiTheme="minorEastAsia" w:hAnsiTheme="minorEastAsia" w:eastAsiaTheme="minorEastAsia"/>
          <w:sz w:val="24"/>
        </w:rPr>
        <w:tab/>
      </w:r>
      <w:r>
        <w:rPr>
          <w:rFonts w:hint="eastAsia" w:asciiTheme="minorEastAsia" w:hAnsiTheme="minorEastAsia" w:eastAsiaTheme="minorEastAsia"/>
          <w:sz w:val="24"/>
        </w:rPr>
        <w:t>工程量清单中的工作内容分类、子目列项、特征描述以及“</w:t>
      </w:r>
      <w:r>
        <w:rPr>
          <w:rFonts w:hint="eastAsia" w:ascii="黑体" w:eastAsia="黑体"/>
          <w:sz w:val="24"/>
        </w:rPr>
        <w:t>分部分项工程和措施项目</w:t>
      </w:r>
      <w:r>
        <w:rPr>
          <w:rFonts w:hint="eastAsia" w:asciiTheme="minorEastAsia" w:hAnsiTheme="minorEastAsia" w:eastAsiaTheme="minorEastAsia"/>
          <w:sz w:val="24"/>
        </w:rPr>
        <w:t>清单与计价表”中附带的工程量都不应理解为是对承包范围以及合同工作内容的唯一的、最终的或全部的定义。</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3.2.2</w:t>
      </w:r>
      <w:r>
        <w:rPr>
          <w:rFonts w:hint="eastAsia" w:asciiTheme="minorEastAsia" w:hAnsiTheme="minorEastAsia" w:eastAsiaTheme="minorEastAsia"/>
          <w:sz w:val="24"/>
        </w:rPr>
        <w:tab/>
      </w:r>
      <w:r>
        <w:rPr>
          <w:rFonts w:hint="eastAsia" w:asciiTheme="minorEastAsia" w:hAnsiTheme="minorEastAsia" w:eastAsiaTheme="minorEastAsia"/>
          <w:sz w:val="24"/>
        </w:rPr>
        <w:t>供应商应对采购人提供的工程量清单进行认真细致的复核。这种复核包括对采购人提供的工程量清单中的子目编码、子目名称、子目特征描述、计量单位、工程量的准确性以及可能存在的任何书写、打印错误进行检查和复核，特别是对“</w:t>
      </w:r>
      <w:r>
        <w:rPr>
          <w:rFonts w:hint="eastAsia" w:ascii="黑体" w:eastAsia="黑体"/>
          <w:sz w:val="24"/>
        </w:rPr>
        <w:t>分部分项工程和措施项目</w:t>
      </w:r>
      <w:r>
        <w:rPr>
          <w:rFonts w:hint="eastAsia" w:asciiTheme="minorEastAsia" w:hAnsiTheme="minorEastAsia" w:eastAsiaTheme="minorEastAsia"/>
          <w:sz w:val="24"/>
        </w:rPr>
        <w:t>清单与计价表”中每个工作子目的工程量进行重新计算和校核。如果供应商经过检查和复核以后认为采购人提供的工程量清单存在差异，则供应商应将此类差异的详细情况连同按供应商须知规定提交的要求采购人澄清的其他问题一起提交给采购人，采购人将根据实际情况决定是否颁发工程量清单的补充和(或)修改文件。</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3.2.3</w:t>
      </w:r>
      <w:r>
        <w:rPr>
          <w:rFonts w:hint="eastAsia" w:asciiTheme="minorEastAsia" w:hAnsiTheme="minorEastAsia" w:eastAsiaTheme="minorEastAsia"/>
          <w:sz w:val="24"/>
        </w:rPr>
        <w:tab/>
      </w:r>
      <w:r>
        <w:rPr>
          <w:rFonts w:hint="eastAsia" w:asciiTheme="minorEastAsia" w:hAnsiTheme="minorEastAsia" w:eastAsiaTheme="minorEastAsia"/>
          <w:sz w:val="24"/>
        </w:rPr>
        <w:t>如果采购人在检查供应商根据上文第3.2.2项提交的工程量差异问题后认为没有必要对工程量清单进行补充和(或)修改，或者采购人根据上文第3.2.2项对工程量清单进行了补充和(或)修改，但供应商认为工程量清单中的工程量依然存在差异，则此类差异不再提交采购人答疑和修正，而是直接按采购人提供的工程量清单(包括采购人可能的补充和(或)修改)进行报价。供应商在按照工程量清单进行报价时，除按照本节2.7.3项要求对采购人提供的措施项目清单的内容进行细化或增减外，不得改变(包括对工程量清单子目的子目名称、子目特征描述、计量单位以及工程量的任何修改、增加或减少)采购人提供的分部分项工程量清单和其他项目清单。即使按照图纸和采购范围的约定并不存在的子目，只要在采购人提供的分部分项工程量清单中已经列明，供应商都需要对其报价，并纳入总价的计算。</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3.3</w:t>
      </w:r>
      <w:r>
        <w:rPr>
          <w:rFonts w:hint="eastAsia" w:asciiTheme="minorEastAsia" w:hAnsiTheme="minorEastAsia" w:eastAsiaTheme="minorEastAsia"/>
          <w:sz w:val="24"/>
        </w:rPr>
        <w:tab/>
      </w:r>
      <w:r>
        <w:rPr>
          <w:rFonts w:hint="eastAsia" w:asciiTheme="minorEastAsia" w:hAnsiTheme="minorEastAsia" w:eastAsiaTheme="minorEastAsia"/>
          <w:sz w:val="24"/>
        </w:rPr>
        <w:t>暂列金额和暂估价</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3.3.1</w:t>
      </w:r>
      <w:r>
        <w:rPr>
          <w:rFonts w:hint="eastAsia" w:asciiTheme="minorEastAsia" w:hAnsiTheme="minorEastAsia" w:eastAsiaTheme="minorEastAsia"/>
          <w:sz w:val="24"/>
        </w:rPr>
        <w:tab/>
      </w:r>
      <w:r>
        <w:rPr>
          <w:rFonts w:hint="eastAsia" w:asciiTheme="minorEastAsia" w:hAnsiTheme="minorEastAsia" w:eastAsiaTheme="minorEastAsia"/>
          <w:sz w:val="24"/>
        </w:rPr>
        <w:t>“暂列金额明细表”中所列暂列金额(不包括计日工金额)中已经包含与其对应的管理费、利润和规费，但不含税金。供应商应按本谈判文件规定将此类暂列金额直接纳入其他项目清单的价格并计取相应的税金，不需要考虑除税金以外的其他任何费用。</w:t>
      </w:r>
    </w:p>
    <w:p>
      <w:pPr>
        <w:snapToGrid w:val="0"/>
        <w:spacing w:beforeLines="50"/>
        <w:ind w:left="864" w:hanging="864" w:hangingChars="360"/>
        <w:rPr>
          <w:sz w:val="24"/>
        </w:rPr>
      </w:pPr>
      <w:r>
        <w:rPr>
          <w:rFonts w:hint="eastAsia" w:asciiTheme="minorEastAsia" w:hAnsiTheme="minorEastAsia" w:eastAsiaTheme="minorEastAsia"/>
          <w:sz w:val="24"/>
        </w:rPr>
        <w:t>3.3.2</w:t>
      </w:r>
      <w:r>
        <w:rPr>
          <w:rFonts w:hint="eastAsia" w:asciiTheme="minorEastAsia" w:hAnsiTheme="minorEastAsia" w:eastAsiaTheme="minorEastAsia"/>
          <w:sz w:val="24"/>
        </w:rPr>
        <w:tab/>
      </w:r>
      <w:r>
        <w:rPr>
          <w:rFonts w:hint="eastAsia" w:asciiTheme="minorEastAsia" w:hAnsiTheme="minorEastAsia" w:eastAsiaTheme="minor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谈判文件规定将此类暂估价本身纳入分部分项工程量清单相应子目的综合单价以外，供应商还应将上述材料和工程设备的安装及辅助工作所发生的费用以及与此类费用有关的管理费和利润包含在分部分项工程</w:t>
      </w:r>
      <w:r>
        <w:rPr>
          <w:rFonts w:hint="eastAsia"/>
          <w:sz w:val="24"/>
        </w:rPr>
        <w:t>量清单相应子目的综合单价中，并计取相应的规费和税金。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3.3.3</w:t>
      </w:r>
      <w:r>
        <w:rPr>
          <w:rFonts w:hint="eastAsia" w:asciiTheme="minorEastAsia" w:hAnsiTheme="minorEastAsia" w:eastAsiaTheme="minorEastAsia"/>
          <w:sz w:val="24"/>
        </w:rPr>
        <w:tab/>
      </w:r>
      <w:r>
        <w:rPr>
          <w:rFonts w:hint="eastAsia" w:asciiTheme="minorEastAsia" w:hAnsiTheme="minorEastAsia" w:eastAsiaTheme="minorEastAsia"/>
          <w:sz w:val="24"/>
        </w:rPr>
        <w:t>专业工程暂估价表中所列的专业工程暂估价已经包含与其对应的管理费、利润和规费，但不含税金。供应商应按本谈判文件规定将此类暂估价直接纳入其他项目清单的价格并计取相应的税金。除按本谈判文件规定将此类暂估价纳入其他项目清单的价格并计取相应的税金以外，供应商还需要根据谈判文件规定的内容考虑相应的总承包服务费以及与总承包服务费有关的规费和税金。</w:t>
      </w:r>
    </w:p>
    <w:p>
      <w:pPr>
        <w:snapToGrid w:val="0"/>
        <w:spacing w:beforeLines="50"/>
        <w:ind w:left="864" w:hanging="864" w:hangingChars="360"/>
        <w:rPr>
          <w:rFonts w:asciiTheme="minorEastAsia" w:hAnsiTheme="minorEastAsia" w:eastAsiaTheme="minorEastAsia"/>
          <w:sz w:val="24"/>
        </w:rPr>
      </w:pPr>
      <w:r>
        <w:rPr>
          <w:rFonts w:hint="eastAsia" w:asciiTheme="minorEastAsia" w:hAnsiTheme="minorEastAsia" w:eastAsiaTheme="minorEastAsia"/>
          <w:sz w:val="24"/>
        </w:rPr>
        <w:t>3.4</w:t>
      </w:r>
      <w:r>
        <w:rPr>
          <w:rFonts w:hint="eastAsia" w:asciiTheme="minorEastAsia" w:hAnsiTheme="minorEastAsia" w:eastAsiaTheme="minorEastAsia"/>
          <w:sz w:val="24"/>
        </w:rPr>
        <w:tab/>
      </w:r>
      <w:r>
        <w:rPr>
          <w:rFonts w:hint="eastAsia" w:asciiTheme="minorEastAsia" w:hAnsiTheme="minorEastAsia" w:eastAsiaTheme="minorEastAsia"/>
          <w:sz w:val="24"/>
        </w:rPr>
        <w:t>其他补充说明</w:t>
      </w:r>
    </w:p>
    <w:p>
      <w:pPr>
        <w:snapToGrid w:val="0"/>
        <w:spacing w:beforeLines="50"/>
        <w:ind w:firstLine="960" w:firstLineChars="400"/>
        <w:rPr>
          <w:rFonts w:ascii="黑体" w:eastAsia="黑体"/>
          <w:sz w:val="24"/>
          <w:u w:val="single"/>
        </w:rPr>
      </w:pPr>
      <w:r>
        <w:rPr>
          <w:rFonts w:hint="eastAsia" w:ascii="黑体" w:eastAsia="黑体"/>
          <w:sz w:val="24"/>
          <w:u w:val="single"/>
          <w:lang w:val="en-US" w:eastAsia="zh-CN"/>
        </w:rPr>
        <w:t>/</w:t>
      </w:r>
      <w:r>
        <w:rPr>
          <w:rFonts w:hint="eastAsia" w:ascii="黑体" w:eastAsia="黑体"/>
          <w:sz w:val="24"/>
          <w:u w:val="single"/>
        </w:rPr>
        <w:t>。</w:t>
      </w:r>
    </w:p>
    <w:p>
      <w:pPr>
        <w:spacing w:line="380" w:lineRule="exact"/>
        <w:rPr>
          <w:rFonts w:ascii="黑体" w:eastAsia="黑体"/>
          <w:sz w:val="28"/>
          <w:szCs w:val="28"/>
          <w:u w:val="single"/>
        </w:rPr>
      </w:pPr>
      <w:r>
        <w:rPr>
          <w:rFonts w:ascii="黑体" w:eastAsia="黑体"/>
          <w:sz w:val="28"/>
          <w:szCs w:val="28"/>
          <w:u w:val="single"/>
        </w:rPr>
        <w:br w:type="page"/>
      </w:r>
    </w:p>
    <w:p>
      <w:pPr>
        <w:spacing w:line="380" w:lineRule="exact"/>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详细工程量清单</w:t>
      </w:r>
    </w:p>
    <w:p>
      <w:pPr>
        <w:spacing w:line="380" w:lineRule="exact"/>
        <w:rPr>
          <w:rFonts w:hint="eastAsia" w:ascii="宋体" w:hAnsi="宋体"/>
          <w:lang w:val="en-US" w:eastAsia="zh-CN"/>
        </w:rPr>
      </w:pPr>
      <w:r>
        <w:rPr>
          <w:rFonts w:hint="eastAsia" w:ascii="宋体" w:hAnsi="宋体"/>
          <w:lang w:val="en-US" w:eastAsia="zh-CN"/>
        </w:rPr>
        <w:t>另册提供。</w:t>
      </w:r>
    </w:p>
    <w:p>
      <w:pPr>
        <w:widowControl/>
        <w:jc w:val="left"/>
      </w:pPr>
      <w:r>
        <w:br w:type="page"/>
      </w:r>
    </w:p>
    <w:p>
      <w:pPr>
        <w:snapToGrid w:val="0"/>
        <w:spacing w:afterLines="50"/>
        <w:jc w:val="center"/>
        <w:outlineLvl w:val="0"/>
        <w:rPr>
          <w:sz w:val="36"/>
          <w:szCs w:val="36"/>
          <w:highlight w:val="none"/>
        </w:rPr>
      </w:pPr>
      <w:bookmarkStart w:id="563" w:name="_Toc28310"/>
      <w:r>
        <w:rPr>
          <w:rFonts w:hint="eastAsia"/>
          <w:sz w:val="36"/>
          <w:szCs w:val="36"/>
          <w:highlight w:val="none"/>
        </w:rPr>
        <w:t>第六章</w:t>
      </w:r>
      <w:r>
        <w:rPr>
          <w:sz w:val="36"/>
          <w:szCs w:val="36"/>
          <w:highlight w:val="none"/>
        </w:rPr>
        <w:t xml:space="preserve"> </w:t>
      </w:r>
      <w:r>
        <w:rPr>
          <w:rFonts w:hint="eastAsia"/>
          <w:sz w:val="36"/>
          <w:szCs w:val="36"/>
          <w:highlight w:val="none"/>
          <w:lang w:val="en-US" w:eastAsia="zh-CN"/>
        </w:rPr>
        <w:t xml:space="preserve"> </w:t>
      </w:r>
      <w:r>
        <w:rPr>
          <w:rFonts w:hint="eastAsia"/>
          <w:sz w:val="36"/>
          <w:szCs w:val="36"/>
          <w:highlight w:val="none"/>
        </w:rPr>
        <w:t>技术标准和要求</w:t>
      </w:r>
      <w:bookmarkEnd w:id="563"/>
    </w:p>
    <w:p>
      <w:pPr>
        <w:snapToGrid w:val="0"/>
        <w:spacing w:afterLines="50"/>
        <w:jc w:val="center"/>
      </w:pPr>
    </w:p>
    <w:p>
      <w:pPr>
        <w:snapToGrid w:val="0"/>
        <w:spacing w:afterLines="50"/>
        <w:jc w:val="center"/>
      </w:pPr>
    </w:p>
    <w:p>
      <w:pPr>
        <w:snapToGrid w:val="0"/>
        <w:spacing w:afterLines="50"/>
        <w:jc w:val="center"/>
        <w:rPr>
          <w:sz w:val="24"/>
        </w:rPr>
      </w:pPr>
      <w:r>
        <w:rPr>
          <w:rFonts w:hint="eastAsia"/>
          <w:sz w:val="24"/>
        </w:rPr>
        <w:t>适用标准、规范的名称：除适用现行国家及省市相关的所有标准、规范、规程外，承诺包人还必须遵守发包人在签订合同时及建设项目过程中制订的相关管理规定。</w:t>
      </w:r>
    </w:p>
    <w:p>
      <w:pPr>
        <w:snapToGrid w:val="0"/>
        <w:spacing w:afterLines="50"/>
        <w:jc w:val="center"/>
        <w:rPr>
          <w:sz w:val="24"/>
        </w:rPr>
      </w:pPr>
      <w:r>
        <w:rPr>
          <w:rFonts w:hint="eastAsia"/>
          <w:sz w:val="24"/>
        </w:rPr>
        <w:t>国内没有相应标准、规范时的约定：由发包人委托的设计单位提出标准及规范(含国外标准)，经工程师确认后执行。</w:t>
      </w:r>
    </w:p>
    <w:p>
      <w:pPr>
        <w:snapToGrid w:val="0"/>
        <w:spacing w:afterLines="50"/>
        <w:jc w:val="center"/>
      </w:pPr>
    </w:p>
    <w:p>
      <w:pPr>
        <w:snapToGrid w:val="0"/>
        <w:spacing w:afterLines="50"/>
        <w:jc w:val="center"/>
      </w:pPr>
    </w:p>
    <w:p>
      <w:pPr>
        <w:snapToGrid w:val="0"/>
        <w:spacing w:afterLines="50"/>
      </w:pPr>
      <w:r>
        <w:br w:type="page"/>
      </w:r>
    </w:p>
    <w:p>
      <w:pPr>
        <w:snapToGrid w:val="0"/>
        <w:spacing w:afterLines="50"/>
      </w:pPr>
    </w:p>
    <w:p>
      <w:pPr>
        <w:snapToGrid w:val="0"/>
        <w:spacing w:afterLines="50"/>
      </w:pPr>
    </w:p>
    <w:p>
      <w:pPr>
        <w:snapToGrid w:val="0"/>
        <w:spacing w:afterLines="50"/>
        <w:jc w:val="center"/>
        <w:outlineLvl w:val="0"/>
        <w:rPr>
          <w:sz w:val="44"/>
          <w:szCs w:val="44"/>
        </w:rPr>
      </w:pPr>
      <w:bookmarkStart w:id="564" w:name="_Toc29219"/>
      <w:r>
        <w:rPr>
          <w:rFonts w:hint="eastAsia"/>
          <w:sz w:val="44"/>
          <w:szCs w:val="44"/>
        </w:rPr>
        <w:t>第七章</w:t>
      </w:r>
      <w:r>
        <w:rPr>
          <w:rFonts w:hint="eastAsia"/>
          <w:sz w:val="44"/>
          <w:szCs w:val="44"/>
          <w:lang w:val="en-US" w:eastAsia="zh-CN"/>
        </w:rPr>
        <w:t xml:space="preserve">  </w:t>
      </w:r>
      <w:r>
        <w:rPr>
          <w:rFonts w:hint="eastAsia"/>
          <w:sz w:val="44"/>
          <w:szCs w:val="44"/>
        </w:rPr>
        <w:t>响应文件格式</w:t>
      </w:r>
      <w:bookmarkEnd w:id="564"/>
    </w:p>
    <w:p>
      <w:pPr>
        <w:snapToGrid w:val="0"/>
        <w:spacing w:afterLines="50"/>
      </w:pPr>
    </w:p>
    <w:p>
      <w:pPr>
        <w:spacing w:line="360" w:lineRule="auto"/>
        <w:jc w:val="center"/>
        <w:outlineLvl w:val="1"/>
        <w:rPr>
          <w:b/>
          <w:sz w:val="30"/>
          <w:szCs w:val="30"/>
        </w:rPr>
      </w:pPr>
      <w:r>
        <w:br w:type="page"/>
      </w:r>
      <w:bookmarkStart w:id="565" w:name="_Toc414445763"/>
      <w:bookmarkStart w:id="566" w:name="_Toc298458725"/>
      <w:bookmarkStart w:id="567" w:name="_Toc298745650"/>
      <w:bookmarkStart w:id="568" w:name="_Toc2190"/>
      <w:bookmarkStart w:id="569" w:name="_Toc298745568"/>
      <w:bookmarkStart w:id="570" w:name="_Toc298434528"/>
      <w:bookmarkStart w:id="571" w:name="_Toc416103813"/>
      <w:bookmarkStart w:id="572" w:name="_Toc327276295"/>
      <w:bookmarkStart w:id="573" w:name="_Toc298434671"/>
      <w:bookmarkStart w:id="574" w:name="_Toc350418253"/>
      <w:bookmarkStart w:id="575" w:name="_Toc23024"/>
      <w:bookmarkStart w:id="576" w:name="_Toc410631171"/>
      <w:bookmarkStart w:id="577" w:name="_Toc332094984"/>
      <w:bookmarkStart w:id="578" w:name="_Toc10540"/>
      <w:r>
        <w:rPr>
          <w:b/>
          <w:sz w:val="30"/>
          <w:szCs w:val="30"/>
        </w:rPr>
        <w:t>评</w:t>
      </w:r>
      <w:r>
        <w:rPr>
          <w:rFonts w:hint="eastAsia"/>
          <w:b/>
          <w:sz w:val="30"/>
          <w:szCs w:val="30"/>
        </w:rPr>
        <w:t>审</w:t>
      </w:r>
      <w:r>
        <w:rPr>
          <w:b/>
          <w:sz w:val="30"/>
          <w:szCs w:val="30"/>
        </w:rPr>
        <w:t>索引</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bl>
      <w:tblPr>
        <w:tblStyle w:val="87"/>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722"/>
        <w:gridCol w:w="453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序号</w:t>
            </w:r>
          </w:p>
        </w:tc>
        <w:tc>
          <w:tcPr>
            <w:tcW w:w="1722" w:type="dxa"/>
            <w:vAlign w:val="center"/>
          </w:tcPr>
          <w:p>
            <w:pPr>
              <w:snapToGrid w:val="0"/>
              <w:jc w:val="center"/>
              <w:rPr>
                <w:rFonts w:ascii="宋体"/>
                <w:szCs w:val="21"/>
              </w:rPr>
            </w:pPr>
            <w:r>
              <w:rPr>
                <w:rFonts w:hint="eastAsia" w:ascii="宋体"/>
                <w:szCs w:val="21"/>
              </w:rPr>
              <w:t>评审办法条款号</w:t>
            </w:r>
          </w:p>
        </w:tc>
        <w:tc>
          <w:tcPr>
            <w:tcW w:w="4536" w:type="dxa"/>
            <w:vAlign w:val="center"/>
          </w:tcPr>
          <w:p>
            <w:pPr>
              <w:snapToGrid w:val="0"/>
              <w:jc w:val="center"/>
              <w:rPr>
                <w:rFonts w:ascii="宋体"/>
                <w:szCs w:val="21"/>
              </w:rPr>
            </w:pPr>
            <w:r>
              <w:rPr>
                <w:rFonts w:hint="eastAsia" w:ascii="宋体"/>
                <w:szCs w:val="21"/>
              </w:rPr>
              <w:t>评审办法要求</w:t>
            </w:r>
          </w:p>
        </w:tc>
        <w:tc>
          <w:tcPr>
            <w:tcW w:w="1843" w:type="dxa"/>
            <w:vAlign w:val="center"/>
          </w:tcPr>
          <w:p>
            <w:pPr>
              <w:snapToGrid w:val="0"/>
              <w:jc w:val="center"/>
              <w:rPr>
                <w:rFonts w:ascii="宋体"/>
                <w:szCs w:val="21"/>
              </w:rPr>
            </w:pPr>
            <w:r>
              <w:rPr>
                <w:rFonts w:hint="eastAsia" w:ascii="宋体"/>
                <w:szCs w:val="21"/>
              </w:rPr>
              <w:t>响应文件对应内容的册及页码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一</w:t>
            </w:r>
          </w:p>
        </w:tc>
        <w:tc>
          <w:tcPr>
            <w:tcW w:w="1722" w:type="dxa"/>
            <w:vAlign w:val="center"/>
          </w:tcPr>
          <w:p>
            <w:pPr>
              <w:snapToGrid w:val="0"/>
              <w:jc w:val="center"/>
              <w:rPr>
                <w:rFonts w:ascii="宋体"/>
                <w:szCs w:val="21"/>
              </w:rPr>
            </w:pPr>
            <w:r>
              <w:rPr>
                <w:rFonts w:hint="eastAsia" w:ascii="宋体"/>
                <w:szCs w:val="21"/>
              </w:rPr>
              <w:t>资格审查</w:t>
            </w: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1</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2</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二</w:t>
            </w:r>
          </w:p>
        </w:tc>
        <w:tc>
          <w:tcPr>
            <w:tcW w:w="1722" w:type="dxa"/>
            <w:vAlign w:val="center"/>
          </w:tcPr>
          <w:p>
            <w:pPr>
              <w:snapToGrid w:val="0"/>
              <w:jc w:val="center"/>
              <w:rPr>
                <w:rFonts w:ascii="宋体"/>
                <w:szCs w:val="21"/>
              </w:rPr>
            </w:pPr>
            <w:r>
              <w:rPr>
                <w:rFonts w:hint="eastAsia" w:ascii="宋体"/>
                <w:szCs w:val="21"/>
              </w:rPr>
              <w:t>符合性审查</w:t>
            </w: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1</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2</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bl>
    <w:p>
      <w:pPr>
        <w:spacing w:line="360" w:lineRule="auto"/>
        <w:ind w:firstLine="480"/>
        <w:jc w:val="left"/>
        <w:rPr>
          <w:rFonts w:ascii="宋体"/>
          <w:szCs w:val="21"/>
        </w:rPr>
      </w:pPr>
    </w:p>
    <w:p>
      <w:pPr>
        <w:rPr>
          <w:rFonts w:ascii="宋体"/>
          <w:szCs w:val="21"/>
        </w:rPr>
      </w:pPr>
      <w:r>
        <w:rPr>
          <w:rFonts w:hint="eastAsia" w:ascii="宋体"/>
          <w:szCs w:val="21"/>
        </w:rPr>
        <w:t>注：该评审索引表格放在响应文件目录后，正文的第一页。</w:t>
      </w:r>
    </w:p>
    <w:p>
      <w:pPr>
        <w:rPr>
          <w:rFonts w:ascii="宋体"/>
          <w:szCs w:val="21"/>
        </w:rPr>
      </w:pPr>
    </w:p>
    <w:p>
      <w:pPr>
        <w:widowControl/>
        <w:jc w:val="left"/>
        <w:rPr>
          <w:rFonts w:ascii="宋体"/>
          <w:szCs w:val="21"/>
        </w:rPr>
      </w:pPr>
      <w:r>
        <w:rPr>
          <w:rFonts w:ascii="宋体"/>
          <w:szCs w:val="21"/>
        </w:rPr>
        <w:br w:type="page"/>
      </w:r>
    </w:p>
    <w:p>
      <w:pPr>
        <w:pStyle w:val="425"/>
        <w:spacing w:line="360" w:lineRule="auto"/>
        <w:ind w:firstLine="0" w:firstLineChars="0"/>
        <w:outlineLvl w:val="1"/>
        <w:rPr>
          <w:b/>
          <w:sz w:val="24"/>
        </w:rPr>
      </w:pPr>
      <w:bookmarkStart w:id="579" w:name="_A1_投标书"/>
      <w:bookmarkEnd w:id="579"/>
      <w:bookmarkStart w:id="580" w:name="_Toc16438"/>
      <w:bookmarkStart w:id="581" w:name="_Toc176663528"/>
      <w:bookmarkStart w:id="582" w:name="_Toc162669084"/>
      <w:bookmarkStart w:id="583" w:name="_Toc128455956"/>
      <w:bookmarkStart w:id="584" w:name="_Toc179091096"/>
      <w:bookmarkStart w:id="585" w:name="_Toc192127127"/>
      <w:bookmarkStart w:id="586" w:name="_Toc181038076"/>
      <w:bookmarkStart w:id="587" w:name="_Toc192127128"/>
      <w:r>
        <w:rPr>
          <w:rFonts w:hint="eastAsia"/>
          <w:b/>
          <w:sz w:val="24"/>
        </w:rPr>
        <w:t xml:space="preserve">附件1 </w:t>
      </w:r>
      <w:r>
        <w:rPr>
          <w:b/>
          <w:sz w:val="24"/>
        </w:rPr>
        <w:t>报价函及报价函附录</w:t>
      </w:r>
      <w:bookmarkEnd w:id="580"/>
    </w:p>
    <w:bookmarkEnd w:id="581"/>
    <w:bookmarkEnd w:id="582"/>
    <w:bookmarkEnd w:id="583"/>
    <w:bookmarkEnd w:id="584"/>
    <w:bookmarkEnd w:id="585"/>
    <w:bookmarkEnd w:id="586"/>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报价函</w:t>
      </w:r>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highlight w:val="none"/>
        </w:rPr>
      </w:pPr>
      <w:r>
        <w:rPr>
          <w:rFonts w:hint="eastAsia" w:ascii="宋体" w:hAnsi="宋体" w:cs="TimesNewRomanPSMT"/>
          <w:kern w:val="0"/>
          <w:sz w:val="24"/>
          <w:highlight w:val="none"/>
        </w:rPr>
        <w:t>1.</w:t>
      </w:r>
      <w:r>
        <w:rPr>
          <w:rFonts w:hint="eastAsia" w:ascii="宋体" w:hAnsi="宋体" w:cs="仿宋_GB2312"/>
          <w:kern w:val="0"/>
          <w:sz w:val="24"/>
          <w:highlight w:val="none"/>
        </w:rPr>
        <w:t>我方已仔细研究了</w:t>
      </w:r>
      <w:r>
        <w:rPr>
          <w:rFonts w:hint="eastAsia" w:ascii="宋体" w:hAnsi="宋体" w:cs="仿宋_GB2312"/>
          <w:kern w:val="0"/>
          <w:sz w:val="24"/>
          <w:highlight w:val="none"/>
          <w:u w:val="single"/>
        </w:rPr>
        <w:t xml:space="preserve">  （项目名称）   </w:t>
      </w:r>
      <w:r>
        <w:rPr>
          <w:rFonts w:hint="eastAsia" w:ascii="宋体" w:hAnsi="宋体" w:cs="仿宋_GB2312"/>
          <w:kern w:val="0"/>
          <w:sz w:val="24"/>
          <w:highlight w:val="none"/>
        </w:rPr>
        <w:t>谈判文件（包括修改、澄清文件）的全部内容，且对谈判文件无任何异议，并愿意以人民币的总价</w:t>
      </w:r>
      <w:r>
        <w:rPr>
          <w:rFonts w:hint="eastAsia" w:ascii="宋体" w:hAnsi="宋体" w:cs="仿宋_GB2312"/>
          <w:kern w:val="0"/>
          <w:sz w:val="24"/>
          <w:highlight w:val="none"/>
          <w:u w:val="single"/>
          <w:lang w:val="en-US" w:eastAsia="zh-CN"/>
        </w:rPr>
        <w:t xml:space="preserve">         </w:t>
      </w:r>
      <w:r>
        <w:rPr>
          <w:rFonts w:hint="eastAsia" w:ascii="宋体" w:hAnsi="宋体" w:cs="仿宋_GB2312"/>
          <w:kern w:val="0"/>
          <w:sz w:val="24"/>
          <w:highlight w:val="none"/>
        </w:rPr>
        <w:t>、工期</w:t>
      </w:r>
      <w:r>
        <w:rPr>
          <w:rFonts w:hint="eastAsia" w:ascii="宋体" w:hAnsi="宋体" w:cs="仿宋_GB2312"/>
          <w:kern w:val="0"/>
          <w:sz w:val="24"/>
          <w:highlight w:val="none"/>
          <w:u w:val="single"/>
          <w:lang w:val="en-US" w:eastAsia="zh-CN"/>
        </w:rPr>
        <w:t xml:space="preserve">        </w:t>
      </w:r>
      <w:r>
        <w:rPr>
          <w:rFonts w:hint="eastAsia" w:ascii="宋体" w:hAnsi="宋体" w:cs="仿宋_GB2312"/>
          <w:kern w:val="0"/>
          <w:sz w:val="24"/>
          <w:highlight w:val="none"/>
        </w:rPr>
        <w:t>日历日、按合同约定实施和完成承包工程、修补工程中的任何缺陷，工程质量达到</w:t>
      </w:r>
      <w:r>
        <w:rPr>
          <w:rFonts w:hint="eastAsia" w:ascii="宋体" w:hAnsi="宋体" w:cs="仿宋_GB2312"/>
          <w:kern w:val="0"/>
          <w:sz w:val="24"/>
          <w:highlight w:val="none"/>
          <w:u w:val="single"/>
          <w:lang w:val="en-US" w:eastAsia="zh-CN"/>
        </w:rPr>
        <w:t xml:space="preserve">       </w:t>
      </w:r>
      <w:r>
        <w:rPr>
          <w:rFonts w:hint="eastAsia" w:ascii="宋体" w:hAnsi="宋体" w:cs="仿宋_GB2312"/>
          <w:kern w:val="0"/>
          <w:sz w:val="24"/>
          <w:highlight w:val="none"/>
        </w:rPr>
        <w:t>标准。</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2.我方承诺在响应文件有效期内不修改或撤销响应文件。否则，你方可不予退还我方的谈判保证金。</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3.随同本报价函提交谈判保证金一份，金额为</w:t>
      </w:r>
      <w:r>
        <w:rPr>
          <w:rFonts w:hint="eastAsia" w:ascii="宋体" w:hAnsi="宋体" w:cs="TimesNewRomanPSMT"/>
          <w:kern w:val="0"/>
          <w:sz w:val="24"/>
          <w:highlight w:val="none"/>
          <w:u w:val="single"/>
          <w:lang w:val="en-US" w:eastAsia="zh-CN"/>
        </w:rPr>
        <w:t xml:space="preserve">      </w:t>
      </w:r>
      <w:r>
        <w:rPr>
          <w:rFonts w:hint="eastAsia" w:ascii="宋体" w:hAnsi="宋体" w:cs="TimesNewRomanPSMT"/>
          <w:kern w:val="0"/>
          <w:sz w:val="24"/>
          <w:highlight w:val="none"/>
        </w:rPr>
        <w:t>元。</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4.本响应文件有效期为自递交截止之日起个</w:t>
      </w:r>
      <w:r>
        <w:rPr>
          <w:rFonts w:hint="eastAsia" w:ascii="宋体" w:hAnsi="宋体" w:cs="TimesNewRomanPSMT"/>
          <w:kern w:val="0"/>
          <w:sz w:val="24"/>
          <w:highlight w:val="none"/>
          <w:u w:val="single"/>
          <w:lang w:val="en-US" w:eastAsia="zh-CN"/>
        </w:rPr>
        <w:t xml:space="preserve">      </w:t>
      </w:r>
      <w:r>
        <w:rPr>
          <w:rFonts w:hint="eastAsia" w:ascii="宋体" w:hAnsi="宋体" w:cs="TimesNewRomanPSMT"/>
          <w:kern w:val="0"/>
          <w:sz w:val="24"/>
          <w:highlight w:val="none"/>
        </w:rPr>
        <w:t>日历日。</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5.我方承诺所提交的响应文件及有关资料是完整的、真实的和准确的，否则，我方承担由此造成的任何损失及引起的任何后果；若我方已经收到成交通知书，我方将无条件的承认该成交通知书无效，对采购人不具有任何法律约束力。</w:t>
      </w:r>
    </w:p>
    <w:p>
      <w:pPr>
        <w:autoSpaceDE w:val="0"/>
        <w:autoSpaceDN w:val="0"/>
        <w:adjustRightInd w:val="0"/>
        <w:snapToGrid w:val="0"/>
        <w:spacing w:line="360" w:lineRule="auto"/>
        <w:ind w:left="359" w:leftChars="171"/>
        <w:jc w:val="left"/>
        <w:rPr>
          <w:rFonts w:ascii="宋体" w:hAnsi="宋体" w:cs="TimesNewRomanPSMT"/>
          <w:kern w:val="0"/>
          <w:sz w:val="24"/>
          <w:highlight w:val="none"/>
        </w:rPr>
      </w:pPr>
      <w:r>
        <w:rPr>
          <w:rFonts w:hint="eastAsia" w:ascii="宋体" w:hAnsi="宋体" w:cs="TimesNewRomanPSMT"/>
          <w:kern w:val="0"/>
          <w:sz w:val="24"/>
          <w:highlight w:val="none"/>
        </w:rPr>
        <w:t>6．如我方成交：</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我方承诺在收到成交通知书后，按成交通知书规定的期限内与你方签订合同。</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本报价函及随同本报价函递交的报价函附录构成合同的组成部分。</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我方承诺按合同约定的期限和质量标准，完成并移交全部合同工程。</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我方将按谈判文件规定提交履约保证金，作为履行合同的担保。</w:t>
      </w:r>
    </w:p>
    <w:p>
      <w:pPr>
        <w:pStyle w:val="425"/>
        <w:numPr>
          <w:ilvl w:val="0"/>
          <w:numId w:val="15"/>
        </w:numPr>
        <w:autoSpaceDE w:val="0"/>
        <w:autoSpaceDN w:val="0"/>
        <w:adjustRightInd w:val="0"/>
        <w:snapToGrid w:val="0"/>
        <w:spacing w:line="360" w:lineRule="auto"/>
        <w:ind w:firstLineChars="0"/>
        <w:jc w:val="left"/>
        <w:rPr>
          <w:rFonts w:ascii="宋体" w:hAnsi="宋体" w:cs="仿宋_GB2312"/>
          <w:kern w:val="0"/>
          <w:sz w:val="24"/>
          <w:highlight w:val="none"/>
        </w:rPr>
      </w:pPr>
      <w:r>
        <w:rPr>
          <w:rFonts w:hint="eastAsia" w:ascii="宋体" w:hAnsi="宋体" w:cs="仿宋_GB2312"/>
          <w:kern w:val="0"/>
          <w:sz w:val="24"/>
          <w:highlight w:val="none"/>
        </w:rPr>
        <w:t>我方保证在收到成交通知书后五个工作日内按要求支付代理服务费。</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highlight w:val="none"/>
        </w:rPr>
        <w:t>7.如谈判后的最后报价函与本报价函内容有差异，以最后的报价函内容为准。</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ascii="宋体" w:hAnsi="宋体" w:cs="TimesNewRomanPSMT"/>
          <w:kern w:val="0"/>
          <w:sz w:val="24"/>
          <w:highlight w:val="none"/>
        </w:rPr>
        <w:t>8．</w:t>
      </w:r>
      <w:r>
        <w:rPr>
          <w:rFonts w:hint="eastAsia" w:ascii="宋体" w:hAnsi="宋体" w:cs="TimesNewRomanPSMT"/>
          <w:kern w:val="0"/>
          <w:sz w:val="24"/>
          <w:highlight w:val="none"/>
          <w:u w:val="single"/>
          <w:lang w:val="en-US" w:eastAsia="zh-CN"/>
        </w:rPr>
        <w:t xml:space="preserve">        </w:t>
      </w:r>
      <w:r>
        <w:rPr>
          <w:rFonts w:ascii="宋体" w:hAnsi="宋体" w:cs="TimesNewRomanPSMT"/>
          <w:kern w:val="0"/>
          <w:sz w:val="24"/>
          <w:highlight w:val="none"/>
        </w:rPr>
        <w:t>（其他补充说明）。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118" w:leftChars="1485"/>
        <w:jc w:val="left"/>
        <w:rPr>
          <w:rFonts w:ascii="宋体" w:hAnsi="宋体" w:cs="仿宋_GB2312"/>
          <w:kern w:val="0"/>
          <w:sz w:val="24"/>
        </w:rPr>
      </w:pPr>
      <w:r>
        <w:rPr>
          <w:rFonts w:ascii="宋体" w:hAnsi="宋体" w:cs="仿宋_GB2312"/>
          <w:kern w:val="0"/>
          <w:sz w:val="24"/>
        </w:rPr>
        <w:t>供应商：</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法定代表人或其委托代理人：（签字签字或盖人名章）</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118" w:leftChars="1485"/>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ascii="宋体" w:hAnsi="宋体" w:cs="仿宋_GB2312"/>
          <w:kern w:val="0"/>
          <w:sz w:val="24"/>
        </w:rPr>
      </w:pPr>
      <w:r>
        <w:rPr>
          <w:rFonts w:hint="eastAsia" w:ascii="宋体" w:hAnsi="宋体" w:cs="仿宋_GB2312"/>
          <w:kern w:val="0"/>
          <w:sz w:val="24"/>
        </w:rPr>
        <w:t>年月日</w:t>
      </w:r>
    </w:p>
    <w:p>
      <w:pPr>
        <w:rPr>
          <w:b/>
          <w:sz w:val="24"/>
        </w:rPr>
      </w:pPr>
      <w:r>
        <w:br w:type="page"/>
      </w:r>
      <w:bookmarkEnd w:id="587"/>
      <w:bookmarkStart w:id="588" w:name="_Toc192127131"/>
      <w:bookmarkStart w:id="589" w:name="_Toc195922057"/>
    </w:p>
    <w:p>
      <w:pPr>
        <w:autoSpaceDE w:val="0"/>
        <w:autoSpaceDN w:val="0"/>
        <w:adjustRightInd w:val="0"/>
        <w:jc w:val="center"/>
        <w:rPr>
          <w:rFonts w:ascii="宋体" w:hAnsi="宋体" w:cs="黑体"/>
          <w:kern w:val="0"/>
          <w:sz w:val="24"/>
        </w:rPr>
      </w:pPr>
      <w:r>
        <w:rPr>
          <w:rFonts w:hint="eastAsia" w:ascii="宋体" w:hAnsi="宋体" w:cs="黑体"/>
          <w:kern w:val="0"/>
          <w:sz w:val="24"/>
        </w:rPr>
        <w:t>报价函附录</w:t>
      </w:r>
    </w:p>
    <w:p>
      <w:pPr>
        <w:ind w:firstLine="422" w:firstLineChars="200"/>
        <w:rPr>
          <w:rFonts w:hint="eastAsia" w:ascii="宋体" w:hAnsi="宋体"/>
          <w:b/>
          <w:szCs w:val="21"/>
        </w:rPr>
      </w:pPr>
    </w:p>
    <w:p>
      <w:pPr>
        <w:ind w:firstLine="422" w:firstLineChars="200"/>
        <w:rPr>
          <w:rFonts w:hint="eastAsia" w:ascii="宋体" w:hAnsi="宋体"/>
          <w:b/>
          <w:szCs w:val="21"/>
        </w:rPr>
      </w:pPr>
    </w:p>
    <w:p>
      <w:pPr>
        <w:ind w:firstLine="422" w:firstLineChars="200"/>
        <w:rPr>
          <w:rFonts w:hint="eastAsia" w:ascii="宋体" w:hAnsi="宋体" w:eastAsia="宋体"/>
          <w:szCs w:val="21"/>
          <w:lang w:eastAsia="zh-CN"/>
        </w:rPr>
      </w:pPr>
      <w:r>
        <w:rPr>
          <w:rFonts w:hint="eastAsia" w:ascii="宋体" w:hAnsi="宋体"/>
          <w:b/>
          <w:szCs w:val="21"/>
        </w:rPr>
        <w:t>工程名称：</w:t>
      </w:r>
      <w:r>
        <w:rPr>
          <w:rFonts w:hint="eastAsia" w:ascii="宋体" w:hAnsi="宋体"/>
          <w:szCs w:val="21"/>
        </w:rPr>
        <w:t>（项目名称）</w:t>
      </w:r>
      <w:r>
        <w:rPr>
          <w:rFonts w:hint="eastAsia" w:ascii="宋体" w:hAnsi="宋体"/>
          <w:szCs w:val="21"/>
          <w:lang w:val="en-US" w:eastAsia="zh-CN"/>
        </w:rPr>
        <w:t xml:space="preserve"> </w:t>
      </w: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宋体" w:hAnsi="宋体"/>
                <w:szCs w:val="21"/>
              </w:rPr>
            </w:pPr>
            <w:r>
              <w:rPr>
                <w:rFonts w:hint="eastAsia" w:ascii="宋体" w:hAnsi="宋体"/>
                <w:szCs w:val="21"/>
              </w:rPr>
              <w:t>序 号</w:t>
            </w:r>
          </w:p>
        </w:tc>
        <w:tc>
          <w:tcPr>
            <w:tcW w:w="2693" w:type="dxa"/>
            <w:vAlign w:val="center"/>
          </w:tcPr>
          <w:p>
            <w:pPr>
              <w:jc w:val="center"/>
              <w:rPr>
                <w:rFonts w:ascii="宋体" w:hAnsi="宋体"/>
                <w:szCs w:val="21"/>
              </w:rPr>
            </w:pPr>
            <w:r>
              <w:rPr>
                <w:rFonts w:hint="eastAsia" w:ascii="宋体" w:hAnsi="宋体"/>
                <w:szCs w:val="21"/>
              </w:rPr>
              <w:t>条款内容</w:t>
            </w:r>
          </w:p>
        </w:tc>
        <w:tc>
          <w:tcPr>
            <w:tcW w:w="1418" w:type="dxa"/>
            <w:vAlign w:val="center"/>
          </w:tcPr>
          <w:p>
            <w:pPr>
              <w:jc w:val="center"/>
              <w:rPr>
                <w:rFonts w:ascii="宋体" w:hAnsi="宋体"/>
                <w:szCs w:val="21"/>
              </w:rPr>
            </w:pPr>
            <w:r>
              <w:rPr>
                <w:rFonts w:hint="eastAsia" w:ascii="宋体" w:hAnsi="宋体"/>
                <w:szCs w:val="21"/>
              </w:rPr>
              <w:t>合同条款号</w:t>
            </w:r>
          </w:p>
        </w:tc>
        <w:tc>
          <w:tcPr>
            <w:tcW w:w="1906" w:type="dxa"/>
            <w:vAlign w:val="center"/>
          </w:tcPr>
          <w:p>
            <w:pPr>
              <w:jc w:val="center"/>
              <w:rPr>
                <w:rFonts w:ascii="宋体" w:hAnsi="宋体"/>
                <w:szCs w:val="21"/>
              </w:rPr>
            </w:pPr>
            <w:r>
              <w:rPr>
                <w:rFonts w:hint="eastAsia" w:ascii="宋体" w:hAnsi="宋体"/>
                <w:szCs w:val="21"/>
              </w:rPr>
              <w:t>约定内容</w:t>
            </w:r>
          </w:p>
        </w:tc>
        <w:tc>
          <w:tcPr>
            <w:tcW w:w="163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黑体" w:hAnsi="宋体" w:eastAsia="黑体"/>
                <w:szCs w:val="21"/>
              </w:rPr>
            </w:pPr>
            <w:r>
              <w:rPr>
                <w:rFonts w:hint="eastAsia" w:ascii="黑体" w:hAnsi="宋体" w:eastAsia="黑体"/>
                <w:szCs w:val="21"/>
              </w:rPr>
              <w:t>1</w:t>
            </w:r>
          </w:p>
        </w:tc>
        <w:tc>
          <w:tcPr>
            <w:tcW w:w="2693" w:type="dxa"/>
            <w:vAlign w:val="center"/>
          </w:tcPr>
          <w:p>
            <w:pPr>
              <w:rPr>
                <w:rFonts w:ascii="宋体" w:hAnsi="宋体"/>
                <w:szCs w:val="21"/>
              </w:rPr>
            </w:pPr>
            <w:r>
              <w:rPr>
                <w:rFonts w:hint="eastAsia" w:ascii="宋体" w:hAnsi="宋体"/>
                <w:szCs w:val="21"/>
              </w:rPr>
              <w:t>项目经理</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1.1.2.4</w:t>
            </w:r>
          </w:p>
        </w:tc>
        <w:tc>
          <w:tcPr>
            <w:tcW w:w="1906" w:type="dxa"/>
            <w:vAlign w:val="center"/>
          </w:tcPr>
          <w:p>
            <w:pPr>
              <w:rPr>
                <w:rFonts w:ascii="宋体" w:hAnsi="宋体"/>
                <w:szCs w:val="21"/>
              </w:rPr>
            </w:pPr>
            <w:r>
              <w:rPr>
                <w:rFonts w:hint="eastAsia" w:ascii="宋体" w:hAnsi="宋体"/>
                <w:szCs w:val="21"/>
              </w:rPr>
              <w:t>姓名：</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黑体" w:hAnsi="宋体" w:eastAsia="黑体"/>
                <w:szCs w:val="21"/>
              </w:rPr>
            </w:pPr>
            <w:r>
              <w:rPr>
                <w:rFonts w:hint="eastAsia" w:ascii="黑体" w:hAnsi="宋体" w:eastAsia="黑体"/>
                <w:szCs w:val="21"/>
              </w:rPr>
              <w:t>2</w:t>
            </w:r>
          </w:p>
        </w:tc>
        <w:tc>
          <w:tcPr>
            <w:tcW w:w="2693" w:type="dxa"/>
            <w:vAlign w:val="center"/>
          </w:tcPr>
          <w:p>
            <w:pPr>
              <w:rPr>
                <w:rFonts w:ascii="宋体" w:hAnsi="宋体"/>
                <w:szCs w:val="21"/>
              </w:rPr>
            </w:pPr>
            <w:r>
              <w:rPr>
                <w:rFonts w:hint="eastAsia" w:ascii="宋体" w:hAnsi="宋体"/>
                <w:szCs w:val="21"/>
              </w:rPr>
              <w:t>缺陷责任期</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1.1.4.5</w:t>
            </w:r>
          </w:p>
        </w:tc>
        <w:tc>
          <w:tcPr>
            <w:tcW w:w="1906" w:type="dxa"/>
            <w:vAlign w:val="center"/>
          </w:tcPr>
          <w:p>
            <w:pPr>
              <w:jc w:val="center"/>
              <w:rPr>
                <w:rFonts w:ascii="宋体" w:hAnsi="宋体"/>
                <w:szCs w:val="21"/>
              </w:rPr>
            </w:pPr>
            <w:r>
              <w:rPr>
                <w:rFonts w:ascii="宋体" w:hAnsi="宋体"/>
                <w:szCs w:val="21"/>
              </w:rPr>
              <w:t>月</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黑体" w:hAnsi="宋体" w:eastAsia="黑体"/>
                <w:szCs w:val="21"/>
              </w:rPr>
            </w:pPr>
            <w:r>
              <w:rPr>
                <w:rFonts w:hint="eastAsia" w:ascii="黑体" w:hAnsi="宋体" w:eastAsia="黑体"/>
                <w:szCs w:val="21"/>
              </w:rPr>
              <w:t>3</w:t>
            </w:r>
          </w:p>
        </w:tc>
        <w:tc>
          <w:tcPr>
            <w:tcW w:w="2693" w:type="dxa"/>
            <w:vAlign w:val="center"/>
          </w:tcPr>
          <w:p>
            <w:pPr>
              <w:rPr>
                <w:rFonts w:ascii="宋体" w:hAnsi="宋体"/>
                <w:szCs w:val="21"/>
                <w:highlight w:val="none"/>
              </w:rPr>
            </w:pPr>
            <w:r>
              <w:rPr>
                <w:rFonts w:hint="eastAsia" w:ascii="宋体" w:hAnsi="宋体"/>
                <w:szCs w:val="21"/>
                <w:highlight w:val="none"/>
              </w:rPr>
              <w:t>承包人履约担保金额</w:t>
            </w:r>
          </w:p>
        </w:tc>
        <w:tc>
          <w:tcPr>
            <w:tcW w:w="1418" w:type="dxa"/>
            <w:tcMar>
              <w:left w:w="170" w:type="dxa"/>
            </w:tcMar>
            <w:vAlign w:val="center"/>
          </w:tcPr>
          <w:p>
            <w:pPr>
              <w:rPr>
                <w:rFonts w:ascii="黑体" w:hAnsi="宋体" w:eastAsia="黑体"/>
                <w:szCs w:val="21"/>
                <w:highlight w:val="none"/>
              </w:rPr>
            </w:pPr>
            <w:r>
              <w:rPr>
                <w:rFonts w:hint="eastAsia" w:ascii="黑体" w:hAnsi="宋体" w:eastAsia="黑体"/>
                <w:szCs w:val="21"/>
                <w:highlight w:val="none"/>
              </w:rPr>
              <w:t>4.2</w:t>
            </w:r>
          </w:p>
        </w:tc>
        <w:tc>
          <w:tcPr>
            <w:tcW w:w="1906" w:type="dxa"/>
            <w:vAlign w:val="center"/>
          </w:tcPr>
          <w:p>
            <w:pPr>
              <w:jc w:val="center"/>
              <w:rPr>
                <w:rFonts w:ascii="宋体" w:hAnsi="宋体"/>
                <w:szCs w:val="21"/>
                <w:highlight w:val="none"/>
              </w:rPr>
            </w:pPr>
            <w:r>
              <w:rPr>
                <w:rFonts w:ascii="宋体" w:hAnsi="宋体"/>
                <w:szCs w:val="21"/>
                <w:highlight w:val="none"/>
              </w:rPr>
              <w:t>签约合同价的</w:t>
            </w:r>
            <w:r>
              <w:rPr>
                <w:rFonts w:hint="eastAsia" w:ascii="宋体" w:hAnsi="宋体"/>
                <w:szCs w:val="21"/>
                <w:highlight w:val="none"/>
                <w:u w:val="single"/>
                <w:lang w:val="en-US" w:eastAsia="zh-CN"/>
              </w:rPr>
              <w:t xml:space="preserve">   </w:t>
            </w:r>
            <w:r>
              <w:rPr>
                <w:rFonts w:ascii="宋体" w:hAnsi="宋体"/>
                <w:szCs w:val="21"/>
                <w:highlight w:val="none"/>
              </w:rPr>
              <w:t>%</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hint="eastAsia" w:ascii="黑体" w:hAnsi="宋体" w:eastAsia="黑体"/>
                <w:szCs w:val="21"/>
                <w:lang w:eastAsia="zh-CN"/>
              </w:rPr>
            </w:pPr>
            <w:r>
              <w:rPr>
                <w:rFonts w:hint="eastAsia" w:ascii="黑体" w:hAnsi="宋体" w:eastAsia="黑体"/>
                <w:szCs w:val="21"/>
                <w:lang w:val="en-US" w:eastAsia="zh-CN"/>
              </w:rPr>
              <w:t>4</w:t>
            </w:r>
          </w:p>
        </w:tc>
        <w:tc>
          <w:tcPr>
            <w:tcW w:w="2693" w:type="dxa"/>
            <w:vAlign w:val="center"/>
          </w:tcPr>
          <w:p>
            <w:pPr>
              <w:rPr>
                <w:rFonts w:ascii="宋体" w:hAnsi="宋体"/>
                <w:szCs w:val="21"/>
              </w:rPr>
            </w:pPr>
            <w:r>
              <w:rPr>
                <w:rFonts w:hint="eastAsia" w:ascii="宋体" w:hAnsi="宋体"/>
                <w:szCs w:val="21"/>
              </w:rPr>
              <w:t>逾期竣工违约金最高限额</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6.5</w:t>
            </w:r>
          </w:p>
        </w:tc>
        <w:tc>
          <w:tcPr>
            <w:tcW w:w="1906" w:type="dxa"/>
            <w:vAlign w:val="center"/>
          </w:tcPr>
          <w:p>
            <w:pP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hint="eastAsia" w:ascii="黑体" w:hAnsi="宋体" w:eastAsia="黑体"/>
                <w:szCs w:val="21"/>
                <w:lang w:eastAsia="zh-CN"/>
              </w:rPr>
            </w:pPr>
            <w:r>
              <w:rPr>
                <w:rFonts w:hint="eastAsia" w:ascii="黑体" w:hAnsi="宋体" w:eastAsia="黑体"/>
                <w:szCs w:val="21"/>
                <w:lang w:val="en-US" w:eastAsia="zh-CN"/>
              </w:rPr>
              <w:t>5</w:t>
            </w:r>
          </w:p>
        </w:tc>
        <w:tc>
          <w:tcPr>
            <w:tcW w:w="2693" w:type="dxa"/>
            <w:vAlign w:val="center"/>
          </w:tcPr>
          <w:p>
            <w:pPr>
              <w:rPr>
                <w:rFonts w:ascii="宋体" w:hAnsi="宋体"/>
                <w:szCs w:val="21"/>
              </w:rPr>
            </w:pPr>
            <w:r>
              <w:rPr>
                <w:rFonts w:hint="eastAsia" w:ascii="宋体" w:hAnsi="宋体"/>
                <w:szCs w:val="21"/>
              </w:rPr>
              <w:t>预付款额度</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10.2</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2693" w:type="dxa"/>
            <w:vAlign w:val="center"/>
          </w:tcPr>
          <w:p>
            <w:pPr>
              <w:rPr>
                <w:rFonts w:ascii="宋体" w:hAnsi="宋体"/>
                <w:szCs w:val="21"/>
              </w:rPr>
            </w:pPr>
            <w:r>
              <w:rPr>
                <w:rFonts w:hint="eastAsia" w:ascii="宋体" w:hAnsi="宋体"/>
                <w:szCs w:val="21"/>
              </w:rPr>
              <w:t>质量保证金额度</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10.4</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jc w:val="center"/>
              <w:rPr>
                <w:rFonts w:ascii="宋体" w:hAnsi="宋体"/>
                <w:szCs w:val="21"/>
              </w:rPr>
            </w:pPr>
            <w:r>
              <w:rPr>
                <w:rFonts w:hint="eastAsia" w:ascii="宋体" w:hAnsi="宋体"/>
                <w:szCs w:val="21"/>
              </w:rPr>
              <w:t>……</w:t>
            </w:r>
          </w:p>
        </w:tc>
        <w:tc>
          <w:tcPr>
            <w:tcW w:w="2693" w:type="dxa"/>
            <w:vAlign w:val="center"/>
          </w:tcPr>
          <w:p>
            <w:pPr>
              <w:jc w:val="center"/>
              <w:rPr>
                <w:rFonts w:ascii="宋体" w:hAnsi="宋体"/>
                <w:szCs w:val="21"/>
              </w:rPr>
            </w:pPr>
            <w:r>
              <w:rPr>
                <w:rFonts w:hint="eastAsia" w:ascii="宋体" w:hAnsi="宋体"/>
                <w:szCs w:val="21"/>
              </w:rPr>
              <w:t>……</w:t>
            </w:r>
          </w:p>
        </w:tc>
        <w:tc>
          <w:tcPr>
            <w:tcW w:w="1418" w:type="dxa"/>
            <w:vAlign w:val="center"/>
          </w:tcPr>
          <w:p>
            <w:pPr>
              <w:jc w:val="center"/>
              <w:rPr>
                <w:rFonts w:ascii="宋体" w:hAnsi="宋体"/>
                <w:szCs w:val="21"/>
              </w:rPr>
            </w:pP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505" w:type="dxa"/>
            <w:gridSpan w:val="5"/>
            <w:vAlign w:val="center"/>
          </w:tcPr>
          <w:p>
            <w:pPr>
              <w:rPr>
                <w:rFonts w:ascii="宋体" w:hAnsi="宋体"/>
                <w:szCs w:val="21"/>
              </w:rPr>
            </w:pPr>
            <w:r>
              <w:rPr>
                <w:rFonts w:hint="eastAsia" w:ascii="黑体" w:hAnsi="宋体" w:eastAsia="黑体"/>
                <w:szCs w:val="21"/>
              </w:rPr>
              <w:t>备注：</w:t>
            </w:r>
            <w:r>
              <w:rPr>
                <w:rFonts w:hint="eastAsia" w:ascii="宋体" w:hAnsi="宋体"/>
                <w:szCs w:val="21"/>
              </w:rPr>
              <w:t>供应商在谈判文件中规定的实质性要求和条件的基础上，可做出其他有利于采购人的承诺。此类承诺可在本表中予以补充填写。</w:t>
            </w:r>
          </w:p>
        </w:tc>
      </w:tr>
    </w:tbl>
    <w:p>
      <w:pPr>
        <w:spacing w:line="480" w:lineRule="exact"/>
        <w:ind w:firstLine="422" w:firstLineChars="200"/>
        <w:rPr>
          <w:rFonts w:ascii="宋体" w:hAnsi="宋体"/>
          <w:szCs w:val="21"/>
        </w:rPr>
      </w:pPr>
      <w:r>
        <w:rPr>
          <w:rFonts w:hint="eastAsia" w:ascii="宋体" w:hAnsi="宋体"/>
          <w:b/>
          <w:szCs w:val="21"/>
        </w:rPr>
        <w:t>供应商</w:t>
      </w:r>
      <w:r>
        <w:rPr>
          <w:rFonts w:hint="eastAsia" w:ascii="宋体" w:hAnsi="宋体"/>
          <w:szCs w:val="21"/>
        </w:rPr>
        <w:t>（盖章）：</w:t>
      </w:r>
    </w:p>
    <w:p>
      <w:pPr>
        <w:spacing w:line="480" w:lineRule="exact"/>
        <w:ind w:firstLine="422" w:firstLineChars="200"/>
        <w:rPr>
          <w:rFonts w:ascii="宋体" w:hAnsi="宋体"/>
          <w:szCs w:val="21"/>
        </w:rPr>
      </w:pPr>
      <w:r>
        <w:rPr>
          <w:rFonts w:hint="eastAsia" w:ascii="宋体" w:hAnsi="宋体"/>
          <w:b/>
          <w:szCs w:val="21"/>
        </w:rPr>
        <w:t>法人代表或委托代理人</w:t>
      </w:r>
      <w:r>
        <w:rPr>
          <w:rFonts w:hint="eastAsia" w:ascii="宋体" w:hAnsi="宋体"/>
          <w:szCs w:val="21"/>
        </w:rPr>
        <w:t>（</w:t>
      </w:r>
      <w:r>
        <w:rPr>
          <w:rFonts w:hint="eastAsia" w:ascii="宋体" w:hAnsi="宋体" w:cs="仿宋_GB2312"/>
          <w:kern w:val="0"/>
          <w:sz w:val="24"/>
        </w:rPr>
        <w:t>签字或盖人名章</w:t>
      </w:r>
      <w:r>
        <w:rPr>
          <w:rFonts w:hint="eastAsia" w:ascii="宋体" w:hAnsi="宋体"/>
          <w:szCs w:val="21"/>
        </w:rPr>
        <w:t>）：</w:t>
      </w:r>
    </w:p>
    <w:p>
      <w:pPr>
        <w:spacing w:line="480" w:lineRule="exact"/>
        <w:ind w:firstLine="422" w:firstLineChars="200"/>
        <w:rPr>
          <w:rFonts w:ascii="宋体" w:hAnsi="宋体"/>
          <w:b/>
          <w:szCs w:val="21"/>
        </w:rPr>
      </w:pPr>
      <w:r>
        <w:rPr>
          <w:rFonts w:hint="eastAsia" w:ascii="宋体" w:hAnsi="宋体"/>
          <w:b/>
          <w:szCs w:val="21"/>
        </w:rPr>
        <w:t>日期：年月日</w:t>
      </w:r>
    </w:p>
    <w:p>
      <w:pPr>
        <w:pStyle w:val="41"/>
        <w:tabs>
          <w:tab w:val="left" w:pos="5580"/>
        </w:tabs>
        <w:spacing w:before="120"/>
        <w:ind w:firstLine="720" w:firstLineChars="300"/>
        <w:rPr>
          <w:rFonts w:ascii="仿宋_GB2312" w:hAnsi="宋体" w:eastAsia="仿宋_GB2312"/>
          <w:sz w:val="24"/>
        </w:rPr>
      </w:pPr>
    </w:p>
    <w:p>
      <w:pPr>
        <w:pStyle w:val="41"/>
        <w:tabs>
          <w:tab w:val="left" w:pos="5580"/>
        </w:tabs>
        <w:spacing w:before="120"/>
        <w:ind w:firstLine="720" w:firstLineChars="300"/>
        <w:rPr>
          <w:rFonts w:ascii="仿宋_GB2312" w:hAnsi="宋体" w:eastAsia="仿宋_GB2312"/>
          <w:sz w:val="24"/>
        </w:rPr>
      </w:pPr>
      <w:r>
        <w:rPr>
          <w:rFonts w:hAnsi="宋体"/>
          <w:sz w:val="24"/>
        </w:rPr>
        <w:br w:type="page"/>
      </w:r>
    </w:p>
    <w:p>
      <w:pPr>
        <w:pStyle w:val="425"/>
        <w:spacing w:line="360" w:lineRule="auto"/>
        <w:ind w:firstLine="0" w:firstLineChars="0"/>
        <w:outlineLvl w:val="1"/>
        <w:rPr>
          <w:b/>
          <w:sz w:val="24"/>
        </w:rPr>
      </w:pPr>
      <w:bookmarkStart w:id="590" w:name="_Toc794"/>
      <w:r>
        <w:rPr>
          <w:rFonts w:hint="eastAsia"/>
          <w:b/>
          <w:sz w:val="24"/>
        </w:rPr>
        <w:t>附件2 法定代表人身份证明</w:t>
      </w:r>
      <w:bookmarkEnd w:id="590"/>
    </w:p>
    <w:p>
      <w:pPr>
        <w:spacing w:beforeLines="50" w:line="288" w:lineRule="auto"/>
        <w:ind w:hanging="104"/>
        <w:jc w:val="center"/>
        <w:rPr>
          <w:rFonts w:ascii="宋体" w:hAnsi="宋体"/>
          <w:szCs w:val="21"/>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姓名：性别：年龄： 职务：系（供应商名称）的法定代表人。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供应商：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年月日</w:t>
      </w:r>
    </w:p>
    <w:p>
      <w:pPr>
        <w:widowControl/>
        <w:jc w:val="left"/>
        <w:rPr>
          <w:rFonts w:ascii="宋体" w:hAnsi="宋体" w:cs="仿宋_GB2312"/>
          <w:kern w:val="0"/>
          <w:sz w:val="24"/>
        </w:rPr>
      </w:pPr>
      <w:r>
        <w:rPr>
          <w:rFonts w:ascii="宋体" w:hAnsi="宋体" w:cs="仿宋_GB2312"/>
          <w:kern w:val="0"/>
          <w:sz w:val="24"/>
        </w:rPr>
        <w:br w:type="page"/>
      </w:r>
    </w:p>
    <w:p>
      <w:pPr>
        <w:autoSpaceDE w:val="0"/>
        <w:autoSpaceDN w:val="0"/>
        <w:adjustRightInd w:val="0"/>
        <w:spacing w:line="360" w:lineRule="auto"/>
        <w:ind w:left="6659" w:leftChars="3171"/>
        <w:jc w:val="left"/>
        <w:rPr>
          <w:rFonts w:ascii="宋体" w:hAnsi="宋体" w:cs="仿宋_GB2312"/>
          <w:kern w:val="0"/>
          <w:sz w:val="24"/>
        </w:rPr>
      </w:pPr>
    </w:p>
    <w:p>
      <w:pPr>
        <w:pStyle w:val="425"/>
        <w:spacing w:line="360" w:lineRule="auto"/>
        <w:ind w:firstLine="0" w:firstLineChars="0"/>
        <w:outlineLvl w:val="1"/>
        <w:rPr>
          <w:b/>
          <w:sz w:val="24"/>
        </w:rPr>
      </w:pPr>
      <w:bookmarkStart w:id="591" w:name="_Toc11542"/>
      <w:bookmarkStart w:id="592" w:name="_Toc195922058"/>
      <w:r>
        <w:rPr>
          <w:rFonts w:hint="eastAsia"/>
          <w:b/>
          <w:sz w:val="24"/>
        </w:rPr>
        <w:t>附件3 授权委托书</w:t>
      </w:r>
      <w:bookmarkEnd w:id="591"/>
    </w:p>
    <w:p>
      <w:pPr>
        <w:autoSpaceDE w:val="0"/>
        <w:autoSpaceDN w:val="0"/>
        <w:adjustRightInd w:val="0"/>
        <w:jc w:val="center"/>
        <w:rPr>
          <w:rFonts w:ascii="宋体" w:hAnsi="宋体" w:cs="TimesNewRomanPSMT"/>
          <w:kern w:val="0"/>
          <w:sz w:val="18"/>
          <w:szCs w:val="18"/>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授权委托书</w:t>
      </w:r>
      <w:bookmarkEnd w:id="592"/>
    </w:p>
    <w:p>
      <w:pPr>
        <w:autoSpaceDE w:val="0"/>
        <w:autoSpaceDN w:val="0"/>
        <w:adjustRightInd w:val="0"/>
        <w:jc w:val="center"/>
        <w:rPr>
          <w:rFonts w:ascii="宋体" w:hAnsi="宋体" w:cs="黑体"/>
          <w:kern w:val="0"/>
          <w:sz w:val="28"/>
          <w:szCs w:val="28"/>
        </w:rPr>
      </w:pPr>
    </w:p>
    <w:p>
      <w:pPr>
        <w:autoSpaceDE w:val="0"/>
        <w:autoSpaceDN w:val="0"/>
        <w:adjustRightInd w:val="0"/>
        <w:jc w:val="left"/>
        <w:rPr>
          <w:rFonts w:ascii="宋体" w:hAnsi="宋体" w:cs="仿宋_GB2312"/>
          <w:kern w:val="0"/>
          <w:szCs w:val="21"/>
        </w:rPr>
      </w:pP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本人（姓名）系（供应商名称）的法定代表人，现委托（姓名）为我方代理人。代理人根据授权，以我方名义签署、澄清、说明、补正、递交、撤回、修改</w:t>
      </w:r>
      <w:r>
        <w:rPr>
          <w:rFonts w:hint="eastAsia" w:ascii="宋体" w:hAnsi="宋体" w:cs="仿宋_GB2312"/>
          <w:kern w:val="0"/>
          <w:sz w:val="24"/>
          <w:u w:val="single"/>
          <w:lang w:val="en-US" w:eastAsia="zh-CN"/>
        </w:rPr>
        <w:t xml:space="preserve">   </w:t>
      </w:r>
      <w:r>
        <w:rPr>
          <w:rFonts w:hint="eastAsia" w:ascii="宋体" w:hAnsi="宋体" w:cs="仿宋_GB2312"/>
          <w:kern w:val="0"/>
          <w:sz w:val="24"/>
          <w:u w:val="single"/>
        </w:rPr>
        <w:t>（项目名称）</w:t>
      </w:r>
      <w:r>
        <w:rPr>
          <w:rFonts w:hint="eastAsia" w:ascii="宋体" w:hAnsi="宋体" w:cs="仿宋_GB2312"/>
          <w:kern w:val="0"/>
          <w:sz w:val="24"/>
        </w:rPr>
        <w:t>响应文件、签订合同和处理有关事宜，其法律后果由我方承担。</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委托期限：。</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附：法定代表人身份证明及被授权人身份证明（复印件或扫描件）</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供应商：           （盖单位章）</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法定代表人：            （签字或加盖人名章）</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委托代理人：             （签字或加盖人名章）</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402" w:leftChars="1620"/>
        <w:jc w:val="left"/>
        <w:rPr>
          <w:rFonts w:ascii="宋体" w:hAnsi="宋体" w:cs="仿宋_GB2312"/>
          <w:kern w:val="0"/>
          <w:sz w:val="24"/>
        </w:rPr>
      </w:pPr>
      <w:r>
        <w:rPr>
          <w:rFonts w:hint="eastAsia" w:ascii="宋体" w:hAnsi="宋体" w:cs="仿宋_GB2312"/>
          <w:kern w:val="0"/>
          <w:sz w:val="24"/>
        </w:rPr>
        <w:t>年月日</w:t>
      </w:r>
    </w:p>
    <w:p>
      <w:pPr>
        <w:widowControl/>
        <w:jc w:val="left"/>
        <w:rPr>
          <w:rFonts w:ascii="宋体" w:hAnsi="宋体" w:cs="仿宋_GB2312"/>
          <w:kern w:val="0"/>
          <w:sz w:val="24"/>
        </w:rPr>
      </w:pPr>
      <w:r>
        <w:rPr>
          <w:rFonts w:ascii="宋体" w:hAnsi="宋体" w:cs="仿宋_GB2312"/>
          <w:kern w:val="0"/>
          <w:sz w:val="24"/>
        </w:rPr>
        <w:br w:type="page"/>
      </w:r>
    </w:p>
    <w:p>
      <w:pPr>
        <w:autoSpaceDE w:val="0"/>
        <w:autoSpaceDN w:val="0"/>
        <w:adjustRightInd w:val="0"/>
        <w:spacing w:line="360" w:lineRule="auto"/>
        <w:ind w:left="3958" w:leftChars="1885"/>
        <w:jc w:val="left"/>
        <w:rPr>
          <w:rFonts w:ascii="宋体" w:hAnsi="宋体" w:cs="仿宋_GB2312"/>
          <w:kern w:val="0"/>
          <w:sz w:val="24"/>
        </w:rPr>
      </w:pPr>
    </w:p>
    <w:p>
      <w:pPr>
        <w:pStyle w:val="425"/>
        <w:spacing w:line="360" w:lineRule="auto"/>
        <w:ind w:firstLine="0" w:firstLineChars="0"/>
        <w:outlineLvl w:val="1"/>
        <w:rPr>
          <w:b/>
          <w:sz w:val="24"/>
        </w:rPr>
      </w:pPr>
      <w:bookmarkStart w:id="593" w:name="_Toc30492"/>
      <w:r>
        <w:rPr>
          <w:rFonts w:hint="eastAsia"/>
          <w:b/>
          <w:sz w:val="24"/>
        </w:rPr>
        <w:t>附件4 谈判保证金</w:t>
      </w:r>
      <w:bookmarkEnd w:id="588"/>
      <w:bookmarkEnd w:id="589"/>
      <w:r>
        <w:rPr>
          <w:rFonts w:hint="eastAsia"/>
          <w:b/>
          <w:sz w:val="24"/>
        </w:rPr>
        <w:t>（支票、汇票或本票的复印件，或采用汇款、网银等方式提交的保证金的汇款底单复印件）</w:t>
      </w:r>
      <w:bookmarkEnd w:id="593"/>
    </w:p>
    <w:p>
      <w:pPr>
        <w:jc w:val="center"/>
        <w:rPr>
          <w:b/>
          <w:sz w:val="24"/>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r>
        <w:rPr>
          <w:rFonts w:hint="eastAsia" w:ascii="宋体"/>
          <w:b/>
          <w:szCs w:val="21"/>
        </w:rPr>
        <w:t>说明：</w:t>
      </w:r>
    </w:p>
    <w:p>
      <w:pPr>
        <w:spacing w:before="120" w:after="120" w:line="360" w:lineRule="auto"/>
        <w:ind w:firstLine="420" w:firstLineChars="200"/>
        <w:rPr>
          <w:rFonts w:ascii="宋体"/>
          <w:szCs w:val="21"/>
        </w:rPr>
      </w:pPr>
      <w:r>
        <w:rPr>
          <w:rFonts w:hint="eastAsia" w:ascii="宋体"/>
          <w:szCs w:val="21"/>
        </w:rPr>
        <w:t>供应商提交的谈判保证金应采用谈判文件中规定的形式，并在此提供相应凭证的复印件</w:t>
      </w:r>
      <w:r>
        <w:rPr>
          <w:rFonts w:ascii="宋体"/>
          <w:szCs w:val="21"/>
        </w:rPr>
        <w:t>。</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r>
        <w:rPr>
          <w:rFonts w:ascii="宋体"/>
          <w:szCs w:val="21"/>
        </w:rPr>
        <w:t xml:space="preserve">供应商名称（公章）： </w:t>
      </w:r>
    </w:p>
    <w:p>
      <w:pPr>
        <w:spacing w:before="120" w:after="120" w:line="360" w:lineRule="auto"/>
        <w:ind w:firstLine="420" w:firstLineChars="200"/>
        <w:rPr>
          <w:rFonts w:ascii="宋体"/>
          <w:szCs w:val="21"/>
        </w:rPr>
      </w:pPr>
      <w:r>
        <w:rPr>
          <w:rFonts w:ascii="宋体"/>
          <w:szCs w:val="21"/>
        </w:rPr>
        <w:t>法定代表人或其授权代表（</w:t>
      </w:r>
      <w:r>
        <w:rPr>
          <w:rFonts w:hint="eastAsia" w:ascii="宋体"/>
          <w:szCs w:val="21"/>
        </w:rPr>
        <w:t>签字或加盖人名章</w:t>
      </w:r>
      <w:r>
        <w:rPr>
          <w:rFonts w:ascii="宋体"/>
          <w:szCs w:val="21"/>
        </w:rPr>
        <w:t>）：</w:t>
      </w:r>
    </w:p>
    <w:p>
      <w:pPr>
        <w:spacing w:before="120" w:after="120" w:line="360" w:lineRule="auto"/>
        <w:ind w:firstLine="420" w:firstLineChars="200"/>
        <w:rPr>
          <w:rFonts w:ascii="宋体"/>
          <w:szCs w:val="21"/>
        </w:rPr>
      </w:pPr>
      <w:r>
        <w:rPr>
          <w:rFonts w:ascii="宋体"/>
          <w:szCs w:val="21"/>
        </w:rPr>
        <w:t>日    期：     年   月    日</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Lines="50" w:line="440" w:lineRule="exact"/>
        <w:ind w:firstLine="422"/>
        <w:rPr>
          <w:rFonts w:ascii="宋体"/>
          <w:b/>
          <w:szCs w:val="21"/>
        </w:rPr>
      </w:pPr>
    </w:p>
    <w:p>
      <w:pPr>
        <w:widowControl/>
        <w:jc w:val="left"/>
        <w:rPr>
          <w:b/>
          <w:sz w:val="24"/>
        </w:rPr>
      </w:pPr>
      <w:bookmarkStart w:id="594" w:name="_Toc143577473"/>
      <w:bookmarkStart w:id="595" w:name="_Toc468781351"/>
    </w:p>
    <w:p>
      <w:pPr>
        <w:widowControl/>
        <w:jc w:val="left"/>
        <w:rPr>
          <w:b/>
          <w:sz w:val="24"/>
        </w:rPr>
      </w:pPr>
    </w:p>
    <w:p>
      <w:pPr>
        <w:widowControl/>
        <w:jc w:val="left"/>
        <w:rPr>
          <w:b/>
          <w:sz w:val="24"/>
        </w:rPr>
      </w:pPr>
    </w:p>
    <w:p>
      <w:pPr>
        <w:widowControl/>
        <w:jc w:val="left"/>
        <w:rPr>
          <w:b/>
          <w:sz w:val="24"/>
        </w:rPr>
      </w:pPr>
    </w:p>
    <w:p>
      <w:pPr>
        <w:spacing w:line="360" w:lineRule="auto"/>
        <w:rPr>
          <w:b/>
          <w:sz w:val="24"/>
        </w:rPr>
      </w:pPr>
    </w:p>
    <w:p>
      <w:pPr>
        <w:spacing w:line="360" w:lineRule="auto"/>
        <w:rPr>
          <w:b/>
          <w:sz w:val="24"/>
        </w:rPr>
      </w:pPr>
    </w:p>
    <w:p>
      <w:pPr>
        <w:widowControl/>
        <w:jc w:val="left"/>
        <w:rPr>
          <w:sz w:val="24"/>
        </w:rPr>
      </w:pPr>
    </w:p>
    <w:p>
      <w:pPr>
        <w:pStyle w:val="425"/>
        <w:spacing w:line="360" w:lineRule="auto"/>
        <w:ind w:firstLine="0" w:firstLineChars="0"/>
        <w:outlineLvl w:val="1"/>
        <w:rPr>
          <w:b/>
          <w:sz w:val="24"/>
        </w:rPr>
      </w:pPr>
      <w:bookmarkStart w:id="596" w:name="_Toc8524"/>
      <w:r>
        <w:rPr>
          <w:rFonts w:hint="eastAsia"/>
          <w:b/>
          <w:sz w:val="24"/>
        </w:rPr>
        <w:t>附件5 已标价工程量清单（综合单价）</w:t>
      </w:r>
      <w:bookmarkEnd w:id="596"/>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widowControl/>
        <w:jc w:val="left"/>
        <w:rPr>
          <w:sz w:val="24"/>
        </w:rPr>
      </w:pPr>
      <w:r>
        <w:rPr>
          <w:sz w:val="24"/>
        </w:rPr>
        <w:br w:type="page"/>
      </w:r>
    </w:p>
    <w:p>
      <w:pPr>
        <w:pStyle w:val="425"/>
        <w:spacing w:line="360" w:lineRule="auto"/>
        <w:ind w:firstLine="0" w:firstLineChars="0"/>
        <w:outlineLvl w:val="1"/>
        <w:rPr>
          <w:b/>
          <w:sz w:val="24"/>
        </w:rPr>
      </w:pPr>
      <w:bookmarkStart w:id="597" w:name="_Toc10599"/>
      <w:r>
        <w:rPr>
          <w:rFonts w:hint="eastAsia"/>
          <w:b/>
          <w:sz w:val="24"/>
        </w:rPr>
        <w:t xml:space="preserve">附件6 </w:t>
      </w:r>
      <w:r>
        <w:rPr>
          <w:b/>
          <w:sz w:val="24"/>
        </w:rPr>
        <w:t>商务、合同条款偏差表</w:t>
      </w:r>
      <w:bookmarkEnd w:id="597"/>
    </w:p>
    <w:p>
      <w:pPr>
        <w:spacing w:after="240"/>
        <w:ind w:hanging="119"/>
      </w:pPr>
    </w:p>
    <w:p>
      <w:pPr>
        <w:spacing w:after="240"/>
        <w:ind w:hanging="119"/>
        <w:rPr>
          <w:u w:val="single"/>
        </w:rPr>
      </w:pPr>
      <w:r>
        <w:t>供应商名称：</w:t>
      </w:r>
    </w:p>
    <w:tbl>
      <w:tblPr>
        <w:tblStyle w:val="87"/>
        <w:tblW w:w="90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3623"/>
        <w:gridCol w:w="1134"/>
        <w:gridCol w:w="851"/>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jc w:val="center"/>
        </w:trPr>
        <w:tc>
          <w:tcPr>
            <w:tcW w:w="2093" w:type="dxa"/>
          </w:tcPr>
          <w:p>
            <w:pPr>
              <w:spacing w:line="440" w:lineRule="atLeast"/>
              <w:jc w:val="center"/>
            </w:pPr>
            <w:r>
              <w:t>谈判文件条目号</w:t>
            </w:r>
          </w:p>
        </w:tc>
        <w:tc>
          <w:tcPr>
            <w:tcW w:w="3623" w:type="dxa"/>
          </w:tcPr>
          <w:p>
            <w:pPr>
              <w:spacing w:line="440" w:lineRule="atLeast"/>
              <w:jc w:val="center"/>
            </w:pPr>
            <w:r>
              <w:t>谈判文件的商务、合同条款</w:t>
            </w:r>
          </w:p>
        </w:tc>
        <w:tc>
          <w:tcPr>
            <w:tcW w:w="1134" w:type="dxa"/>
          </w:tcPr>
          <w:p>
            <w:pPr>
              <w:spacing w:line="440" w:lineRule="atLeast"/>
              <w:jc w:val="center"/>
            </w:pPr>
            <w:r>
              <w:rPr>
                <w:rFonts w:hint="eastAsia"/>
              </w:rPr>
              <w:t>完全</w:t>
            </w:r>
            <w:r>
              <w:t>响应</w:t>
            </w:r>
          </w:p>
        </w:tc>
        <w:tc>
          <w:tcPr>
            <w:tcW w:w="851" w:type="dxa"/>
          </w:tcPr>
          <w:p>
            <w:pPr>
              <w:spacing w:line="440" w:lineRule="atLeast"/>
              <w:jc w:val="center"/>
            </w:pPr>
            <w:r>
              <w:rPr>
                <w:rFonts w:hint="eastAsia"/>
              </w:rPr>
              <w:t>有偏离</w:t>
            </w:r>
          </w:p>
        </w:tc>
        <w:tc>
          <w:tcPr>
            <w:tcW w:w="1310" w:type="dxa"/>
          </w:tcPr>
          <w:p>
            <w:pPr>
              <w:spacing w:line="440" w:lineRule="atLeast"/>
              <w:jc w:val="center"/>
            </w:pPr>
            <w:r>
              <w:t>偏离</w:t>
            </w:r>
            <w:r>
              <w:rPr>
                <w:rFonts w:hint="eastAsia"/>
              </w:rPr>
              <w:t>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vAlign w:val="center"/>
          </w:tcPr>
          <w:p>
            <w:pPr>
              <w:spacing w:line="440" w:lineRule="atLeast"/>
            </w:pPr>
          </w:p>
        </w:tc>
        <w:tc>
          <w:tcPr>
            <w:tcW w:w="3623" w:type="dxa"/>
            <w:vAlign w:val="center"/>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p>
        </w:tc>
        <w:tc>
          <w:tcPr>
            <w:tcW w:w="3623" w:type="dxa"/>
            <w:vAlign w:val="center"/>
          </w:tcPr>
          <w:p>
            <w:pPr>
              <w:spacing w:line="440" w:lineRule="atLeast"/>
              <w:rPr>
                <w:szCs w:val="21"/>
              </w:rPr>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r>
              <w:rPr>
                <w:rFonts w:hint="eastAsia"/>
                <w:szCs w:val="21"/>
              </w:rPr>
              <w:t>……</w:t>
            </w:r>
          </w:p>
        </w:tc>
        <w:tc>
          <w:tcPr>
            <w:tcW w:w="3623" w:type="dxa"/>
            <w:vAlign w:val="center"/>
          </w:tcPr>
          <w:p>
            <w:pPr>
              <w:spacing w:line="440" w:lineRule="atLeast"/>
              <w:rPr>
                <w:szCs w:val="21"/>
              </w:rPr>
            </w:pPr>
            <w:r>
              <w:rPr>
                <w:rFonts w:hint="eastAsia"/>
                <w:szCs w:val="21"/>
              </w:rPr>
              <w:t>……</w:t>
            </w: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bl>
    <w:p>
      <w:pPr>
        <w:spacing w:beforeLines="50" w:line="440" w:lineRule="exact"/>
        <w:ind w:left="-103" w:leftChars="-49" w:firstLine="15"/>
      </w:pPr>
      <w:r>
        <w:rPr>
          <w:rFonts w:hint="eastAsia"/>
        </w:rPr>
        <w:t>供应商：（公章）</w:t>
      </w:r>
    </w:p>
    <w:p>
      <w:pPr>
        <w:spacing w:beforeLines="50" w:line="440" w:lineRule="exact"/>
        <w:ind w:left="-103" w:leftChars="-49"/>
      </w:pPr>
      <w:r>
        <w:t>法定代表人或其授权代表：（</w:t>
      </w:r>
      <w:r>
        <w:rPr>
          <w:rFonts w:hint="eastAsia"/>
        </w:rPr>
        <w:t>签字或加盖人名章</w:t>
      </w:r>
      <w:r>
        <w:t>）</w:t>
      </w:r>
    </w:p>
    <w:p>
      <w:pPr>
        <w:spacing w:beforeLines="50" w:line="440" w:lineRule="exact"/>
        <w:ind w:left="-103" w:leftChars="-49"/>
      </w:pPr>
      <w:r>
        <w:t>日期：</w:t>
      </w:r>
    </w:p>
    <w:p/>
    <w:p>
      <w:pPr>
        <w:snapToGrid w:val="0"/>
        <w:spacing w:afterLines="50"/>
        <w:rPr>
          <w:rFonts w:ascii="宋体" w:hAnsi="宋体"/>
        </w:rPr>
      </w:pPr>
      <w:r>
        <w:rPr>
          <w:rFonts w:ascii="宋体" w:hAnsi="宋体"/>
        </w:rPr>
        <w:t>注：</w:t>
      </w:r>
      <w:r>
        <w:rPr>
          <w:rFonts w:hint="eastAsia" w:ascii="宋体" w:hAnsi="宋体"/>
        </w:rPr>
        <w:t>1、</w:t>
      </w:r>
      <w:r>
        <w:rPr>
          <w:rFonts w:hint="eastAsia" w:ascii="宋体" w:hAnsi="宋体"/>
        </w:rPr>
        <w:tab/>
      </w:r>
      <w:r>
        <w:rPr>
          <w:rFonts w:hint="eastAsia" w:ascii="宋体" w:hAnsi="宋体"/>
        </w:rPr>
        <w:t>供应商根据本谈判文件的供应商须知及合同条款填写本表；</w:t>
      </w:r>
    </w:p>
    <w:p>
      <w:pPr>
        <w:snapToGrid w:val="0"/>
        <w:spacing w:afterLines="50"/>
        <w:ind w:left="850" w:leftChars="203" w:hanging="424" w:hangingChars="202"/>
        <w:rPr>
          <w:rFonts w:ascii="宋体" w:hAnsi="宋体"/>
        </w:rPr>
      </w:pPr>
      <w:r>
        <w:rPr>
          <w:rFonts w:hint="eastAsia" w:ascii="宋体" w:hAnsi="宋体"/>
        </w:rPr>
        <w:t>2、</w:t>
      </w:r>
      <w:r>
        <w:rPr>
          <w:rFonts w:hint="eastAsia" w:ascii="宋体" w:hAnsi="宋体"/>
        </w:rPr>
        <w:tab/>
      </w:r>
      <w:r>
        <w:rPr>
          <w:rFonts w:hint="eastAsia" w:ascii="宋体" w:hAnsi="宋体"/>
        </w:rPr>
        <w:t>对完全响应的条目在本表相应列中标注“</w:t>
      </w:r>
      <w:r>
        <w:rPr>
          <w:rFonts w:hint="eastAsia"/>
          <w:b/>
          <w:bCs/>
        </w:rPr>
        <w:t>√</w:t>
      </w:r>
      <w:r>
        <w:rPr>
          <w:rFonts w:hint="eastAsia" w:ascii="宋体" w:hAnsi="宋体"/>
        </w:rPr>
        <w:t>”。对有偏离的条目在本表相应列中标注“正偏离”或“负偏离”。仅可在“完全响应”及“有偏离”中选一标注，同时，当且仅当选取“有偏离”栏中加以标注后，才能在“偏离简述”栏中加以说明。</w:t>
      </w:r>
    </w:p>
    <w:p>
      <w:pPr>
        <w:snapToGrid w:val="0"/>
        <w:spacing w:afterLines="50"/>
        <w:ind w:left="850" w:leftChars="203" w:hanging="424" w:hangingChars="202"/>
        <w:rPr>
          <w:rFonts w:ascii="宋体" w:hAnsi="宋体"/>
        </w:rPr>
      </w:pPr>
      <w:r>
        <w:rPr>
          <w:rFonts w:hint="eastAsia" w:ascii="宋体" w:hAnsi="宋体"/>
        </w:rPr>
        <w:t>3、</w:t>
      </w:r>
      <w:r>
        <w:rPr>
          <w:rFonts w:hint="eastAsia" w:ascii="宋体" w:hAnsi="宋体"/>
        </w:rPr>
        <w:tab/>
      </w:r>
      <w:r>
        <w:rPr>
          <w:rFonts w:hint="eastAsia" w:ascii="宋体" w:hAnsi="宋体"/>
        </w:rPr>
        <w:t>正偏离是指应答的条件优于谈判文件要求，负偏离是指应答的条件低于谈判文件要求。</w:t>
      </w:r>
    </w:p>
    <w:p>
      <w:pPr>
        <w:snapToGrid w:val="0"/>
        <w:spacing w:afterLines="50"/>
        <w:ind w:left="850" w:leftChars="203" w:hanging="424" w:hangingChars="202"/>
        <w:rPr>
          <w:rFonts w:ascii="宋体" w:hAnsi="宋体"/>
        </w:rPr>
      </w:pPr>
      <w:r>
        <w:rPr>
          <w:rFonts w:hint="eastAsia" w:ascii="宋体" w:hAnsi="宋体"/>
        </w:rPr>
        <w:t>4、</w:t>
      </w:r>
      <w:r>
        <w:rPr>
          <w:rFonts w:hint="eastAsia" w:ascii="宋体" w:hAnsi="宋体"/>
        </w:rPr>
        <w:tab/>
      </w:r>
      <w:r>
        <w:rPr>
          <w:rFonts w:hint="eastAsia" w:ascii="宋体" w:hAnsi="宋体"/>
        </w:rPr>
        <w:t>供应商须完整填写响应表。如果未完整填写本表的各项内容则视作供应商已经对谈判文件相关要求和内容完全理解并同意，其报价为在此基础上的完全价格。</w:t>
      </w:r>
    </w:p>
    <w:p>
      <w:pPr>
        <w:snapToGrid w:val="0"/>
        <w:spacing w:afterLines="50"/>
        <w:ind w:left="850" w:leftChars="203" w:hanging="424" w:hangingChars="202"/>
        <w:rPr>
          <w:rFonts w:ascii="宋体" w:hAnsi="宋体"/>
        </w:rPr>
      </w:pPr>
      <w:r>
        <w:rPr>
          <w:rFonts w:hint="eastAsia" w:ascii="宋体" w:hAnsi="宋体"/>
        </w:rPr>
        <w:t>5、</w:t>
      </w:r>
      <w:r>
        <w:rPr>
          <w:rFonts w:hint="eastAsia" w:ascii="宋体" w:hAnsi="宋体"/>
        </w:rPr>
        <w:tab/>
      </w:r>
      <w:r>
        <w:rPr>
          <w:rFonts w:hint="eastAsia" w:ascii="宋体" w:hAnsi="宋体"/>
        </w:rPr>
        <w:t>在买方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p>
    <w:p>
      <w:pPr>
        <w:rPr>
          <w:rFonts w:ascii="宋体" w:hAnsi="宋体" w:cs="宋体"/>
          <w:b/>
          <w:sz w:val="24"/>
        </w:rPr>
      </w:pPr>
      <w:r>
        <w:rPr>
          <w:rFonts w:hint="eastAsia" w:ascii="宋体" w:hAnsi="宋体" w:cs="宋体"/>
          <w:b/>
          <w:sz w:val="24"/>
        </w:rPr>
        <w:br w:type="page"/>
      </w:r>
    </w:p>
    <w:p>
      <w:pPr>
        <w:pStyle w:val="425"/>
        <w:spacing w:line="360" w:lineRule="auto"/>
        <w:ind w:firstLine="0" w:firstLineChars="0"/>
        <w:outlineLvl w:val="1"/>
        <w:rPr>
          <w:b/>
          <w:sz w:val="24"/>
        </w:rPr>
      </w:pPr>
      <w:bookmarkStart w:id="598" w:name="_Toc24256"/>
      <w:r>
        <w:rPr>
          <w:rFonts w:hint="eastAsia"/>
          <w:b/>
          <w:sz w:val="24"/>
        </w:rPr>
        <w:t>附件7 资格证明文件</w:t>
      </w:r>
      <w:bookmarkEnd w:id="598"/>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供应商上一年度</w:t>
      </w:r>
      <w:r>
        <w:rPr>
          <w:rFonts w:ascii="宋体" w:hAnsi="宋体"/>
          <w:sz w:val="24"/>
        </w:rPr>
        <w:t>经审计的财务报表</w:t>
      </w:r>
      <w:r>
        <w:rPr>
          <w:rFonts w:hint="eastAsia" w:ascii="宋体" w:hAnsi="宋体"/>
          <w:sz w:val="24"/>
        </w:rPr>
        <w:t>复印件</w:t>
      </w:r>
      <w:r>
        <w:rPr>
          <w:rFonts w:ascii="宋体" w:hAnsi="宋体"/>
          <w:sz w:val="24"/>
        </w:rPr>
        <w:t>（</w:t>
      </w:r>
      <w:r>
        <w:rPr>
          <w:rFonts w:hint="eastAsia" w:ascii="宋体" w:hAnsi="宋体"/>
          <w:sz w:val="24"/>
        </w:rPr>
        <w:t>包括资产负债表、现金流量表、利润表）格式要求见</w:t>
      </w:r>
      <w:r>
        <w:fldChar w:fldCharType="begin"/>
      </w:r>
      <w:r>
        <w:instrText xml:space="preserve"> REF _Ref527015333 \r \h  \* MERGEFORMAT </w:instrText>
      </w:r>
      <w:r>
        <w:fldChar w:fldCharType="separate"/>
      </w:r>
      <w:r>
        <w:rPr>
          <w:rFonts w:ascii="宋体" w:hAnsi="宋体"/>
          <w:sz w:val="24"/>
        </w:rPr>
        <w:t>7--1</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Theme="minorEastAsia" w:hAnsiTheme="minorEastAsia" w:eastAsiaTheme="minorEastAsia"/>
          <w:sz w:val="24"/>
        </w:rPr>
        <w:t>依法缴纳税收和社会保障资金的证明材料复印件</w:t>
      </w:r>
      <w:r>
        <w:rPr>
          <w:rFonts w:ascii="宋体" w:hAnsi="宋体"/>
          <w:sz w:val="24"/>
        </w:rPr>
        <w:t>（格式见</w:t>
      </w:r>
      <w:r>
        <w:fldChar w:fldCharType="begin"/>
      </w:r>
      <w:r>
        <w:instrText xml:space="preserve"> REF _Ref527015360 \r \h  \* MERGEFORMAT </w:instrText>
      </w:r>
      <w:r>
        <w:fldChar w:fldCharType="separate"/>
      </w:r>
      <w:r>
        <w:rPr>
          <w:rFonts w:ascii="宋体" w:hAnsi="宋体"/>
          <w:sz w:val="24"/>
        </w:rPr>
        <w:t>7--2</w:t>
      </w:r>
      <w:r>
        <w:rPr>
          <w:rFonts w:ascii="宋体" w:hAnsi="宋体"/>
          <w:sz w:val="24"/>
        </w:rPr>
        <w:fldChar w:fldCharType="end"/>
      </w:r>
      <w:r>
        <w:rPr>
          <w:rFonts w:hint="eastAsia" w:ascii="宋体" w:hAnsi="宋体"/>
          <w:sz w:val="24"/>
        </w:rPr>
        <w:t>、</w:t>
      </w:r>
      <w:r>
        <w:fldChar w:fldCharType="begin"/>
      </w:r>
      <w:r>
        <w:instrText xml:space="preserve"> REF _Ref527015367 \r \h  \* MERGEFORMAT </w:instrText>
      </w:r>
      <w:r>
        <w:fldChar w:fldCharType="separate"/>
      </w:r>
      <w:r>
        <w:rPr>
          <w:rFonts w:ascii="宋体" w:hAnsi="宋体"/>
          <w:sz w:val="24"/>
        </w:rPr>
        <w:t>7--3</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具备履行合同所必需的设备和专业技术能力的承诺原件</w:t>
      </w:r>
      <w:r>
        <w:rPr>
          <w:rFonts w:ascii="宋体" w:hAnsi="宋体"/>
          <w:sz w:val="24"/>
        </w:rPr>
        <w:t>（格式见</w:t>
      </w:r>
      <w:r>
        <w:fldChar w:fldCharType="begin"/>
      </w:r>
      <w:r>
        <w:instrText xml:space="preserve"> REF _Ref527015383 \r \h  \* MERGEFORMAT </w:instrText>
      </w:r>
      <w:r>
        <w:fldChar w:fldCharType="separate"/>
      </w:r>
      <w:r>
        <w:rPr>
          <w:rFonts w:ascii="宋体" w:hAnsi="宋体"/>
          <w:sz w:val="24"/>
        </w:rPr>
        <w:t>7--4</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供应商参加政府采购活动前3年内在经营活动中没有重大违法记录的书面声明原件</w:t>
      </w:r>
      <w:r>
        <w:rPr>
          <w:rFonts w:ascii="宋体" w:hAnsi="宋体"/>
          <w:sz w:val="24"/>
        </w:rPr>
        <w:t>（格式见</w:t>
      </w:r>
      <w:r>
        <w:fldChar w:fldCharType="begin"/>
      </w:r>
      <w:r>
        <w:instrText xml:space="preserve"> REF _Ref527015392 \r \h  \* MERGEFORMAT </w:instrText>
      </w:r>
      <w:r>
        <w:fldChar w:fldCharType="separate"/>
      </w:r>
      <w:r>
        <w:rPr>
          <w:rFonts w:ascii="宋体" w:hAnsi="宋体"/>
          <w:sz w:val="24"/>
        </w:rPr>
        <w:t>7--5</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供应商控股股东名称、控股公司的名称和存在管理、被管理关系的单位名称说明（格式见</w:t>
      </w:r>
      <w:r>
        <w:fldChar w:fldCharType="begin"/>
      </w:r>
      <w:r>
        <w:instrText xml:space="preserve"> REF _Ref527015401 \r \h  \* MERGEFORMAT </w:instrText>
      </w:r>
      <w:r>
        <w:fldChar w:fldCharType="separate"/>
      </w:r>
      <w:r>
        <w:rPr>
          <w:rFonts w:ascii="宋体" w:hAnsi="宋体"/>
          <w:sz w:val="24"/>
        </w:rPr>
        <w:t>7--6</w:t>
      </w:r>
      <w:r>
        <w:rPr>
          <w:rFonts w:ascii="宋体" w:hAnsi="宋体"/>
          <w:sz w:val="24"/>
        </w:rPr>
        <w:fldChar w:fldCharType="end"/>
      </w:r>
      <w:r>
        <w:rPr>
          <w:rFonts w:hint="eastAsia" w:ascii="宋体" w:hAnsi="宋体"/>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供应商是否属于</w:t>
      </w:r>
      <w:r>
        <w:rPr>
          <w:rFonts w:hint="eastAsia" w:asciiTheme="minorEastAsia" w:hAnsiTheme="minorEastAsia" w:eastAsiaTheme="minorEastAsia"/>
          <w:sz w:val="24"/>
        </w:rPr>
        <w:t>为本项目提供整体设计、规范编制或者项目管理、监理、检测等服务的供应商声明原件（格式见</w:t>
      </w:r>
      <w:r>
        <w:fldChar w:fldCharType="begin"/>
      </w:r>
      <w:r>
        <w:instrText xml:space="preserve"> REF _Ref527015410 \r \h  \* MERGEFORMAT </w:instrText>
      </w:r>
      <w:r>
        <w:fldChar w:fldCharType="separate"/>
      </w:r>
      <w:r>
        <w:rPr>
          <w:rFonts w:asciiTheme="minorEastAsia" w:hAnsiTheme="minorEastAsia" w:eastAsiaTheme="minorEastAsia"/>
          <w:sz w:val="24"/>
        </w:rPr>
        <w:t>7--7</w:t>
      </w:r>
      <w:r>
        <w:rPr>
          <w:rFonts w:asciiTheme="minorEastAsia" w:hAnsiTheme="minorEastAsia" w:eastAsiaTheme="minorEastAsia"/>
          <w:sz w:val="24"/>
        </w:rPr>
        <w:fldChar w:fldCharType="end"/>
      </w:r>
      <w:r>
        <w:rPr>
          <w:rFonts w:hint="eastAsia" w:asciiTheme="minorEastAsia" w:hAnsiTheme="minorEastAsia" w:eastAsiaTheme="minorEastAsia"/>
          <w:sz w:val="24"/>
        </w:rPr>
        <w:t>)</w:t>
      </w:r>
    </w:p>
    <w:p>
      <w:pPr>
        <w:numPr>
          <w:ilvl w:val="1"/>
          <w:numId w:val="16"/>
        </w:numPr>
        <w:tabs>
          <w:tab w:val="left" w:pos="993"/>
          <w:tab w:val="left" w:pos="1030"/>
          <w:tab w:val="left" w:pos="8364"/>
          <w:tab w:val="clear" w:pos="780"/>
        </w:tabs>
        <w:snapToGrid w:val="0"/>
        <w:spacing w:afterLines="50"/>
        <w:ind w:left="993" w:right="-57" w:rightChars="-27" w:hanging="573"/>
        <w:jc w:val="left"/>
        <w:rPr>
          <w:rFonts w:ascii="宋体" w:hAnsi="宋体"/>
          <w:sz w:val="24"/>
        </w:rPr>
      </w:pPr>
      <w:r>
        <w:rPr>
          <w:rFonts w:hint="eastAsia" w:ascii="宋体" w:hAnsi="宋体"/>
          <w:sz w:val="24"/>
        </w:rPr>
        <w:t>证明</w:t>
      </w:r>
      <w:r>
        <w:rPr>
          <w:rFonts w:ascii="宋体" w:hAnsi="宋体"/>
          <w:sz w:val="24"/>
        </w:rPr>
        <w:t>供应商</w:t>
      </w:r>
      <w:r>
        <w:rPr>
          <w:rFonts w:hint="eastAsia" w:ascii="宋体" w:hAnsi="宋体"/>
          <w:sz w:val="24"/>
        </w:rPr>
        <w:t>符合特定资格条件的证明材料；（格式见</w:t>
      </w:r>
      <w:r>
        <w:fldChar w:fldCharType="begin"/>
      </w:r>
      <w:r>
        <w:instrText xml:space="preserve"> REF _Ref527015434 \r \h  \* MERGEFORMAT </w:instrText>
      </w:r>
      <w:r>
        <w:fldChar w:fldCharType="separate"/>
      </w:r>
      <w:r>
        <w:rPr>
          <w:rFonts w:ascii="宋体" w:hAnsi="宋体"/>
          <w:sz w:val="24"/>
        </w:rPr>
        <w:t>7--</w:t>
      </w:r>
      <w:r>
        <w:rPr>
          <w:rFonts w:hint="eastAsia" w:ascii="宋体" w:hAnsi="宋体"/>
          <w:sz w:val="24"/>
          <w:lang w:val="en-US" w:eastAsia="zh-CN"/>
        </w:rPr>
        <w:t>8</w:t>
      </w:r>
      <w:r>
        <w:rPr>
          <w:rFonts w:ascii="宋体" w:hAnsi="宋体"/>
          <w:sz w:val="24"/>
        </w:rPr>
        <w:fldChar w:fldCharType="end"/>
      </w:r>
      <w:r>
        <w:rPr>
          <w:rFonts w:hint="eastAsia" w:ascii="宋体" w:hAnsi="宋体"/>
          <w:sz w:val="24"/>
        </w:rPr>
        <w:t>)</w:t>
      </w:r>
    </w:p>
    <w:p>
      <w:pPr>
        <w:tabs>
          <w:tab w:val="left" w:pos="993"/>
          <w:tab w:val="left" w:pos="1030"/>
          <w:tab w:val="left" w:pos="1134"/>
          <w:tab w:val="left" w:pos="8364"/>
        </w:tabs>
        <w:snapToGrid w:val="0"/>
        <w:spacing w:afterLines="50"/>
        <w:ind w:right="-57" w:rightChars="-27"/>
        <w:jc w:val="left"/>
        <w:rPr>
          <w:rFonts w:ascii="宋体" w:hAnsi="宋体"/>
          <w:sz w:val="24"/>
        </w:rPr>
      </w:pPr>
    </w:p>
    <w:p>
      <w:pPr>
        <w:tabs>
          <w:tab w:val="left" w:pos="993"/>
          <w:tab w:val="left" w:pos="1030"/>
          <w:tab w:val="left" w:pos="1134"/>
          <w:tab w:val="left" w:pos="8364"/>
        </w:tabs>
        <w:snapToGrid w:val="0"/>
        <w:spacing w:afterLines="50"/>
        <w:ind w:right="-57" w:rightChars="-27"/>
        <w:jc w:val="left"/>
        <w:rPr>
          <w:rFonts w:ascii="宋体" w:hAnsi="宋体"/>
          <w:sz w:val="24"/>
        </w:rPr>
      </w:pP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以上提供的扫描件、复印件必须加盖供应商公章。</w:t>
      </w:r>
    </w:p>
    <w:p>
      <w:pPr>
        <w:jc w:val="center"/>
        <w:rPr>
          <w:spacing w:val="20"/>
          <w:sz w:val="30"/>
          <w:szCs w:val="30"/>
        </w:rPr>
      </w:pPr>
      <w:r>
        <w:br w:type="page"/>
      </w:r>
      <w:bookmarkStart w:id="599" w:name="_Hlt520274121"/>
      <w:bookmarkEnd w:id="599"/>
    </w:p>
    <w:p>
      <w:pPr>
        <w:adjustRightInd w:val="0"/>
        <w:spacing w:line="360" w:lineRule="atLeast"/>
        <w:jc w:val="left"/>
        <w:textAlignment w:val="baseline"/>
        <w:rPr>
          <w:b/>
          <w:sz w:val="28"/>
        </w:rPr>
      </w:pPr>
    </w:p>
    <w:bookmarkEnd w:id="594"/>
    <w:p>
      <w:pPr>
        <w:pStyle w:val="425"/>
        <w:numPr>
          <w:ilvl w:val="0"/>
          <w:numId w:val="17"/>
        </w:numPr>
        <w:ind w:firstLineChars="0"/>
        <w:jc w:val="left"/>
        <w:outlineLvl w:val="2"/>
        <w:rPr>
          <w:rFonts w:ascii="仿宋_GB2312" w:hAnsi="宋体" w:eastAsia="仿宋_GB2312"/>
          <w:b/>
          <w:sz w:val="24"/>
        </w:rPr>
      </w:pPr>
      <w:bookmarkStart w:id="600" w:name="_Ref527015333"/>
      <w:bookmarkStart w:id="601" w:name="_Toc1272"/>
      <w:bookmarkStart w:id="602" w:name="_Toc28839"/>
      <w:r>
        <w:rPr>
          <w:rFonts w:hint="eastAsia" w:ascii="仿宋_GB2312" w:hAnsi="宋体" w:eastAsia="仿宋_GB2312"/>
          <w:b/>
          <w:sz w:val="24"/>
        </w:rPr>
        <w:t>上一年度</w:t>
      </w:r>
      <w:r>
        <w:rPr>
          <w:rFonts w:ascii="仿宋_GB2312" w:hAnsi="宋体" w:eastAsia="仿宋_GB2312"/>
          <w:b/>
          <w:sz w:val="24"/>
        </w:rPr>
        <w:t>经审计的财务报表</w:t>
      </w:r>
      <w:bookmarkEnd w:id="600"/>
      <w:bookmarkEnd w:id="601"/>
      <w:bookmarkEnd w:id="602"/>
    </w:p>
    <w:p>
      <w:pPr>
        <w:spacing w:line="360" w:lineRule="auto"/>
        <w:rPr>
          <w:szCs w:val="21"/>
        </w:rPr>
      </w:pPr>
    </w:p>
    <w:p>
      <w:pPr>
        <w:spacing w:line="360" w:lineRule="auto"/>
        <w:ind w:right="155"/>
        <w:rPr>
          <w:rFonts w:hAnsi="宋体"/>
          <w:szCs w:val="21"/>
        </w:rPr>
      </w:pPr>
      <w:r>
        <w:rPr>
          <w:rFonts w:hint="eastAsia"/>
          <w:szCs w:val="21"/>
        </w:rPr>
        <w:t>提供供应商上一年度</w:t>
      </w:r>
      <w:r>
        <w:rPr>
          <w:szCs w:val="21"/>
        </w:rPr>
        <w:t>经审计的财务报表（</w:t>
      </w:r>
      <w:r>
        <w:rPr>
          <w:rFonts w:hint="eastAsia"/>
          <w:szCs w:val="21"/>
        </w:rPr>
        <w:t>包括资产负债表、现金流量表、利润表）复印件或扫描件、</w:t>
      </w:r>
      <w:r>
        <w:t>所有复印件或扫描件需加盖单位公章</w:t>
      </w:r>
      <w:r>
        <w:rPr>
          <w:rFonts w:hint="eastAsia"/>
          <w:szCs w:val="21"/>
        </w:rPr>
        <w:t>。</w:t>
      </w:r>
    </w:p>
    <w:p>
      <w:pPr>
        <w:spacing w:line="360" w:lineRule="auto"/>
        <w:rPr>
          <w:szCs w:val="21"/>
        </w:rPr>
      </w:pPr>
    </w:p>
    <w:p>
      <w:pPr>
        <w:widowControl/>
        <w:jc w:val="left"/>
        <w:rPr>
          <w:b/>
          <w:spacing w:val="20"/>
          <w:sz w:val="24"/>
        </w:rPr>
      </w:pPr>
      <w:r>
        <w:rPr>
          <w:b/>
          <w:spacing w:val="20"/>
          <w:sz w:val="24"/>
        </w:rPr>
        <w:br w:type="page"/>
      </w:r>
    </w:p>
    <w:p>
      <w:pPr>
        <w:tabs>
          <w:tab w:val="left" w:pos="5580"/>
        </w:tabs>
        <w:spacing w:before="120" w:line="360" w:lineRule="auto"/>
        <w:ind w:firstLine="480" w:firstLineChars="200"/>
        <w:rPr>
          <w:rFonts w:ascii="仿宋_GB2312" w:eastAsia="仿宋_GB2312"/>
          <w:sz w:val="24"/>
        </w:rPr>
      </w:pPr>
    </w:p>
    <w:p>
      <w:pPr>
        <w:pStyle w:val="425"/>
        <w:numPr>
          <w:ilvl w:val="0"/>
          <w:numId w:val="17"/>
        </w:numPr>
        <w:ind w:firstLineChars="0"/>
        <w:jc w:val="left"/>
        <w:outlineLvl w:val="2"/>
        <w:rPr>
          <w:rFonts w:ascii="仿宋_GB2312" w:hAnsi="宋体" w:eastAsia="仿宋_GB2312"/>
          <w:b/>
          <w:sz w:val="24"/>
        </w:rPr>
      </w:pPr>
      <w:bookmarkStart w:id="603" w:name="_Ref527015360"/>
      <w:bookmarkStart w:id="604" w:name="_Toc8065"/>
      <w:bookmarkStart w:id="605" w:name="_Toc5195"/>
      <w:r>
        <w:rPr>
          <w:rFonts w:hint="eastAsia" w:ascii="仿宋_GB2312" w:hAnsi="宋体" w:eastAsia="仿宋_GB2312"/>
          <w:b/>
          <w:sz w:val="24"/>
        </w:rPr>
        <w:t>依法缴纳税收的证明</w:t>
      </w:r>
      <w:bookmarkEnd w:id="603"/>
      <w:bookmarkEnd w:id="604"/>
      <w:bookmarkEnd w:id="605"/>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说明：</w:t>
      </w: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Lines="50"/>
        <w:ind w:right="-57" w:rightChars="-27"/>
        <w:jc w:val="left"/>
        <w:rPr>
          <w:rFonts w:asciiTheme="minorEastAsia" w:hAnsiTheme="minorEastAsia" w:eastAsiaTheme="minorEastAsia"/>
          <w:sz w:val="24"/>
        </w:rPr>
      </w:pPr>
      <w:r>
        <w:rPr>
          <w:rFonts w:hint="eastAsia" w:asciiTheme="minorEastAsia" w:hAnsiTheme="minorEastAsia" w:eastAsiaTheme="minorEastAsia"/>
          <w:sz w:val="24"/>
        </w:rPr>
        <w:t xml:space="preserve">        2、依法免税的供应商，应提供相应文件证明其依法免税。</w:t>
      </w: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Lines="50"/>
        <w:ind w:left="420" w:right="-57" w:rightChars="-27" w:firstLine="480" w:firstLineChars="200"/>
        <w:jc w:val="left"/>
        <w:rPr>
          <w:rFonts w:asciiTheme="minorEastAsia" w:hAnsiTheme="minorEastAsia" w:eastAsiaTheme="minorEastAsia"/>
          <w:sz w:val="24"/>
        </w:rPr>
      </w:pPr>
    </w:p>
    <w:p>
      <w:pPr>
        <w:pStyle w:val="425"/>
        <w:numPr>
          <w:ilvl w:val="0"/>
          <w:numId w:val="17"/>
        </w:numPr>
        <w:ind w:firstLineChars="0"/>
        <w:jc w:val="left"/>
        <w:outlineLvl w:val="2"/>
        <w:rPr>
          <w:rFonts w:ascii="仿宋_GB2312" w:hAnsi="宋体" w:eastAsia="仿宋_GB2312"/>
          <w:b/>
          <w:sz w:val="24"/>
        </w:rPr>
      </w:pPr>
      <w:bookmarkStart w:id="606" w:name="_Ref527015367"/>
      <w:bookmarkStart w:id="607" w:name="_Toc13064"/>
      <w:bookmarkStart w:id="608" w:name="_Toc4035"/>
      <w:r>
        <w:rPr>
          <w:rFonts w:hint="eastAsia" w:ascii="仿宋_GB2312" w:hAnsi="宋体" w:eastAsia="仿宋_GB2312"/>
          <w:b/>
          <w:sz w:val="24"/>
        </w:rPr>
        <w:t>社会保障资金缴纳记录</w:t>
      </w:r>
      <w:bookmarkEnd w:id="606"/>
      <w:bookmarkEnd w:id="607"/>
      <w:bookmarkEnd w:id="608"/>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cr/>
      </w:r>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p>
    <w:p>
      <w:p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说明：</w:t>
      </w:r>
    </w:p>
    <w:p>
      <w:pPr>
        <w:numPr>
          <w:ilvl w:val="0"/>
          <w:numId w:val="18"/>
        </w:num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供应商应提供近六个月中至少一个月的社会缴纳社会保险的凭据（专用收据或社会保险缴纳清单），并加盖本单位公章。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不需要缴纳社会保障资金的供应商，应提供相应文件证明其不需要缴纳社会保障资金。</w:t>
      </w:r>
    </w:p>
    <w:p>
      <w:pPr>
        <w:tabs>
          <w:tab w:val="left" w:pos="5580"/>
        </w:tabs>
        <w:spacing w:before="12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tabs>
          <w:tab w:val="left" w:pos="993"/>
          <w:tab w:val="left" w:pos="1030"/>
          <w:tab w:val="left" w:pos="8364"/>
        </w:tabs>
        <w:snapToGrid w:val="0"/>
        <w:spacing w:afterLines="50"/>
        <w:ind w:left="420" w:right="-57" w:rightChars="-27"/>
        <w:jc w:val="left"/>
        <w:rPr>
          <w:rFonts w:ascii="仿宋_GB2312" w:eastAsia="仿宋_GB2312"/>
          <w:sz w:val="24"/>
        </w:rPr>
      </w:pPr>
    </w:p>
    <w:p>
      <w:pPr>
        <w:pStyle w:val="425"/>
        <w:numPr>
          <w:ilvl w:val="0"/>
          <w:numId w:val="17"/>
        </w:numPr>
        <w:ind w:firstLineChars="0"/>
        <w:jc w:val="left"/>
        <w:outlineLvl w:val="2"/>
        <w:rPr>
          <w:rFonts w:ascii="仿宋_GB2312" w:hAnsi="宋体" w:eastAsia="仿宋_GB2312"/>
          <w:b/>
          <w:sz w:val="24"/>
        </w:rPr>
      </w:pPr>
      <w:bookmarkStart w:id="609" w:name="_Ref527015383"/>
      <w:bookmarkStart w:id="610" w:name="_Toc16955"/>
      <w:bookmarkStart w:id="611" w:name="_Toc21220"/>
      <w:r>
        <w:rPr>
          <w:rFonts w:ascii="仿宋_GB2312" w:hAnsi="宋体" w:eastAsia="仿宋_GB2312"/>
          <w:b/>
          <w:sz w:val="24"/>
        </w:rPr>
        <w:t>具</w:t>
      </w:r>
      <w:r>
        <w:rPr>
          <w:rFonts w:hint="eastAsia" w:ascii="仿宋_GB2312" w:hAnsi="宋体" w:eastAsia="仿宋_GB2312"/>
          <w:b/>
          <w:sz w:val="24"/>
        </w:rPr>
        <w:t>备</w:t>
      </w:r>
      <w:r>
        <w:rPr>
          <w:rFonts w:ascii="仿宋_GB2312" w:hAnsi="宋体" w:eastAsia="仿宋_GB2312"/>
          <w:b/>
          <w:sz w:val="24"/>
        </w:rPr>
        <w:t>履行合同所必需的设备和专业技术能力</w:t>
      </w:r>
      <w:r>
        <w:rPr>
          <w:rFonts w:hint="eastAsia" w:ascii="仿宋_GB2312" w:hAnsi="宋体" w:eastAsia="仿宋_GB2312"/>
          <w:b/>
          <w:sz w:val="24"/>
        </w:rPr>
        <w:t>承诺书</w:t>
      </w:r>
      <w:bookmarkEnd w:id="609"/>
      <w:bookmarkEnd w:id="610"/>
      <w:bookmarkEnd w:id="611"/>
    </w:p>
    <w:p>
      <w:pPr>
        <w:ind w:firstLine="480"/>
        <w:rPr>
          <w:rFonts w:cs="宋体" w:asciiTheme="minorEastAsia" w:hAnsiTheme="minorEastAsia" w:eastAsiaTheme="minorEastAsia"/>
          <w:kern w:val="0"/>
          <w:sz w:val="24"/>
        </w:rPr>
      </w:pPr>
    </w:p>
    <w:p>
      <w:pPr>
        <w:ind w:firstLine="480"/>
        <w:rPr>
          <w:rFonts w:cs="宋体" w:asciiTheme="minorEastAsia" w:hAnsiTheme="minorEastAsia" w:eastAsiaTheme="minorEastAsia"/>
          <w:kern w:val="0"/>
          <w:sz w:val="24"/>
        </w:rPr>
      </w:pPr>
    </w:p>
    <w:p>
      <w:pPr>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u w:val="single"/>
        </w:rPr>
        <w:t xml:space="preserve">(采购人名称)      </w:t>
      </w:r>
    </w:p>
    <w:p>
      <w:pPr>
        <w:ind w:firstLine="480"/>
        <w:rPr>
          <w:rFonts w:cs="宋体" w:asciiTheme="minorEastAsia" w:hAnsiTheme="minorEastAsia" w:eastAsiaTheme="minorEastAsia"/>
          <w:kern w:val="0"/>
          <w:sz w:val="24"/>
        </w:rPr>
      </w:pPr>
    </w:p>
    <w:p>
      <w:pPr>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我公司承诺</w:t>
      </w:r>
      <w:r>
        <w:rPr>
          <w:rFonts w:asciiTheme="minorEastAsia" w:hAnsiTheme="minorEastAsia" w:eastAsiaTheme="minorEastAsia"/>
          <w:sz w:val="24"/>
        </w:rPr>
        <w:t>具</w:t>
      </w:r>
      <w:r>
        <w:rPr>
          <w:rFonts w:hint="eastAsia" w:asciiTheme="minorEastAsia" w:hAnsiTheme="minorEastAsia" w:eastAsiaTheme="minorEastAsia"/>
          <w:sz w:val="24"/>
        </w:rPr>
        <w:t>备</w:t>
      </w:r>
      <w:r>
        <w:rPr>
          <w:rFonts w:asciiTheme="minorEastAsia" w:hAnsiTheme="minorEastAsia" w:eastAsiaTheme="minorEastAsia"/>
          <w:sz w:val="24"/>
        </w:rPr>
        <w:t>履行合同所必需的设备和专业技术能力</w:t>
      </w:r>
      <w:r>
        <w:rPr>
          <w:rFonts w:hint="eastAsia" w:cs="宋体" w:asciiTheme="minorEastAsia" w:hAnsiTheme="minorEastAsia" w:eastAsiaTheme="minorEastAsia"/>
          <w:kern w:val="0"/>
          <w:sz w:val="24"/>
        </w:rPr>
        <w:t>。</w:t>
      </w:r>
    </w:p>
    <w:p>
      <w:pPr>
        <w:ind w:firstLine="480"/>
        <w:rPr>
          <w:rFonts w:asciiTheme="minorEastAsia" w:hAnsiTheme="minorEastAsia" w:eastAsiaTheme="minorEastAsia"/>
          <w:b/>
          <w:sz w:val="24"/>
        </w:rPr>
      </w:pPr>
    </w:p>
    <w:p>
      <w:pPr>
        <w:ind w:firstLine="480"/>
        <w:rPr>
          <w:rFonts w:asciiTheme="minorEastAsia" w:hAnsiTheme="minorEastAsia" w:eastAsiaTheme="minorEastAsia"/>
          <w:b/>
          <w:sz w:val="24"/>
        </w:rPr>
      </w:pPr>
    </w:p>
    <w:p>
      <w:pPr>
        <w:ind w:firstLine="480"/>
        <w:rPr>
          <w:rFonts w:asciiTheme="minorEastAsia" w:hAnsiTheme="minorEastAsia" w:eastAsiaTheme="minorEastAsia"/>
          <w:b/>
          <w:sz w:val="24"/>
        </w:rPr>
      </w:pPr>
    </w:p>
    <w:p>
      <w:pPr>
        <w:spacing w:beforeLines="50" w:line="440" w:lineRule="exact"/>
        <w:ind w:left="-103" w:leftChars="-49" w:firstLine="616" w:firstLineChars="257"/>
        <w:rPr>
          <w:rFonts w:asciiTheme="minorEastAsia" w:hAnsiTheme="minorEastAsia" w:eastAsiaTheme="minorEastAsia"/>
          <w:sz w:val="24"/>
        </w:rPr>
      </w:pPr>
      <w:r>
        <w:rPr>
          <w:rFonts w:hint="eastAsia" w:asciiTheme="minorEastAsia" w:hAnsiTheme="minorEastAsia" w:eastAsiaTheme="minorEastAsia"/>
          <w:sz w:val="24"/>
        </w:rPr>
        <w:t>供应商：（公章）</w:t>
      </w:r>
    </w:p>
    <w:p>
      <w:pPr>
        <w:spacing w:beforeLines="50" w:line="440" w:lineRule="exact"/>
        <w:ind w:left="460" w:leftChars="219"/>
        <w:rPr>
          <w:rFonts w:asciiTheme="minorEastAsia" w:hAnsiTheme="minorEastAsia" w:eastAsiaTheme="minorEastAsia"/>
          <w:sz w:val="24"/>
        </w:rPr>
      </w:pPr>
      <w:r>
        <w:rPr>
          <w:rFonts w:asciiTheme="minorEastAsia" w:hAnsiTheme="minorEastAsia" w:eastAsiaTheme="minorEastAsia"/>
          <w:sz w:val="24"/>
        </w:rPr>
        <w:t>法定代表人或其授权代表：（</w:t>
      </w:r>
      <w:r>
        <w:rPr>
          <w:rFonts w:hint="eastAsia" w:asciiTheme="minorEastAsia" w:hAnsiTheme="minorEastAsia" w:eastAsiaTheme="minorEastAsia"/>
          <w:sz w:val="24"/>
        </w:rPr>
        <w:t>签字或加盖人名章</w:t>
      </w:r>
      <w:r>
        <w:rPr>
          <w:rFonts w:asciiTheme="minorEastAsia" w:hAnsiTheme="minorEastAsia" w:eastAsiaTheme="minorEastAsia"/>
          <w:sz w:val="24"/>
        </w:rPr>
        <w:t>）</w:t>
      </w:r>
    </w:p>
    <w:p>
      <w:pPr>
        <w:spacing w:beforeLines="50" w:line="440" w:lineRule="exact"/>
        <w:ind w:left="460" w:leftChars="219"/>
        <w:rPr>
          <w:rFonts w:asciiTheme="minorEastAsia" w:hAnsiTheme="minorEastAsia" w:eastAsiaTheme="minorEastAsia"/>
          <w:sz w:val="24"/>
        </w:rPr>
      </w:pPr>
      <w:r>
        <w:rPr>
          <w:rFonts w:asciiTheme="minorEastAsia" w:hAnsiTheme="minorEastAsia" w:eastAsiaTheme="minorEastAsia"/>
          <w:sz w:val="24"/>
        </w:rPr>
        <w:t>日期：</w:t>
      </w:r>
    </w:p>
    <w:p>
      <w:pPr>
        <w:ind w:right="280"/>
        <w:rPr>
          <w:rFonts w:asciiTheme="minorEastAsia" w:hAnsiTheme="minorEastAsia" w:eastAsiaTheme="minorEastAsia"/>
          <w:sz w:val="24"/>
        </w:rPr>
      </w:pPr>
    </w:p>
    <w:p>
      <w:pPr>
        <w:tabs>
          <w:tab w:val="left" w:pos="5580"/>
        </w:tabs>
        <w:spacing w:before="120" w:line="360" w:lineRule="auto"/>
        <w:rPr>
          <w:rFonts w:asciiTheme="minorEastAsia" w:hAnsiTheme="minorEastAsia" w:eastAsiaTheme="minorEastAsia"/>
          <w:sz w:val="24"/>
        </w:rPr>
      </w:pPr>
    </w:p>
    <w:p>
      <w:pPr>
        <w:tabs>
          <w:tab w:val="left" w:pos="5580"/>
        </w:tabs>
        <w:spacing w:before="120" w:line="360" w:lineRule="auto"/>
        <w:ind w:firstLine="480" w:firstLineChars="200"/>
        <w:rPr>
          <w:rFonts w:ascii="仿宋_GB2312" w:eastAsia="仿宋_GB2312"/>
          <w:sz w:val="24"/>
        </w:rPr>
      </w:pP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Lines="50"/>
        <w:ind w:left="420" w:right="-57" w:rightChars="-27" w:firstLine="480" w:firstLineChars="200"/>
        <w:jc w:val="left"/>
        <w:rPr>
          <w:rFonts w:ascii="仿宋_GB2312" w:eastAsia="仿宋_GB2312"/>
          <w:sz w:val="24"/>
        </w:rPr>
      </w:pPr>
    </w:p>
    <w:p>
      <w:pPr>
        <w:widowControl/>
        <w:jc w:val="left"/>
        <w:rPr>
          <w:rFonts w:ascii="仿宋_GB2312" w:hAnsi="宋体" w:eastAsia="仿宋_GB2312"/>
          <w:b/>
          <w:sz w:val="24"/>
        </w:rPr>
      </w:pPr>
      <w:r>
        <w:rPr>
          <w:rFonts w:ascii="仿宋_GB2312" w:hAnsi="宋体" w:eastAsia="仿宋_GB2312"/>
          <w:b/>
          <w:sz w:val="24"/>
        </w:rPr>
        <w:br w:type="page"/>
      </w:r>
    </w:p>
    <w:p>
      <w:pPr>
        <w:pStyle w:val="425"/>
        <w:numPr>
          <w:ilvl w:val="0"/>
          <w:numId w:val="17"/>
        </w:numPr>
        <w:ind w:left="851" w:hanging="851" w:firstLineChars="0"/>
        <w:jc w:val="left"/>
        <w:outlineLvl w:val="2"/>
        <w:rPr>
          <w:rFonts w:ascii="仿宋_GB2312" w:hAnsi="宋体" w:eastAsia="仿宋_GB2312"/>
          <w:b/>
          <w:sz w:val="24"/>
        </w:rPr>
      </w:pPr>
      <w:bookmarkStart w:id="612" w:name="_Toc28375"/>
      <w:bookmarkStart w:id="613" w:name="_Toc7614"/>
      <w:bookmarkStart w:id="614" w:name="_Ref527015392"/>
      <w:r>
        <w:rPr>
          <w:rFonts w:hint="eastAsia" w:ascii="仿宋_GB2312" w:hAnsi="宋体" w:eastAsia="仿宋_GB2312"/>
          <w:b/>
          <w:sz w:val="24"/>
        </w:rPr>
        <w:t>供应商参加政府采购活动前3年内在经营活动中没有重大违法记录的书面声明</w:t>
      </w:r>
      <w:bookmarkEnd w:id="612"/>
      <w:bookmarkEnd w:id="613"/>
      <w:bookmarkEnd w:id="614"/>
    </w:p>
    <w:p>
      <w:pPr>
        <w:jc w:val="center"/>
        <w:rPr>
          <w:rFonts w:asciiTheme="minorEastAsia" w:hAnsiTheme="minorEastAsia" w:eastAsiaTheme="minorEastAsia"/>
          <w:sz w:val="24"/>
        </w:rPr>
      </w:pPr>
    </w:p>
    <w:p>
      <w:pPr>
        <w:jc w:val="center"/>
        <w:rPr>
          <w:rFonts w:asciiTheme="minorEastAsia" w:hAnsiTheme="minorEastAsia" w:eastAsiaTheme="minorEastAsia"/>
          <w:b/>
          <w:sz w:val="24"/>
        </w:rPr>
      </w:pPr>
      <w:r>
        <w:rPr>
          <w:rFonts w:hint="eastAsia" w:asciiTheme="minorEastAsia" w:hAnsiTheme="minorEastAsia" w:eastAsiaTheme="minorEastAsia"/>
          <w:b/>
          <w:sz w:val="24"/>
        </w:rPr>
        <w:t>声明函</w:t>
      </w:r>
    </w:p>
    <w:p>
      <w:pPr>
        <w:jc w:val="center"/>
        <w:rPr>
          <w:rFonts w:asciiTheme="minorEastAsia" w:hAnsiTheme="minorEastAsia" w:eastAsiaTheme="minorEastAsia"/>
          <w:sz w:val="24"/>
        </w:rPr>
      </w:pPr>
    </w:p>
    <w:p>
      <w:pPr>
        <w:tabs>
          <w:tab w:val="left" w:pos="5580"/>
        </w:tabs>
        <w:spacing w:before="120" w:line="360" w:lineRule="auto"/>
        <w:rPr>
          <w:rFonts w:asciiTheme="minorEastAsia" w:hAnsiTheme="minorEastAsia" w:eastAsiaTheme="minorEastAsia"/>
          <w:sz w:val="24"/>
        </w:rPr>
      </w:pPr>
      <w:r>
        <w:rPr>
          <w:rFonts w:hint="eastAsia" w:asciiTheme="minorEastAsia" w:hAnsiTheme="minorEastAsia" w:eastAsiaTheme="minorEastAsia"/>
          <w:sz w:val="24"/>
        </w:rPr>
        <w:t>至：</w:t>
      </w:r>
      <w:r>
        <w:rPr>
          <w:rFonts w:hint="eastAsia" w:asciiTheme="minorEastAsia" w:hAnsiTheme="minorEastAsia" w:eastAsiaTheme="minorEastAsia"/>
          <w:sz w:val="24"/>
          <w:u w:val="single"/>
        </w:rPr>
        <w:t xml:space="preserve">   （采购人）  </w:t>
      </w: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特此声明。</w:t>
      </w: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p>
    <w:p>
      <w:pPr>
        <w:pStyle w:val="41"/>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供应商授权代表（签字或加盖人名章</w:t>
      </w:r>
      <w:r>
        <w:rPr>
          <w:rFonts w:hAnsi="宋体"/>
        </w:rPr>
        <w:t>）</w:t>
      </w:r>
      <w:r>
        <w:rPr>
          <w:rFonts w:hint="eastAsia" w:asciiTheme="minorEastAsia" w:hAnsiTheme="minorEastAsia" w:eastAsiaTheme="minorEastAsia"/>
          <w:sz w:val="24"/>
        </w:rPr>
        <w:t>：____________________________</w:t>
      </w:r>
    </w:p>
    <w:p>
      <w:pPr>
        <w:pStyle w:val="41"/>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供应商(盖章)：</w:t>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pStyle w:val="41"/>
        <w:spacing w:line="360" w:lineRule="auto"/>
        <w:rPr>
          <w:rFonts w:asciiTheme="minorEastAsia" w:hAnsiTheme="minorEastAsia" w:eastAsiaTheme="minorEastAsia"/>
          <w:sz w:val="24"/>
          <w:u w:val="single"/>
        </w:rPr>
      </w:pPr>
      <w:r>
        <w:rPr>
          <w:rFonts w:asciiTheme="minorEastAsia" w:hAnsiTheme="minorEastAsia" w:eastAsiaTheme="minorEastAsia"/>
          <w:sz w:val="24"/>
          <w:u w:val="single"/>
        </w:rPr>
        <w:br w:type="page"/>
      </w:r>
    </w:p>
    <w:p>
      <w:pPr>
        <w:pStyle w:val="425"/>
        <w:numPr>
          <w:ilvl w:val="0"/>
          <w:numId w:val="17"/>
        </w:numPr>
        <w:ind w:left="851" w:hanging="851" w:firstLineChars="0"/>
        <w:jc w:val="left"/>
        <w:outlineLvl w:val="2"/>
        <w:rPr>
          <w:rFonts w:ascii="仿宋_GB2312" w:hAnsi="宋体" w:eastAsia="仿宋_GB2312"/>
          <w:b/>
          <w:sz w:val="24"/>
        </w:rPr>
      </w:pPr>
      <w:bookmarkStart w:id="615" w:name="_Toc31891"/>
      <w:bookmarkStart w:id="616" w:name="_Ref527015401"/>
      <w:bookmarkStart w:id="617" w:name="_Toc6444"/>
      <w:r>
        <w:rPr>
          <w:rFonts w:hint="eastAsia" w:ascii="仿宋_GB2312" w:hAnsi="宋体" w:eastAsia="仿宋_GB2312"/>
          <w:b/>
          <w:sz w:val="24"/>
        </w:rPr>
        <w:t>供应商控股股东名称、控股公司的名称和存在管理、被管理关系的单位名称说明</w:t>
      </w:r>
      <w:bookmarkEnd w:id="615"/>
      <w:bookmarkEnd w:id="616"/>
      <w:bookmarkEnd w:id="617"/>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致：（采购人）</w:t>
      </w:r>
    </w:p>
    <w:p>
      <w:pPr>
        <w:spacing w:line="360" w:lineRule="auto"/>
        <w:rPr>
          <w:rFonts w:ascii="宋体" w:hAnsi="宋体"/>
          <w:szCs w:val="21"/>
        </w:rPr>
      </w:pPr>
    </w:p>
    <w:p>
      <w:pPr>
        <w:ind w:firstLine="426"/>
        <w:rPr>
          <w:rFonts w:ascii="宋体" w:hAnsi="Courier New" w:cs="Courier New"/>
          <w:sz w:val="24"/>
        </w:rPr>
      </w:pPr>
      <w:r>
        <w:rPr>
          <w:rFonts w:hint="eastAsia" w:ascii="宋体" w:hAnsi="Courier New" w:cs="Courier New"/>
          <w:sz w:val="24"/>
        </w:rPr>
        <w:t>与我方的法定代表人（单位负责人）为同一人的企业如下：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我方的控股股东如下：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我方直接控股的企业如下：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与我方存在管理、被管理关系的单位名称如下：</w:t>
      </w:r>
    </w:p>
    <w:p>
      <w:pPr>
        <w:ind w:firstLine="426"/>
        <w:rPr>
          <w:rFonts w:ascii="宋体" w:hAnsi="Courier New" w:cs="Courier New"/>
          <w:sz w:val="24"/>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p>
    <w:p>
      <w:pPr>
        <w:ind w:firstLine="426"/>
        <w:rPr>
          <w:rFonts w:ascii="宋体" w:hAnsi="宋体"/>
          <w:szCs w:val="21"/>
        </w:rPr>
      </w:pPr>
      <w:r>
        <w:rPr>
          <w:rFonts w:ascii="宋体" w:hAnsi="宋体"/>
          <w:szCs w:val="21"/>
        </w:rPr>
        <w:t xml:space="preserve">供应商名称（公章）： </w:t>
      </w:r>
    </w:p>
    <w:p>
      <w:pPr>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ind w:firstLine="420" w:firstLineChars="200"/>
        <w:rPr>
          <w:rFonts w:ascii="宋体" w:hAnsi="宋体"/>
          <w:szCs w:val="21"/>
        </w:rPr>
      </w:pPr>
      <w:r>
        <w:rPr>
          <w:rFonts w:ascii="宋体" w:hAnsi="宋体"/>
          <w:szCs w:val="21"/>
        </w:rPr>
        <w:t>日    期：     年   月    日</w:t>
      </w:r>
    </w:p>
    <w:p>
      <w:pPr>
        <w:ind w:firstLine="420" w:firstLineChars="200"/>
        <w:rPr>
          <w:rFonts w:ascii="宋体" w:hAnsi="宋体"/>
          <w:szCs w:val="21"/>
        </w:rPr>
      </w:pPr>
      <w:r>
        <w:rPr>
          <w:rFonts w:ascii="宋体" w:hAnsi="宋体"/>
          <w:szCs w:val="21"/>
        </w:rPr>
        <w:br w:type="page"/>
      </w:r>
    </w:p>
    <w:p>
      <w:pPr>
        <w:pStyle w:val="425"/>
        <w:numPr>
          <w:ilvl w:val="0"/>
          <w:numId w:val="17"/>
        </w:numPr>
        <w:ind w:left="851" w:hanging="851" w:firstLineChars="0"/>
        <w:jc w:val="left"/>
        <w:outlineLvl w:val="2"/>
        <w:rPr>
          <w:rFonts w:ascii="仿宋_GB2312" w:hAnsi="宋体" w:eastAsia="仿宋_GB2312"/>
          <w:b/>
          <w:sz w:val="24"/>
        </w:rPr>
      </w:pPr>
      <w:bookmarkStart w:id="618" w:name="_Toc21777"/>
      <w:bookmarkStart w:id="619" w:name="_Ref527015410"/>
      <w:bookmarkStart w:id="620" w:name="_Toc9706"/>
      <w:r>
        <w:rPr>
          <w:rFonts w:hint="eastAsia" w:ascii="仿宋_GB2312" w:hAnsi="宋体" w:eastAsia="仿宋_GB2312"/>
          <w:b/>
          <w:sz w:val="24"/>
        </w:rPr>
        <w:t>供应商是否属于为本项目提供整体设计、规范编制或者项目管理、监理、检测等服务的供应商声明</w:t>
      </w:r>
      <w:bookmarkEnd w:id="618"/>
      <w:bookmarkEnd w:id="619"/>
      <w:bookmarkEnd w:id="620"/>
    </w:p>
    <w:p>
      <w:pPr>
        <w:ind w:firstLine="420"/>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致：（采购人）</w:t>
      </w:r>
    </w:p>
    <w:p>
      <w:pPr>
        <w:ind w:firstLine="426"/>
        <w:rPr>
          <w:rFonts w:ascii="宋体" w:hAnsi="Courier New" w:cs="Courier New"/>
          <w:sz w:val="24"/>
        </w:rPr>
      </w:pPr>
      <w:r>
        <w:rPr>
          <w:rFonts w:hint="eastAsia" w:ascii="宋体" w:hAnsi="Courier New" w:cs="Courier New"/>
          <w:sz w:val="24"/>
        </w:rPr>
        <w:t xml:space="preserve">我方 </w:t>
      </w:r>
      <w:r>
        <w:rPr>
          <w:rFonts w:hint="eastAsia" w:ascii="宋体" w:hAnsi="Courier New" w:cs="Courier New"/>
          <w:i/>
          <w:iCs/>
          <w:sz w:val="24"/>
        </w:rPr>
        <w:t>属于</w:t>
      </w:r>
      <w:r>
        <w:rPr>
          <w:rFonts w:ascii="宋体" w:hAnsi="Courier New" w:cs="Courier New"/>
          <w:i/>
          <w:iCs/>
          <w:sz w:val="24"/>
        </w:rPr>
        <w:t>/</w:t>
      </w:r>
      <w:r>
        <w:rPr>
          <w:rFonts w:hint="eastAsia" w:ascii="宋体" w:hAnsi="Courier New" w:cs="Courier New"/>
          <w:i/>
          <w:iCs/>
          <w:sz w:val="24"/>
        </w:rPr>
        <w:t>不属于</w:t>
      </w:r>
      <w:r>
        <w:rPr>
          <w:rFonts w:hint="eastAsia" w:ascii="宋体" w:hAnsi="Courier New" w:cs="Courier New"/>
          <w:sz w:val="24"/>
        </w:rPr>
        <w:t xml:space="preserve"> 为本项目提供整体设计、规范编制或者项目管理、监理、检测等服务的供应商。</w:t>
      </w:r>
    </w:p>
    <w:p>
      <w:pPr>
        <w:ind w:firstLine="426"/>
        <w:rPr>
          <w:rFonts w:ascii="宋体" w:hAnsi="Courier New" w:cs="Courier New"/>
          <w:sz w:val="24"/>
        </w:rPr>
      </w:pPr>
    </w:p>
    <w:p>
      <w:pPr>
        <w:ind w:firstLine="426"/>
        <w:rPr>
          <w:rFonts w:ascii="宋体" w:hAnsi="宋体"/>
          <w:szCs w:val="21"/>
        </w:rPr>
      </w:pPr>
    </w:p>
    <w:p>
      <w:pPr>
        <w:ind w:firstLine="426"/>
        <w:rPr>
          <w:rFonts w:ascii="宋体" w:hAnsi="宋体"/>
          <w:szCs w:val="21"/>
        </w:rPr>
      </w:pPr>
      <w:r>
        <w:rPr>
          <w:rFonts w:ascii="宋体" w:hAnsi="宋体"/>
          <w:szCs w:val="21"/>
        </w:rPr>
        <w:t xml:space="preserve">供应商名称（公章）： </w:t>
      </w:r>
    </w:p>
    <w:p>
      <w:pPr>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ind w:firstLine="420" w:firstLineChars="200"/>
        <w:rPr>
          <w:rFonts w:ascii="宋体" w:hAnsi="宋体"/>
          <w:szCs w:val="21"/>
        </w:rPr>
      </w:pPr>
      <w:r>
        <w:rPr>
          <w:rFonts w:ascii="宋体" w:hAnsi="宋体"/>
          <w:szCs w:val="21"/>
        </w:rPr>
        <w:t>日    期：     年   月    日</w:t>
      </w:r>
    </w:p>
    <w:p>
      <w:pPr>
        <w:rPr>
          <w:rFonts w:ascii="宋体" w:hAnsi="宋体"/>
          <w:szCs w:val="21"/>
        </w:rPr>
      </w:pPr>
    </w:p>
    <w:p>
      <w:pPr>
        <w:widowControl/>
        <w:jc w:val="left"/>
        <w:rPr>
          <w:rFonts w:cs="Courier New" w:asciiTheme="minorEastAsia" w:hAnsiTheme="minorEastAsia" w:eastAsiaTheme="minorEastAsia"/>
          <w:sz w:val="24"/>
          <w:szCs w:val="21"/>
          <w:u w:val="single"/>
        </w:rPr>
      </w:pPr>
      <w:r>
        <w:rPr>
          <w:rFonts w:asciiTheme="minorEastAsia" w:hAnsiTheme="minorEastAsia" w:eastAsiaTheme="minorEastAsia"/>
          <w:sz w:val="24"/>
          <w:u w:val="single"/>
        </w:rPr>
        <w:br w:type="page"/>
      </w:r>
    </w:p>
    <w:p>
      <w:pPr>
        <w:pStyle w:val="425"/>
        <w:numPr>
          <w:ilvl w:val="0"/>
          <w:numId w:val="17"/>
        </w:numPr>
        <w:ind w:left="851" w:hanging="851" w:firstLineChars="0"/>
        <w:jc w:val="left"/>
        <w:outlineLvl w:val="2"/>
        <w:rPr>
          <w:rFonts w:ascii="仿宋_GB2312" w:hAnsi="宋体" w:eastAsia="仿宋_GB2312"/>
          <w:b/>
          <w:sz w:val="24"/>
        </w:rPr>
      </w:pPr>
      <w:bookmarkStart w:id="621" w:name="_Toc25614"/>
      <w:bookmarkStart w:id="622" w:name="_Ref527015434"/>
      <w:bookmarkStart w:id="623" w:name="_Toc4198"/>
      <w:r>
        <w:rPr>
          <w:rFonts w:hint="eastAsia" w:ascii="仿宋_GB2312" w:hAnsi="宋体" w:eastAsia="仿宋_GB2312"/>
          <w:b/>
          <w:sz w:val="24"/>
        </w:rPr>
        <w:t>特定资格条件的证明材料</w:t>
      </w:r>
      <w:bookmarkEnd w:id="621"/>
      <w:bookmarkEnd w:id="622"/>
      <w:bookmarkEnd w:id="623"/>
    </w:p>
    <w:p>
      <w:pPr>
        <w:numPr>
          <w:ilvl w:val="255"/>
          <w:numId w:val="0"/>
        </w:numPr>
        <w:tabs>
          <w:tab w:val="left" w:pos="993"/>
          <w:tab w:val="left" w:pos="1030"/>
          <w:tab w:val="left" w:pos="8364"/>
        </w:tabs>
        <w:snapToGrid w:val="0"/>
        <w:spacing w:afterLines="50"/>
        <w:ind w:right="-57" w:rightChars="-27"/>
        <w:jc w:val="left"/>
        <w:rPr>
          <w:rFonts w:ascii="宋体" w:hAnsi="宋体"/>
          <w:sz w:val="24"/>
        </w:rPr>
      </w:pPr>
    </w:p>
    <w:p>
      <w:pPr>
        <w:jc w:val="center"/>
      </w:pPr>
      <w:r>
        <w:rPr>
          <w:b/>
          <w:sz w:val="24"/>
        </w:rPr>
        <w:t>（一）供应商基本情况表</w:t>
      </w: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供应商名称</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注册地址</w:t>
            </w:r>
          </w:p>
        </w:tc>
        <w:tc>
          <w:tcPr>
            <w:tcW w:w="3389" w:type="dxa"/>
            <w:gridSpan w:val="5"/>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邮政编码</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szCs w:val="21"/>
              </w:rPr>
            </w:pPr>
            <w:r>
              <w:rPr>
                <w:rFonts w:hint="eastAsia" w:ascii="宋体" w:hAnsi="宋体"/>
                <w:szCs w:val="21"/>
              </w:rPr>
              <w:t>联系方式</w:t>
            </w:r>
          </w:p>
        </w:tc>
        <w:tc>
          <w:tcPr>
            <w:tcW w:w="897" w:type="dxa"/>
            <w:vAlign w:val="center"/>
          </w:tcPr>
          <w:p>
            <w:pPr>
              <w:jc w:val="center"/>
              <w:rPr>
                <w:rFonts w:ascii="宋体" w:hAnsi="宋体"/>
                <w:szCs w:val="21"/>
              </w:rPr>
            </w:pPr>
            <w:r>
              <w:rPr>
                <w:rFonts w:hint="eastAsia" w:ascii="宋体" w:hAnsi="宋体"/>
                <w:szCs w:val="21"/>
              </w:rPr>
              <w:t>联系人</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电  话</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szCs w:val="21"/>
              </w:rPr>
            </w:pPr>
          </w:p>
        </w:tc>
        <w:tc>
          <w:tcPr>
            <w:tcW w:w="897" w:type="dxa"/>
            <w:vAlign w:val="center"/>
          </w:tcPr>
          <w:p>
            <w:pPr>
              <w:jc w:val="center"/>
              <w:rPr>
                <w:rFonts w:ascii="宋体" w:hAnsi="宋体"/>
                <w:szCs w:val="21"/>
              </w:rPr>
            </w:pPr>
            <w:r>
              <w:rPr>
                <w:rFonts w:hint="eastAsia" w:ascii="宋体" w:hAnsi="宋体"/>
                <w:szCs w:val="21"/>
              </w:rPr>
              <w:t>传  真</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网  址</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统一社会信用代码</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法定代表人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技术负责人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成立时间</w:t>
            </w:r>
          </w:p>
        </w:tc>
        <w:tc>
          <w:tcPr>
            <w:tcW w:w="1918" w:type="dxa"/>
            <w:gridSpan w:val="2"/>
            <w:vAlign w:val="center"/>
          </w:tcPr>
          <w:p>
            <w:pPr>
              <w:jc w:val="center"/>
              <w:rPr>
                <w:rFonts w:ascii="宋体" w:hAnsi="宋体"/>
                <w:szCs w:val="21"/>
              </w:rPr>
            </w:pPr>
          </w:p>
        </w:tc>
        <w:tc>
          <w:tcPr>
            <w:tcW w:w="5102" w:type="dxa"/>
            <w:gridSpan w:val="7"/>
            <w:vAlign w:val="center"/>
          </w:tcPr>
          <w:p>
            <w:pPr>
              <w:jc w:val="left"/>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企业资质等级</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restart"/>
            <w:vAlign w:val="center"/>
          </w:tcPr>
          <w:p>
            <w:pPr>
              <w:jc w:val="center"/>
              <w:rPr>
                <w:rFonts w:ascii="宋体" w:hAnsi="宋体"/>
                <w:szCs w:val="21"/>
              </w:rPr>
            </w:pPr>
            <w:r>
              <w:rPr>
                <w:rFonts w:hint="eastAsia" w:ascii="宋体" w:hAnsi="宋体"/>
                <w:szCs w:val="21"/>
              </w:rPr>
              <w:t>其中</w:t>
            </w:r>
          </w:p>
        </w:tc>
        <w:tc>
          <w:tcPr>
            <w:tcW w:w="1984" w:type="dxa"/>
            <w:gridSpan w:val="4"/>
            <w:vAlign w:val="center"/>
          </w:tcPr>
          <w:p>
            <w:pPr>
              <w:jc w:val="left"/>
              <w:rPr>
                <w:rFonts w:ascii="宋体" w:hAnsi="宋体"/>
                <w:szCs w:val="21"/>
              </w:rPr>
            </w:pPr>
            <w:r>
              <w:rPr>
                <w:rFonts w:hint="eastAsia" w:ascii="宋体" w:hAnsi="宋体"/>
                <w:szCs w:val="21"/>
              </w:rPr>
              <w:t>项目经理</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营业执照号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高级职称人员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注册资金</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中级职称人员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开户银行</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初级职称人员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账号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left"/>
              <w:rPr>
                <w:rFonts w:ascii="宋体" w:hAnsi="宋体"/>
                <w:szCs w:val="21"/>
              </w:rPr>
            </w:pPr>
            <w:r>
              <w:rPr>
                <w:rFonts w:hint="eastAsia" w:ascii="宋体" w:hAnsi="宋体"/>
                <w:szCs w:val="21"/>
              </w:rPr>
              <w:t>技  工</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485" w:type="dxa"/>
            <w:vAlign w:val="center"/>
          </w:tcPr>
          <w:p>
            <w:pPr>
              <w:jc w:val="center"/>
              <w:rPr>
                <w:rFonts w:ascii="宋体" w:hAnsi="宋体"/>
                <w:szCs w:val="21"/>
              </w:rPr>
            </w:pPr>
            <w:r>
              <w:rPr>
                <w:rFonts w:hint="eastAsia" w:ascii="宋体" w:hAnsi="宋体"/>
                <w:szCs w:val="21"/>
              </w:rPr>
              <w:t>经营范围</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备注</w:t>
            </w:r>
          </w:p>
        </w:tc>
        <w:tc>
          <w:tcPr>
            <w:tcW w:w="7020" w:type="dxa"/>
            <w:gridSpan w:val="9"/>
            <w:vAlign w:val="center"/>
          </w:tcPr>
          <w:p>
            <w:pPr>
              <w:jc w:val="center"/>
              <w:rPr>
                <w:rFonts w:ascii="宋体" w:hAnsi="宋体"/>
                <w:szCs w:val="21"/>
              </w:rPr>
            </w:pPr>
          </w:p>
        </w:tc>
      </w:tr>
    </w:tbl>
    <w:p>
      <w:pPr>
        <w:spacing w:line="440" w:lineRule="exact"/>
        <w:rPr>
          <w:rFonts w:ascii="宋体" w:hAnsi="宋体"/>
          <w:szCs w:val="21"/>
        </w:rPr>
      </w:pPr>
      <w:r>
        <w:rPr>
          <w:rFonts w:hint="eastAsia" w:ascii="黑体" w:hAnsi="宋体" w:eastAsia="黑体"/>
          <w:szCs w:val="21"/>
        </w:rPr>
        <w:t>备注：</w:t>
      </w:r>
      <w:r>
        <w:rPr>
          <w:rFonts w:hint="eastAsia" w:ascii="宋体" w:hAnsi="宋体"/>
          <w:szCs w:val="21"/>
        </w:rPr>
        <w:t>本表后应附企业法人营业执照、企业资质证书副本、安全生产许可证等材料的复印件（加盖公章）。</w:t>
      </w:r>
    </w:p>
    <w:p>
      <w:pPr>
        <w:spacing w:beforeLines="50" w:line="340" w:lineRule="exact"/>
        <w:ind w:left="-103" w:leftChars="-49" w:firstLine="539" w:firstLineChars="257"/>
      </w:pPr>
      <w:r>
        <w:rPr>
          <w:rFonts w:hint="eastAsia"/>
        </w:rPr>
        <w:t>供应商：（公章）</w:t>
      </w:r>
    </w:p>
    <w:p>
      <w:pPr>
        <w:spacing w:beforeLines="50" w:line="340" w:lineRule="exact"/>
        <w:ind w:left="460" w:leftChars="219"/>
      </w:pPr>
      <w:r>
        <w:t>法定代表人或其授权代表：（</w:t>
      </w:r>
      <w:r>
        <w:rPr>
          <w:rFonts w:hint="eastAsia"/>
        </w:rPr>
        <w:t>签字或加盖人名章</w:t>
      </w:r>
      <w:r>
        <w:t>）</w:t>
      </w:r>
    </w:p>
    <w:p>
      <w:pPr>
        <w:spacing w:beforeLines="50" w:line="340" w:lineRule="exact"/>
        <w:ind w:left="460" w:leftChars="219"/>
      </w:pPr>
      <w:r>
        <w:t>日期：</w:t>
      </w:r>
      <w:bookmarkStart w:id="624" w:name="_Toc410631178"/>
      <w:bookmarkStart w:id="625" w:name="_Toc414445769"/>
      <w:bookmarkStart w:id="626" w:name="_Toc416103819"/>
    </w:p>
    <w:p>
      <w:pPr>
        <w:widowControl/>
        <w:jc w:val="left"/>
      </w:pPr>
      <w:r>
        <w:br w:type="page"/>
      </w:r>
    </w:p>
    <w:p>
      <w:pPr>
        <w:spacing w:beforeLines="50" w:line="440" w:lineRule="exact"/>
        <w:ind w:left="460" w:leftChars="219"/>
      </w:pPr>
    </w:p>
    <w:p>
      <w:pPr>
        <w:jc w:val="center"/>
        <w:rPr>
          <w:b/>
          <w:sz w:val="24"/>
        </w:rPr>
      </w:pPr>
      <w:r>
        <w:rPr>
          <w:rFonts w:hint="eastAsia"/>
          <w:b/>
          <w:sz w:val="24"/>
        </w:rPr>
        <w:t>（二）近年完成的类似项目情况表</w:t>
      </w: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项目名称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项目所在地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发包人名称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发包人地址</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发包人联系人及电话</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合同价格</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开工日期</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竣工日期</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承担的工作</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工程质量</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项目经理</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技术负责人</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总监理工程师及电话</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jc w:val="center"/>
        </w:trPr>
        <w:tc>
          <w:tcPr>
            <w:tcW w:w="2411" w:type="dxa"/>
            <w:vAlign w:val="center"/>
          </w:tcPr>
          <w:p>
            <w:pPr>
              <w:jc w:val="center"/>
              <w:rPr>
                <w:rFonts w:ascii="宋体" w:hAnsi="宋体"/>
                <w:szCs w:val="21"/>
              </w:rPr>
            </w:pPr>
            <w:r>
              <w:rPr>
                <w:rFonts w:hint="eastAsia" w:ascii="宋体" w:hAnsi="宋体"/>
                <w:szCs w:val="21"/>
              </w:rPr>
              <w:t>项目描述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备注</w:t>
            </w:r>
          </w:p>
        </w:tc>
        <w:tc>
          <w:tcPr>
            <w:tcW w:w="6094" w:type="dxa"/>
            <w:vAlign w:val="center"/>
          </w:tcPr>
          <w:p>
            <w:pPr>
              <w:jc w:val="center"/>
              <w:rPr>
                <w:rFonts w:ascii="宋体" w:hAnsi="宋体"/>
                <w:szCs w:val="21"/>
              </w:rPr>
            </w:pPr>
          </w:p>
        </w:tc>
      </w:tr>
    </w:tbl>
    <w:p>
      <w:pPr>
        <w:spacing w:line="440" w:lineRule="exact"/>
        <w:ind w:left="630" w:hanging="630" w:hangingChars="300"/>
        <w:rPr>
          <w:rFonts w:ascii="宋体" w:hAnsi="宋体"/>
          <w:iCs/>
          <w:szCs w:val="21"/>
        </w:rPr>
      </w:pPr>
      <w:r>
        <w:rPr>
          <w:rFonts w:hint="eastAsia" w:ascii="黑体" w:hAnsi="宋体" w:eastAsia="黑体"/>
          <w:szCs w:val="21"/>
        </w:rPr>
        <w:t>备注：</w:t>
      </w:r>
      <w:r>
        <w:rPr>
          <w:rFonts w:hint="eastAsia" w:ascii="宋体" w:hAnsi="宋体"/>
          <w:szCs w:val="21"/>
        </w:rPr>
        <w:t>1、类似项目指</w:t>
      </w:r>
      <w:r>
        <w:rPr>
          <w:rFonts w:hint="eastAsia" w:ascii="宋体" w:hAnsi="宋体"/>
          <w:szCs w:val="21"/>
          <w:u w:val="single"/>
        </w:rPr>
        <w:t>与本次采购项目结构类似且工程造价不低于本次采购预算或最高限价的</w:t>
      </w:r>
      <w:r>
        <w:rPr>
          <w:rFonts w:hint="eastAsia" w:ascii="宋体" w:hAnsi="宋体"/>
          <w:iCs/>
          <w:szCs w:val="21"/>
          <w:u w:val="single"/>
        </w:rPr>
        <w:t>（市政公用工程</w:t>
      </w:r>
      <w:r>
        <w:rPr>
          <w:rFonts w:hint="eastAsia" w:ascii="宋体" w:hAnsi="宋体"/>
          <w:iCs/>
          <w:szCs w:val="21"/>
        </w:rPr>
        <w:t>。</w:t>
      </w:r>
    </w:p>
    <w:p>
      <w:pPr>
        <w:spacing w:line="440" w:lineRule="exact"/>
        <w:ind w:left="630" w:leftChars="300"/>
        <w:rPr>
          <w:rFonts w:ascii="宋体" w:hAnsi="宋体"/>
          <w:szCs w:val="21"/>
        </w:rPr>
      </w:pPr>
      <w:r>
        <w:rPr>
          <w:rFonts w:hint="eastAsia" w:ascii="宋体" w:hAnsi="宋体"/>
          <w:szCs w:val="21"/>
        </w:rPr>
        <w:t>2、本表后附中标（成交）通知书和（或）合同协议书、工程接收证书（工程竣工验收证书）的复印件，具体年份要求见谈判公告。每张表格只填写一个项目，并标明序号。</w:t>
      </w:r>
    </w:p>
    <w:p>
      <w:pPr>
        <w:spacing w:line="440" w:lineRule="exact"/>
        <w:ind w:left="630" w:leftChars="300"/>
        <w:rPr>
          <w:b/>
          <w:sz w:val="24"/>
        </w:rPr>
      </w:pPr>
      <w:r>
        <w:rPr>
          <w:b/>
          <w:sz w:val="24"/>
        </w:rPr>
        <w:br w:type="page"/>
      </w:r>
    </w:p>
    <w:bookmarkEnd w:id="624"/>
    <w:bookmarkEnd w:id="625"/>
    <w:bookmarkEnd w:id="626"/>
    <w:p>
      <w:pPr>
        <w:spacing w:line="420" w:lineRule="exact"/>
        <w:jc w:val="center"/>
        <w:rPr>
          <w:rFonts w:ascii="黑体" w:hAnsi="宋体" w:eastAsia="黑体"/>
          <w:sz w:val="24"/>
        </w:rPr>
      </w:pPr>
      <w:r>
        <w:rPr>
          <w:rFonts w:hint="eastAsia" w:ascii="黑体" w:hAnsi="宋体" w:eastAsia="黑体"/>
          <w:sz w:val="24"/>
        </w:rPr>
        <w:t>（三）项目经理简历表</w:t>
      </w:r>
    </w:p>
    <w:p>
      <w:pPr>
        <w:spacing w:line="420" w:lineRule="exact"/>
        <w:rPr>
          <w:rFonts w:ascii="宋体" w:hAnsi="宋体"/>
          <w:sz w:val="24"/>
        </w:rPr>
      </w:pPr>
      <w:r>
        <w:rPr>
          <w:rFonts w:hint="eastAsia" w:ascii="宋体" w:hAnsi="宋体"/>
          <w:sz w:val="24"/>
        </w:rPr>
        <w:t>项目经理应附建造师注册证书、身份证、职称证、养老保险复印件及未担任其他在施建设工程项目项目经理的承诺书，管理过的项目业绩须附合同协议书和竣工验收备案登记表复印件（或项目业主提供的证明材料）。</w:t>
      </w:r>
    </w:p>
    <w:p>
      <w:pPr>
        <w:spacing w:line="420" w:lineRule="exact"/>
        <w:rPr>
          <w:rFonts w:ascii="宋体" w:hAnsi="宋体"/>
          <w:szCs w:val="21"/>
        </w:rPr>
      </w:pPr>
    </w:p>
    <w:tbl>
      <w:tblPr>
        <w:tblStyle w:val="8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姓  名</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年  龄</w:t>
            </w: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r>
              <w:rPr>
                <w:rFonts w:hint="eastAsia" w:ascii="宋体" w:hAnsi="宋体"/>
                <w:szCs w:val="21"/>
              </w:rPr>
              <w:t>学历</w:t>
            </w: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职  称</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职  务</w:t>
            </w: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r>
              <w:rPr>
                <w:rFonts w:hint="eastAsia" w:ascii="宋体" w:hAnsi="宋体"/>
                <w:szCs w:val="21"/>
              </w:rPr>
              <w:t>拟在本工程任职</w:t>
            </w:r>
          </w:p>
        </w:tc>
        <w:tc>
          <w:tcPr>
            <w:tcW w:w="2126" w:type="dxa"/>
            <w:vAlign w:val="center"/>
          </w:tcPr>
          <w:p>
            <w:pPr>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61" w:type="dxa"/>
            <w:gridSpan w:val="3"/>
            <w:vAlign w:val="center"/>
          </w:tcPr>
          <w:p>
            <w:pPr>
              <w:jc w:val="center"/>
              <w:rPr>
                <w:rFonts w:ascii="宋体" w:hAnsi="宋体"/>
                <w:szCs w:val="21"/>
              </w:rPr>
            </w:pPr>
            <w:r>
              <w:rPr>
                <w:rFonts w:hint="eastAsia" w:ascii="宋体" w:hAnsi="宋体"/>
                <w:szCs w:val="21"/>
              </w:rPr>
              <w:t>注册建造师执业资格等级</w:t>
            </w:r>
          </w:p>
        </w:tc>
        <w:tc>
          <w:tcPr>
            <w:tcW w:w="1275" w:type="dxa"/>
            <w:vAlign w:val="center"/>
          </w:tcPr>
          <w:p>
            <w:pPr>
              <w:jc w:val="center"/>
              <w:rPr>
                <w:rFonts w:ascii="宋体" w:hAnsi="宋体"/>
                <w:szCs w:val="21"/>
              </w:rPr>
            </w:pPr>
            <w:r>
              <w:rPr>
                <w:rFonts w:hint="eastAsia" w:ascii="宋体" w:hAnsi="宋体"/>
                <w:szCs w:val="21"/>
              </w:rPr>
              <w:t xml:space="preserve">      级</w:t>
            </w:r>
          </w:p>
        </w:tc>
        <w:tc>
          <w:tcPr>
            <w:tcW w:w="1843" w:type="dxa"/>
            <w:vAlign w:val="center"/>
          </w:tcPr>
          <w:p>
            <w:pPr>
              <w:jc w:val="center"/>
              <w:rPr>
                <w:rFonts w:ascii="宋体" w:hAnsi="宋体"/>
                <w:szCs w:val="21"/>
              </w:rPr>
            </w:pPr>
            <w:r>
              <w:rPr>
                <w:rFonts w:hint="eastAsia" w:ascii="宋体" w:hAnsi="宋体"/>
                <w:szCs w:val="21"/>
              </w:rPr>
              <w:t>建造师专业</w:t>
            </w: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毕业学校</w:t>
            </w:r>
          </w:p>
        </w:tc>
        <w:tc>
          <w:tcPr>
            <w:tcW w:w="7413" w:type="dxa"/>
            <w:gridSpan w:val="5"/>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05" w:type="dxa"/>
            <w:gridSpan w:val="6"/>
            <w:vAlign w:val="center"/>
          </w:tcPr>
          <w:p>
            <w:pPr>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92" w:type="dxa"/>
            <w:vAlign w:val="center"/>
          </w:tcPr>
          <w:p>
            <w:pPr>
              <w:jc w:val="center"/>
              <w:rPr>
                <w:rFonts w:ascii="宋体" w:hAnsi="宋体"/>
                <w:szCs w:val="21"/>
              </w:rPr>
            </w:pPr>
            <w:r>
              <w:rPr>
                <w:rFonts w:hint="eastAsia" w:ascii="宋体" w:hAnsi="宋体"/>
                <w:szCs w:val="21"/>
              </w:rPr>
              <w:t>时  间</w:t>
            </w:r>
          </w:p>
        </w:tc>
        <w:tc>
          <w:tcPr>
            <w:tcW w:w="3444" w:type="dxa"/>
            <w:gridSpan w:val="3"/>
            <w:vAlign w:val="center"/>
          </w:tcPr>
          <w:p>
            <w:pPr>
              <w:jc w:val="center"/>
              <w:rPr>
                <w:rFonts w:ascii="宋体" w:hAnsi="宋体"/>
                <w:szCs w:val="21"/>
              </w:rPr>
            </w:pPr>
            <w:r>
              <w:rPr>
                <w:rFonts w:hint="eastAsia" w:ascii="宋体" w:hAnsi="宋体"/>
                <w:szCs w:val="21"/>
              </w:rPr>
              <w:t>参加过的类似项目名称</w:t>
            </w:r>
          </w:p>
        </w:tc>
        <w:tc>
          <w:tcPr>
            <w:tcW w:w="1843" w:type="dxa"/>
            <w:vAlign w:val="center"/>
          </w:tcPr>
          <w:p>
            <w:pPr>
              <w:jc w:val="center"/>
              <w:rPr>
                <w:rFonts w:ascii="宋体" w:hAnsi="宋体"/>
                <w:szCs w:val="21"/>
              </w:rPr>
            </w:pPr>
            <w:r>
              <w:rPr>
                <w:rFonts w:hint="eastAsia" w:ascii="宋体" w:hAnsi="宋体"/>
                <w:szCs w:val="21"/>
              </w:rPr>
              <w:t>工程概况说明</w:t>
            </w:r>
          </w:p>
        </w:tc>
        <w:tc>
          <w:tcPr>
            <w:tcW w:w="2126" w:type="dxa"/>
            <w:vAlign w:val="center"/>
          </w:tcPr>
          <w:p>
            <w:pPr>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bl>
    <w:p>
      <w:pPr>
        <w:spacing w:line="420" w:lineRule="exact"/>
        <w:rPr>
          <w:rFonts w:ascii="宋体" w:hAnsi="宋体"/>
          <w:szCs w:val="21"/>
        </w:rPr>
      </w:pPr>
    </w:p>
    <w:p>
      <w:pPr>
        <w:numPr>
          <w:ilvl w:val="255"/>
          <w:numId w:val="0"/>
        </w:numPr>
        <w:tabs>
          <w:tab w:val="left" w:pos="993"/>
          <w:tab w:val="left" w:pos="1030"/>
          <w:tab w:val="left" w:pos="8364"/>
        </w:tabs>
        <w:snapToGrid w:val="0"/>
        <w:spacing w:afterLines="50"/>
        <w:ind w:right="-57" w:rightChars="-27"/>
        <w:jc w:val="left"/>
        <w:rPr>
          <w:rFonts w:ascii="宋体" w:hAnsi="宋体"/>
          <w:sz w:val="24"/>
        </w:rPr>
      </w:pPr>
      <w:r>
        <w:rPr>
          <w:rFonts w:hint="eastAsia" w:ascii="宋体" w:hAnsi="宋体"/>
          <w:sz w:val="24"/>
        </w:rPr>
        <w:t>注：拟任项目经理管理过的项目业绩证明材料如为业主提供，证明材料应加盖项目业主公章并附业主证明材料经办者的姓名、部门、职务、电话（固定电话与移动电话）等信息。</w:t>
      </w:r>
    </w:p>
    <w:p>
      <w:pPr>
        <w:widowControl/>
        <w:jc w:val="left"/>
        <w:rPr>
          <w:rFonts w:ascii="宋体" w:hAnsi="宋体"/>
          <w:sz w:val="24"/>
        </w:rPr>
      </w:pPr>
      <w:r>
        <w:rPr>
          <w:rFonts w:ascii="宋体" w:hAnsi="宋体"/>
          <w:sz w:val="24"/>
        </w:rPr>
        <w:br w:type="page"/>
      </w:r>
    </w:p>
    <w:p>
      <w:pPr>
        <w:numPr>
          <w:ilvl w:val="255"/>
          <w:numId w:val="0"/>
        </w:numPr>
        <w:tabs>
          <w:tab w:val="left" w:pos="993"/>
          <w:tab w:val="left" w:pos="1030"/>
          <w:tab w:val="left" w:pos="8364"/>
        </w:tabs>
        <w:snapToGrid w:val="0"/>
        <w:spacing w:afterLines="50"/>
        <w:ind w:right="-57" w:rightChars="-27"/>
        <w:jc w:val="left"/>
        <w:rPr>
          <w:rFonts w:ascii="宋体" w:hAnsi="宋体"/>
          <w:sz w:val="24"/>
        </w:rPr>
      </w:pPr>
    </w:p>
    <w:p>
      <w:pPr>
        <w:jc w:val="center"/>
        <w:rPr>
          <w:rFonts w:ascii="黑体" w:hAnsi="宋体" w:eastAsia="黑体"/>
          <w:sz w:val="28"/>
          <w:szCs w:val="28"/>
        </w:rPr>
      </w:pPr>
      <w:r>
        <w:rPr>
          <w:rFonts w:hint="eastAsia" w:ascii="黑体" w:hAnsi="宋体" w:eastAsia="黑体"/>
          <w:sz w:val="28"/>
          <w:szCs w:val="28"/>
        </w:rPr>
        <w:t>（四）承诺书</w:t>
      </w:r>
    </w:p>
    <w:p>
      <w:pPr>
        <w:spacing w:beforeLines="100" w:afterLines="100"/>
        <w:jc w:val="center"/>
        <w:rPr>
          <w:rFonts w:ascii="黑体" w:hAnsi="宋体" w:eastAsia="黑体"/>
          <w:sz w:val="28"/>
          <w:szCs w:val="28"/>
        </w:rPr>
      </w:pPr>
      <w:r>
        <w:rPr>
          <w:rFonts w:hint="eastAsia" w:ascii="黑体" w:hAnsi="宋体" w:eastAsia="黑体"/>
          <w:sz w:val="28"/>
          <w:szCs w:val="28"/>
        </w:rPr>
        <w:t>承诺书</w:t>
      </w:r>
    </w:p>
    <w:p>
      <w:pPr>
        <w:spacing w:afterLines="100" w:line="440" w:lineRule="exact"/>
        <w:rPr>
          <w:rFonts w:ascii="宋体" w:hAnsi="宋体"/>
          <w:szCs w:val="21"/>
        </w:rPr>
      </w:pPr>
      <w:r>
        <w:rPr>
          <w:rFonts w:hint="eastAsia" w:ascii="宋体" w:hAnsi="宋体"/>
          <w:position w:val="-7"/>
          <w:szCs w:val="21"/>
        </w:rPr>
        <w:t>————————</w:t>
      </w:r>
      <w:r>
        <w:rPr>
          <w:rFonts w:hint="eastAsia" w:ascii="宋体" w:hAnsi="宋体"/>
          <w:szCs w:val="21"/>
        </w:rPr>
        <w:t>（采购人名称）：</w:t>
      </w:r>
    </w:p>
    <w:p>
      <w:pPr>
        <w:spacing w:line="440" w:lineRule="exact"/>
        <w:ind w:firstLine="420" w:firstLineChars="200"/>
        <w:rPr>
          <w:rFonts w:ascii="宋体" w:hAnsi="宋体"/>
          <w:szCs w:val="21"/>
        </w:rPr>
      </w:pPr>
      <w:r>
        <w:rPr>
          <w:rFonts w:hint="eastAsia" w:ascii="宋体" w:hAnsi="宋体"/>
          <w:szCs w:val="21"/>
        </w:rPr>
        <w:t>我方在此声明，我方拟派往（项目名称）标段（以下简称“本工程”）的项目经理（项目经理姓名）现阶段没有担任任何在施建设工程项目的项目经理。</w:t>
      </w:r>
    </w:p>
    <w:p>
      <w:pPr>
        <w:spacing w:line="440" w:lineRule="exact"/>
        <w:ind w:firstLine="420" w:firstLineChars="200"/>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jc w:val="right"/>
        <w:rPr>
          <w:rFonts w:ascii="宋体" w:hAnsi="宋体"/>
          <w:szCs w:val="21"/>
        </w:rPr>
      </w:pPr>
      <w:r>
        <w:rPr>
          <w:rFonts w:hint="eastAsia" w:ascii="宋体" w:hAnsi="宋体"/>
          <w:szCs w:val="21"/>
        </w:rPr>
        <w:t>供应商：（盖单位章）</w:t>
      </w:r>
    </w:p>
    <w:p>
      <w:pPr>
        <w:spacing w:line="440" w:lineRule="exact"/>
        <w:jc w:val="right"/>
        <w:rPr>
          <w:rFonts w:ascii="宋体" w:hAnsi="宋体"/>
          <w:szCs w:val="21"/>
        </w:rPr>
      </w:pPr>
      <w:r>
        <w:rPr>
          <w:rFonts w:hint="eastAsia" w:ascii="宋体" w:hAnsi="宋体"/>
          <w:szCs w:val="21"/>
        </w:rPr>
        <w:t>法定代表人或其委托代理人：（</w:t>
      </w:r>
      <w:r>
        <w:rPr>
          <w:rFonts w:hint="eastAsia" w:ascii="宋体" w:hAnsi="宋体" w:cs="仿宋_GB2312"/>
          <w:kern w:val="0"/>
          <w:sz w:val="24"/>
        </w:rPr>
        <w:t>签字或盖人名章</w:t>
      </w:r>
      <w:r>
        <w:rPr>
          <w:rFonts w:hint="eastAsia" w:ascii="宋体" w:hAnsi="宋体"/>
          <w:szCs w:val="21"/>
        </w:rPr>
        <w:t>）</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rPr>
        <w:t>年月日</w:t>
      </w:r>
    </w:p>
    <w:p>
      <w:pPr>
        <w:numPr>
          <w:ilvl w:val="255"/>
          <w:numId w:val="0"/>
        </w:numPr>
        <w:tabs>
          <w:tab w:val="left" w:pos="993"/>
          <w:tab w:val="left" w:pos="1030"/>
          <w:tab w:val="left" w:pos="8364"/>
        </w:tabs>
        <w:snapToGrid w:val="0"/>
        <w:spacing w:afterLines="50"/>
        <w:ind w:right="-57" w:rightChars="-27"/>
        <w:jc w:val="left"/>
        <w:rPr>
          <w:rFonts w:ascii="宋体" w:hAnsi="宋体"/>
          <w:sz w:val="24"/>
        </w:rPr>
      </w:pPr>
    </w:p>
    <w:p>
      <w:pPr>
        <w:widowControl/>
        <w:jc w:val="left"/>
        <w:rPr>
          <w:rFonts w:ascii="宋体" w:hAnsi="宋体" w:cs="仿宋_GB2312"/>
          <w:kern w:val="0"/>
          <w:sz w:val="24"/>
        </w:rPr>
      </w:pPr>
      <w:r>
        <w:rPr>
          <w:rFonts w:hAnsi="宋体" w:cs="仿宋_GB2312"/>
          <w:kern w:val="0"/>
          <w:sz w:val="24"/>
        </w:rPr>
        <w:br w:type="page"/>
      </w:r>
    </w:p>
    <w:p>
      <w:pPr>
        <w:pStyle w:val="41"/>
        <w:snapToGrid w:val="0"/>
        <w:spacing w:beforeLines="50"/>
        <w:jc w:val="center"/>
        <w:rPr>
          <w:rFonts w:hAnsi="宋体" w:cs="宋体"/>
          <w:sz w:val="24"/>
          <w:szCs w:val="24"/>
        </w:rPr>
      </w:pPr>
    </w:p>
    <w:p>
      <w:pPr>
        <w:pStyle w:val="425"/>
        <w:spacing w:line="360" w:lineRule="auto"/>
        <w:ind w:firstLine="0" w:firstLineChars="0"/>
        <w:outlineLvl w:val="1"/>
        <w:rPr>
          <w:b/>
          <w:sz w:val="24"/>
        </w:rPr>
      </w:pPr>
      <w:bookmarkStart w:id="627" w:name="_Toc29259"/>
      <w:r>
        <w:rPr>
          <w:rFonts w:hint="eastAsia"/>
          <w:b/>
          <w:sz w:val="24"/>
        </w:rPr>
        <w:t>附件8 小微企业、监狱企业、残疾人福利单位的声明函或证明材料</w:t>
      </w:r>
      <w:bookmarkEnd w:id="627"/>
    </w:p>
    <w:p>
      <w:pPr>
        <w:pStyle w:val="41"/>
        <w:snapToGrid w:val="0"/>
        <w:spacing w:beforeLines="50"/>
        <w:rPr>
          <w:rFonts w:hAnsi="宋体" w:cs="宋体"/>
          <w:sz w:val="24"/>
        </w:rPr>
      </w:pPr>
    </w:p>
    <w:p>
      <w:pPr>
        <w:jc w:val="center"/>
        <w:outlineLvl w:val="2"/>
        <w:rPr>
          <w:rFonts w:hAnsi="宋体"/>
          <w:sz w:val="32"/>
          <w:szCs w:val="32"/>
        </w:rPr>
      </w:pPr>
      <w:bookmarkStart w:id="628" w:name="_Toc11805"/>
      <w:bookmarkStart w:id="629" w:name="_Toc3821"/>
      <w:r>
        <w:rPr>
          <w:rFonts w:hint="eastAsia" w:hAnsi="宋体"/>
          <w:sz w:val="32"/>
          <w:szCs w:val="32"/>
        </w:rPr>
        <w:t>（一）中小企业声明函</w:t>
      </w:r>
      <w:bookmarkEnd w:id="628"/>
      <w:bookmarkEnd w:id="629"/>
    </w:p>
    <w:p>
      <w:pPr>
        <w:jc w:val="center"/>
        <w:rPr>
          <w:rFonts w:hAnsi="宋体"/>
          <w:sz w:val="24"/>
        </w:rPr>
      </w:pPr>
      <w:r>
        <w:rPr>
          <w:rFonts w:hint="eastAsia" w:hAnsi="宋体"/>
          <w:sz w:val="24"/>
        </w:rPr>
        <w:t>（注：符合中小企业划型标准的企业请提供本函，不符合的不提供本函）</w:t>
      </w:r>
    </w:p>
    <w:p>
      <w:pPr>
        <w:pStyle w:val="41"/>
        <w:snapToGrid w:val="0"/>
        <w:spacing w:beforeLines="50"/>
        <w:rPr>
          <w:rFonts w:hAnsi="宋体" w:cs="宋体"/>
          <w:sz w:val="24"/>
          <w:szCs w:val="24"/>
        </w:rPr>
      </w:pPr>
      <w:r>
        <w:rPr>
          <w:rFonts w:hint="eastAsia" w:hAnsi="宋体" w:cs="宋体"/>
          <w:sz w:val="24"/>
          <w:szCs w:val="24"/>
        </w:rPr>
        <w:t>本公司郑重声明，根据《政府采购促进中小企业发展暂行办法》（财库[2011]181号）的规定，本公司为______（请填写：中型、小型、微型）企业。即，本公司同时满足以下条件：</w:t>
      </w:r>
    </w:p>
    <w:p>
      <w:pPr>
        <w:pStyle w:val="41"/>
        <w:snapToGrid w:val="0"/>
        <w:spacing w:beforeLines="50"/>
        <w:rPr>
          <w:rFonts w:hAnsi="宋体" w:cs="宋体"/>
          <w:sz w:val="24"/>
          <w:szCs w:val="24"/>
        </w:rPr>
      </w:pPr>
      <w:r>
        <w:rPr>
          <w:rFonts w:hint="eastAsia"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41"/>
        <w:snapToGrid w:val="0"/>
        <w:spacing w:beforeLines="50"/>
        <w:rPr>
          <w:rFonts w:hAnsi="宋体" w:cs="宋体"/>
          <w:sz w:val="24"/>
          <w:szCs w:val="24"/>
        </w:rPr>
      </w:pPr>
      <w:r>
        <w:rPr>
          <w:rFonts w:hint="eastAsia" w:hAnsi="宋体" w:cs="宋体"/>
          <w:sz w:val="24"/>
          <w:szCs w:val="24"/>
        </w:rPr>
        <w:t>2.本公司参加______单位的______项目采购活动，由本企业承担工程施工、采购及安装并提供相关服务。</w:t>
      </w:r>
    </w:p>
    <w:p>
      <w:pPr>
        <w:pStyle w:val="41"/>
        <w:snapToGrid w:val="0"/>
        <w:spacing w:beforeLines="50"/>
        <w:rPr>
          <w:rFonts w:hAnsi="宋体" w:cs="宋体"/>
          <w:sz w:val="24"/>
          <w:szCs w:val="24"/>
        </w:rPr>
      </w:pPr>
      <w:r>
        <w:rPr>
          <w:rFonts w:hint="eastAsia" w:hAnsi="宋体" w:cs="宋体"/>
          <w:sz w:val="24"/>
          <w:szCs w:val="24"/>
        </w:rPr>
        <w:t>本公司对上述声明的真实性负责。如有虚假，将依法承担相应责任。</w:t>
      </w:r>
    </w:p>
    <w:p>
      <w:pPr>
        <w:pStyle w:val="41"/>
        <w:snapToGrid w:val="0"/>
        <w:spacing w:beforeLines="50"/>
        <w:rPr>
          <w:rFonts w:hAnsi="宋体" w:cs="宋体"/>
          <w:sz w:val="24"/>
          <w:szCs w:val="24"/>
        </w:rPr>
      </w:pPr>
    </w:p>
    <w:p>
      <w:pPr>
        <w:pStyle w:val="41"/>
        <w:snapToGrid w:val="0"/>
        <w:spacing w:beforeLines="50"/>
        <w:rPr>
          <w:rFonts w:hAnsi="宋体" w:cs="宋体"/>
          <w:sz w:val="24"/>
          <w:szCs w:val="24"/>
        </w:rPr>
      </w:pPr>
    </w:p>
    <w:p>
      <w:pPr>
        <w:pStyle w:val="41"/>
        <w:snapToGrid w:val="0"/>
        <w:spacing w:beforeLines="50"/>
        <w:rPr>
          <w:rFonts w:hAnsi="宋体" w:cs="宋体"/>
          <w:sz w:val="24"/>
          <w:szCs w:val="24"/>
        </w:rPr>
      </w:pPr>
      <w:r>
        <w:rPr>
          <w:rFonts w:hint="eastAsia" w:hAnsi="宋体" w:cs="宋体"/>
          <w:sz w:val="24"/>
          <w:szCs w:val="24"/>
        </w:rPr>
        <w:t>企业名称（盖章）：　</w:t>
      </w:r>
    </w:p>
    <w:p>
      <w:pPr>
        <w:widowControl/>
        <w:jc w:val="left"/>
        <w:rPr>
          <w:rFonts w:hAnsi="宋体" w:cs="宋体"/>
          <w:sz w:val="24"/>
        </w:rPr>
      </w:pPr>
      <w:r>
        <w:rPr>
          <w:rFonts w:hint="eastAsia" w:hAnsi="宋体" w:cs="宋体"/>
          <w:sz w:val="24"/>
        </w:rPr>
        <w:t>日期：</w:t>
      </w:r>
    </w:p>
    <w:p>
      <w:pPr>
        <w:widowControl/>
        <w:jc w:val="left"/>
        <w:rPr>
          <w:rFonts w:ascii="宋体" w:hAnsi="宋体" w:cs="宋体"/>
          <w:sz w:val="24"/>
        </w:rPr>
      </w:pPr>
      <w:r>
        <w:rPr>
          <w:rFonts w:hAnsi="宋体" w:cs="宋体"/>
          <w:sz w:val="24"/>
        </w:rPr>
        <w:br w:type="page"/>
      </w:r>
    </w:p>
    <w:p>
      <w:pPr>
        <w:pStyle w:val="41"/>
        <w:snapToGrid w:val="0"/>
        <w:spacing w:beforeLines="50"/>
        <w:rPr>
          <w:rFonts w:hAnsi="宋体" w:cs="宋体"/>
          <w:sz w:val="24"/>
          <w:szCs w:val="24"/>
        </w:rPr>
      </w:pPr>
    </w:p>
    <w:p>
      <w:pPr>
        <w:jc w:val="center"/>
        <w:outlineLvl w:val="2"/>
        <w:rPr>
          <w:rFonts w:hAnsi="宋体"/>
          <w:sz w:val="32"/>
          <w:szCs w:val="32"/>
        </w:rPr>
      </w:pPr>
      <w:bookmarkStart w:id="630" w:name="_Toc16023"/>
      <w:bookmarkStart w:id="631" w:name="_Toc19488"/>
      <w:r>
        <w:rPr>
          <w:rFonts w:hint="eastAsia" w:hAnsi="宋体"/>
          <w:sz w:val="32"/>
          <w:szCs w:val="32"/>
        </w:rPr>
        <w:t>（二）监狱企业证明</w:t>
      </w:r>
      <w:bookmarkEnd w:id="630"/>
      <w:bookmarkEnd w:id="631"/>
    </w:p>
    <w:p>
      <w:pPr>
        <w:jc w:val="center"/>
        <w:rPr>
          <w:sz w:val="24"/>
        </w:rPr>
      </w:pPr>
      <w:r>
        <w:rPr>
          <w:rFonts w:hint="eastAsia"/>
          <w:sz w:val="24"/>
        </w:rPr>
        <w:t>（注：符合条件的监狱企业请提供本函，不符合的不提供本函）</w:t>
      </w:r>
    </w:p>
    <w:p>
      <w:pPr>
        <w:pStyle w:val="41"/>
        <w:snapToGrid w:val="0"/>
        <w:spacing w:beforeLines="50"/>
        <w:rPr>
          <w:rFonts w:hAnsi="宋体" w:cs="宋体"/>
          <w:sz w:val="24"/>
          <w:szCs w:val="24"/>
        </w:rPr>
      </w:pPr>
    </w:p>
    <w:p>
      <w:pPr>
        <w:pStyle w:val="41"/>
        <w:snapToGrid w:val="0"/>
        <w:spacing w:beforeLines="50"/>
        <w:rPr>
          <w:rFonts w:hAnsi="宋体" w:cs="宋体"/>
          <w:sz w:val="24"/>
          <w:szCs w:val="24"/>
        </w:rPr>
      </w:pPr>
      <w:r>
        <w:rPr>
          <w:rFonts w:hint="eastAsia" w:hAnsi="宋体" w:cs="宋体"/>
          <w:sz w:val="24"/>
          <w:szCs w:val="24"/>
        </w:rPr>
        <w:t>省级以上监狱管理局、戒毒管理局（含新疆生产建设兵团）出具的属于监狱企业的证明文件。</w:t>
      </w:r>
    </w:p>
    <w:p>
      <w:pPr>
        <w:pStyle w:val="41"/>
        <w:snapToGrid w:val="0"/>
        <w:spacing w:beforeLines="50"/>
        <w:rPr>
          <w:rFonts w:hAnsi="宋体" w:cs="宋体"/>
          <w:sz w:val="24"/>
          <w:szCs w:val="24"/>
        </w:rPr>
      </w:pPr>
    </w:p>
    <w:p>
      <w:pPr>
        <w:jc w:val="center"/>
        <w:outlineLvl w:val="2"/>
        <w:rPr>
          <w:rFonts w:hAnsi="宋体"/>
          <w:sz w:val="32"/>
          <w:szCs w:val="32"/>
        </w:rPr>
      </w:pPr>
      <w:r>
        <w:rPr>
          <w:rFonts w:hAnsi="宋体" w:cs="宋体"/>
          <w:sz w:val="24"/>
        </w:rPr>
        <w:br w:type="page"/>
      </w:r>
      <w:bookmarkStart w:id="632" w:name="_Toc24531"/>
      <w:bookmarkStart w:id="633" w:name="_Toc18435"/>
      <w:r>
        <w:rPr>
          <w:rFonts w:hint="eastAsia" w:hAnsi="宋体"/>
          <w:sz w:val="32"/>
          <w:szCs w:val="32"/>
        </w:rPr>
        <w:t>（三）残疾人福利性单位声明函</w:t>
      </w:r>
      <w:bookmarkEnd w:id="632"/>
      <w:bookmarkEnd w:id="633"/>
    </w:p>
    <w:p>
      <w:pPr>
        <w:jc w:val="center"/>
        <w:rPr>
          <w:sz w:val="24"/>
        </w:rPr>
      </w:pPr>
      <w:r>
        <w:rPr>
          <w:rFonts w:hint="eastAsia"/>
          <w:sz w:val="24"/>
        </w:rPr>
        <w:t>（注：符合条件的残疾人福利性单位请提供本函，不符合的不提供本函）</w:t>
      </w:r>
    </w:p>
    <w:p>
      <w:pPr>
        <w:rPr>
          <w:sz w:val="24"/>
        </w:rPr>
      </w:pPr>
    </w:p>
    <w:p>
      <w:pPr>
        <w:rPr>
          <w:sz w:val="24"/>
        </w:rPr>
      </w:pPr>
    </w:p>
    <w:p>
      <w:pPr>
        <w:rPr>
          <w:sz w:val="24"/>
        </w:rPr>
      </w:pPr>
      <w:r>
        <w:rPr>
          <w:rFonts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sz w:val="24"/>
        </w:rPr>
      </w:pPr>
    </w:p>
    <w:p>
      <w:pPr>
        <w:rPr>
          <w:sz w:val="24"/>
        </w:rPr>
      </w:pPr>
      <w:r>
        <w:rPr>
          <w:rFonts w:hint="eastAsia"/>
          <w:sz w:val="24"/>
        </w:rPr>
        <w:t>本单位对上述声明的真实性负责。如有虚假，将依法承担相应责任。</w:t>
      </w:r>
    </w:p>
    <w:p>
      <w:pPr>
        <w:rPr>
          <w:sz w:val="24"/>
        </w:rPr>
      </w:pPr>
    </w:p>
    <w:p>
      <w:pPr>
        <w:rPr>
          <w:sz w:val="24"/>
        </w:rPr>
      </w:pPr>
    </w:p>
    <w:p>
      <w:pPr>
        <w:rPr>
          <w:sz w:val="24"/>
        </w:rPr>
      </w:pPr>
    </w:p>
    <w:p>
      <w:pPr>
        <w:rPr>
          <w:sz w:val="24"/>
        </w:rPr>
      </w:pPr>
    </w:p>
    <w:p>
      <w:pPr>
        <w:rPr>
          <w:sz w:val="24"/>
        </w:rPr>
      </w:pPr>
    </w:p>
    <w:p>
      <w:pPr>
        <w:rPr>
          <w:sz w:val="24"/>
        </w:rPr>
      </w:pPr>
      <w:r>
        <w:rPr>
          <w:rFonts w:hint="eastAsia"/>
          <w:sz w:val="24"/>
        </w:rPr>
        <w:t>单位名称（盖章）：</w:t>
      </w:r>
    </w:p>
    <w:p>
      <w:pPr>
        <w:rPr>
          <w:sz w:val="24"/>
        </w:rPr>
      </w:pPr>
    </w:p>
    <w:p>
      <w:pPr>
        <w:rPr>
          <w:sz w:val="24"/>
        </w:rPr>
      </w:pPr>
      <w:r>
        <w:rPr>
          <w:rFonts w:hint="eastAsia"/>
          <w:sz w:val="24"/>
        </w:rPr>
        <w:t>日  期：</w:t>
      </w:r>
    </w:p>
    <w:p>
      <w:pPr>
        <w:rPr>
          <w:sz w:val="24"/>
        </w:rPr>
      </w:pPr>
    </w:p>
    <w:p>
      <w:pPr>
        <w:pStyle w:val="41"/>
        <w:snapToGrid w:val="0"/>
        <w:spacing w:beforeLines="50"/>
        <w:jc w:val="center"/>
        <w:rPr>
          <w:rFonts w:ascii="仿宋_GB2312" w:hAnsi="宋体" w:eastAsia="仿宋_GB2312"/>
          <w:b/>
          <w:sz w:val="24"/>
        </w:rPr>
      </w:pPr>
    </w:p>
    <w:p>
      <w:pPr>
        <w:widowControl/>
        <w:jc w:val="left"/>
        <w:rPr>
          <w:rFonts w:ascii="宋体" w:hAnsi="宋体" w:cs="宋体"/>
          <w:sz w:val="24"/>
        </w:rPr>
      </w:pPr>
      <w:r>
        <w:rPr>
          <w:rFonts w:ascii="宋体" w:hAnsi="宋体" w:cs="宋体"/>
          <w:sz w:val="24"/>
        </w:rPr>
        <w:br w:type="page"/>
      </w:r>
    </w:p>
    <w:p>
      <w:pPr>
        <w:pStyle w:val="425"/>
        <w:spacing w:line="360" w:lineRule="auto"/>
        <w:ind w:firstLine="0" w:firstLineChars="0"/>
        <w:outlineLvl w:val="1"/>
        <w:rPr>
          <w:b/>
          <w:sz w:val="24"/>
        </w:rPr>
      </w:pPr>
      <w:bookmarkStart w:id="634" w:name="_Toc10017"/>
      <w:r>
        <w:rPr>
          <w:rFonts w:hint="eastAsia"/>
          <w:b/>
          <w:sz w:val="24"/>
        </w:rPr>
        <w:t xml:space="preserve">附件9 </w:t>
      </w:r>
      <w:r>
        <w:rPr>
          <w:b/>
          <w:sz w:val="24"/>
        </w:rPr>
        <w:t>供应商承诺书</w:t>
      </w:r>
      <w:bookmarkEnd w:id="634"/>
    </w:p>
    <w:p>
      <w:pPr>
        <w:rPr>
          <w:rFonts w:ascii="宋体" w:hAnsi="宋体"/>
          <w:szCs w:val="21"/>
        </w:rPr>
      </w:pPr>
    </w:p>
    <w:p>
      <w:pPr>
        <w:jc w:val="center"/>
        <w:rPr>
          <w:rFonts w:ascii="宋体" w:hAnsi="宋体"/>
          <w:sz w:val="32"/>
          <w:szCs w:val="32"/>
        </w:rPr>
      </w:pPr>
      <w:r>
        <w:rPr>
          <w:rFonts w:hint="eastAsia" w:ascii="宋体" w:hAnsi="宋体"/>
          <w:sz w:val="32"/>
          <w:szCs w:val="32"/>
        </w:rPr>
        <w:t>承诺书</w:t>
      </w:r>
    </w:p>
    <w:p>
      <w:pPr>
        <w:spacing w:line="360" w:lineRule="auto"/>
        <w:rPr>
          <w:rFonts w:ascii="宋体" w:hAnsi="宋体"/>
          <w:sz w:val="24"/>
        </w:rPr>
      </w:pPr>
      <w:r>
        <w:rPr>
          <w:rFonts w:ascii="宋体" w:hAnsi="宋体"/>
          <w:sz w:val="24"/>
        </w:rPr>
        <w:t>致：（采购人）</w:t>
      </w:r>
    </w:p>
    <w:p>
      <w:pPr>
        <w:spacing w:line="360" w:lineRule="auto"/>
        <w:ind w:firstLine="480" w:firstLineChars="200"/>
        <w:rPr>
          <w:rFonts w:ascii="宋体" w:hAnsi="宋体"/>
          <w:sz w:val="24"/>
        </w:rPr>
      </w:pPr>
      <w:r>
        <w:rPr>
          <w:rFonts w:hint="eastAsia" w:ascii="宋体" w:hAnsi="宋体"/>
          <w:sz w:val="24"/>
        </w:rPr>
        <w:t>我方在此声明：</w:t>
      </w:r>
    </w:p>
    <w:p>
      <w:pPr>
        <w:spacing w:line="360" w:lineRule="auto"/>
        <w:ind w:firstLine="480" w:firstLineChars="200"/>
        <w:rPr>
          <w:rFonts w:ascii="宋体" w:hAnsi="宋体"/>
          <w:sz w:val="24"/>
        </w:rPr>
      </w:pPr>
      <w:r>
        <w:rPr>
          <w:rFonts w:hint="eastAsia" w:ascii="宋体" w:hAnsi="宋体"/>
          <w:sz w:val="24"/>
        </w:rPr>
        <w:t>（1） 在本次谈判中我公司不存在与其他供应商相互串通，或与采购人串通的行为；</w:t>
      </w:r>
    </w:p>
    <w:p>
      <w:pPr>
        <w:spacing w:line="360" w:lineRule="auto"/>
        <w:ind w:firstLine="480" w:firstLineChars="200"/>
        <w:rPr>
          <w:rFonts w:ascii="宋体" w:hAnsi="宋体"/>
          <w:sz w:val="24"/>
        </w:rPr>
      </w:pPr>
      <w:r>
        <w:rPr>
          <w:rFonts w:hint="eastAsia" w:ascii="宋体" w:hAnsi="宋体"/>
          <w:sz w:val="24"/>
        </w:rPr>
        <w:t>（2） 在本次谈判中我公司不存在向采购人或谈判小组成员行贿的手段谋取成交的行为；</w:t>
      </w:r>
    </w:p>
    <w:p>
      <w:pPr>
        <w:spacing w:line="360" w:lineRule="auto"/>
        <w:ind w:firstLine="480" w:firstLineChars="200"/>
        <w:rPr>
          <w:rFonts w:ascii="宋体" w:hAnsi="宋体"/>
          <w:sz w:val="24"/>
        </w:rPr>
      </w:pPr>
      <w:r>
        <w:rPr>
          <w:rFonts w:hint="eastAsia" w:ascii="宋体" w:hAnsi="宋体"/>
          <w:sz w:val="24"/>
        </w:rPr>
        <w:t>（3） 在本次谈判中我公司不存在出借或借用资质行为、在响应文件中所附资料（业绩、项目负责人资料等）无弄虚作假；</w:t>
      </w:r>
    </w:p>
    <w:p>
      <w:pPr>
        <w:spacing w:line="360" w:lineRule="auto"/>
        <w:ind w:firstLine="480" w:firstLineChars="200"/>
        <w:rPr>
          <w:rFonts w:ascii="宋体" w:hAnsi="宋体"/>
          <w:sz w:val="24"/>
        </w:rPr>
      </w:pPr>
      <w:r>
        <w:rPr>
          <w:rFonts w:hint="eastAsia" w:ascii="宋体" w:hAnsi="宋体"/>
          <w:sz w:val="24"/>
        </w:rPr>
        <w:t>（4） 我公司未处于被责令停产、停业以及投标资格被取消状态；</w:t>
      </w:r>
    </w:p>
    <w:p>
      <w:pPr>
        <w:spacing w:line="360" w:lineRule="auto"/>
        <w:ind w:firstLine="480" w:firstLineChars="200"/>
        <w:rPr>
          <w:rFonts w:ascii="宋体" w:hAnsi="宋体"/>
          <w:sz w:val="24"/>
        </w:rPr>
      </w:pPr>
      <w:r>
        <w:rPr>
          <w:rFonts w:hint="eastAsia" w:ascii="宋体" w:hAnsi="宋体"/>
          <w:sz w:val="24"/>
        </w:rPr>
        <w:t>（5）我公司不采用非法手段获取证据进行质疑、投诉；在质疑、投诉过程中不提供虚假情况或进行恶意质疑、投诉。</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我方承诺：上述声明内容如有不实，我公司愿意承担由此造成的一切法律责任，并承诺以谈判保证金赔偿给采购人造成的损失。</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 xml:space="preserve">供应商名称（公章）： </w:t>
      </w:r>
    </w:p>
    <w:p>
      <w:pPr>
        <w:spacing w:line="360" w:lineRule="auto"/>
        <w:ind w:firstLine="480" w:firstLineChars="200"/>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line="360" w:lineRule="auto"/>
        <w:ind w:firstLine="480" w:firstLineChars="200"/>
        <w:rPr>
          <w:rFonts w:ascii="宋体" w:hAnsi="宋体"/>
          <w:sz w:val="24"/>
        </w:rPr>
      </w:pPr>
      <w:r>
        <w:rPr>
          <w:rFonts w:ascii="宋体" w:hAnsi="宋体"/>
          <w:sz w:val="24"/>
        </w:rPr>
        <w:t>日    期：     年   月    日</w:t>
      </w:r>
    </w:p>
    <w:p>
      <w:pPr>
        <w:widowControl/>
        <w:jc w:val="left"/>
        <w:rPr>
          <w:rFonts w:ascii="宋体" w:hAnsi="宋体" w:cs="宋体"/>
          <w:sz w:val="24"/>
        </w:rPr>
      </w:pPr>
    </w:p>
    <w:p>
      <w:pPr>
        <w:pStyle w:val="41"/>
        <w:snapToGrid w:val="0"/>
        <w:spacing w:beforeLines="50"/>
        <w:rPr>
          <w:rFonts w:hAnsi="宋体" w:cs="宋体"/>
          <w:sz w:val="24"/>
          <w:szCs w:val="24"/>
        </w:rPr>
      </w:pPr>
    </w:p>
    <w:p>
      <w:pPr>
        <w:widowControl/>
        <w:jc w:val="left"/>
        <w:rPr>
          <w:rFonts w:ascii="宋体" w:hAnsi="宋体"/>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pacing w:val="20"/>
          <w:sz w:val="24"/>
        </w:rPr>
      </w:pPr>
    </w:p>
    <w:p>
      <w:pPr>
        <w:adjustRightInd w:val="0"/>
        <w:spacing w:line="360" w:lineRule="atLeast"/>
        <w:jc w:val="left"/>
        <w:textAlignment w:val="baseline"/>
        <w:rPr>
          <w:b/>
          <w:sz w:val="30"/>
          <w:szCs w:val="30"/>
        </w:rPr>
      </w:pPr>
      <w:r>
        <w:rPr>
          <w:b/>
          <w:spacing w:val="20"/>
          <w:sz w:val="24"/>
        </w:rPr>
        <w:br w:type="page"/>
      </w:r>
    </w:p>
    <w:p>
      <w:pPr>
        <w:pStyle w:val="425"/>
        <w:spacing w:line="360" w:lineRule="auto"/>
        <w:ind w:firstLine="0" w:firstLineChars="0"/>
        <w:outlineLvl w:val="1"/>
        <w:rPr>
          <w:b/>
          <w:sz w:val="24"/>
        </w:rPr>
      </w:pPr>
      <w:bookmarkStart w:id="635" w:name="_Toc31493"/>
      <w:bookmarkStart w:id="636" w:name="_Toc157759075"/>
      <w:r>
        <w:rPr>
          <w:rFonts w:hint="eastAsia"/>
          <w:b/>
          <w:sz w:val="24"/>
        </w:rPr>
        <w:t>附件1</w:t>
      </w:r>
      <w:r>
        <w:rPr>
          <w:rFonts w:hint="eastAsia"/>
          <w:b/>
          <w:sz w:val="24"/>
          <w:lang w:val="en-US" w:eastAsia="zh-CN"/>
        </w:rPr>
        <w:t>0</w:t>
      </w:r>
      <w:r>
        <w:rPr>
          <w:rFonts w:hint="eastAsia"/>
          <w:b/>
          <w:sz w:val="24"/>
        </w:rPr>
        <w:t xml:space="preserve"> 施工组织设计</w:t>
      </w:r>
      <w:bookmarkEnd w:id="635"/>
    </w:p>
    <w:bookmarkEnd w:id="636"/>
    <w:p>
      <w:pPr>
        <w:widowControl/>
        <w:jc w:val="left"/>
        <w:rPr>
          <w:rFonts w:ascii="宋体" w:hAnsi="宋体" w:cs="宋体"/>
          <w:bCs/>
          <w:szCs w:val="21"/>
        </w:rPr>
      </w:pPr>
      <w:r>
        <w:rPr>
          <w:rFonts w:hint="eastAsia" w:ascii="宋体" w:hAnsi="宋体"/>
          <w:szCs w:val="21"/>
        </w:rPr>
        <w:t xml:space="preserve">(成交后由成交单位编写，竞争性谈判响应文件中不提供) </w:t>
      </w:r>
    </w:p>
    <w:p>
      <w:pPr>
        <w:ind w:left="420" w:hanging="420" w:hangingChars="200"/>
        <w:jc w:val="left"/>
        <w:rPr>
          <w:rFonts w:ascii="宋体" w:hAnsi="宋体" w:cs="宋体"/>
          <w:bCs/>
          <w:szCs w:val="21"/>
        </w:rPr>
      </w:pPr>
      <w:r>
        <w:rPr>
          <w:rFonts w:ascii="宋体" w:hAnsi="宋体" w:cs="宋体"/>
          <w:bCs/>
          <w:szCs w:val="21"/>
        </w:rPr>
        <w:br w:type="page"/>
      </w:r>
    </w:p>
    <w:p>
      <w:pPr>
        <w:ind w:left="420" w:hanging="420" w:hangingChars="200"/>
        <w:jc w:val="left"/>
        <w:rPr>
          <w:rFonts w:ascii="宋体" w:hAnsi="宋体" w:cs="宋体"/>
          <w:bCs/>
          <w:szCs w:val="21"/>
        </w:rPr>
      </w:pPr>
    </w:p>
    <w:p>
      <w:pPr>
        <w:pStyle w:val="425"/>
        <w:spacing w:line="360" w:lineRule="auto"/>
        <w:ind w:firstLine="0" w:firstLineChars="0"/>
        <w:outlineLvl w:val="1"/>
        <w:rPr>
          <w:b/>
          <w:sz w:val="24"/>
        </w:rPr>
      </w:pPr>
      <w:bookmarkStart w:id="637" w:name="_Toc6976"/>
      <w:r>
        <w:rPr>
          <w:rFonts w:hint="eastAsia"/>
          <w:b/>
          <w:sz w:val="24"/>
        </w:rPr>
        <w:t>附件1</w:t>
      </w:r>
      <w:r>
        <w:rPr>
          <w:rFonts w:hint="eastAsia"/>
          <w:b/>
          <w:sz w:val="24"/>
          <w:lang w:val="en-US" w:eastAsia="zh-CN"/>
        </w:rPr>
        <w:t>1</w:t>
      </w:r>
      <w:r>
        <w:rPr>
          <w:rFonts w:hint="eastAsia"/>
          <w:b/>
          <w:sz w:val="24"/>
        </w:rPr>
        <w:t xml:space="preserve"> 主要人员简历表</w:t>
      </w:r>
      <w:bookmarkEnd w:id="637"/>
    </w:p>
    <w:p>
      <w:pPr>
        <w:spacing w:line="420" w:lineRule="exact"/>
        <w:jc w:val="center"/>
        <w:rPr>
          <w:rFonts w:ascii="黑体" w:hAnsi="宋体" w:eastAsia="黑体"/>
          <w:sz w:val="24"/>
        </w:rPr>
      </w:pPr>
    </w:p>
    <w:p>
      <w:pPr>
        <w:spacing w:line="420" w:lineRule="exact"/>
        <w:rPr>
          <w:rFonts w:ascii="宋体" w:hAnsi="宋体"/>
          <w:szCs w:val="21"/>
        </w:rPr>
      </w:pPr>
    </w:p>
    <w:p>
      <w:pPr>
        <w:spacing w:line="420" w:lineRule="exact"/>
        <w:ind w:firstLine="420" w:firstLineChars="200"/>
        <w:rPr>
          <w:rFonts w:ascii="宋体" w:hAnsi="宋体"/>
          <w:szCs w:val="21"/>
        </w:rPr>
      </w:pPr>
      <w:r>
        <w:rPr>
          <w:rFonts w:hint="eastAsia" w:ascii="宋体" w:hAnsi="宋体"/>
          <w:szCs w:val="21"/>
        </w:rPr>
        <w:t>主要项目管理人员指项目副经理、技术负责人、合同商务负责人、专职安全生产管理人员等岗位人员。应附注册资格证书、身份证、职称证、养老保险复印件，专职安全生产管理人员应附安全生产考核合格证书。</w:t>
      </w:r>
    </w:p>
    <w:p>
      <w:pPr>
        <w:spacing w:line="420" w:lineRule="exact"/>
        <w:ind w:firstLine="420" w:firstLineChars="200"/>
        <w:rPr>
          <w:rFonts w:ascii="宋体" w:hAnsi="宋体"/>
          <w:szCs w:val="21"/>
        </w:rPr>
      </w:pPr>
    </w:p>
    <w:tbl>
      <w:tblPr>
        <w:tblStyle w:val="88"/>
        <w:tblW w:w="7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842"/>
        <w:gridCol w:w="1799"/>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岗位名称</w:t>
            </w:r>
          </w:p>
        </w:tc>
        <w:tc>
          <w:tcPr>
            <w:tcW w:w="1842" w:type="dxa"/>
            <w:vAlign w:val="center"/>
          </w:tcPr>
          <w:p>
            <w:pPr>
              <w:snapToGrid w:val="0"/>
              <w:ind w:right="-101" w:rightChars="-48"/>
              <w:jc w:val="center"/>
              <w:rPr>
                <w:rFonts w:ascii="宋体" w:hAnsi="宋体"/>
                <w:sz w:val="24"/>
              </w:rPr>
            </w:pPr>
          </w:p>
        </w:tc>
        <w:tc>
          <w:tcPr>
            <w:tcW w:w="1799" w:type="dxa"/>
            <w:vAlign w:val="center"/>
          </w:tcPr>
          <w:p>
            <w:pPr>
              <w:snapToGrid w:val="0"/>
              <w:jc w:val="center"/>
              <w:rPr>
                <w:rFonts w:ascii="宋体" w:hAnsi="宋体"/>
                <w:sz w:val="24"/>
              </w:rPr>
            </w:pP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姓    名</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年    龄</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性    别</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毕业学校</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学历和专业</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毕业时间</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拥有的执业资格</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专业职称</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5" w:type="dxa"/>
            <w:gridSpan w:val="2"/>
            <w:vAlign w:val="center"/>
          </w:tcPr>
          <w:p>
            <w:pPr>
              <w:snapToGrid w:val="0"/>
              <w:jc w:val="center"/>
              <w:rPr>
                <w:rFonts w:ascii="宋体" w:hAnsi="宋体"/>
                <w:sz w:val="24"/>
              </w:rPr>
            </w:pPr>
            <w:r>
              <w:rPr>
                <w:rFonts w:hint="eastAsia" w:ascii="宋体" w:hAnsi="宋体"/>
                <w:sz w:val="24"/>
              </w:rPr>
              <w:t>执业资格证书编号</w:t>
            </w:r>
          </w:p>
        </w:tc>
        <w:tc>
          <w:tcPr>
            <w:tcW w:w="1842" w:type="dxa"/>
            <w:vAlign w:val="center"/>
          </w:tcPr>
          <w:p>
            <w:pPr>
              <w:snapToGrid w:val="0"/>
              <w:jc w:val="center"/>
              <w:rPr>
                <w:rFonts w:ascii="宋体" w:hAnsi="宋体"/>
                <w:sz w:val="24"/>
              </w:rPr>
            </w:pPr>
          </w:p>
        </w:tc>
        <w:tc>
          <w:tcPr>
            <w:tcW w:w="1799" w:type="dxa"/>
            <w:vAlign w:val="center"/>
          </w:tcPr>
          <w:p>
            <w:pPr>
              <w:snapToGrid w:val="0"/>
              <w:jc w:val="center"/>
              <w:rPr>
                <w:rFonts w:ascii="宋体" w:hAnsi="宋体"/>
                <w:sz w:val="24"/>
              </w:rPr>
            </w:pPr>
            <w:r>
              <w:rPr>
                <w:rFonts w:hint="eastAsia" w:ascii="宋体" w:hAnsi="宋体"/>
                <w:sz w:val="24"/>
              </w:rPr>
              <w:t>工作年限</w:t>
            </w:r>
          </w:p>
        </w:tc>
        <w:tc>
          <w:tcPr>
            <w:tcW w:w="2022"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napToGrid w:val="0"/>
              <w:jc w:val="center"/>
              <w:rPr>
                <w:rFonts w:ascii="宋体" w:hAnsi="宋体"/>
                <w:sz w:val="24"/>
              </w:rPr>
            </w:pPr>
            <w:r>
              <w:rPr>
                <w:rFonts w:hint="eastAsia" w:ascii="宋体" w:hAnsi="宋体"/>
                <w:sz w:val="24"/>
              </w:rPr>
              <w:t>主</w:t>
            </w:r>
          </w:p>
          <w:p>
            <w:pPr>
              <w:snapToGrid w:val="0"/>
              <w:jc w:val="center"/>
              <w:rPr>
                <w:rFonts w:ascii="宋体" w:hAnsi="宋体"/>
                <w:sz w:val="24"/>
              </w:rPr>
            </w:pPr>
            <w:r>
              <w:rPr>
                <w:rFonts w:hint="eastAsia" w:ascii="宋体" w:hAnsi="宋体"/>
                <w:sz w:val="24"/>
              </w:rPr>
              <w:t>要</w:t>
            </w:r>
          </w:p>
          <w:p>
            <w:pPr>
              <w:snapToGrid w:val="0"/>
              <w:jc w:val="center"/>
              <w:rPr>
                <w:rFonts w:ascii="宋体" w:hAnsi="宋体"/>
                <w:sz w:val="24"/>
              </w:rPr>
            </w:pPr>
            <w:r>
              <w:rPr>
                <w:rFonts w:hint="eastAsia" w:ascii="宋体" w:hAnsi="宋体"/>
                <w:sz w:val="24"/>
              </w:rPr>
              <w:t>工</w:t>
            </w:r>
          </w:p>
          <w:p>
            <w:pPr>
              <w:snapToGrid w:val="0"/>
              <w:jc w:val="center"/>
              <w:rPr>
                <w:rFonts w:ascii="宋体" w:hAnsi="宋体"/>
                <w:sz w:val="24"/>
              </w:rPr>
            </w:pPr>
            <w:r>
              <w:rPr>
                <w:rFonts w:hint="eastAsia" w:ascii="宋体" w:hAnsi="宋体"/>
                <w:sz w:val="24"/>
              </w:rPr>
              <w:t>作</w:t>
            </w:r>
          </w:p>
          <w:p>
            <w:pPr>
              <w:snapToGrid w:val="0"/>
              <w:jc w:val="center"/>
              <w:rPr>
                <w:rFonts w:ascii="宋体" w:hAnsi="宋体"/>
                <w:sz w:val="24"/>
              </w:rPr>
            </w:pPr>
            <w:r>
              <w:rPr>
                <w:rFonts w:hint="eastAsia" w:ascii="宋体" w:hAnsi="宋体"/>
                <w:sz w:val="24"/>
              </w:rPr>
              <w:t>业</w:t>
            </w:r>
          </w:p>
          <w:p>
            <w:pPr>
              <w:snapToGrid w:val="0"/>
              <w:jc w:val="center"/>
              <w:rPr>
                <w:rFonts w:ascii="宋体" w:hAnsi="宋体"/>
                <w:sz w:val="24"/>
              </w:rPr>
            </w:pPr>
            <w:r>
              <w:rPr>
                <w:rFonts w:hint="eastAsia" w:ascii="宋体" w:hAnsi="宋体"/>
                <w:sz w:val="24"/>
              </w:rPr>
              <w:t>绩</w:t>
            </w:r>
          </w:p>
          <w:p>
            <w:pPr>
              <w:snapToGrid w:val="0"/>
              <w:jc w:val="center"/>
              <w:rPr>
                <w:rFonts w:ascii="宋体" w:hAnsi="宋体"/>
                <w:sz w:val="24"/>
              </w:rPr>
            </w:pPr>
            <w:r>
              <w:rPr>
                <w:rFonts w:hint="eastAsia" w:ascii="宋体" w:hAnsi="宋体"/>
                <w:sz w:val="24"/>
              </w:rPr>
              <w:t>及</w:t>
            </w:r>
          </w:p>
          <w:p>
            <w:pPr>
              <w:snapToGrid w:val="0"/>
              <w:jc w:val="center"/>
              <w:rPr>
                <w:rFonts w:ascii="宋体" w:hAnsi="宋体"/>
                <w:sz w:val="24"/>
              </w:rPr>
            </w:pPr>
            <w:r>
              <w:rPr>
                <w:rFonts w:hint="eastAsia" w:ascii="宋体" w:hAnsi="宋体"/>
                <w:sz w:val="24"/>
              </w:rPr>
              <w:t>担</w:t>
            </w:r>
          </w:p>
          <w:p>
            <w:pPr>
              <w:snapToGrid w:val="0"/>
              <w:jc w:val="center"/>
              <w:rPr>
                <w:rFonts w:ascii="宋体" w:hAnsi="宋体"/>
                <w:sz w:val="24"/>
              </w:rPr>
            </w:pPr>
            <w:r>
              <w:rPr>
                <w:rFonts w:hint="eastAsia" w:ascii="宋体" w:hAnsi="宋体"/>
                <w:sz w:val="24"/>
              </w:rPr>
              <w:t>任</w:t>
            </w:r>
          </w:p>
          <w:p>
            <w:pPr>
              <w:snapToGrid w:val="0"/>
              <w:jc w:val="center"/>
              <w:rPr>
                <w:rFonts w:ascii="宋体" w:hAnsi="宋体"/>
                <w:sz w:val="24"/>
              </w:rPr>
            </w:pPr>
            <w:r>
              <w:rPr>
                <w:rFonts w:hint="eastAsia" w:ascii="宋体" w:hAnsi="宋体"/>
                <w:sz w:val="24"/>
              </w:rPr>
              <w:t>的</w:t>
            </w:r>
          </w:p>
          <w:p>
            <w:pPr>
              <w:snapToGrid w:val="0"/>
              <w:jc w:val="center"/>
              <w:rPr>
                <w:rFonts w:ascii="宋体" w:hAnsi="宋体"/>
                <w:sz w:val="24"/>
              </w:rPr>
            </w:pPr>
            <w:r>
              <w:rPr>
                <w:rFonts w:hint="eastAsia" w:ascii="宋体" w:hAnsi="宋体"/>
                <w:sz w:val="24"/>
              </w:rPr>
              <w:t>主</w:t>
            </w:r>
          </w:p>
          <w:p>
            <w:pPr>
              <w:snapToGrid w:val="0"/>
              <w:jc w:val="center"/>
              <w:rPr>
                <w:rFonts w:ascii="宋体" w:hAnsi="宋体"/>
                <w:sz w:val="24"/>
              </w:rPr>
            </w:pPr>
            <w:r>
              <w:rPr>
                <w:rFonts w:hint="eastAsia" w:ascii="宋体" w:hAnsi="宋体"/>
                <w:sz w:val="24"/>
              </w:rPr>
              <w:t>要</w:t>
            </w:r>
          </w:p>
          <w:p>
            <w:pPr>
              <w:snapToGrid w:val="0"/>
              <w:jc w:val="center"/>
              <w:rPr>
                <w:rFonts w:ascii="宋体" w:hAnsi="宋体"/>
                <w:sz w:val="24"/>
              </w:rPr>
            </w:pPr>
            <w:r>
              <w:rPr>
                <w:rFonts w:hint="eastAsia" w:ascii="宋体" w:hAnsi="宋体"/>
                <w:sz w:val="24"/>
              </w:rPr>
              <w:t>工</w:t>
            </w:r>
          </w:p>
          <w:p>
            <w:pPr>
              <w:snapToGrid w:val="0"/>
              <w:jc w:val="center"/>
              <w:rPr>
                <w:rFonts w:ascii="宋体" w:hAnsi="宋体"/>
                <w:sz w:val="24"/>
              </w:rPr>
            </w:pPr>
            <w:r>
              <w:rPr>
                <w:rFonts w:hint="eastAsia" w:ascii="宋体" w:hAnsi="宋体"/>
                <w:sz w:val="24"/>
              </w:rPr>
              <w:t>作</w:t>
            </w:r>
          </w:p>
          <w:p>
            <w:pPr>
              <w:snapToGrid w:val="0"/>
              <w:jc w:val="center"/>
              <w:rPr>
                <w:rFonts w:ascii="宋体" w:hAnsi="宋体"/>
                <w:sz w:val="24"/>
              </w:rPr>
            </w:pPr>
          </w:p>
        </w:tc>
        <w:tc>
          <w:tcPr>
            <w:tcW w:w="7081" w:type="dxa"/>
            <w:gridSpan w:val="4"/>
            <w:vAlign w:val="center"/>
          </w:tcPr>
          <w:p>
            <w:pPr>
              <w:snapToGrid w:val="0"/>
              <w:jc w:val="center"/>
              <w:rPr>
                <w:rFonts w:ascii="宋体" w:hAnsi="宋体"/>
                <w:sz w:val="24"/>
              </w:rPr>
            </w:pPr>
          </w:p>
        </w:tc>
      </w:tr>
    </w:tbl>
    <w:p>
      <w:pPr>
        <w:spacing w:line="640" w:lineRule="exact"/>
        <w:rPr>
          <w:rFonts w:ascii="宋体" w:hAnsi="宋体"/>
          <w:szCs w:val="21"/>
        </w:rPr>
      </w:pPr>
    </w:p>
    <w:p>
      <w:pPr>
        <w:spacing w:line="640" w:lineRule="exact"/>
        <w:rPr>
          <w:rFonts w:ascii="宋体" w:hAnsi="宋体"/>
          <w:szCs w:val="21"/>
        </w:rPr>
      </w:pPr>
    </w:p>
    <w:p>
      <w:pPr>
        <w:widowControl/>
        <w:jc w:val="left"/>
        <w:rPr>
          <w:rFonts w:ascii="仿宋_GB2312" w:eastAsia="仿宋_GB2312"/>
          <w:sz w:val="24"/>
        </w:rPr>
      </w:pPr>
      <w:r>
        <w:rPr>
          <w:rFonts w:ascii="仿宋_GB2312" w:eastAsia="仿宋_GB2312"/>
          <w:sz w:val="24"/>
        </w:rPr>
        <w:br w:type="page"/>
      </w:r>
    </w:p>
    <w:bookmarkEnd w:id="595"/>
    <w:p>
      <w:pPr>
        <w:pStyle w:val="425"/>
        <w:spacing w:line="360" w:lineRule="auto"/>
        <w:ind w:firstLine="0" w:firstLineChars="0"/>
        <w:outlineLvl w:val="1"/>
        <w:rPr>
          <w:b/>
          <w:sz w:val="24"/>
        </w:rPr>
      </w:pPr>
      <w:bookmarkStart w:id="638" w:name="_Toc24601"/>
      <w:bookmarkStart w:id="639" w:name="_Toc416103827"/>
      <w:r>
        <w:rPr>
          <w:rFonts w:hint="eastAsia"/>
          <w:b/>
          <w:sz w:val="24"/>
        </w:rPr>
        <w:t>附件1</w:t>
      </w:r>
      <w:r>
        <w:rPr>
          <w:rFonts w:hint="eastAsia"/>
          <w:b/>
          <w:sz w:val="24"/>
          <w:lang w:val="en-US" w:eastAsia="zh-CN"/>
        </w:rPr>
        <w:t>2</w:t>
      </w:r>
      <w:r>
        <w:rPr>
          <w:rFonts w:hint="eastAsia"/>
          <w:b/>
          <w:sz w:val="24"/>
        </w:rPr>
        <w:t xml:space="preserve"> 供应商其他承诺（如有）</w:t>
      </w:r>
      <w:bookmarkEnd w:id="638"/>
    </w:p>
    <w:p>
      <w:pPr>
        <w:widowControl/>
        <w:jc w:val="left"/>
        <w:rPr>
          <w:b/>
          <w:sz w:val="24"/>
        </w:rPr>
      </w:pPr>
    </w:p>
    <w:p>
      <w:pPr>
        <w:widowControl/>
        <w:jc w:val="left"/>
        <w:rPr>
          <w:b/>
          <w:sz w:val="24"/>
        </w:rPr>
      </w:pPr>
      <w:r>
        <w:rPr>
          <w:b/>
          <w:sz w:val="24"/>
        </w:rPr>
        <w:br w:type="page"/>
      </w:r>
    </w:p>
    <w:p>
      <w:pPr>
        <w:pStyle w:val="425"/>
        <w:spacing w:line="360" w:lineRule="auto"/>
        <w:ind w:firstLine="0" w:firstLineChars="0"/>
        <w:outlineLvl w:val="1"/>
        <w:rPr>
          <w:b/>
          <w:sz w:val="24"/>
        </w:rPr>
      </w:pPr>
      <w:bookmarkStart w:id="640" w:name="_Toc11300"/>
      <w:r>
        <w:rPr>
          <w:rFonts w:hint="eastAsia"/>
          <w:b/>
          <w:sz w:val="24"/>
        </w:rPr>
        <w:t>附件1</w:t>
      </w:r>
      <w:r>
        <w:rPr>
          <w:rFonts w:hint="eastAsia"/>
          <w:b/>
          <w:sz w:val="24"/>
          <w:lang w:val="en-US" w:eastAsia="zh-CN"/>
        </w:rPr>
        <w:t>3</w:t>
      </w:r>
      <w:r>
        <w:rPr>
          <w:rFonts w:hint="eastAsia"/>
          <w:b/>
          <w:sz w:val="24"/>
        </w:rPr>
        <w:t xml:space="preserve"> 最后报价函格式</w:t>
      </w:r>
      <w:bookmarkEnd w:id="640"/>
    </w:p>
    <w:p>
      <w:pPr>
        <w:widowControl/>
        <w:jc w:val="left"/>
        <w:rPr>
          <w:b/>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竞争性谈判最后报价函</w:t>
      </w: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TimesNewRomanPSMT"/>
          <w:kern w:val="0"/>
          <w:sz w:val="24"/>
        </w:rPr>
        <w:t>1.经谈判小组与</w:t>
      </w:r>
      <w:r>
        <w:rPr>
          <w:rFonts w:hint="eastAsia" w:ascii="宋体" w:hAnsi="宋体" w:cs="仿宋_GB2312"/>
          <w:kern w:val="0"/>
          <w:sz w:val="24"/>
        </w:rPr>
        <w:t>我方根据贵方竞争性谈判文件（含澄清、修改文件）及我方提交的首次响应文件进行的谈判，现我方提交最后报价函。我方愿意以人民币（大写</w:t>
      </w:r>
      <w:r>
        <w:rPr>
          <w:rFonts w:hint="eastAsia" w:ascii="宋体" w:hAnsi="宋体" w:cs="仿宋_GB2312"/>
          <w:kern w:val="0"/>
          <w:sz w:val="24"/>
          <w:u w:val="single"/>
        </w:rPr>
        <w:t xml:space="preserve">）        </w:t>
      </w:r>
      <w:r>
        <w:rPr>
          <w:rFonts w:hint="eastAsia" w:ascii="宋体" w:hAnsi="宋体" w:cs="仿宋_GB2312"/>
          <w:kern w:val="0"/>
          <w:sz w:val="24"/>
        </w:rPr>
        <w:t>（小写）￥</w:t>
      </w:r>
      <w:r>
        <w:rPr>
          <w:rFonts w:hint="eastAsia" w:ascii="宋体" w:hAnsi="宋体" w:cs="仿宋_GB2312"/>
          <w:kern w:val="0"/>
          <w:sz w:val="24"/>
          <w:u w:val="single"/>
          <w:lang w:val="en-US" w:eastAsia="zh-CN"/>
        </w:rPr>
        <w:t xml:space="preserve">          </w:t>
      </w:r>
      <w:r>
        <w:rPr>
          <w:rFonts w:hint="eastAsia" w:ascii="宋体" w:hAnsi="宋体" w:cs="仿宋_GB2312"/>
          <w:kern w:val="0"/>
          <w:sz w:val="24"/>
        </w:rPr>
        <w:t>元的总价、工期</w:t>
      </w:r>
      <w:r>
        <w:rPr>
          <w:rFonts w:hint="eastAsia" w:ascii="宋体" w:hAnsi="宋体" w:cs="仿宋_GB2312"/>
          <w:kern w:val="0"/>
          <w:sz w:val="24"/>
          <w:u w:val="single"/>
          <w:lang w:val="en-US" w:eastAsia="zh-CN"/>
        </w:rPr>
        <w:t xml:space="preserve">       </w:t>
      </w:r>
      <w:r>
        <w:rPr>
          <w:rFonts w:hint="eastAsia" w:ascii="宋体" w:hAnsi="宋体" w:cs="仿宋_GB2312"/>
          <w:kern w:val="0"/>
          <w:sz w:val="24"/>
        </w:rPr>
        <w:t>日历日、按合同约定实施和完成承包工程、修补工程中的任何缺陷，工程质量达到</w:t>
      </w:r>
      <w:r>
        <w:rPr>
          <w:rFonts w:hint="eastAsia" w:ascii="宋体" w:hAnsi="宋体" w:cs="仿宋_GB2312"/>
          <w:kern w:val="0"/>
          <w:sz w:val="24"/>
          <w:u w:val="single"/>
          <w:lang w:val="en-US" w:eastAsia="zh-CN"/>
        </w:rPr>
        <w:t xml:space="preserve">       </w:t>
      </w:r>
      <w:r>
        <w:rPr>
          <w:rFonts w:hint="eastAsia" w:ascii="宋体" w:hAnsi="宋体" w:cs="仿宋_GB2312"/>
          <w:kern w:val="0"/>
          <w:sz w:val="24"/>
        </w:rPr>
        <w:t>标准。</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对我方首次提交的响应文件予以修正的内容还有</w:t>
      </w:r>
      <w:r>
        <w:rPr>
          <w:rFonts w:hint="eastAsia" w:ascii="宋体" w:hAnsi="宋体" w:cs="仿宋_GB2312"/>
          <w:kern w:val="0"/>
          <w:sz w:val="24"/>
          <w:u w:val="single"/>
        </w:rPr>
        <w:t xml:space="preserve">          </w:t>
      </w:r>
      <w:r>
        <w:rPr>
          <w:rFonts w:hint="eastAsia" w:ascii="宋体" w:hAnsi="宋体" w:cs="仿宋_GB2312"/>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highlight w:val="none"/>
        </w:rPr>
      </w:pPr>
      <w:r>
        <w:rPr>
          <w:rFonts w:hint="eastAsia" w:ascii="宋体" w:hAnsi="宋体" w:cs="TimesNewRomanPSMT"/>
          <w:kern w:val="0"/>
          <w:sz w:val="24"/>
        </w:rPr>
        <w:t>2.</w:t>
      </w:r>
      <w:r>
        <w:rPr>
          <w:rFonts w:hint="eastAsia" w:ascii="宋体" w:hAnsi="宋体" w:cs="仿宋_GB2312"/>
          <w:kern w:val="0"/>
          <w:sz w:val="24"/>
        </w:rPr>
        <w:t xml:space="preserve"> 本最后报价函是我方响应文件的组成部分。</w:t>
      </w:r>
      <w:r>
        <w:rPr>
          <w:rFonts w:hint="eastAsia" w:ascii="宋体" w:hAnsi="宋体" w:cs="TimesNewRomanPSMT"/>
          <w:kern w:val="0"/>
          <w:sz w:val="24"/>
        </w:rPr>
        <w:t>若本</w:t>
      </w:r>
      <w:r>
        <w:rPr>
          <w:rFonts w:hint="eastAsia" w:ascii="宋体" w:hAnsi="宋体" w:cs="黑体"/>
          <w:kern w:val="0"/>
          <w:sz w:val="24"/>
        </w:rPr>
        <w:t>竞争性谈判</w:t>
      </w:r>
      <w:r>
        <w:rPr>
          <w:rFonts w:hint="eastAsia" w:ascii="宋体" w:hAnsi="宋体" w:cs="TimesNewRomanPSMT"/>
          <w:kern w:val="0"/>
          <w:sz w:val="24"/>
        </w:rPr>
        <w:t>最后报价函与我方首次</w:t>
      </w:r>
      <w:r>
        <w:rPr>
          <w:rFonts w:hint="eastAsia" w:ascii="宋体" w:hAnsi="宋体" w:cs="TimesNewRomanPSMT"/>
          <w:kern w:val="0"/>
          <w:sz w:val="24"/>
          <w:highlight w:val="none"/>
        </w:rPr>
        <w:t>递交的报价函及报价函附录的内容有差异，以本</w:t>
      </w:r>
      <w:r>
        <w:rPr>
          <w:rFonts w:hint="eastAsia" w:ascii="宋体" w:hAnsi="宋体" w:cs="黑体"/>
          <w:kern w:val="0"/>
          <w:sz w:val="24"/>
          <w:highlight w:val="none"/>
        </w:rPr>
        <w:t>竞争性谈判</w:t>
      </w:r>
      <w:r>
        <w:rPr>
          <w:rFonts w:hint="eastAsia" w:ascii="宋体" w:hAnsi="宋体" w:cs="TimesNewRomanPSMT"/>
          <w:kern w:val="0"/>
          <w:sz w:val="24"/>
          <w:highlight w:val="none"/>
        </w:rPr>
        <w:t>最后的报价函内容为准。</w:t>
      </w:r>
    </w:p>
    <w:p>
      <w:pPr>
        <w:autoSpaceDE w:val="0"/>
        <w:autoSpaceDN w:val="0"/>
        <w:adjustRightInd w:val="0"/>
        <w:snapToGrid w:val="0"/>
        <w:spacing w:line="360" w:lineRule="auto"/>
        <w:ind w:firstLine="480" w:firstLineChars="200"/>
        <w:jc w:val="left"/>
        <w:rPr>
          <w:rFonts w:ascii="宋体" w:hAnsi="宋体" w:cs="TimesNewRomanPSMT"/>
          <w:iCs/>
          <w:kern w:val="0"/>
          <w:sz w:val="24"/>
          <w:highlight w:val="none"/>
        </w:rPr>
      </w:pPr>
      <w:r>
        <w:rPr>
          <w:rFonts w:hint="eastAsia" w:ascii="宋体" w:hAnsi="宋体" w:cs="TimesNewRomanPSMT"/>
          <w:iCs/>
          <w:kern w:val="0"/>
          <w:sz w:val="24"/>
          <w:highlight w:val="none"/>
        </w:rPr>
        <w:t>3. 若我方成交，我方承诺将根据谈判文件中的工程量清单及其第1条所列最后报价，根据现行的《建设工程工程量清单计价规范》（GB 50500）和《房屋建筑与装饰工程工程量计算规范》（GB 50854）的相关规定，编制本项目已标价的工程量清单，收到成交通知书后的7日内提交给采购人；对采购人提出的审查意见在合同签订前修改完成。</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4．</w:t>
      </w:r>
      <w:r>
        <w:rPr>
          <w:rFonts w:hint="eastAsia" w:ascii="宋体" w:hAnsi="宋体" w:cs="TimesNewRomanPSMT"/>
          <w:kern w:val="0"/>
          <w:sz w:val="24"/>
          <w:u w:val="single"/>
          <w:lang w:val="en-US" w:eastAsia="zh-CN"/>
        </w:rPr>
        <w:t xml:space="preserve">               </w:t>
      </w:r>
      <w:r>
        <w:rPr>
          <w:rFonts w:hint="eastAsia" w:ascii="宋体" w:hAnsi="宋体" w:cs="TimesNewRomanPSMT"/>
          <w:kern w:val="0"/>
          <w:sz w:val="24"/>
        </w:rPr>
        <w:t>（其他补充说明）。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供应商：</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法定代表人或其委托代理人：</w:t>
      </w:r>
      <w:r>
        <w:rPr>
          <w:rFonts w:hint="eastAsia" w:ascii="宋体" w:hAnsi="宋体" w:cs="仿宋_GB2312"/>
          <w:kern w:val="0"/>
          <w:sz w:val="24"/>
          <w:lang w:val="en-US" w:eastAsia="zh-CN"/>
        </w:rPr>
        <w:t xml:space="preserve">        </w:t>
      </w:r>
      <w:r>
        <w:rPr>
          <w:rFonts w:hint="eastAsia" w:ascii="宋体" w:hAnsi="宋体" w:cs="仿宋_GB2312"/>
          <w:kern w:val="0"/>
          <w:sz w:val="24"/>
        </w:rPr>
        <w:t>（签字）</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hint="eastAsia" w:ascii="宋体" w:hAnsi="宋体" w:cs="仿宋_GB2312"/>
          <w:kern w:val="0"/>
          <w:sz w:val="24"/>
        </w:rPr>
      </w:pPr>
      <w:r>
        <w:rPr>
          <w:rFonts w:hint="eastAsia" w:ascii="宋体" w:hAnsi="宋体" w:cs="仿宋_GB2312"/>
          <w:kern w:val="0"/>
          <w:sz w:val="24"/>
        </w:rPr>
        <w:t>年</w:t>
      </w:r>
      <w:r>
        <w:rPr>
          <w:rFonts w:hint="eastAsia" w:ascii="宋体" w:hAnsi="宋体" w:cs="仿宋_GB2312"/>
          <w:kern w:val="0"/>
          <w:sz w:val="24"/>
          <w:lang w:val="en-US" w:eastAsia="zh-CN"/>
        </w:rPr>
        <w:t xml:space="preserve">    </w:t>
      </w:r>
      <w:r>
        <w:rPr>
          <w:rFonts w:hint="eastAsia" w:ascii="宋体" w:hAnsi="宋体" w:cs="仿宋_GB2312"/>
          <w:kern w:val="0"/>
          <w:sz w:val="24"/>
        </w:rPr>
        <w:t>月</w:t>
      </w:r>
      <w:r>
        <w:rPr>
          <w:rFonts w:hint="eastAsia" w:ascii="宋体" w:hAnsi="宋体" w:cs="仿宋_GB2312"/>
          <w:kern w:val="0"/>
          <w:sz w:val="24"/>
          <w:lang w:val="en-US" w:eastAsia="zh-CN"/>
        </w:rPr>
        <w:t xml:space="preserve">    </w:t>
      </w:r>
      <w:r>
        <w:rPr>
          <w:rFonts w:hint="eastAsia" w:ascii="宋体" w:hAnsi="宋体" w:cs="仿宋_GB2312"/>
          <w:kern w:val="0"/>
          <w:sz w:val="24"/>
        </w:rPr>
        <w:t>日</w:t>
      </w:r>
    </w:p>
    <w:p>
      <w:pPr>
        <w:autoSpaceDE w:val="0"/>
        <w:autoSpaceDN w:val="0"/>
        <w:adjustRightInd w:val="0"/>
        <w:snapToGrid w:val="0"/>
        <w:spacing w:line="360" w:lineRule="auto"/>
        <w:ind w:left="5939" w:leftChars="2828"/>
        <w:jc w:val="left"/>
        <w:rPr>
          <w:rFonts w:hint="eastAsia" w:ascii="宋体" w:hAnsi="宋体" w:cs="仿宋_GB2312"/>
          <w:kern w:val="0"/>
          <w:sz w:val="24"/>
        </w:rPr>
      </w:pPr>
      <w:r>
        <w:rPr>
          <w:rFonts w:hint="eastAsia" w:ascii="宋体" w:hAnsi="宋体" w:cs="仿宋_GB2312"/>
          <w:kern w:val="0"/>
          <w:sz w:val="24"/>
        </w:rPr>
        <w:br w:type="page"/>
      </w:r>
    </w:p>
    <w:p>
      <w:pPr>
        <w:pStyle w:val="425"/>
        <w:spacing w:line="360" w:lineRule="auto"/>
        <w:ind w:firstLine="0" w:firstLineChars="0"/>
        <w:outlineLvl w:val="1"/>
        <w:rPr>
          <w:rFonts w:hint="eastAsia"/>
          <w:b/>
          <w:sz w:val="24"/>
          <w:lang w:val="en-US" w:eastAsia="zh-CN"/>
        </w:rPr>
      </w:pPr>
      <w:r>
        <w:rPr>
          <w:rFonts w:hint="eastAsia"/>
          <w:b/>
          <w:sz w:val="24"/>
          <w:lang w:eastAsia="zh-CN"/>
        </w:rPr>
        <w:t>附件</w:t>
      </w:r>
      <w:r>
        <w:rPr>
          <w:rFonts w:hint="eastAsia"/>
          <w:b/>
          <w:sz w:val="24"/>
          <w:lang w:val="en-US" w:eastAsia="zh-CN"/>
        </w:rPr>
        <w:t>14 谈判文件要求的其他内容以及供应商认为必要的其他内容</w:t>
      </w:r>
    </w:p>
    <w:bookmarkEnd w:id="639"/>
    <w:p/>
    <w:sectPr>
      <w:headerReference r:id="rId3" w:type="default"/>
      <w:footerReference r:id="rId4" w:type="default"/>
      <w:pgSz w:w="11906" w:h="16838"/>
      <w:pgMar w:top="1440" w:right="1247" w:bottom="136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Univers">
    <w:altName w:val="Arial"/>
    <w:panose1 w:val="00000000000000000000"/>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90" w:firstLineChars="50"/>
      <w:jc w:val="center"/>
    </w:pPr>
    <w:r>
      <w:fldChar w:fldCharType="begin"/>
    </w:r>
    <w:r>
      <w:rPr>
        <w:rStyle w:val="76"/>
      </w:rPr>
      <w:instrText xml:space="preserve"> PAGE </w:instrText>
    </w:r>
    <w:r>
      <w:fldChar w:fldCharType="separate"/>
    </w:r>
    <w:r>
      <w:rPr>
        <w:rStyle w:val="76"/>
      </w:rPr>
      <w:t>69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594658"/>
    <w:multiLevelType w:val="multilevel"/>
    <w:tmpl w:val="02594658"/>
    <w:lvl w:ilvl="0" w:tentative="0">
      <w:start w:val="1"/>
      <w:numFmt w:val="decimal"/>
      <w:lvlText w:val="（%1）"/>
      <w:lvlJc w:val="left"/>
      <w:pPr>
        <w:ind w:left="779" w:hanging="420"/>
      </w:pPr>
      <w:rPr>
        <w:rFonts w:hint="eastAsia"/>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2">
    <w:nsid w:val="03754B41"/>
    <w:multiLevelType w:val="multilevel"/>
    <w:tmpl w:val="03754B41"/>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3">
    <w:nsid w:val="1644635B"/>
    <w:multiLevelType w:val="multilevel"/>
    <w:tmpl w:val="1644635B"/>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4">
    <w:nsid w:val="2B4357F3"/>
    <w:multiLevelType w:val="multilevel"/>
    <w:tmpl w:val="2B4357F3"/>
    <w:lvl w:ilvl="0" w:tentative="0">
      <w:start w:val="1"/>
      <w:numFmt w:val="decimal"/>
      <w:lvlText w:val="（%1）"/>
      <w:lvlJc w:val="left"/>
      <w:pPr>
        <w:ind w:left="1552" w:hanging="420"/>
      </w:pPr>
      <w:rPr>
        <w:rFonts w:hint="eastAsia"/>
      </w:rPr>
    </w:lvl>
    <w:lvl w:ilvl="1" w:tentative="0">
      <w:start w:val="1"/>
      <w:numFmt w:val="decimal"/>
      <w:lvlText w:val="%2"/>
      <w:lvlJc w:val="left"/>
      <w:pPr>
        <w:ind w:left="1912" w:hanging="360"/>
      </w:pPr>
      <w:rPr>
        <w:rFonts w:hint="default"/>
      </w:rPr>
    </w:lvl>
    <w:lvl w:ilvl="2" w:tentative="0">
      <w:start w:val="1"/>
      <w:numFmt w:val="decimal"/>
      <w:lvlText w:val="(%3)"/>
      <w:lvlJc w:val="left"/>
      <w:pPr>
        <w:ind w:left="2557" w:hanging="585"/>
      </w:pPr>
      <w:rPr>
        <w:rFonts w:hint="default"/>
      </w:rPr>
    </w:lvl>
    <w:lvl w:ilvl="3" w:tentative="0">
      <w:start w:val="1"/>
      <w:numFmt w:val="decimal"/>
      <w:lvlText w:val="%4."/>
      <w:lvlJc w:val="left"/>
      <w:pPr>
        <w:ind w:left="2812" w:hanging="420"/>
      </w:pPr>
    </w:lvl>
    <w:lvl w:ilvl="4" w:tentative="0">
      <w:start w:val="1"/>
      <w:numFmt w:val="lowerLetter"/>
      <w:lvlText w:val="%5)"/>
      <w:lvlJc w:val="left"/>
      <w:pPr>
        <w:ind w:left="3232" w:hanging="420"/>
      </w:pPr>
    </w:lvl>
    <w:lvl w:ilvl="5" w:tentative="0">
      <w:start w:val="1"/>
      <w:numFmt w:val="lowerRoman"/>
      <w:lvlText w:val="%6."/>
      <w:lvlJc w:val="right"/>
      <w:pPr>
        <w:ind w:left="3652" w:hanging="420"/>
      </w:pPr>
    </w:lvl>
    <w:lvl w:ilvl="6" w:tentative="0">
      <w:start w:val="1"/>
      <w:numFmt w:val="decimal"/>
      <w:lvlText w:val="%7."/>
      <w:lvlJc w:val="left"/>
      <w:pPr>
        <w:ind w:left="4072" w:hanging="420"/>
      </w:pPr>
    </w:lvl>
    <w:lvl w:ilvl="7" w:tentative="0">
      <w:start w:val="1"/>
      <w:numFmt w:val="lowerLetter"/>
      <w:lvlText w:val="%8)"/>
      <w:lvlJc w:val="left"/>
      <w:pPr>
        <w:ind w:left="4492" w:hanging="420"/>
      </w:pPr>
    </w:lvl>
    <w:lvl w:ilvl="8" w:tentative="0">
      <w:start w:val="1"/>
      <w:numFmt w:val="lowerRoman"/>
      <w:lvlText w:val="%9."/>
      <w:lvlJc w:val="right"/>
      <w:pPr>
        <w:ind w:left="4912" w:hanging="420"/>
      </w:pPr>
    </w:lvl>
  </w:abstractNum>
  <w:abstractNum w:abstractNumId="5">
    <w:nsid w:val="30B84208"/>
    <w:multiLevelType w:val="multilevel"/>
    <w:tmpl w:val="30B842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5A59B0"/>
    <w:multiLevelType w:val="multilevel"/>
    <w:tmpl w:val="365A59B0"/>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7">
    <w:nsid w:val="396D5C3A"/>
    <w:multiLevelType w:val="multilevel"/>
    <w:tmpl w:val="396D5C3A"/>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19751C"/>
    <w:multiLevelType w:val="multilevel"/>
    <w:tmpl w:val="3B19751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997425"/>
    <w:multiLevelType w:val="multilevel"/>
    <w:tmpl w:val="409974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674329"/>
    <w:multiLevelType w:val="multilevel"/>
    <w:tmpl w:val="50674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6138"/>
    <w:multiLevelType w:val="multilevel"/>
    <w:tmpl w:val="5AAB6138"/>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4">
    <w:nsid w:val="5B615E8C"/>
    <w:multiLevelType w:val="multilevel"/>
    <w:tmpl w:val="5B615E8C"/>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6E8B1197"/>
    <w:multiLevelType w:val="multilevel"/>
    <w:tmpl w:val="6E8B1197"/>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6">
    <w:nsid w:val="75047303"/>
    <w:multiLevelType w:val="multilevel"/>
    <w:tmpl w:val="75047303"/>
    <w:lvl w:ilvl="0" w:tentative="0">
      <w:start w:val="1"/>
      <w:numFmt w:val="decimal"/>
      <w:lvlText w:val="%1"/>
      <w:lvlJc w:val="left"/>
      <w:pPr>
        <w:tabs>
          <w:tab w:val="left" w:pos="1077"/>
        </w:tabs>
        <w:ind w:left="1077" w:hanging="1077"/>
      </w:pPr>
      <w:rPr>
        <w:rFonts w:hint="eastAsia"/>
      </w:rPr>
    </w:lvl>
    <w:lvl w:ilvl="1" w:tentative="0">
      <w:start w:val="1"/>
      <w:numFmt w:val="decimal"/>
      <w:lvlText w:val="%1.%2"/>
      <w:lvlJc w:val="left"/>
      <w:pPr>
        <w:tabs>
          <w:tab w:val="left" w:pos="1077"/>
        </w:tabs>
        <w:ind w:left="1077" w:hanging="107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77303B58"/>
    <w:multiLevelType w:val="multilevel"/>
    <w:tmpl w:val="77303B58"/>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num w:numId="1">
    <w:abstractNumId w:val="8"/>
  </w:num>
  <w:num w:numId="2">
    <w:abstractNumId w:val="5"/>
  </w:num>
  <w:num w:numId="3">
    <w:abstractNumId w:val="10"/>
  </w:num>
  <w:num w:numId="4">
    <w:abstractNumId w:val="9"/>
  </w:num>
  <w:num w:numId="5">
    <w:abstractNumId w:val="6"/>
  </w:num>
  <w:num w:numId="6">
    <w:abstractNumId w:val="13"/>
  </w:num>
  <w:num w:numId="7">
    <w:abstractNumId w:val="3"/>
  </w:num>
  <w:num w:numId="8">
    <w:abstractNumId w:val="2"/>
  </w:num>
  <w:num w:numId="9">
    <w:abstractNumId w:val="17"/>
  </w:num>
  <w:num w:numId="10">
    <w:abstractNumId w:val="15"/>
  </w:num>
  <w:num w:numId="11">
    <w:abstractNumId w:val="14"/>
  </w:num>
  <w:num w:numId="12">
    <w:abstractNumId w:val="4"/>
  </w:num>
  <w:num w:numId="13">
    <w:abstractNumId w:val="16"/>
  </w:num>
  <w:num w:numId="14">
    <w:abstractNumId w:val="12"/>
  </w:num>
  <w:num w:numId="15">
    <w:abstractNumId w:val="1"/>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84"/>
    <w:rsid w:val="000064FD"/>
    <w:rsid w:val="00014886"/>
    <w:rsid w:val="00021791"/>
    <w:rsid w:val="0002420B"/>
    <w:rsid w:val="00024B32"/>
    <w:rsid w:val="0002749B"/>
    <w:rsid w:val="00032E55"/>
    <w:rsid w:val="000360C5"/>
    <w:rsid w:val="00036A02"/>
    <w:rsid w:val="00036ABD"/>
    <w:rsid w:val="00045687"/>
    <w:rsid w:val="000466B9"/>
    <w:rsid w:val="00051CD8"/>
    <w:rsid w:val="000545A6"/>
    <w:rsid w:val="00061794"/>
    <w:rsid w:val="000877D3"/>
    <w:rsid w:val="00090700"/>
    <w:rsid w:val="000910B5"/>
    <w:rsid w:val="000A1B43"/>
    <w:rsid w:val="000A77EC"/>
    <w:rsid w:val="000B2ECE"/>
    <w:rsid w:val="000D24F2"/>
    <w:rsid w:val="000D44DC"/>
    <w:rsid w:val="000D7CC3"/>
    <w:rsid w:val="000E0668"/>
    <w:rsid w:val="000E5225"/>
    <w:rsid w:val="000F0F18"/>
    <w:rsid w:val="000F14CF"/>
    <w:rsid w:val="000F19F9"/>
    <w:rsid w:val="000F6008"/>
    <w:rsid w:val="00116E9F"/>
    <w:rsid w:val="00117E1C"/>
    <w:rsid w:val="00122931"/>
    <w:rsid w:val="00132B46"/>
    <w:rsid w:val="001356FC"/>
    <w:rsid w:val="00140C76"/>
    <w:rsid w:val="001449F1"/>
    <w:rsid w:val="00150148"/>
    <w:rsid w:val="00155AC7"/>
    <w:rsid w:val="0015764A"/>
    <w:rsid w:val="00161B23"/>
    <w:rsid w:val="001657F0"/>
    <w:rsid w:val="00170AE9"/>
    <w:rsid w:val="0017154F"/>
    <w:rsid w:val="00172691"/>
    <w:rsid w:val="00172A27"/>
    <w:rsid w:val="001736E5"/>
    <w:rsid w:val="00173BDC"/>
    <w:rsid w:val="001807A4"/>
    <w:rsid w:val="00183A91"/>
    <w:rsid w:val="00187E31"/>
    <w:rsid w:val="00190A97"/>
    <w:rsid w:val="001A478E"/>
    <w:rsid w:val="001A720A"/>
    <w:rsid w:val="001B28C3"/>
    <w:rsid w:val="001B352F"/>
    <w:rsid w:val="001B37EE"/>
    <w:rsid w:val="001B42FF"/>
    <w:rsid w:val="001C3BE4"/>
    <w:rsid w:val="001D345D"/>
    <w:rsid w:val="001E28C5"/>
    <w:rsid w:val="001E2C0B"/>
    <w:rsid w:val="001F64A2"/>
    <w:rsid w:val="001F6B92"/>
    <w:rsid w:val="001F7419"/>
    <w:rsid w:val="00210701"/>
    <w:rsid w:val="002145D4"/>
    <w:rsid w:val="002164B3"/>
    <w:rsid w:val="00224FEB"/>
    <w:rsid w:val="00230EA9"/>
    <w:rsid w:val="002314E3"/>
    <w:rsid w:val="00235217"/>
    <w:rsid w:val="00240844"/>
    <w:rsid w:val="002475A0"/>
    <w:rsid w:val="00254724"/>
    <w:rsid w:val="00254AC3"/>
    <w:rsid w:val="00256B42"/>
    <w:rsid w:val="00261ED6"/>
    <w:rsid w:val="00263BCC"/>
    <w:rsid w:val="002647A9"/>
    <w:rsid w:val="00267FF2"/>
    <w:rsid w:val="0028131F"/>
    <w:rsid w:val="00283745"/>
    <w:rsid w:val="00284776"/>
    <w:rsid w:val="00285B68"/>
    <w:rsid w:val="00286A86"/>
    <w:rsid w:val="0029188A"/>
    <w:rsid w:val="002921C8"/>
    <w:rsid w:val="00292C54"/>
    <w:rsid w:val="002953B8"/>
    <w:rsid w:val="002B1649"/>
    <w:rsid w:val="002C644D"/>
    <w:rsid w:val="002D3747"/>
    <w:rsid w:val="002D5449"/>
    <w:rsid w:val="002E1DE9"/>
    <w:rsid w:val="002E2BFC"/>
    <w:rsid w:val="002E367E"/>
    <w:rsid w:val="002E41DD"/>
    <w:rsid w:val="002E762F"/>
    <w:rsid w:val="002F0728"/>
    <w:rsid w:val="003026FB"/>
    <w:rsid w:val="003028BB"/>
    <w:rsid w:val="00304711"/>
    <w:rsid w:val="0030500F"/>
    <w:rsid w:val="003146EF"/>
    <w:rsid w:val="00315889"/>
    <w:rsid w:val="00321174"/>
    <w:rsid w:val="00323BCD"/>
    <w:rsid w:val="0033158D"/>
    <w:rsid w:val="00335F69"/>
    <w:rsid w:val="00341DBA"/>
    <w:rsid w:val="0034523B"/>
    <w:rsid w:val="003477BC"/>
    <w:rsid w:val="0035229C"/>
    <w:rsid w:val="003530E1"/>
    <w:rsid w:val="00362543"/>
    <w:rsid w:val="00366430"/>
    <w:rsid w:val="00370506"/>
    <w:rsid w:val="0037384E"/>
    <w:rsid w:val="00376E5D"/>
    <w:rsid w:val="00376F15"/>
    <w:rsid w:val="00385A09"/>
    <w:rsid w:val="003A1957"/>
    <w:rsid w:val="003A7586"/>
    <w:rsid w:val="003B011B"/>
    <w:rsid w:val="003B2E5F"/>
    <w:rsid w:val="003B3C2D"/>
    <w:rsid w:val="003B5B75"/>
    <w:rsid w:val="003C6299"/>
    <w:rsid w:val="003D2717"/>
    <w:rsid w:val="003D42CA"/>
    <w:rsid w:val="003D7379"/>
    <w:rsid w:val="003D73AF"/>
    <w:rsid w:val="003D7E26"/>
    <w:rsid w:val="003E3951"/>
    <w:rsid w:val="003E4381"/>
    <w:rsid w:val="003E58A3"/>
    <w:rsid w:val="003E7706"/>
    <w:rsid w:val="003F2AD4"/>
    <w:rsid w:val="003F4D90"/>
    <w:rsid w:val="003F7332"/>
    <w:rsid w:val="00402CD3"/>
    <w:rsid w:val="00402EC9"/>
    <w:rsid w:val="00405E36"/>
    <w:rsid w:val="004065CA"/>
    <w:rsid w:val="0040775F"/>
    <w:rsid w:val="0041455B"/>
    <w:rsid w:val="0041555B"/>
    <w:rsid w:val="0043042B"/>
    <w:rsid w:val="004359C5"/>
    <w:rsid w:val="00445AE8"/>
    <w:rsid w:val="0044650A"/>
    <w:rsid w:val="004467FF"/>
    <w:rsid w:val="004525D2"/>
    <w:rsid w:val="0045346F"/>
    <w:rsid w:val="004547CA"/>
    <w:rsid w:val="004553F2"/>
    <w:rsid w:val="00465147"/>
    <w:rsid w:val="00470B99"/>
    <w:rsid w:val="00473845"/>
    <w:rsid w:val="00474734"/>
    <w:rsid w:val="00475291"/>
    <w:rsid w:val="00481A8C"/>
    <w:rsid w:val="0048376F"/>
    <w:rsid w:val="00485494"/>
    <w:rsid w:val="004914C5"/>
    <w:rsid w:val="004A012A"/>
    <w:rsid w:val="004A0EB4"/>
    <w:rsid w:val="004A7870"/>
    <w:rsid w:val="004B1642"/>
    <w:rsid w:val="004B59D8"/>
    <w:rsid w:val="004C1AE3"/>
    <w:rsid w:val="004C41AC"/>
    <w:rsid w:val="004D1631"/>
    <w:rsid w:val="004D53C3"/>
    <w:rsid w:val="004D6328"/>
    <w:rsid w:val="004D79AC"/>
    <w:rsid w:val="004E0CCF"/>
    <w:rsid w:val="004F0462"/>
    <w:rsid w:val="004F6577"/>
    <w:rsid w:val="00501DEC"/>
    <w:rsid w:val="005023D0"/>
    <w:rsid w:val="005032E0"/>
    <w:rsid w:val="00503B66"/>
    <w:rsid w:val="00503F84"/>
    <w:rsid w:val="00512853"/>
    <w:rsid w:val="0051758A"/>
    <w:rsid w:val="00527F7E"/>
    <w:rsid w:val="00530448"/>
    <w:rsid w:val="005356D7"/>
    <w:rsid w:val="005567FA"/>
    <w:rsid w:val="00557B4D"/>
    <w:rsid w:val="00557F7C"/>
    <w:rsid w:val="0056055B"/>
    <w:rsid w:val="00562B2F"/>
    <w:rsid w:val="00567F8D"/>
    <w:rsid w:val="00571DA4"/>
    <w:rsid w:val="0057225A"/>
    <w:rsid w:val="00572980"/>
    <w:rsid w:val="00572C7C"/>
    <w:rsid w:val="00574CFF"/>
    <w:rsid w:val="0058142C"/>
    <w:rsid w:val="005845A6"/>
    <w:rsid w:val="00584A9B"/>
    <w:rsid w:val="00585202"/>
    <w:rsid w:val="00587A18"/>
    <w:rsid w:val="00595777"/>
    <w:rsid w:val="00597881"/>
    <w:rsid w:val="005A073A"/>
    <w:rsid w:val="005B011A"/>
    <w:rsid w:val="005C4199"/>
    <w:rsid w:val="005D017A"/>
    <w:rsid w:val="005D32F6"/>
    <w:rsid w:val="005D36A5"/>
    <w:rsid w:val="005D60C8"/>
    <w:rsid w:val="005D671C"/>
    <w:rsid w:val="005D6FC5"/>
    <w:rsid w:val="005E44EB"/>
    <w:rsid w:val="005E74A5"/>
    <w:rsid w:val="005F0A6A"/>
    <w:rsid w:val="005F1795"/>
    <w:rsid w:val="005F651A"/>
    <w:rsid w:val="005F766E"/>
    <w:rsid w:val="005F7C90"/>
    <w:rsid w:val="00607E35"/>
    <w:rsid w:val="0061430F"/>
    <w:rsid w:val="006154D3"/>
    <w:rsid w:val="00624FF4"/>
    <w:rsid w:val="006301AB"/>
    <w:rsid w:val="0063173C"/>
    <w:rsid w:val="00633CED"/>
    <w:rsid w:val="00635D6B"/>
    <w:rsid w:val="0064028A"/>
    <w:rsid w:val="00645F95"/>
    <w:rsid w:val="00646C38"/>
    <w:rsid w:val="006528C5"/>
    <w:rsid w:val="00657773"/>
    <w:rsid w:val="006616CF"/>
    <w:rsid w:val="00661BFE"/>
    <w:rsid w:val="00663896"/>
    <w:rsid w:val="00663A13"/>
    <w:rsid w:val="00663E62"/>
    <w:rsid w:val="00670196"/>
    <w:rsid w:val="0068272A"/>
    <w:rsid w:val="006847C3"/>
    <w:rsid w:val="00693047"/>
    <w:rsid w:val="006A0E65"/>
    <w:rsid w:val="006B577B"/>
    <w:rsid w:val="006B6AF5"/>
    <w:rsid w:val="006C27AD"/>
    <w:rsid w:val="006D0422"/>
    <w:rsid w:val="006D1382"/>
    <w:rsid w:val="006D1C14"/>
    <w:rsid w:val="006D232D"/>
    <w:rsid w:val="006D64D7"/>
    <w:rsid w:val="006E0699"/>
    <w:rsid w:val="006E2FD9"/>
    <w:rsid w:val="006E577A"/>
    <w:rsid w:val="006F07C3"/>
    <w:rsid w:val="006F3CBF"/>
    <w:rsid w:val="006F3E30"/>
    <w:rsid w:val="006F5A25"/>
    <w:rsid w:val="00706A0A"/>
    <w:rsid w:val="00706FF6"/>
    <w:rsid w:val="007137B9"/>
    <w:rsid w:val="00725E09"/>
    <w:rsid w:val="00730C20"/>
    <w:rsid w:val="00734699"/>
    <w:rsid w:val="00740F39"/>
    <w:rsid w:val="0074396F"/>
    <w:rsid w:val="00744393"/>
    <w:rsid w:val="00747FC1"/>
    <w:rsid w:val="00755DC7"/>
    <w:rsid w:val="0076061D"/>
    <w:rsid w:val="00761467"/>
    <w:rsid w:val="00762BF0"/>
    <w:rsid w:val="0076345B"/>
    <w:rsid w:val="0076507C"/>
    <w:rsid w:val="00774D25"/>
    <w:rsid w:val="00787114"/>
    <w:rsid w:val="00787A20"/>
    <w:rsid w:val="00792AB3"/>
    <w:rsid w:val="00795054"/>
    <w:rsid w:val="007A405D"/>
    <w:rsid w:val="007A6F33"/>
    <w:rsid w:val="007B60FE"/>
    <w:rsid w:val="007B7AF8"/>
    <w:rsid w:val="007C434F"/>
    <w:rsid w:val="007F08AB"/>
    <w:rsid w:val="007F1258"/>
    <w:rsid w:val="007F2688"/>
    <w:rsid w:val="007F26F7"/>
    <w:rsid w:val="00801A79"/>
    <w:rsid w:val="00806CF8"/>
    <w:rsid w:val="008116C7"/>
    <w:rsid w:val="00815537"/>
    <w:rsid w:val="008175F7"/>
    <w:rsid w:val="008218D0"/>
    <w:rsid w:val="008222C2"/>
    <w:rsid w:val="00824286"/>
    <w:rsid w:val="00824A82"/>
    <w:rsid w:val="00826C5B"/>
    <w:rsid w:val="0084251C"/>
    <w:rsid w:val="00843D98"/>
    <w:rsid w:val="008445DA"/>
    <w:rsid w:val="00845EAD"/>
    <w:rsid w:val="00847D2D"/>
    <w:rsid w:val="008514F0"/>
    <w:rsid w:val="00851861"/>
    <w:rsid w:val="00853476"/>
    <w:rsid w:val="00855864"/>
    <w:rsid w:val="00865D98"/>
    <w:rsid w:val="00870DD3"/>
    <w:rsid w:val="0087299B"/>
    <w:rsid w:val="0087663D"/>
    <w:rsid w:val="0088489A"/>
    <w:rsid w:val="008906D3"/>
    <w:rsid w:val="008A4F57"/>
    <w:rsid w:val="008A61E2"/>
    <w:rsid w:val="008B2CDA"/>
    <w:rsid w:val="008B65A2"/>
    <w:rsid w:val="008B7B9D"/>
    <w:rsid w:val="008C566E"/>
    <w:rsid w:val="008D1218"/>
    <w:rsid w:val="008D3815"/>
    <w:rsid w:val="008F3617"/>
    <w:rsid w:val="00901867"/>
    <w:rsid w:val="00912594"/>
    <w:rsid w:val="00916661"/>
    <w:rsid w:val="009172F0"/>
    <w:rsid w:val="009202DF"/>
    <w:rsid w:val="009306D6"/>
    <w:rsid w:val="00953299"/>
    <w:rsid w:val="00954F4C"/>
    <w:rsid w:val="009609A9"/>
    <w:rsid w:val="00965F51"/>
    <w:rsid w:val="0097094A"/>
    <w:rsid w:val="009A124F"/>
    <w:rsid w:val="009B4589"/>
    <w:rsid w:val="009B7283"/>
    <w:rsid w:val="009C156F"/>
    <w:rsid w:val="009C23F4"/>
    <w:rsid w:val="009C390D"/>
    <w:rsid w:val="009D01BE"/>
    <w:rsid w:val="009D04B9"/>
    <w:rsid w:val="009D349B"/>
    <w:rsid w:val="009E2B37"/>
    <w:rsid w:val="009E7388"/>
    <w:rsid w:val="009F0F30"/>
    <w:rsid w:val="009F2521"/>
    <w:rsid w:val="009F78D6"/>
    <w:rsid w:val="00A06D14"/>
    <w:rsid w:val="00A07089"/>
    <w:rsid w:val="00A113B5"/>
    <w:rsid w:val="00A12699"/>
    <w:rsid w:val="00A14C9F"/>
    <w:rsid w:val="00A3737F"/>
    <w:rsid w:val="00A4308A"/>
    <w:rsid w:val="00A43B9C"/>
    <w:rsid w:val="00A531B7"/>
    <w:rsid w:val="00A55A30"/>
    <w:rsid w:val="00A55C35"/>
    <w:rsid w:val="00A6253E"/>
    <w:rsid w:val="00A70EEC"/>
    <w:rsid w:val="00A75654"/>
    <w:rsid w:val="00A80B8C"/>
    <w:rsid w:val="00A84F16"/>
    <w:rsid w:val="00A86FCA"/>
    <w:rsid w:val="00A904C3"/>
    <w:rsid w:val="00A91328"/>
    <w:rsid w:val="00AA19B1"/>
    <w:rsid w:val="00AA36C9"/>
    <w:rsid w:val="00AB20C1"/>
    <w:rsid w:val="00AC4125"/>
    <w:rsid w:val="00AC519C"/>
    <w:rsid w:val="00AC5837"/>
    <w:rsid w:val="00AC627B"/>
    <w:rsid w:val="00AC656D"/>
    <w:rsid w:val="00AD5C18"/>
    <w:rsid w:val="00AE5E31"/>
    <w:rsid w:val="00AF66A3"/>
    <w:rsid w:val="00B1356E"/>
    <w:rsid w:val="00B16EA8"/>
    <w:rsid w:val="00B25B25"/>
    <w:rsid w:val="00B368BA"/>
    <w:rsid w:val="00B40FD3"/>
    <w:rsid w:val="00B41CB9"/>
    <w:rsid w:val="00B454DE"/>
    <w:rsid w:val="00B46CCC"/>
    <w:rsid w:val="00B54455"/>
    <w:rsid w:val="00B5767D"/>
    <w:rsid w:val="00B6070D"/>
    <w:rsid w:val="00B61D54"/>
    <w:rsid w:val="00B661A9"/>
    <w:rsid w:val="00B66CF2"/>
    <w:rsid w:val="00B673AC"/>
    <w:rsid w:val="00B70947"/>
    <w:rsid w:val="00B71A20"/>
    <w:rsid w:val="00B735A7"/>
    <w:rsid w:val="00B7531E"/>
    <w:rsid w:val="00B95180"/>
    <w:rsid w:val="00B9545A"/>
    <w:rsid w:val="00B95F53"/>
    <w:rsid w:val="00BA2B41"/>
    <w:rsid w:val="00BA77A1"/>
    <w:rsid w:val="00BB20C4"/>
    <w:rsid w:val="00BB5E6F"/>
    <w:rsid w:val="00BC12E6"/>
    <w:rsid w:val="00BC1DC7"/>
    <w:rsid w:val="00BC369B"/>
    <w:rsid w:val="00BC47BB"/>
    <w:rsid w:val="00BD5210"/>
    <w:rsid w:val="00BD5734"/>
    <w:rsid w:val="00BD6718"/>
    <w:rsid w:val="00BE191E"/>
    <w:rsid w:val="00BE50D2"/>
    <w:rsid w:val="00BE7B7B"/>
    <w:rsid w:val="00BF23A6"/>
    <w:rsid w:val="00BF3032"/>
    <w:rsid w:val="00C00AC9"/>
    <w:rsid w:val="00C015E0"/>
    <w:rsid w:val="00C02FB3"/>
    <w:rsid w:val="00C034D2"/>
    <w:rsid w:val="00C06974"/>
    <w:rsid w:val="00C1279D"/>
    <w:rsid w:val="00C16D85"/>
    <w:rsid w:val="00C16F94"/>
    <w:rsid w:val="00C25007"/>
    <w:rsid w:val="00C25C7F"/>
    <w:rsid w:val="00C33517"/>
    <w:rsid w:val="00C368F3"/>
    <w:rsid w:val="00C404F6"/>
    <w:rsid w:val="00C4298C"/>
    <w:rsid w:val="00C56397"/>
    <w:rsid w:val="00C574A0"/>
    <w:rsid w:val="00C64A9A"/>
    <w:rsid w:val="00C650D2"/>
    <w:rsid w:val="00C651B7"/>
    <w:rsid w:val="00C76996"/>
    <w:rsid w:val="00C80C92"/>
    <w:rsid w:val="00C96CCC"/>
    <w:rsid w:val="00CA01D6"/>
    <w:rsid w:val="00CA1752"/>
    <w:rsid w:val="00CA557C"/>
    <w:rsid w:val="00CB1791"/>
    <w:rsid w:val="00CB3D19"/>
    <w:rsid w:val="00CC6211"/>
    <w:rsid w:val="00CC6855"/>
    <w:rsid w:val="00CC6FA7"/>
    <w:rsid w:val="00CD18AA"/>
    <w:rsid w:val="00CD21DE"/>
    <w:rsid w:val="00CD5D4B"/>
    <w:rsid w:val="00CD7187"/>
    <w:rsid w:val="00CE1572"/>
    <w:rsid w:val="00CE5BE8"/>
    <w:rsid w:val="00CE798B"/>
    <w:rsid w:val="00CF22AE"/>
    <w:rsid w:val="00CF3913"/>
    <w:rsid w:val="00CF453B"/>
    <w:rsid w:val="00CF70C4"/>
    <w:rsid w:val="00CF73BE"/>
    <w:rsid w:val="00D06A07"/>
    <w:rsid w:val="00D076D6"/>
    <w:rsid w:val="00D10026"/>
    <w:rsid w:val="00D146BA"/>
    <w:rsid w:val="00D17D59"/>
    <w:rsid w:val="00D20508"/>
    <w:rsid w:val="00D21540"/>
    <w:rsid w:val="00D22831"/>
    <w:rsid w:val="00D22CA2"/>
    <w:rsid w:val="00D24418"/>
    <w:rsid w:val="00D249CD"/>
    <w:rsid w:val="00D27CA4"/>
    <w:rsid w:val="00D332EE"/>
    <w:rsid w:val="00D41F14"/>
    <w:rsid w:val="00D46EA1"/>
    <w:rsid w:val="00D50CA3"/>
    <w:rsid w:val="00D61A90"/>
    <w:rsid w:val="00D62952"/>
    <w:rsid w:val="00D62E75"/>
    <w:rsid w:val="00D7120A"/>
    <w:rsid w:val="00D7355D"/>
    <w:rsid w:val="00D91613"/>
    <w:rsid w:val="00D92AE3"/>
    <w:rsid w:val="00D932A5"/>
    <w:rsid w:val="00D94122"/>
    <w:rsid w:val="00D96C61"/>
    <w:rsid w:val="00DA075A"/>
    <w:rsid w:val="00DA172F"/>
    <w:rsid w:val="00DA2AC8"/>
    <w:rsid w:val="00DA2DF9"/>
    <w:rsid w:val="00DA3654"/>
    <w:rsid w:val="00DA6739"/>
    <w:rsid w:val="00DB13AE"/>
    <w:rsid w:val="00DC2062"/>
    <w:rsid w:val="00DC5D25"/>
    <w:rsid w:val="00DD0085"/>
    <w:rsid w:val="00DD4785"/>
    <w:rsid w:val="00DE0050"/>
    <w:rsid w:val="00DE186A"/>
    <w:rsid w:val="00DE29CF"/>
    <w:rsid w:val="00DE34F5"/>
    <w:rsid w:val="00DE391F"/>
    <w:rsid w:val="00DE3C1C"/>
    <w:rsid w:val="00DF432E"/>
    <w:rsid w:val="00E056C2"/>
    <w:rsid w:val="00E07992"/>
    <w:rsid w:val="00E135BD"/>
    <w:rsid w:val="00E13BA0"/>
    <w:rsid w:val="00E161EE"/>
    <w:rsid w:val="00E20B60"/>
    <w:rsid w:val="00E26F83"/>
    <w:rsid w:val="00E311BA"/>
    <w:rsid w:val="00E33153"/>
    <w:rsid w:val="00E352E0"/>
    <w:rsid w:val="00E40F13"/>
    <w:rsid w:val="00E40FC9"/>
    <w:rsid w:val="00E4541C"/>
    <w:rsid w:val="00E51BA1"/>
    <w:rsid w:val="00E54481"/>
    <w:rsid w:val="00E64685"/>
    <w:rsid w:val="00E86299"/>
    <w:rsid w:val="00E87CE8"/>
    <w:rsid w:val="00E90103"/>
    <w:rsid w:val="00E96363"/>
    <w:rsid w:val="00EA11E6"/>
    <w:rsid w:val="00EB0E51"/>
    <w:rsid w:val="00EC3C29"/>
    <w:rsid w:val="00EC5B6A"/>
    <w:rsid w:val="00ED068C"/>
    <w:rsid w:val="00ED0A15"/>
    <w:rsid w:val="00EF0832"/>
    <w:rsid w:val="00EF34F8"/>
    <w:rsid w:val="00F01449"/>
    <w:rsid w:val="00F06583"/>
    <w:rsid w:val="00F13E4D"/>
    <w:rsid w:val="00F207A1"/>
    <w:rsid w:val="00F2127B"/>
    <w:rsid w:val="00F22778"/>
    <w:rsid w:val="00F22969"/>
    <w:rsid w:val="00F22E3C"/>
    <w:rsid w:val="00F356EC"/>
    <w:rsid w:val="00F37220"/>
    <w:rsid w:val="00F42D54"/>
    <w:rsid w:val="00F439E4"/>
    <w:rsid w:val="00F4566F"/>
    <w:rsid w:val="00F51C6D"/>
    <w:rsid w:val="00F547FF"/>
    <w:rsid w:val="00F54D02"/>
    <w:rsid w:val="00F612A4"/>
    <w:rsid w:val="00F70A5E"/>
    <w:rsid w:val="00F72804"/>
    <w:rsid w:val="00F72D0F"/>
    <w:rsid w:val="00F74DC8"/>
    <w:rsid w:val="00F77D36"/>
    <w:rsid w:val="00F90AD8"/>
    <w:rsid w:val="00F90F19"/>
    <w:rsid w:val="00F9435F"/>
    <w:rsid w:val="00F9508E"/>
    <w:rsid w:val="00FA361C"/>
    <w:rsid w:val="00FA7B40"/>
    <w:rsid w:val="00FB284D"/>
    <w:rsid w:val="00FB2CE5"/>
    <w:rsid w:val="00FC1180"/>
    <w:rsid w:val="00FC2B0A"/>
    <w:rsid w:val="00FC43AF"/>
    <w:rsid w:val="00FD13E9"/>
    <w:rsid w:val="00FD144A"/>
    <w:rsid w:val="00FD7A7D"/>
    <w:rsid w:val="00FE40FD"/>
    <w:rsid w:val="00FE6AA0"/>
    <w:rsid w:val="00FF0416"/>
    <w:rsid w:val="00FF1F73"/>
    <w:rsid w:val="00FF556C"/>
    <w:rsid w:val="015E1842"/>
    <w:rsid w:val="016C25C7"/>
    <w:rsid w:val="01C11962"/>
    <w:rsid w:val="01DB2C70"/>
    <w:rsid w:val="01FB5981"/>
    <w:rsid w:val="02022B34"/>
    <w:rsid w:val="02210625"/>
    <w:rsid w:val="025B633C"/>
    <w:rsid w:val="02E66AE4"/>
    <w:rsid w:val="03F418A9"/>
    <w:rsid w:val="04A54EA9"/>
    <w:rsid w:val="04C55C3E"/>
    <w:rsid w:val="054A5E82"/>
    <w:rsid w:val="05914119"/>
    <w:rsid w:val="05984AD4"/>
    <w:rsid w:val="05E77556"/>
    <w:rsid w:val="06CB0B96"/>
    <w:rsid w:val="075D3DD1"/>
    <w:rsid w:val="08B90EB7"/>
    <w:rsid w:val="08C4413A"/>
    <w:rsid w:val="09CB7265"/>
    <w:rsid w:val="09EE6CA0"/>
    <w:rsid w:val="0BEF00E2"/>
    <w:rsid w:val="0C1564DE"/>
    <w:rsid w:val="0CB0685E"/>
    <w:rsid w:val="0CBB1CC9"/>
    <w:rsid w:val="0CC63A71"/>
    <w:rsid w:val="0CD27D85"/>
    <w:rsid w:val="0D492E9A"/>
    <w:rsid w:val="0DED02B5"/>
    <w:rsid w:val="0E8970F5"/>
    <w:rsid w:val="0EED14A4"/>
    <w:rsid w:val="0F614886"/>
    <w:rsid w:val="0F6621B7"/>
    <w:rsid w:val="0F8E3E7A"/>
    <w:rsid w:val="0FC348F6"/>
    <w:rsid w:val="109035CD"/>
    <w:rsid w:val="1103254A"/>
    <w:rsid w:val="11243442"/>
    <w:rsid w:val="11CF5F77"/>
    <w:rsid w:val="11E76431"/>
    <w:rsid w:val="1216178E"/>
    <w:rsid w:val="12213FA8"/>
    <w:rsid w:val="1225251C"/>
    <w:rsid w:val="12CE5940"/>
    <w:rsid w:val="13390624"/>
    <w:rsid w:val="139B4BA1"/>
    <w:rsid w:val="13B60C45"/>
    <w:rsid w:val="147950F6"/>
    <w:rsid w:val="14882A01"/>
    <w:rsid w:val="148D59EC"/>
    <w:rsid w:val="15167321"/>
    <w:rsid w:val="153C0730"/>
    <w:rsid w:val="15EF09E0"/>
    <w:rsid w:val="16142F4A"/>
    <w:rsid w:val="163D3CF0"/>
    <w:rsid w:val="16544211"/>
    <w:rsid w:val="16CE4D95"/>
    <w:rsid w:val="17193671"/>
    <w:rsid w:val="173B68A8"/>
    <w:rsid w:val="17CC2250"/>
    <w:rsid w:val="17D6045E"/>
    <w:rsid w:val="18191C1A"/>
    <w:rsid w:val="18674BEA"/>
    <w:rsid w:val="18B23B4B"/>
    <w:rsid w:val="18C76185"/>
    <w:rsid w:val="197679BA"/>
    <w:rsid w:val="1A721F7A"/>
    <w:rsid w:val="1A92107F"/>
    <w:rsid w:val="1A926303"/>
    <w:rsid w:val="1ABB7036"/>
    <w:rsid w:val="1BED1B2F"/>
    <w:rsid w:val="1C993C27"/>
    <w:rsid w:val="1DAB5082"/>
    <w:rsid w:val="1DD100D0"/>
    <w:rsid w:val="1E294B47"/>
    <w:rsid w:val="1E4E240A"/>
    <w:rsid w:val="1E7772C1"/>
    <w:rsid w:val="1EA3032D"/>
    <w:rsid w:val="1FD830C9"/>
    <w:rsid w:val="204F6ABB"/>
    <w:rsid w:val="207B5116"/>
    <w:rsid w:val="20E23B37"/>
    <w:rsid w:val="21496422"/>
    <w:rsid w:val="21D46375"/>
    <w:rsid w:val="22515B77"/>
    <w:rsid w:val="22B2303C"/>
    <w:rsid w:val="230A785F"/>
    <w:rsid w:val="23706DFA"/>
    <w:rsid w:val="23F35F2B"/>
    <w:rsid w:val="2495308C"/>
    <w:rsid w:val="24AA4B04"/>
    <w:rsid w:val="24BE0DAC"/>
    <w:rsid w:val="24FE3ADA"/>
    <w:rsid w:val="252E2C1E"/>
    <w:rsid w:val="25A736E1"/>
    <w:rsid w:val="25C935E9"/>
    <w:rsid w:val="262D7099"/>
    <w:rsid w:val="263F58E3"/>
    <w:rsid w:val="2829083D"/>
    <w:rsid w:val="29256442"/>
    <w:rsid w:val="29346D40"/>
    <w:rsid w:val="2966725D"/>
    <w:rsid w:val="297206A8"/>
    <w:rsid w:val="2B327826"/>
    <w:rsid w:val="2BEE432F"/>
    <w:rsid w:val="2C00277A"/>
    <w:rsid w:val="2CB86D8A"/>
    <w:rsid w:val="2D816A6E"/>
    <w:rsid w:val="2DB2389D"/>
    <w:rsid w:val="2DBE4734"/>
    <w:rsid w:val="2E512E88"/>
    <w:rsid w:val="2E7858E0"/>
    <w:rsid w:val="2EC9229A"/>
    <w:rsid w:val="2ECD0DFE"/>
    <w:rsid w:val="2ECF4CA5"/>
    <w:rsid w:val="2F287757"/>
    <w:rsid w:val="2F2D509D"/>
    <w:rsid w:val="30523374"/>
    <w:rsid w:val="30775A6B"/>
    <w:rsid w:val="308066F7"/>
    <w:rsid w:val="310D3A9D"/>
    <w:rsid w:val="31347C3B"/>
    <w:rsid w:val="318F2878"/>
    <w:rsid w:val="31EC54B1"/>
    <w:rsid w:val="32117A21"/>
    <w:rsid w:val="32400B72"/>
    <w:rsid w:val="327C4C46"/>
    <w:rsid w:val="32B31C95"/>
    <w:rsid w:val="33CF0220"/>
    <w:rsid w:val="33D53A3F"/>
    <w:rsid w:val="352B6AFF"/>
    <w:rsid w:val="356137EB"/>
    <w:rsid w:val="35870BE8"/>
    <w:rsid w:val="35A2506B"/>
    <w:rsid w:val="35AA236B"/>
    <w:rsid w:val="35D71179"/>
    <w:rsid w:val="360A4CDA"/>
    <w:rsid w:val="365C7002"/>
    <w:rsid w:val="369F695F"/>
    <w:rsid w:val="36E57DBE"/>
    <w:rsid w:val="370A236E"/>
    <w:rsid w:val="371B0FE8"/>
    <w:rsid w:val="383E746D"/>
    <w:rsid w:val="390600CC"/>
    <w:rsid w:val="39DE024E"/>
    <w:rsid w:val="3ABB2C9B"/>
    <w:rsid w:val="3AFE1FE4"/>
    <w:rsid w:val="3C252E1A"/>
    <w:rsid w:val="3C4A619D"/>
    <w:rsid w:val="3CAF21B5"/>
    <w:rsid w:val="3D4462AD"/>
    <w:rsid w:val="3D5458EA"/>
    <w:rsid w:val="3DC97ABD"/>
    <w:rsid w:val="3DF220C8"/>
    <w:rsid w:val="3E3254E5"/>
    <w:rsid w:val="3F76595D"/>
    <w:rsid w:val="3FD15FB3"/>
    <w:rsid w:val="408E714D"/>
    <w:rsid w:val="40A6333C"/>
    <w:rsid w:val="40BF2F13"/>
    <w:rsid w:val="414E378C"/>
    <w:rsid w:val="41636DBB"/>
    <w:rsid w:val="41710552"/>
    <w:rsid w:val="417355D1"/>
    <w:rsid w:val="419B3FAC"/>
    <w:rsid w:val="434002AA"/>
    <w:rsid w:val="43707FA6"/>
    <w:rsid w:val="43EB78AE"/>
    <w:rsid w:val="4434181A"/>
    <w:rsid w:val="44845D06"/>
    <w:rsid w:val="46592B17"/>
    <w:rsid w:val="46911BAA"/>
    <w:rsid w:val="47417E82"/>
    <w:rsid w:val="4773177B"/>
    <w:rsid w:val="47977E9A"/>
    <w:rsid w:val="479B40C3"/>
    <w:rsid w:val="47D33671"/>
    <w:rsid w:val="47E84FBF"/>
    <w:rsid w:val="47FC7443"/>
    <w:rsid w:val="48042368"/>
    <w:rsid w:val="485F5610"/>
    <w:rsid w:val="48B001DF"/>
    <w:rsid w:val="48CF4605"/>
    <w:rsid w:val="48FE0169"/>
    <w:rsid w:val="4A236F35"/>
    <w:rsid w:val="4A5D78A0"/>
    <w:rsid w:val="4A922C20"/>
    <w:rsid w:val="4B081E7E"/>
    <w:rsid w:val="4BE82694"/>
    <w:rsid w:val="4BF36495"/>
    <w:rsid w:val="4BFA5AE7"/>
    <w:rsid w:val="4C9A6388"/>
    <w:rsid w:val="4D4F7D5E"/>
    <w:rsid w:val="4D6C2D05"/>
    <w:rsid w:val="4DA231F0"/>
    <w:rsid w:val="4E235986"/>
    <w:rsid w:val="4E6D2BB6"/>
    <w:rsid w:val="4EAF79B8"/>
    <w:rsid w:val="4ED1389E"/>
    <w:rsid w:val="4F124E97"/>
    <w:rsid w:val="4F745C45"/>
    <w:rsid w:val="4FCB0696"/>
    <w:rsid w:val="4FD41DEF"/>
    <w:rsid w:val="4FE355E6"/>
    <w:rsid w:val="4FF21938"/>
    <w:rsid w:val="5011414B"/>
    <w:rsid w:val="508C61A1"/>
    <w:rsid w:val="513B5C76"/>
    <w:rsid w:val="52096481"/>
    <w:rsid w:val="52654C76"/>
    <w:rsid w:val="52A6300A"/>
    <w:rsid w:val="52E178E0"/>
    <w:rsid w:val="5394276A"/>
    <w:rsid w:val="53A37386"/>
    <w:rsid w:val="54786441"/>
    <w:rsid w:val="54A37382"/>
    <w:rsid w:val="54BB3E9C"/>
    <w:rsid w:val="54BD10F9"/>
    <w:rsid w:val="56773088"/>
    <w:rsid w:val="56872A22"/>
    <w:rsid w:val="569A47A8"/>
    <w:rsid w:val="57014CA6"/>
    <w:rsid w:val="57312E3A"/>
    <w:rsid w:val="574B60FA"/>
    <w:rsid w:val="579748CE"/>
    <w:rsid w:val="57A34451"/>
    <w:rsid w:val="57C11CAC"/>
    <w:rsid w:val="581606A4"/>
    <w:rsid w:val="58C61E79"/>
    <w:rsid w:val="59B12978"/>
    <w:rsid w:val="59CF042F"/>
    <w:rsid w:val="5A3431DE"/>
    <w:rsid w:val="5A3F302F"/>
    <w:rsid w:val="5AA03808"/>
    <w:rsid w:val="5AAB5107"/>
    <w:rsid w:val="5B730CA8"/>
    <w:rsid w:val="5B7761B0"/>
    <w:rsid w:val="5BF3322A"/>
    <w:rsid w:val="5BF8126D"/>
    <w:rsid w:val="5C1A0834"/>
    <w:rsid w:val="5C65291D"/>
    <w:rsid w:val="5C942044"/>
    <w:rsid w:val="5CBF07AB"/>
    <w:rsid w:val="5CCE2A56"/>
    <w:rsid w:val="5D383310"/>
    <w:rsid w:val="5D452F43"/>
    <w:rsid w:val="5D97175F"/>
    <w:rsid w:val="5DB13A08"/>
    <w:rsid w:val="5DC002AB"/>
    <w:rsid w:val="5DDA11DB"/>
    <w:rsid w:val="5EBB7D14"/>
    <w:rsid w:val="5F107C3F"/>
    <w:rsid w:val="5F3C5A9F"/>
    <w:rsid w:val="5F43024C"/>
    <w:rsid w:val="5F790C56"/>
    <w:rsid w:val="5F811D37"/>
    <w:rsid w:val="5FA1741F"/>
    <w:rsid w:val="60A96B43"/>
    <w:rsid w:val="60C26423"/>
    <w:rsid w:val="60EC6DF3"/>
    <w:rsid w:val="60EF5890"/>
    <w:rsid w:val="617E52E2"/>
    <w:rsid w:val="61B800DA"/>
    <w:rsid w:val="628F69C5"/>
    <w:rsid w:val="62993A7C"/>
    <w:rsid w:val="62FD36ED"/>
    <w:rsid w:val="63276B7D"/>
    <w:rsid w:val="637555FC"/>
    <w:rsid w:val="645417EB"/>
    <w:rsid w:val="64AB5CF7"/>
    <w:rsid w:val="65160B9B"/>
    <w:rsid w:val="65165661"/>
    <w:rsid w:val="65B42C46"/>
    <w:rsid w:val="666E4E7C"/>
    <w:rsid w:val="67DF0A57"/>
    <w:rsid w:val="68186BC2"/>
    <w:rsid w:val="68AA3610"/>
    <w:rsid w:val="68CE54C2"/>
    <w:rsid w:val="69274557"/>
    <w:rsid w:val="69A81316"/>
    <w:rsid w:val="6A682879"/>
    <w:rsid w:val="6A696279"/>
    <w:rsid w:val="6A8955C1"/>
    <w:rsid w:val="6AB94177"/>
    <w:rsid w:val="6BA35B72"/>
    <w:rsid w:val="6BCB694A"/>
    <w:rsid w:val="6D2B74B3"/>
    <w:rsid w:val="6DF23D56"/>
    <w:rsid w:val="6E343FC5"/>
    <w:rsid w:val="6E7F019A"/>
    <w:rsid w:val="6E8505CD"/>
    <w:rsid w:val="6EE45779"/>
    <w:rsid w:val="6EEC0419"/>
    <w:rsid w:val="6F5F366D"/>
    <w:rsid w:val="6FB414F9"/>
    <w:rsid w:val="6FE76383"/>
    <w:rsid w:val="7020137A"/>
    <w:rsid w:val="707117B7"/>
    <w:rsid w:val="70DB5380"/>
    <w:rsid w:val="70E214EE"/>
    <w:rsid w:val="71484198"/>
    <w:rsid w:val="71484277"/>
    <w:rsid w:val="717763E0"/>
    <w:rsid w:val="719F67A9"/>
    <w:rsid w:val="71A039CA"/>
    <w:rsid w:val="72720DA8"/>
    <w:rsid w:val="728237ED"/>
    <w:rsid w:val="72D964EB"/>
    <w:rsid w:val="751A48A4"/>
    <w:rsid w:val="752D2605"/>
    <w:rsid w:val="75C36266"/>
    <w:rsid w:val="76037B74"/>
    <w:rsid w:val="78650DEF"/>
    <w:rsid w:val="788E737B"/>
    <w:rsid w:val="78D55489"/>
    <w:rsid w:val="78D93E53"/>
    <w:rsid w:val="79D305F5"/>
    <w:rsid w:val="7A3331F8"/>
    <w:rsid w:val="7AF156D3"/>
    <w:rsid w:val="7B793006"/>
    <w:rsid w:val="7BD35234"/>
    <w:rsid w:val="7C10732E"/>
    <w:rsid w:val="7C4161AE"/>
    <w:rsid w:val="7CCE3A4D"/>
    <w:rsid w:val="7D4A641F"/>
    <w:rsid w:val="7D994AF3"/>
    <w:rsid w:val="7DB6029F"/>
    <w:rsid w:val="7DF72A58"/>
    <w:rsid w:val="7E2A21C6"/>
    <w:rsid w:val="7E2D2649"/>
    <w:rsid w:val="7EE965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qFormat="1" w:unhideWhenUsed="0"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qFormat="1" w:unhideWhenUsed="0" w:uiPriority="99" w:semiHidden="0" w:name="HTML Preformatted"/>
    <w:lsdException w:uiPriority="99" w:name="HTML Sample"/>
    <w:lsdException w:qFormat="1" w:unhideWhenUsed="0" w:uiPriority="0" w:semiHidden="0"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0"/>
    <w:qFormat/>
    <w:uiPriority w:val="0"/>
    <w:pPr>
      <w:keepNext/>
      <w:keepLines/>
      <w:tabs>
        <w:tab w:val="left" w:pos="1440"/>
      </w:tabs>
      <w:spacing w:before="340" w:after="330" w:line="576" w:lineRule="auto"/>
      <w:ind w:left="432" w:hanging="432"/>
      <w:outlineLvl w:val="0"/>
    </w:pPr>
    <w:rPr>
      <w:b/>
      <w:bCs/>
      <w:kern w:val="44"/>
      <w:sz w:val="44"/>
      <w:szCs w:val="44"/>
    </w:rPr>
  </w:style>
  <w:style w:type="paragraph" w:styleId="3">
    <w:name w:val="heading 2"/>
    <w:basedOn w:val="1"/>
    <w:next w:val="1"/>
    <w:link w:val="125"/>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189"/>
    <w:qFormat/>
    <w:uiPriority w:val="0"/>
    <w:pPr>
      <w:keepNext/>
      <w:keepLines/>
      <w:spacing w:before="260" w:after="260" w:line="416" w:lineRule="auto"/>
      <w:outlineLvl w:val="2"/>
    </w:pPr>
    <w:rPr>
      <w:b/>
      <w:bCs/>
      <w:sz w:val="32"/>
      <w:szCs w:val="32"/>
    </w:rPr>
  </w:style>
  <w:style w:type="paragraph" w:styleId="5">
    <w:name w:val="heading 4"/>
    <w:basedOn w:val="1"/>
    <w:next w:val="1"/>
    <w:link w:val="115"/>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45"/>
    <w:qFormat/>
    <w:uiPriority w:val="0"/>
    <w:pPr>
      <w:keepNext/>
      <w:keepLines/>
      <w:tabs>
        <w:tab w:val="left" w:pos="1008"/>
      </w:tabs>
      <w:spacing w:before="280" w:after="290" w:line="372" w:lineRule="auto"/>
      <w:ind w:left="1008" w:hanging="1008"/>
      <w:outlineLvl w:val="4"/>
    </w:pPr>
    <w:rPr>
      <w:b/>
      <w:sz w:val="28"/>
      <w:szCs w:val="20"/>
    </w:rPr>
  </w:style>
  <w:style w:type="paragraph" w:styleId="7">
    <w:name w:val="heading 6"/>
    <w:basedOn w:val="1"/>
    <w:next w:val="1"/>
    <w:link w:val="191"/>
    <w:qFormat/>
    <w:uiPriority w:val="0"/>
    <w:pPr>
      <w:keepNext/>
      <w:keepLines/>
      <w:tabs>
        <w:tab w:val="left" w:pos="1152"/>
      </w:tabs>
      <w:spacing w:before="240" w:after="64" w:line="317" w:lineRule="auto"/>
      <w:ind w:left="1152" w:hanging="1152"/>
      <w:outlineLvl w:val="5"/>
    </w:pPr>
    <w:rPr>
      <w:rFonts w:ascii="Arial" w:hAnsi="Arial" w:eastAsia="黑体"/>
      <w:b/>
      <w:sz w:val="24"/>
      <w:szCs w:val="20"/>
    </w:rPr>
  </w:style>
  <w:style w:type="paragraph" w:styleId="8">
    <w:name w:val="heading 7"/>
    <w:basedOn w:val="1"/>
    <w:next w:val="1"/>
    <w:link w:val="172"/>
    <w:qFormat/>
    <w:uiPriority w:val="0"/>
    <w:pPr>
      <w:keepNext/>
      <w:keepLines/>
      <w:tabs>
        <w:tab w:val="left" w:pos="1296"/>
      </w:tabs>
      <w:spacing w:before="240" w:after="64" w:line="317" w:lineRule="auto"/>
      <w:ind w:left="1296" w:hanging="1296"/>
      <w:outlineLvl w:val="6"/>
    </w:pPr>
    <w:rPr>
      <w:b/>
      <w:sz w:val="24"/>
      <w:szCs w:val="20"/>
    </w:rPr>
  </w:style>
  <w:style w:type="paragraph" w:styleId="9">
    <w:name w:val="heading 8"/>
    <w:basedOn w:val="1"/>
    <w:next w:val="1"/>
    <w:link w:val="15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93"/>
    <w:qFormat/>
    <w:uiPriority w:val="0"/>
    <w:pPr>
      <w:keepNext/>
      <w:keepLines/>
      <w:tabs>
        <w:tab w:val="left" w:pos="1584"/>
      </w:tabs>
      <w:spacing w:before="240" w:after="64" w:line="317" w:lineRule="auto"/>
      <w:ind w:left="1584" w:hanging="1584"/>
      <w:outlineLvl w:val="8"/>
    </w:pPr>
    <w:rPr>
      <w:rFonts w:ascii="Arial" w:hAnsi="Arial" w:eastAsia="黑体"/>
      <w:szCs w:val="20"/>
    </w:rPr>
  </w:style>
  <w:style w:type="character" w:default="1" w:styleId="73">
    <w:name w:val="Default Paragraph Font"/>
    <w:semiHidden/>
    <w:unhideWhenUsed/>
    <w:qFormat/>
    <w:uiPriority w:val="1"/>
  </w:style>
  <w:style w:type="table" w:default="1" w:styleId="8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00"/>
    <w:unhideWhenUsed/>
    <w:qFormat/>
    <w:uiPriority w:val="0"/>
    <w:rPr>
      <w:b/>
      <w:bCs/>
    </w:rPr>
  </w:style>
  <w:style w:type="paragraph" w:styleId="12">
    <w:name w:val="annotation text"/>
    <w:basedOn w:val="1"/>
    <w:link w:val="101"/>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Body Text First Indent"/>
    <w:basedOn w:val="1"/>
    <w:link w:val="160"/>
    <w:qFormat/>
    <w:uiPriority w:val="0"/>
    <w:pPr>
      <w:tabs>
        <w:tab w:val="left" w:pos="360"/>
      </w:tabs>
      <w:spacing w:line="220" w:lineRule="exact"/>
      <w:ind w:left="360" w:hanging="360" w:firstLineChars="200"/>
      <w:jc w:val="left"/>
    </w:pPr>
    <w:rPr>
      <w:color w:val="7030A0"/>
    </w:rPr>
  </w:style>
  <w:style w:type="paragraph" w:styleId="15">
    <w:name w:val="List Number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16">
    <w:name w:val="table of authorities"/>
    <w:basedOn w:val="1"/>
    <w:next w:val="1"/>
    <w:semiHidden/>
    <w:qFormat/>
    <w:uiPriority w:val="0"/>
    <w:pPr>
      <w:spacing w:line="480" w:lineRule="exact"/>
      <w:ind w:left="420" w:leftChars="200" w:firstLine="200" w:firstLineChars="200"/>
      <w:jc w:val="left"/>
    </w:pPr>
    <w:rPr>
      <w:color w:val="7030A0"/>
      <w:sz w:val="24"/>
    </w:rPr>
  </w:style>
  <w:style w:type="paragraph" w:styleId="17">
    <w:name w:val="macro"/>
    <w:link w:val="122"/>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8">
    <w:name w:val="List Bullet 4"/>
    <w:basedOn w:val="1"/>
    <w:qFormat/>
    <w:uiPriority w:val="0"/>
    <w:pPr>
      <w:tabs>
        <w:tab w:val="left" w:pos="1620"/>
      </w:tabs>
      <w:spacing w:line="360" w:lineRule="auto"/>
      <w:ind w:left="1620" w:hanging="360"/>
      <w:jc w:val="left"/>
    </w:pPr>
    <w:rPr>
      <w:rFonts w:ascii="宋体" w:hAnsi="宋体"/>
      <w:color w:val="7030A0"/>
      <w:sz w:val="24"/>
      <w:szCs w:val="20"/>
    </w:rPr>
  </w:style>
  <w:style w:type="paragraph" w:styleId="19">
    <w:name w:val="index 8"/>
    <w:basedOn w:val="1"/>
    <w:next w:val="1"/>
    <w:semiHidden/>
    <w:qFormat/>
    <w:uiPriority w:val="0"/>
    <w:pPr>
      <w:spacing w:line="480" w:lineRule="exact"/>
      <w:ind w:left="1400" w:leftChars="1400" w:firstLine="200" w:firstLineChars="200"/>
      <w:jc w:val="left"/>
    </w:pPr>
    <w:rPr>
      <w:color w:val="7030A0"/>
      <w:sz w:val="24"/>
    </w:rPr>
  </w:style>
  <w:style w:type="paragraph" w:styleId="20">
    <w:name w:val="List Number"/>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21">
    <w:name w:val="Normal Indent"/>
    <w:basedOn w:val="1"/>
    <w:link w:val="111"/>
    <w:qFormat/>
    <w:uiPriority w:val="0"/>
    <w:pPr>
      <w:autoSpaceDE w:val="0"/>
      <w:autoSpaceDN w:val="0"/>
      <w:adjustRightInd w:val="0"/>
      <w:spacing w:line="360" w:lineRule="atLeast"/>
      <w:ind w:firstLine="420"/>
      <w:textAlignment w:val="baseline"/>
    </w:pPr>
    <w:rPr>
      <w:rFonts w:ascii="宋体"/>
      <w:kern w:val="0"/>
      <w:sz w:val="24"/>
      <w:szCs w:val="20"/>
    </w:rPr>
  </w:style>
  <w:style w:type="paragraph" w:styleId="22">
    <w:name w:val="caption"/>
    <w:basedOn w:val="1"/>
    <w:next w:val="1"/>
    <w:link w:val="143"/>
    <w:qFormat/>
    <w:uiPriority w:val="0"/>
    <w:pPr>
      <w:ind w:firstLine="6290" w:firstLineChars="2282"/>
    </w:pPr>
    <w:rPr>
      <w:b/>
      <w:bCs/>
      <w:color w:val="000080"/>
      <w:sz w:val="28"/>
    </w:rPr>
  </w:style>
  <w:style w:type="paragraph" w:styleId="23">
    <w:name w:val="index 5"/>
    <w:basedOn w:val="1"/>
    <w:next w:val="1"/>
    <w:semiHidden/>
    <w:qFormat/>
    <w:uiPriority w:val="0"/>
    <w:pPr>
      <w:spacing w:line="480" w:lineRule="exact"/>
      <w:ind w:left="800" w:leftChars="800" w:firstLine="200" w:firstLineChars="200"/>
      <w:jc w:val="left"/>
    </w:pPr>
    <w:rPr>
      <w:color w:val="7030A0"/>
      <w:sz w:val="24"/>
    </w:rPr>
  </w:style>
  <w:style w:type="paragraph" w:styleId="24">
    <w:name w:val="List Bullet"/>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25">
    <w:name w:val="Document Map"/>
    <w:basedOn w:val="1"/>
    <w:link w:val="192"/>
    <w:unhideWhenUsed/>
    <w:qFormat/>
    <w:uiPriority w:val="0"/>
    <w:rPr>
      <w:rFonts w:ascii="宋体"/>
      <w:sz w:val="18"/>
      <w:szCs w:val="18"/>
    </w:rPr>
  </w:style>
  <w:style w:type="paragraph" w:styleId="26">
    <w:name w:val="toa heading"/>
    <w:basedOn w:val="1"/>
    <w:next w:val="1"/>
    <w:qFormat/>
    <w:uiPriority w:val="0"/>
    <w:pPr>
      <w:spacing w:before="120"/>
    </w:pPr>
    <w:rPr>
      <w:rFonts w:ascii="Arial" w:hAnsi="Arial" w:cs="Arial"/>
      <w:sz w:val="24"/>
    </w:rPr>
  </w:style>
  <w:style w:type="paragraph" w:styleId="27">
    <w:name w:val="index 6"/>
    <w:basedOn w:val="1"/>
    <w:next w:val="1"/>
    <w:semiHidden/>
    <w:qFormat/>
    <w:uiPriority w:val="0"/>
    <w:pPr>
      <w:spacing w:line="480" w:lineRule="exact"/>
      <w:ind w:left="1000" w:leftChars="1000" w:firstLine="200" w:firstLineChars="200"/>
      <w:jc w:val="left"/>
    </w:pPr>
    <w:rPr>
      <w:color w:val="7030A0"/>
      <w:sz w:val="24"/>
    </w:rPr>
  </w:style>
  <w:style w:type="paragraph" w:styleId="28">
    <w:name w:val="Salutation"/>
    <w:basedOn w:val="1"/>
    <w:next w:val="1"/>
    <w:link w:val="94"/>
    <w:qFormat/>
    <w:uiPriority w:val="0"/>
    <w:rPr>
      <w:sz w:val="24"/>
      <w:szCs w:val="20"/>
    </w:rPr>
  </w:style>
  <w:style w:type="paragraph" w:styleId="29">
    <w:name w:val="Body Text 3"/>
    <w:basedOn w:val="1"/>
    <w:link w:val="108"/>
    <w:qFormat/>
    <w:uiPriority w:val="0"/>
    <w:pPr>
      <w:spacing w:after="120"/>
    </w:pPr>
    <w:rPr>
      <w:sz w:val="16"/>
      <w:szCs w:val="16"/>
    </w:rPr>
  </w:style>
  <w:style w:type="paragraph" w:styleId="30">
    <w:name w:val="List Bullet 3"/>
    <w:basedOn w:val="1"/>
    <w:qFormat/>
    <w:uiPriority w:val="0"/>
    <w:pPr>
      <w:tabs>
        <w:tab w:val="left" w:pos="775"/>
      </w:tabs>
      <w:spacing w:line="360" w:lineRule="auto"/>
      <w:ind w:left="775" w:hanging="360"/>
    </w:pPr>
    <w:rPr>
      <w:kern w:val="0"/>
    </w:rPr>
  </w:style>
  <w:style w:type="paragraph" w:styleId="31">
    <w:name w:val="Body Text"/>
    <w:basedOn w:val="1"/>
    <w:link w:val="161"/>
    <w:qFormat/>
    <w:uiPriority w:val="0"/>
    <w:pPr>
      <w:spacing w:line="360" w:lineRule="auto"/>
    </w:pPr>
    <w:rPr>
      <w:sz w:val="24"/>
      <w:szCs w:val="20"/>
    </w:rPr>
  </w:style>
  <w:style w:type="paragraph" w:styleId="32">
    <w:name w:val="Body Text Indent"/>
    <w:basedOn w:val="1"/>
    <w:link w:val="180"/>
    <w:qFormat/>
    <w:uiPriority w:val="0"/>
    <w:pPr>
      <w:spacing w:line="360" w:lineRule="auto"/>
    </w:pPr>
    <w:rPr>
      <w:rFonts w:ascii="宋体"/>
      <w:szCs w:val="20"/>
    </w:rPr>
  </w:style>
  <w:style w:type="paragraph" w:styleId="33">
    <w:name w:val="List Number 3"/>
    <w:basedOn w:val="1"/>
    <w:qFormat/>
    <w:uiPriority w:val="0"/>
    <w:pPr>
      <w:tabs>
        <w:tab w:val="left" w:pos="1200"/>
      </w:tabs>
      <w:spacing w:line="360" w:lineRule="auto"/>
      <w:ind w:left="1200" w:hanging="360"/>
      <w:jc w:val="left"/>
    </w:pPr>
    <w:rPr>
      <w:rFonts w:ascii="宋体" w:hAnsi="宋体"/>
      <w:color w:val="7030A0"/>
      <w:sz w:val="24"/>
      <w:szCs w:val="20"/>
    </w:rPr>
  </w:style>
  <w:style w:type="paragraph" w:styleId="34">
    <w:name w:val="List 2"/>
    <w:basedOn w:val="1"/>
    <w:qFormat/>
    <w:uiPriority w:val="0"/>
    <w:pPr>
      <w:widowControl/>
      <w:ind w:left="840" w:hanging="420"/>
      <w:jc w:val="left"/>
    </w:pPr>
    <w:rPr>
      <w:rFonts w:ascii="宋体"/>
      <w:kern w:val="0"/>
      <w:sz w:val="22"/>
      <w:szCs w:val="20"/>
    </w:rPr>
  </w:style>
  <w:style w:type="paragraph" w:styleId="35">
    <w:name w:val="List Continue"/>
    <w:basedOn w:val="1"/>
    <w:qFormat/>
    <w:uiPriority w:val="0"/>
    <w:pPr>
      <w:widowControl/>
      <w:spacing w:after="120"/>
      <w:ind w:left="420"/>
      <w:jc w:val="left"/>
    </w:pPr>
    <w:rPr>
      <w:rFonts w:ascii="宋体"/>
      <w:kern w:val="0"/>
      <w:sz w:val="22"/>
      <w:szCs w:val="20"/>
    </w:rPr>
  </w:style>
  <w:style w:type="paragraph" w:styleId="36">
    <w:name w:val="Block Text"/>
    <w:basedOn w:val="1"/>
    <w:qFormat/>
    <w:uiPriority w:val="0"/>
    <w:pPr>
      <w:tabs>
        <w:tab w:val="left" w:pos="8364"/>
      </w:tabs>
      <w:ind w:left="840" w:right="-57" w:hanging="300"/>
    </w:pPr>
    <w:rPr>
      <w:rFonts w:ascii="宋体"/>
      <w:szCs w:val="20"/>
    </w:rPr>
  </w:style>
  <w:style w:type="paragraph" w:styleId="37">
    <w:name w:val="List Bullet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38">
    <w:name w:val="index 4"/>
    <w:basedOn w:val="1"/>
    <w:next w:val="1"/>
    <w:qFormat/>
    <w:uiPriority w:val="0"/>
    <w:pPr>
      <w:spacing w:line="480" w:lineRule="exact"/>
      <w:ind w:left="600" w:leftChars="600" w:firstLine="200" w:firstLineChars="200"/>
      <w:jc w:val="left"/>
    </w:pPr>
    <w:rPr>
      <w:color w:val="7030A0"/>
      <w:sz w:val="24"/>
    </w:rPr>
  </w:style>
  <w:style w:type="paragraph" w:styleId="39">
    <w:name w:val="toc 5"/>
    <w:basedOn w:val="1"/>
    <w:next w:val="1"/>
    <w:qFormat/>
    <w:uiPriority w:val="0"/>
    <w:pPr>
      <w:ind w:left="840"/>
      <w:jc w:val="left"/>
    </w:pPr>
    <w:rPr>
      <w:sz w:val="18"/>
      <w:szCs w:val="18"/>
    </w:rPr>
  </w:style>
  <w:style w:type="paragraph" w:styleId="40">
    <w:name w:val="toc 3"/>
    <w:basedOn w:val="1"/>
    <w:next w:val="1"/>
    <w:qFormat/>
    <w:uiPriority w:val="0"/>
    <w:pPr>
      <w:tabs>
        <w:tab w:val="left" w:pos="400"/>
        <w:tab w:val="left" w:pos="576"/>
        <w:tab w:val="right" w:leader="dot" w:pos="8778"/>
      </w:tabs>
      <w:ind w:left="10"/>
      <w:jc w:val="center"/>
    </w:pPr>
    <w:rPr>
      <w:rFonts w:ascii="宋体" w:hAnsi="宋体"/>
      <w:b/>
      <w:iCs/>
      <w:sz w:val="24"/>
    </w:rPr>
  </w:style>
  <w:style w:type="paragraph" w:styleId="41">
    <w:name w:val="Plain Text"/>
    <w:basedOn w:val="1"/>
    <w:link w:val="132"/>
    <w:unhideWhenUsed/>
    <w:qFormat/>
    <w:uiPriority w:val="0"/>
    <w:rPr>
      <w:rFonts w:ascii="宋体" w:hAnsi="Courier New" w:cs="Courier New"/>
      <w:szCs w:val="21"/>
    </w:rPr>
  </w:style>
  <w:style w:type="paragraph" w:styleId="42">
    <w:name w:val="List Bullet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43">
    <w:name w:val="List Number 4"/>
    <w:basedOn w:val="1"/>
    <w:qFormat/>
    <w:uiPriority w:val="0"/>
    <w:pPr>
      <w:tabs>
        <w:tab w:val="left" w:pos="1620"/>
      </w:tabs>
      <w:spacing w:line="360" w:lineRule="auto"/>
      <w:ind w:left="1620" w:hanging="360"/>
    </w:pPr>
    <w:rPr>
      <w:rFonts w:ascii="宋体" w:hAnsi="宋体"/>
      <w:sz w:val="24"/>
      <w:szCs w:val="20"/>
    </w:rPr>
  </w:style>
  <w:style w:type="paragraph" w:styleId="44">
    <w:name w:val="toc 8"/>
    <w:basedOn w:val="1"/>
    <w:next w:val="1"/>
    <w:qFormat/>
    <w:uiPriority w:val="0"/>
    <w:pPr>
      <w:ind w:left="1470"/>
      <w:jc w:val="left"/>
    </w:pPr>
    <w:rPr>
      <w:sz w:val="18"/>
      <w:szCs w:val="18"/>
    </w:rPr>
  </w:style>
  <w:style w:type="paragraph" w:styleId="45">
    <w:name w:val="index 3"/>
    <w:basedOn w:val="1"/>
    <w:next w:val="1"/>
    <w:semiHidden/>
    <w:qFormat/>
    <w:uiPriority w:val="0"/>
    <w:pPr>
      <w:spacing w:line="480" w:lineRule="exact"/>
      <w:ind w:left="400" w:leftChars="400" w:firstLine="200" w:firstLineChars="200"/>
      <w:jc w:val="left"/>
    </w:pPr>
    <w:rPr>
      <w:color w:val="7030A0"/>
      <w:sz w:val="24"/>
    </w:rPr>
  </w:style>
  <w:style w:type="paragraph" w:styleId="46">
    <w:name w:val="Date"/>
    <w:basedOn w:val="1"/>
    <w:next w:val="1"/>
    <w:link w:val="142"/>
    <w:qFormat/>
    <w:uiPriority w:val="0"/>
    <w:pPr>
      <w:autoSpaceDE w:val="0"/>
      <w:autoSpaceDN w:val="0"/>
      <w:adjustRightInd w:val="0"/>
      <w:textAlignment w:val="baseline"/>
    </w:pPr>
    <w:rPr>
      <w:rFonts w:eastAsia="楷体_GB2312"/>
      <w:sz w:val="30"/>
      <w:szCs w:val="20"/>
    </w:rPr>
  </w:style>
  <w:style w:type="paragraph" w:styleId="47">
    <w:name w:val="Body Text Indent 2"/>
    <w:basedOn w:val="1"/>
    <w:link w:val="138"/>
    <w:qFormat/>
    <w:uiPriority w:val="0"/>
    <w:pPr>
      <w:spacing w:after="120" w:line="480" w:lineRule="auto"/>
      <w:ind w:left="420" w:leftChars="200"/>
    </w:pPr>
    <w:rPr>
      <w:szCs w:val="20"/>
    </w:rPr>
  </w:style>
  <w:style w:type="paragraph" w:styleId="48">
    <w:name w:val="endnote text"/>
    <w:basedOn w:val="1"/>
    <w:link w:val="123"/>
    <w:qFormat/>
    <w:uiPriority w:val="0"/>
    <w:pPr>
      <w:snapToGrid w:val="0"/>
      <w:spacing w:line="500" w:lineRule="exact"/>
      <w:jc w:val="left"/>
    </w:pPr>
    <w:rPr>
      <w:kern w:val="0"/>
    </w:rPr>
  </w:style>
  <w:style w:type="paragraph" w:styleId="49">
    <w:name w:val="Balloon Text"/>
    <w:basedOn w:val="1"/>
    <w:link w:val="184"/>
    <w:unhideWhenUsed/>
    <w:qFormat/>
    <w:uiPriority w:val="0"/>
    <w:rPr>
      <w:sz w:val="18"/>
      <w:szCs w:val="18"/>
    </w:rPr>
  </w:style>
  <w:style w:type="paragraph" w:styleId="50">
    <w:name w:val="footer"/>
    <w:basedOn w:val="1"/>
    <w:link w:val="186"/>
    <w:unhideWhenUsed/>
    <w:qFormat/>
    <w:uiPriority w:val="0"/>
    <w:pPr>
      <w:tabs>
        <w:tab w:val="center" w:pos="4153"/>
        <w:tab w:val="right" w:pos="8306"/>
      </w:tabs>
      <w:snapToGrid w:val="0"/>
      <w:jc w:val="left"/>
    </w:pPr>
    <w:rPr>
      <w:sz w:val="18"/>
      <w:szCs w:val="18"/>
    </w:rPr>
  </w:style>
  <w:style w:type="paragraph" w:styleId="51">
    <w:name w:val="Body Text First Indent 2"/>
    <w:basedOn w:val="32"/>
    <w:link w:val="151"/>
    <w:qFormat/>
    <w:uiPriority w:val="0"/>
    <w:pPr>
      <w:spacing w:after="120" w:line="240" w:lineRule="auto"/>
      <w:ind w:left="420" w:leftChars="200" w:firstLine="200" w:firstLineChars="200"/>
      <w:jc w:val="left"/>
    </w:pPr>
    <w:rPr>
      <w:rFonts w:hAnsi="宋体"/>
      <w:szCs w:val="24"/>
    </w:rPr>
  </w:style>
  <w:style w:type="paragraph" w:styleId="52">
    <w:name w:val="header"/>
    <w:basedOn w:val="1"/>
    <w:link w:val="155"/>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toc 1"/>
    <w:basedOn w:val="1"/>
    <w:next w:val="1"/>
    <w:qFormat/>
    <w:uiPriority w:val="0"/>
    <w:pPr>
      <w:tabs>
        <w:tab w:val="right" w:leader="dot" w:pos="8778"/>
      </w:tabs>
      <w:snapToGrid w:val="0"/>
      <w:spacing w:line="360" w:lineRule="auto"/>
      <w:jc w:val="center"/>
    </w:pPr>
    <w:rPr>
      <w:b/>
      <w:bCs/>
      <w:iCs/>
      <w:caps/>
      <w:kern w:val="0"/>
      <w:sz w:val="36"/>
      <w:szCs w:val="36"/>
    </w:rPr>
  </w:style>
  <w:style w:type="paragraph" w:styleId="54">
    <w:name w:val="toc 4"/>
    <w:basedOn w:val="1"/>
    <w:next w:val="1"/>
    <w:qFormat/>
    <w:uiPriority w:val="0"/>
    <w:pPr>
      <w:ind w:left="630"/>
      <w:jc w:val="left"/>
    </w:pPr>
    <w:rPr>
      <w:sz w:val="18"/>
      <w:szCs w:val="18"/>
    </w:rPr>
  </w:style>
  <w:style w:type="paragraph" w:styleId="55">
    <w:name w:val="index heading"/>
    <w:basedOn w:val="1"/>
    <w:next w:val="56"/>
    <w:qFormat/>
    <w:uiPriority w:val="0"/>
  </w:style>
  <w:style w:type="paragraph" w:styleId="56">
    <w:name w:val="index 1"/>
    <w:basedOn w:val="1"/>
    <w:next w:val="1"/>
    <w:qFormat/>
    <w:uiPriority w:val="0"/>
    <w:pPr>
      <w:spacing w:line="360" w:lineRule="auto"/>
      <w:ind w:left="1149" w:leftChars="547"/>
    </w:pPr>
    <w:rPr>
      <w:szCs w:val="20"/>
    </w:rPr>
  </w:style>
  <w:style w:type="paragraph" w:styleId="57">
    <w:name w:val="List Number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58">
    <w:name w:val="List"/>
    <w:basedOn w:val="1"/>
    <w:qFormat/>
    <w:uiPriority w:val="0"/>
    <w:pPr>
      <w:ind w:left="200" w:hanging="200" w:hangingChars="200"/>
    </w:pPr>
    <w:rPr>
      <w:szCs w:val="20"/>
    </w:rPr>
  </w:style>
  <w:style w:type="paragraph" w:styleId="59">
    <w:name w:val="footnote text"/>
    <w:basedOn w:val="1"/>
    <w:link w:val="95"/>
    <w:qFormat/>
    <w:uiPriority w:val="0"/>
    <w:pPr>
      <w:adjustRightInd w:val="0"/>
      <w:spacing w:line="312" w:lineRule="atLeast"/>
      <w:jc w:val="left"/>
      <w:textAlignment w:val="baseline"/>
    </w:pPr>
    <w:rPr>
      <w:kern w:val="0"/>
      <w:sz w:val="18"/>
      <w:szCs w:val="20"/>
    </w:rPr>
  </w:style>
  <w:style w:type="paragraph" w:styleId="60">
    <w:name w:val="toc 6"/>
    <w:basedOn w:val="1"/>
    <w:next w:val="1"/>
    <w:qFormat/>
    <w:uiPriority w:val="0"/>
    <w:pPr>
      <w:ind w:left="1050"/>
      <w:jc w:val="left"/>
    </w:pPr>
    <w:rPr>
      <w:sz w:val="18"/>
      <w:szCs w:val="18"/>
    </w:rPr>
  </w:style>
  <w:style w:type="paragraph" w:styleId="61">
    <w:name w:val="Body Text Indent 3"/>
    <w:basedOn w:val="1"/>
    <w:link w:val="118"/>
    <w:qFormat/>
    <w:uiPriority w:val="0"/>
    <w:pPr>
      <w:ind w:left="1260" w:leftChars="600"/>
    </w:pPr>
    <w:rPr>
      <w:szCs w:val="20"/>
    </w:rPr>
  </w:style>
  <w:style w:type="paragraph" w:styleId="62">
    <w:name w:val="index 7"/>
    <w:basedOn w:val="1"/>
    <w:next w:val="1"/>
    <w:semiHidden/>
    <w:qFormat/>
    <w:uiPriority w:val="0"/>
    <w:pPr>
      <w:spacing w:line="480" w:lineRule="exact"/>
      <w:ind w:left="1200" w:leftChars="1200" w:firstLine="200" w:firstLineChars="200"/>
      <w:jc w:val="left"/>
    </w:pPr>
    <w:rPr>
      <w:color w:val="7030A0"/>
      <w:sz w:val="24"/>
    </w:rPr>
  </w:style>
  <w:style w:type="paragraph" w:styleId="63">
    <w:name w:val="index 9"/>
    <w:basedOn w:val="1"/>
    <w:next w:val="1"/>
    <w:semiHidden/>
    <w:qFormat/>
    <w:uiPriority w:val="0"/>
    <w:pPr>
      <w:spacing w:line="480" w:lineRule="exact"/>
      <w:ind w:left="1600" w:leftChars="1600" w:firstLine="200" w:firstLineChars="200"/>
      <w:jc w:val="left"/>
    </w:pPr>
    <w:rPr>
      <w:color w:val="7030A0"/>
      <w:sz w:val="24"/>
    </w:rPr>
  </w:style>
  <w:style w:type="paragraph" w:styleId="64">
    <w:name w:val="table of figures"/>
    <w:basedOn w:val="1"/>
    <w:next w:val="1"/>
    <w:qFormat/>
    <w:uiPriority w:val="0"/>
    <w:pPr>
      <w:spacing w:line="480" w:lineRule="exact"/>
      <w:ind w:left="200" w:leftChars="200" w:hanging="200" w:hangingChars="200"/>
      <w:jc w:val="left"/>
    </w:pPr>
    <w:rPr>
      <w:color w:val="7030A0"/>
      <w:sz w:val="24"/>
    </w:rPr>
  </w:style>
  <w:style w:type="paragraph" w:styleId="65">
    <w:name w:val="toc 2"/>
    <w:basedOn w:val="1"/>
    <w:next w:val="1"/>
    <w:qFormat/>
    <w:uiPriority w:val="0"/>
    <w:pPr>
      <w:tabs>
        <w:tab w:val="right" w:leader="dot" w:pos="8778"/>
      </w:tabs>
      <w:ind w:left="23" w:leftChars="9" w:hanging="4" w:hangingChars="2"/>
      <w:jc w:val="left"/>
    </w:pPr>
    <w:rPr>
      <w:smallCaps/>
      <w:sz w:val="20"/>
      <w:szCs w:val="20"/>
    </w:rPr>
  </w:style>
  <w:style w:type="paragraph" w:styleId="66">
    <w:name w:val="toc 9"/>
    <w:basedOn w:val="1"/>
    <w:next w:val="1"/>
    <w:qFormat/>
    <w:uiPriority w:val="0"/>
    <w:pPr>
      <w:ind w:left="1680"/>
      <w:jc w:val="left"/>
    </w:pPr>
    <w:rPr>
      <w:sz w:val="18"/>
      <w:szCs w:val="18"/>
    </w:rPr>
  </w:style>
  <w:style w:type="paragraph" w:styleId="67">
    <w:name w:val="Body Text 2"/>
    <w:basedOn w:val="1"/>
    <w:link w:val="126"/>
    <w:qFormat/>
    <w:uiPriority w:val="0"/>
    <w:pPr>
      <w:spacing w:after="120" w:line="480" w:lineRule="auto"/>
    </w:pPr>
    <w:rPr>
      <w:szCs w:val="20"/>
    </w:rPr>
  </w:style>
  <w:style w:type="paragraph" w:styleId="68">
    <w:name w:val="Message Header"/>
    <w:basedOn w:val="1"/>
    <w:link w:val="13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color w:val="7030A0"/>
      <w:sz w:val="24"/>
    </w:rPr>
  </w:style>
  <w:style w:type="paragraph" w:styleId="69">
    <w:name w:val="HTML Preformatted"/>
    <w:basedOn w:val="1"/>
    <w:link w:val="1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200" w:firstLineChars="200"/>
      <w:jc w:val="left"/>
    </w:pPr>
    <w:rPr>
      <w:rFonts w:ascii="Arial" w:hAnsi="Arial"/>
      <w:kern w:val="0"/>
      <w:szCs w:val="21"/>
    </w:rPr>
  </w:style>
  <w:style w:type="paragraph" w:styleId="7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71">
    <w:name w:val="index 2"/>
    <w:basedOn w:val="1"/>
    <w:next w:val="1"/>
    <w:semiHidden/>
    <w:qFormat/>
    <w:uiPriority w:val="0"/>
    <w:pPr>
      <w:spacing w:line="480" w:lineRule="exact"/>
      <w:ind w:left="200" w:leftChars="200" w:firstLine="200" w:firstLineChars="200"/>
      <w:jc w:val="left"/>
    </w:pPr>
    <w:rPr>
      <w:color w:val="7030A0"/>
      <w:sz w:val="24"/>
    </w:rPr>
  </w:style>
  <w:style w:type="paragraph" w:styleId="72">
    <w:name w:val="Title"/>
    <w:basedOn w:val="1"/>
    <w:link w:val="140"/>
    <w:qFormat/>
    <w:uiPriority w:val="0"/>
    <w:pPr>
      <w:widowControl/>
      <w:spacing w:before="240" w:after="60"/>
      <w:jc w:val="center"/>
      <w:outlineLvl w:val="0"/>
    </w:pPr>
    <w:rPr>
      <w:rFonts w:ascii="Arial" w:hAnsi="Arial" w:eastAsia="楷体_GB2312"/>
      <w:b/>
      <w:kern w:val="0"/>
      <w:sz w:val="32"/>
      <w:szCs w:val="20"/>
    </w:rPr>
  </w:style>
  <w:style w:type="character" w:styleId="74">
    <w:name w:val="Strong"/>
    <w:qFormat/>
    <w:uiPriority w:val="0"/>
    <w:rPr>
      <w:b/>
      <w:bCs/>
    </w:rPr>
  </w:style>
  <w:style w:type="character" w:styleId="75">
    <w:name w:val="endnote reference"/>
    <w:qFormat/>
    <w:uiPriority w:val="0"/>
    <w:rPr>
      <w:vertAlign w:val="superscript"/>
    </w:rPr>
  </w:style>
  <w:style w:type="character" w:styleId="76">
    <w:name w:val="page number"/>
    <w:basedOn w:val="73"/>
    <w:qFormat/>
    <w:uiPriority w:val="0"/>
  </w:style>
  <w:style w:type="character" w:styleId="77">
    <w:name w:val="FollowedHyperlink"/>
    <w:basedOn w:val="73"/>
    <w:unhideWhenUsed/>
    <w:qFormat/>
    <w:uiPriority w:val="0"/>
    <w:rPr>
      <w:rFonts w:hint="eastAsia" w:ascii="宋体" w:hAnsi="宋体" w:eastAsia="宋体" w:cs="宋体"/>
      <w:color w:val="004A85"/>
      <w:sz w:val="18"/>
      <w:szCs w:val="18"/>
      <w:u w:val="single"/>
    </w:rPr>
  </w:style>
  <w:style w:type="character" w:styleId="78">
    <w:name w:val="Emphasis"/>
    <w:basedOn w:val="73"/>
    <w:qFormat/>
    <w:uiPriority w:val="20"/>
  </w:style>
  <w:style w:type="character" w:styleId="79">
    <w:name w:val="HTML Definition"/>
    <w:basedOn w:val="73"/>
    <w:semiHidden/>
    <w:unhideWhenUsed/>
    <w:qFormat/>
    <w:uiPriority w:val="99"/>
  </w:style>
  <w:style w:type="character" w:styleId="80">
    <w:name w:val="HTML Typewriter"/>
    <w:qFormat/>
    <w:uiPriority w:val="0"/>
    <w:rPr>
      <w:rFonts w:ascii="黑体" w:hAnsi="Courier New" w:eastAsia="黑体" w:cs="Courier New"/>
      <w:sz w:val="20"/>
      <w:szCs w:val="20"/>
    </w:rPr>
  </w:style>
  <w:style w:type="character" w:styleId="81">
    <w:name w:val="HTML Variable"/>
    <w:basedOn w:val="73"/>
    <w:semiHidden/>
    <w:unhideWhenUsed/>
    <w:qFormat/>
    <w:uiPriority w:val="99"/>
  </w:style>
  <w:style w:type="character" w:styleId="82">
    <w:name w:val="Hyperlink"/>
    <w:basedOn w:val="73"/>
    <w:unhideWhenUsed/>
    <w:qFormat/>
    <w:uiPriority w:val="0"/>
    <w:rPr>
      <w:rFonts w:hint="eastAsia" w:ascii="宋体" w:hAnsi="宋体" w:eastAsia="宋体" w:cs="宋体"/>
      <w:color w:val="004A85"/>
      <w:sz w:val="18"/>
      <w:szCs w:val="18"/>
      <w:u w:val="single"/>
    </w:rPr>
  </w:style>
  <w:style w:type="character" w:styleId="83">
    <w:name w:val="HTML Code"/>
    <w:basedOn w:val="73"/>
    <w:semiHidden/>
    <w:unhideWhenUsed/>
    <w:qFormat/>
    <w:uiPriority w:val="99"/>
    <w:rPr>
      <w:rFonts w:ascii="Courier New" w:hAnsi="Courier New"/>
      <w:sz w:val="20"/>
    </w:rPr>
  </w:style>
  <w:style w:type="character" w:styleId="84">
    <w:name w:val="annotation reference"/>
    <w:basedOn w:val="73"/>
    <w:qFormat/>
    <w:uiPriority w:val="0"/>
    <w:rPr>
      <w:sz w:val="21"/>
      <w:szCs w:val="21"/>
    </w:rPr>
  </w:style>
  <w:style w:type="character" w:styleId="85">
    <w:name w:val="HTML Cite"/>
    <w:basedOn w:val="73"/>
    <w:semiHidden/>
    <w:unhideWhenUsed/>
    <w:qFormat/>
    <w:uiPriority w:val="99"/>
  </w:style>
  <w:style w:type="character" w:styleId="86">
    <w:name w:val="footnote reference"/>
    <w:qFormat/>
    <w:uiPriority w:val="0"/>
    <w:rPr>
      <w:vertAlign w:val="superscript"/>
    </w:rPr>
  </w:style>
  <w:style w:type="table" w:styleId="88">
    <w:name w:val="Table Grid"/>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9">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90">
    <w:name w:val="标题4"/>
    <w:basedOn w:val="1"/>
    <w:next w:val="1"/>
    <w:qFormat/>
    <w:uiPriority w:val="0"/>
    <w:pPr>
      <w:keepNext/>
      <w:spacing w:line="360" w:lineRule="auto"/>
      <w:ind w:firstLine="200" w:firstLineChars="200"/>
      <w:jc w:val="left"/>
      <w:outlineLvl w:val="3"/>
    </w:pPr>
    <w:rPr>
      <w:b/>
      <w:kern w:val="0"/>
      <w:sz w:val="30"/>
    </w:rPr>
  </w:style>
  <w:style w:type="character" w:customStyle="1" w:styleId="91">
    <w:name w:val="四级标题格式 Char"/>
    <w:link w:val="92"/>
    <w:qFormat/>
    <w:uiPriority w:val="0"/>
    <w:rPr>
      <w:rFonts w:ascii="Times New Roman" w:hAnsi="Times New Roman" w:eastAsia="黑体"/>
      <w:bCs/>
      <w:kern w:val="2"/>
      <w:sz w:val="28"/>
      <w:szCs w:val="28"/>
    </w:rPr>
  </w:style>
  <w:style w:type="paragraph" w:customStyle="1" w:styleId="92">
    <w:name w:val="四级标题格式"/>
    <w:basedOn w:val="5"/>
    <w:link w:val="91"/>
    <w:qFormat/>
    <w:uiPriority w:val="0"/>
    <w:pPr>
      <w:keepNext w:val="0"/>
      <w:keepLines w:val="0"/>
      <w:spacing w:before="0" w:afterLines="100" w:line="240" w:lineRule="auto"/>
      <w:jc w:val="left"/>
    </w:pPr>
    <w:rPr>
      <w:rFonts w:ascii="Times New Roman" w:hAnsi="Times New Roman" w:eastAsia="黑体"/>
      <w:b w:val="0"/>
    </w:rPr>
  </w:style>
  <w:style w:type="character" w:customStyle="1" w:styleId="93">
    <w:name w:val="标题 9 Char"/>
    <w:basedOn w:val="73"/>
    <w:link w:val="10"/>
    <w:qFormat/>
    <w:uiPriority w:val="0"/>
    <w:rPr>
      <w:rFonts w:ascii="Arial" w:hAnsi="Arial" w:eastAsia="黑体"/>
      <w:kern w:val="2"/>
      <w:sz w:val="21"/>
    </w:rPr>
  </w:style>
  <w:style w:type="character" w:customStyle="1" w:styleId="94">
    <w:name w:val="称呼 Char"/>
    <w:basedOn w:val="73"/>
    <w:link w:val="28"/>
    <w:qFormat/>
    <w:uiPriority w:val="0"/>
    <w:rPr>
      <w:rFonts w:ascii="Times New Roman" w:hAnsi="Times New Roman"/>
      <w:kern w:val="2"/>
      <w:sz w:val="24"/>
    </w:rPr>
  </w:style>
  <w:style w:type="character" w:customStyle="1" w:styleId="95">
    <w:name w:val="脚注文本 Char"/>
    <w:basedOn w:val="73"/>
    <w:link w:val="59"/>
    <w:qFormat/>
    <w:uiPriority w:val="0"/>
    <w:rPr>
      <w:rFonts w:ascii="Times New Roman" w:hAnsi="Times New Roman"/>
      <w:sz w:val="18"/>
    </w:rPr>
  </w:style>
  <w:style w:type="character" w:customStyle="1" w:styleId="96">
    <w:name w:val="标题 5 Char1"/>
    <w:link w:val="6"/>
    <w:qFormat/>
    <w:uiPriority w:val="0"/>
    <w:rPr>
      <w:rFonts w:ascii="Times New Roman" w:hAnsi="Times New Roman"/>
      <w:b/>
      <w:kern w:val="2"/>
      <w:sz w:val="28"/>
    </w:rPr>
  </w:style>
  <w:style w:type="character" w:customStyle="1" w:styleId="97">
    <w:name w:val="样式 标题 31.1条标题1.1.1二级节名h3Heading 3 - oldheading 3H3H31H3... Char Char"/>
    <w:qFormat/>
    <w:uiPriority w:val="0"/>
    <w:rPr>
      <w:rFonts w:ascii="宋体" w:hAnsi="宋体" w:eastAsia="黑体"/>
      <w:kern w:val="2"/>
      <w:sz w:val="24"/>
      <w:szCs w:val="21"/>
    </w:rPr>
  </w:style>
  <w:style w:type="character" w:customStyle="1" w:styleId="98">
    <w:name w:val="标题3 Char"/>
    <w:link w:val="99"/>
    <w:qFormat/>
    <w:uiPriority w:val="0"/>
    <w:rPr>
      <w:rFonts w:ascii="Times New Roman" w:hAnsi="Times New Roman"/>
      <w:sz w:val="24"/>
    </w:rPr>
  </w:style>
  <w:style w:type="paragraph" w:customStyle="1" w:styleId="99">
    <w:name w:val="标题3"/>
    <w:basedOn w:val="4"/>
    <w:link w:val="98"/>
    <w:qFormat/>
    <w:uiPriority w:val="0"/>
    <w:pPr>
      <w:keepLines w:val="0"/>
      <w:tabs>
        <w:tab w:val="left" w:pos="360"/>
        <w:tab w:val="left" w:pos="840"/>
        <w:tab w:val="left" w:pos="2160"/>
      </w:tabs>
      <w:adjustRightInd w:val="0"/>
      <w:spacing w:before="0" w:after="0" w:line="360" w:lineRule="auto"/>
      <w:textAlignment w:val="baseline"/>
    </w:pPr>
    <w:rPr>
      <w:b w:val="0"/>
      <w:bCs w:val="0"/>
      <w:kern w:val="0"/>
      <w:sz w:val="24"/>
      <w:szCs w:val="20"/>
    </w:rPr>
  </w:style>
  <w:style w:type="character" w:customStyle="1" w:styleId="100">
    <w:name w:val="批注主题 Char"/>
    <w:basedOn w:val="101"/>
    <w:link w:val="11"/>
    <w:qFormat/>
    <w:uiPriority w:val="0"/>
    <w:rPr>
      <w:b/>
      <w:bCs/>
      <w:kern w:val="2"/>
      <w:sz w:val="21"/>
    </w:rPr>
  </w:style>
  <w:style w:type="character" w:customStyle="1" w:styleId="101">
    <w:name w:val="批注文字 Char"/>
    <w:basedOn w:val="73"/>
    <w:link w:val="12"/>
    <w:qFormat/>
    <w:uiPriority w:val="0"/>
    <w:rPr>
      <w:rFonts w:ascii="Times New Roman" w:hAnsi="Times New Roman" w:eastAsia="宋体" w:cs="Times New Roman"/>
      <w:szCs w:val="24"/>
    </w:rPr>
  </w:style>
  <w:style w:type="character" w:customStyle="1" w:styleId="102">
    <w:name w:val="selected"/>
    <w:basedOn w:val="73"/>
    <w:qFormat/>
    <w:uiPriority w:val="0"/>
    <w:rPr>
      <w:shd w:val="clear" w:color="auto" w:fill="B00006"/>
    </w:rPr>
  </w:style>
  <w:style w:type="character" w:customStyle="1" w:styleId="103">
    <w:name w:val="样式 宋体 行距: 固定值 24 磅 Char"/>
    <w:link w:val="104"/>
    <w:qFormat/>
    <w:uiPriority w:val="0"/>
    <w:rPr>
      <w:rFonts w:ascii="宋体" w:hAnsi="Times New Roman"/>
      <w:color w:val="7030A0"/>
      <w:kern w:val="2"/>
      <w:sz w:val="28"/>
    </w:rPr>
  </w:style>
  <w:style w:type="paragraph" w:customStyle="1" w:styleId="104">
    <w:name w:val="样式 宋体 行距: 固定值 24 磅"/>
    <w:basedOn w:val="1"/>
    <w:link w:val="103"/>
    <w:qFormat/>
    <w:uiPriority w:val="0"/>
    <w:pPr>
      <w:spacing w:line="480" w:lineRule="exact"/>
      <w:ind w:firstLine="585" w:firstLineChars="200"/>
      <w:jc w:val="left"/>
    </w:pPr>
    <w:rPr>
      <w:rFonts w:ascii="宋体"/>
      <w:color w:val="7030A0"/>
      <w:sz w:val="28"/>
      <w:szCs w:val="20"/>
    </w:rPr>
  </w:style>
  <w:style w:type="character" w:customStyle="1" w:styleId="105">
    <w:name w:val="样式 首行缩进:  2 字符 Char1"/>
    <w:link w:val="106"/>
    <w:qFormat/>
    <w:uiPriority w:val="0"/>
    <w:rPr>
      <w:rFonts w:ascii="Times New Roman" w:hAnsi="Times New Roman"/>
      <w:color w:val="7030A0"/>
      <w:kern w:val="2"/>
      <w:sz w:val="24"/>
    </w:rPr>
  </w:style>
  <w:style w:type="paragraph" w:customStyle="1" w:styleId="106">
    <w:name w:val="样式 首行缩进:  2 字符"/>
    <w:basedOn w:val="1"/>
    <w:link w:val="105"/>
    <w:qFormat/>
    <w:uiPriority w:val="0"/>
    <w:pPr>
      <w:spacing w:line="480" w:lineRule="exact"/>
      <w:ind w:firstLine="480" w:firstLineChars="200"/>
      <w:jc w:val="left"/>
    </w:pPr>
    <w:rPr>
      <w:color w:val="7030A0"/>
      <w:sz w:val="24"/>
      <w:szCs w:val="20"/>
    </w:rPr>
  </w:style>
  <w:style w:type="character" w:customStyle="1" w:styleId="107">
    <w:name w:val="日期 Char1"/>
    <w:basedOn w:val="73"/>
    <w:semiHidden/>
    <w:qFormat/>
    <w:uiPriority w:val="99"/>
    <w:rPr>
      <w:rFonts w:ascii="Times New Roman" w:hAnsi="Times New Roman"/>
      <w:kern w:val="2"/>
      <w:sz w:val="21"/>
      <w:szCs w:val="24"/>
    </w:rPr>
  </w:style>
  <w:style w:type="character" w:customStyle="1" w:styleId="108">
    <w:name w:val="正文文本 3 Char"/>
    <w:basedOn w:val="73"/>
    <w:link w:val="29"/>
    <w:qFormat/>
    <w:uiPriority w:val="0"/>
    <w:rPr>
      <w:rFonts w:ascii="Times New Roman" w:hAnsi="Times New Roman"/>
      <w:kern w:val="2"/>
      <w:sz w:val="16"/>
      <w:szCs w:val="16"/>
    </w:rPr>
  </w:style>
  <w:style w:type="character" w:customStyle="1" w:styleId="109">
    <w:name w:val="正文－wjnew Char Char"/>
    <w:link w:val="110"/>
    <w:qFormat/>
    <w:uiPriority w:val="0"/>
    <w:rPr>
      <w:rFonts w:ascii="宋体" w:cs="宋体"/>
      <w:kern w:val="2"/>
      <w:sz w:val="21"/>
      <w:szCs w:val="21"/>
    </w:rPr>
  </w:style>
  <w:style w:type="paragraph" w:customStyle="1" w:styleId="110">
    <w:name w:val="正文－wjnew"/>
    <w:basedOn w:val="1"/>
    <w:link w:val="109"/>
    <w:qFormat/>
    <w:uiPriority w:val="0"/>
    <w:pPr>
      <w:adjustRightInd w:val="0"/>
      <w:snapToGrid w:val="0"/>
      <w:spacing w:line="360" w:lineRule="auto"/>
      <w:ind w:firstLine="420"/>
    </w:pPr>
    <w:rPr>
      <w:rFonts w:ascii="宋体"/>
      <w:szCs w:val="21"/>
    </w:rPr>
  </w:style>
  <w:style w:type="character" w:customStyle="1" w:styleId="111">
    <w:name w:val="正文缩进 Char"/>
    <w:link w:val="21"/>
    <w:qFormat/>
    <w:uiPriority w:val="0"/>
    <w:rPr>
      <w:rFonts w:ascii="宋体" w:hAnsi="Times New Roman"/>
      <w:sz w:val="24"/>
    </w:rPr>
  </w:style>
  <w:style w:type="character" w:customStyle="1" w:styleId="112">
    <w:name w:val="标题 4 Char1"/>
    <w:qFormat/>
    <w:uiPriority w:val="0"/>
    <w:rPr>
      <w:rFonts w:ascii="宋体" w:hAnsi="宋体"/>
      <w:b/>
      <w:bCs/>
      <w:kern w:val="2"/>
      <w:sz w:val="21"/>
    </w:rPr>
  </w:style>
  <w:style w:type="character" w:customStyle="1" w:styleId="113">
    <w:name w:val="(1) Char Char"/>
    <w:link w:val="114"/>
    <w:qFormat/>
    <w:uiPriority w:val="0"/>
    <w:rPr>
      <w:rFonts w:ascii="宋体" w:hAnsi="宋体"/>
      <w:kern w:val="2"/>
      <w:sz w:val="24"/>
      <w:szCs w:val="24"/>
    </w:rPr>
  </w:style>
  <w:style w:type="paragraph" w:customStyle="1" w:styleId="114">
    <w:name w:val="(1)"/>
    <w:basedOn w:val="1"/>
    <w:next w:val="1"/>
    <w:link w:val="113"/>
    <w:qFormat/>
    <w:uiPriority w:val="0"/>
    <w:pPr>
      <w:tabs>
        <w:tab w:val="left" w:pos="813"/>
      </w:tabs>
      <w:spacing w:line="360" w:lineRule="auto"/>
      <w:ind w:left="813" w:hanging="567"/>
    </w:pPr>
    <w:rPr>
      <w:rFonts w:ascii="宋体" w:hAnsi="宋体"/>
      <w:sz w:val="24"/>
    </w:rPr>
  </w:style>
  <w:style w:type="character" w:customStyle="1" w:styleId="115">
    <w:name w:val="标题 4 Char"/>
    <w:basedOn w:val="73"/>
    <w:link w:val="5"/>
    <w:qFormat/>
    <w:uiPriority w:val="0"/>
    <w:rPr>
      <w:rFonts w:ascii="Cambria" w:hAnsi="Cambria" w:eastAsia="宋体" w:cs="Times New Roman"/>
      <w:b/>
      <w:bCs/>
      <w:kern w:val="2"/>
      <w:sz w:val="28"/>
      <w:szCs w:val="28"/>
    </w:rPr>
  </w:style>
  <w:style w:type="character" w:customStyle="1" w:styleId="116">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117">
    <w:name w:val="樣式 標題 3 + (中文) MS Gothic 10.5 點 Char Char Char Char Char Char Char Char"/>
    <w:qFormat/>
    <w:uiPriority w:val="0"/>
    <w:rPr>
      <w:rFonts w:hAnsi="PMingLiU" w:eastAsia="MS Gothic"/>
      <w:snapToGrid w:val="0"/>
      <w:kern w:val="2"/>
      <w:sz w:val="24"/>
      <w:lang w:val="en-AU" w:eastAsia="zh-TW"/>
    </w:rPr>
  </w:style>
  <w:style w:type="character" w:customStyle="1" w:styleId="118">
    <w:name w:val="正文文本缩进 3 Char"/>
    <w:basedOn w:val="73"/>
    <w:link w:val="61"/>
    <w:qFormat/>
    <w:uiPriority w:val="0"/>
    <w:rPr>
      <w:rFonts w:ascii="Times New Roman" w:hAnsi="Times New Roman"/>
      <w:kern w:val="2"/>
      <w:sz w:val="21"/>
    </w:rPr>
  </w:style>
  <w:style w:type="character" w:customStyle="1" w:styleId="119">
    <w:name w:val="正文 BJ15 Char Char"/>
    <w:link w:val="120"/>
    <w:qFormat/>
    <w:uiPriority w:val="0"/>
    <w:rPr>
      <w:rFonts w:ascii="Times New Roman" w:hAnsi="Times New Roman"/>
      <w:kern w:val="2"/>
      <w:sz w:val="24"/>
      <w:szCs w:val="24"/>
    </w:rPr>
  </w:style>
  <w:style w:type="paragraph" w:customStyle="1" w:styleId="120">
    <w:name w:val="正文 BJ15"/>
    <w:basedOn w:val="1"/>
    <w:link w:val="119"/>
    <w:qFormat/>
    <w:uiPriority w:val="0"/>
    <w:pPr>
      <w:adjustRightInd w:val="0"/>
      <w:snapToGrid w:val="0"/>
      <w:spacing w:line="360" w:lineRule="auto"/>
      <w:ind w:firstLine="200" w:firstLineChars="200"/>
      <w:jc w:val="left"/>
    </w:pPr>
    <w:rPr>
      <w:sz w:val="24"/>
    </w:rPr>
  </w:style>
  <w:style w:type="character" w:customStyle="1" w:styleId="121">
    <w:name w:val="纯文本 Char Char"/>
    <w:qFormat/>
    <w:uiPriority w:val="0"/>
    <w:rPr>
      <w:rFonts w:ascii="宋体" w:hAnsi="Courier New" w:eastAsia="宋体" w:cs="Century"/>
      <w:kern w:val="2"/>
      <w:sz w:val="21"/>
      <w:szCs w:val="21"/>
      <w:lang w:val="en-US" w:eastAsia="zh-CN" w:bidi="ar-SA"/>
    </w:rPr>
  </w:style>
  <w:style w:type="character" w:customStyle="1" w:styleId="122">
    <w:name w:val="宏文本 Char"/>
    <w:basedOn w:val="73"/>
    <w:link w:val="17"/>
    <w:semiHidden/>
    <w:qFormat/>
    <w:uiPriority w:val="0"/>
    <w:rPr>
      <w:rFonts w:ascii="Courier New" w:hAnsi="Courier New" w:cs="Courier New"/>
      <w:kern w:val="2"/>
      <w:sz w:val="24"/>
      <w:szCs w:val="24"/>
      <w:lang w:val="en-US" w:eastAsia="zh-CN" w:bidi="ar-SA"/>
    </w:rPr>
  </w:style>
  <w:style w:type="character" w:customStyle="1" w:styleId="123">
    <w:name w:val="尾注文本 Char"/>
    <w:basedOn w:val="73"/>
    <w:link w:val="48"/>
    <w:qFormat/>
    <w:uiPriority w:val="0"/>
    <w:rPr>
      <w:rFonts w:ascii="Times New Roman" w:hAnsi="Times New Roman"/>
      <w:sz w:val="21"/>
      <w:szCs w:val="24"/>
    </w:rPr>
  </w:style>
  <w:style w:type="character" w:customStyle="1" w:styleId="124">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125">
    <w:name w:val="标题 2 Char"/>
    <w:basedOn w:val="73"/>
    <w:link w:val="3"/>
    <w:qFormat/>
    <w:uiPriority w:val="0"/>
    <w:rPr>
      <w:rFonts w:ascii="Arial" w:hAnsi="Arial" w:eastAsia="黑体"/>
      <w:b/>
      <w:bCs/>
      <w:kern w:val="2"/>
      <w:sz w:val="32"/>
      <w:szCs w:val="32"/>
    </w:rPr>
  </w:style>
  <w:style w:type="character" w:customStyle="1" w:styleId="126">
    <w:name w:val="正文文本 2 Char"/>
    <w:basedOn w:val="73"/>
    <w:link w:val="67"/>
    <w:qFormat/>
    <w:uiPriority w:val="0"/>
    <w:rPr>
      <w:rFonts w:ascii="Times New Roman" w:hAnsi="Times New Roman"/>
      <w:kern w:val="2"/>
      <w:sz w:val="21"/>
    </w:rPr>
  </w:style>
  <w:style w:type="character" w:customStyle="1" w:styleId="127">
    <w:name w:val="1.1 Char"/>
    <w:qFormat/>
    <w:uiPriority w:val="0"/>
    <w:rPr>
      <w:rFonts w:ascii="宋体" w:eastAsia="宋体"/>
      <w:b/>
      <w:bCs/>
      <w:kern w:val="2"/>
      <w:sz w:val="24"/>
      <w:szCs w:val="32"/>
      <w:lang w:val="en-US" w:eastAsia="zh-CN" w:bidi="ar-SA"/>
    </w:rPr>
  </w:style>
  <w:style w:type="character" w:customStyle="1" w:styleId="128">
    <w:name w:val="正文文本 Char1"/>
    <w:qFormat/>
    <w:uiPriority w:val="0"/>
    <w:rPr>
      <w:rFonts w:ascii="Times New Roman" w:hAnsi="Times New Roman"/>
      <w:kern w:val="2"/>
      <w:sz w:val="24"/>
    </w:rPr>
  </w:style>
  <w:style w:type="character" w:customStyle="1" w:styleId="129">
    <w:name w:val="普通文字 Char Char"/>
    <w:qFormat/>
    <w:uiPriority w:val="0"/>
    <w:rPr>
      <w:rFonts w:ascii="宋体" w:hAnsi="Courier New" w:eastAsia="宋体"/>
      <w:kern w:val="2"/>
      <w:sz w:val="21"/>
      <w:lang w:val="en-US" w:eastAsia="zh-CN" w:bidi="ar-SA"/>
    </w:rPr>
  </w:style>
  <w:style w:type="character" w:customStyle="1" w:styleId="130">
    <w:name w:val="信息标题 Char"/>
    <w:basedOn w:val="73"/>
    <w:link w:val="68"/>
    <w:qFormat/>
    <w:uiPriority w:val="0"/>
    <w:rPr>
      <w:rFonts w:ascii="Arial" w:hAnsi="Arial" w:cs="Arial"/>
      <w:color w:val="7030A0"/>
      <w:kern w:val="2"/>
      <w:sz w:val="24"/>
      <w:szCs w:val="24"/>
      <w:shd w:val="pct20" w:color="auto" w:fill="auto"/>
    </w:rPr>
  </w:style>
  <w:style w:type="character" w:customStyle="1" w:styleId="131">
    <w:name w:val="样式 二号 红色 边框:: (单实线 自动设置  0.5 磅 行宽)"/>
    <w:qFormat/>
    <w:uiPriority w:val="0"/>
    <w:rPr>
      <w:rFonts w:eastAsia="宋体"/>
      <w:color w:val="0000FF"/>
      <w:sz w:val="44"/>
      <w:bdr w:val="single" w:color="0000FF" w:sz="4" w:space="0"/>
    </w:rPr>
  </w:style>
  <w:style w:type="character" w:customStyle="1" w:styleId="132">
    <w:name w:val="纯文本 Char"/>
    <w:basedOn w:val="73"/>
    <w:link w:val="41"/>
    <w:qFormat/>
    <w:uiPriority w:val="99"/>
    <w:rPr>
      <w:rFonts w:ascii="宋体" w:hAnsi="Courier New" w:cs="Courier New"/>
      <w:kern w:val="2"/>
      <w:sz w:val="21"/>
      <w:szCs w:val="21"/>
    </w:rPr>
  </w:style>
  <w:style w:type="character" w:customStyle="1" w:styleId="133">
    <w:name w:val="displayarti"/>
    <w:basedOn w:val="73"/>
    <w:qFormat/>
    <w:uiPriority w:val="0"/>
    <w:rPr>
      <w:color w:val="FFFFFF"/>
      <w:shd w:val="clear" w:color="auto" w:fill="A00000"/>
    </w:rPr>
  </w:style>
  <w:style w:type="character" w:customStyle="1" w:styleId="134">
    <w:name w:val="正文－zlb Char Char"/>
    <w:link w:val="135"/>
    <w:qFormat/>
    <w:uiPriority w:val="0"/>
    <w:rPr>
      <w:rFonts w:ascii="宋体" w:cs="宋体"/>
      <w:kern w:val="2"/>
      <w:sz w:val="24"/>
      <w:szCs w:val="24"/>
    </w:rPr>
  </w:style>
  <w:style w:type="paragraph" w:customStyle="1" w:styleId="135">
    <w:name w:val="正文－zlb"/>
    <w:basedOn w:val="1"/>
    <w:link w:val="134"/>
    <w:qFormat/>
    <w:uiPriority w:val="0"/>
    <w:pPr>
      <w:adjustRightInd w:val="0"/>
      <w:snapToGrid w:val="0"/>
      <w:spacing w:line="360" w:lineRule="auto"/>
      <w:ind w:firstLine="420"/>
    </w:pPr>
    <w:rPr>
      <w:rFonts w:ascii="宋体"/>
      <w:sz w:val="24"/>
    </w:rPr>
  </w:style>
  <w:style w:type="character" w:customStyle="1" w:styleId="136">
    <w:name w:val="Char Char11"/>
    <w:qFormat/>
    <w:uiPriority w:val="0"/>
    <w:rPr>
      <w:rFonts w:eastAsia="宋体"/>
      <w:b/>
      <w:bCs/>
      <w:kern w:val="2"/>
      <w:sz w:val="24"/>
      <w:szCs w:val="24"/>
      <w:lang w:val="en-US" w:eastAsia="zh-CN" w:bidi="ar-SA"/>
    </w:rPr>
  </w:style>
  <w:style w:type="character" w:customStyle="1" w:styleId="137">
    <w:name w:val="正文（首行缩进两字） Char"/>
    <w:qFormat/>
    <w:uiPriority w:val="0"/>
    <w:rPr>
      <w:rFonts w:eastAsia="宋体"/>
      <w:sz w:val="32"/>
      <w:lang w:val="en-US" w:eastAsia="zh-CN" w:bidi="ar-SA"/>
    </w:rPr>
  </w:style>
  <w:style w:type="character" w:customStyle="1" w:styleId="138">
    <w:name w:val="正文文本缩进 2 Char"/>
    <w:basedOn w:val="73"/>
    <w:link w:val="47"/>
    <w:qFormat/>
    <w:uiPriority w:val="0"/>
    <w:rPr>
      <w:rFonts w:ascii="Times New Roman" w:hAnsi="Times New Roman"/>
      <w:kern w:val="2"/>
      <w:sz w:val="21"/>
    </w:rPr>
  </w:style>
  <w:style w:type="character" w:customStyle="1" w:styleId="139">
    <w:name w:val="正文文本缩进 Char"/>
    <w:basedOn w:val="73"/>
    <w:qFormat/>
    <w:uiPriority w:val="0"/>
    <w:rPr>
      <w:rFonts w:ascii="Times New Roman" w:hAnsi="Times New Roman"/>
      <w:kern w:val="2"/>
      <w:sz w:val="21"/>
      <w:szCs w:val="24"/>
    </w:rPr>
  </w:style>
  <w:style w:type="character" w:customStyle="1" w:styleId="140">
    <w:name w:val="标题 Char"/>
    <w:basedOn w:val="73"/>
    <w:link w:val="72"/>
    <w:qFormat/>
    <w:uiPriority w:val="0"/>
    <w:rPr>
      <w:rFonts w:ascii="Arial" w:hAnsi="Arial" w:eastAsia="楷体_GB2312"/>
      <w:b/>
      <w:sz w:val="32"/>
    </w:rPr>
  </w:style>
  <w:style w:type="character" w:customStyle="1" w:styleId="141">
    <w:name w:val="b Char"/>
    <w:qFormat/>
    <w:uiPriority w:val="0"/>
    <w:rPr>
      <w:rFonts w:eastAsia="宋体"/>
      <w:b/>
      <w:bCs/>
      <w:kern w:val="2"/>
      <w:sz w:val="28"/>
      <w:szCs w:val="28"/>
      <w:lang w:val="en-US" w:eastAsia="zh-CN" w:bidi="ar-SA"/>
    </w:rPr>
  </w:style>
  <w:style w:type="character" w:customStyle="1" w:styleId="142">
    <w:name w:val="日期 Char"/>
    <w:link w:val="46"/>
    <w:qFormat/>
    <w:uiPriority w:val="0"/>
    <w:rPr>
      <w:rFonts w:eastAsia="楷体_GB2312"/>
      <w:kern w:val="2"/>
      <w:sz w:val="30"/>
    </w:rPr>
  </w:style>
  <w:style w:type="character" w:customStyle="1" w:styleId="143">
    <w:name w:val="题注 Char"/>
    <w:link w:val="22"/>
    <w:qFormat/>
    <w:uiPriority w:val="0"/>
    <w:rPr>
      <w:rFonts w:ascii="Times New Roman" w:hAnsi="Times New Roman"/>
      <w:b/>
      <w:bCs/>
      <w:color w:val="000080"/>
      <w:kern w:val="2"/>
      <w:sz w:val="28"/>
      <w:szCs w:val="24"/>
    </w:rPr>
  </w:style>
  <w:style w:type="character" w:customStyle="1" w:styleId="144">
    <w:name w:val="正文段落格式 Char Char"/>
    <w:qFormat/>
    <w:uiPriority w:val="0"/>
    <w:rPr>
      <w:rFonts w:cs="宋体"/>
      <w:color w:val="7030A0"/>
      <w:kern w:val="2"/>
      <w:sz w:val="24"/>
    </w:rPr>
  </w:style>
  <w:style w:type="character" w:customStyle="1" w:styleId="145">
    <w:name w:val="标题 5 Char"/>
    <w:basedOn w:val="73"/>
    <w:link w:val="6"/>
    <w:semiHidden/>
    <w:qFormat/>
    <w:uiPriority w:val="9"/>
    <w:rPr>
      <w:rFonts w:ascii="Times New Roman" w:hAnsi="Times New Roman"/>
      <w:b/>
      <w:bCs/>
      <w:kern w:val="2"/>
      <w:sz w:val="28"/>
      <w:szCs w:val="28"/>
    </w:rPr>
  </w:style>
  <w:style w:type="character" w:customStyle="1" w:styleId="146">
    <w:name w:val="图表标题 BJ8 Char Char"/>
    <w:link w:val="147"/>
    <w:qFormat/>
    <w:uiPriority w:val="0"/>
    <w:rPr>
      <w:rFonts w:ascii="Times New Roman" w:hAnsi="Times New Roman" w:eastAsia="黑体"/>
      <w:kern w:val="2"/>
      <w:sz w:val="24"/>
    </w:rPr>
  </w:style>
  <w:style w:type="paragraph" w:customStyle="1" w:styleId="147">
    <w:name w:val="图表标题 BJ8"/>
    <w:basedOn w:val="1"/>
    <w:link w:val="146"/>
    <w:qFormat/>
    <w:uiPriority w:val="0"/>
    <w:pPr>
      <w:adjustRightInd w:val="0"/>
      <w:snapToGrid w:val="0"/>
      <w:ind w:firstLine="200" w:firstLineChars="200"/>
      <w:jc w:val="center"/>
    </w:pPr>
    <w:rPr>
      <w:rFonts w:eastAsia="黑体"/>
      <w:sz w:val="24"/>
      <w:szCs w:val="20"/>
    </w:rPr>
  </w:style>
  <w:style w:type="character" w:customStyle="1" w:styleId="148">
    <w:name w:val="应答文本 Char Char"/>
    <w:qFormat/>
    <w:uiPriority w:val="0"/>
    <w:rPr>
      <w:rFonts w:ascii="Arial" w:hAnsi="Arial" w:eastAsia="楷体_GB2312" w:cs="宋体"/>
      <w:spacing w:val="10"/>
      <w:sz w:val="21"/>
      <w:lang w:val="en-US" w:eastAsia="zh-CN" w:bidi="ar-SA"/>
    </w:rPr>
  </w:style>
  <w:style w:type="character" w:customStyle="1" w:styleId="149">
    <w:name w:val="列表框2 Char"/>
    <w:link w:val="150"/>
    <w:qFormat/>
    <w:uiPriority w:val="0"/>
    <w:rPr>
      <w:snapToGrid w:val="0"/>
      <w:color w:val="7030A0"/>
      <w:spacing w:val="10"/>
      <w:sz w:val="24"/>
      <w:szCs w:val="24"/>
    </w:rPr>
  </w:style>
  <w:style w:type="paragraph" w:customStyle="1" w:styleId="150">
    <w:name w:val="列表框2"/>
    <w:basedOn w:val="1"/>
    <w:link w:val="149"/>
    <w:qFormat/>
    <w:uiPriority w:val="0"/>
    <w:pPr>
      <w:tabs>
        <w:tab w:val="left" w:pos="360"/>
        <w:tab w:val="left" w:pos="1628"/>
        <w:tab w:val="left" w:pos="2086"/>
      </w:tabs>
      <w:adjustRightInd w:val="0"/>
      <w:snapToGrid w:val="0"/>
      <w:ind w:left="1748" w:right="210" w:rightChars="100" w:hanging="434" w:firstLineChars="200"/>
      <w:jc w:val="left"/>
    </w:pPr>
    <w:rPr>
      <w:snapToGrid w:val="0"/>
      <w:color w:val="7030A0"/>
      <w:spacing w:val="10"/>
      <w:kern w:val="0"/>
      <w:sz w:val="24"/>
    </w:rPr>
  </w:style>
  <w:style w:type="character" w:customStyle="1" w:styleId="151">
    <w:name w:val="正文首行缩进 2 Char"/>
    <w:basedOn w:val="139"/>
    <w:link w:val="51"/>
    <w:qFormat/>
    <w:uiPriority w:val="0"/>
    <w:rPr>
      <w:rFonts w:ascii="宋体" w:hAnsi="宋体"/>
    </w:rPr>
  </w:style>
  <w:style w:type="character" w:customStyle="1" w:styleId="152">
    <w:name w:val="sub-dash Char"/>
    <w:qFormat/>
    <w:uiPriority w:val="0"/>
    <w:rPr>
      <w:rFonts w:ascii="Arial" w:hAnsi="Arial" w:eastAsia="黑体"/>
      <w:b/>
      <w:bCs/>
      <w:kern w:val="2"/>
      <w:sz w:val="24"/>
      <w:szCs w:val="24"/>
      <w:lang w:val="en-US" w:eastAsia="zh-CN" w:bidi="ar-SA"/>
    </w:rPr>
  </w:style>
  <w:style w:type="character" w:customStyle="1" w:styleId="153">
    <w:name w:val="五级标题格式 Char"/>
    <w:link w:val="154"/>
    <w:qFormat/>
    <w:uiPriority w:val="0"/>
    <w:rPr>
      <w:rFonts w:ascii="Times New Roman" w:hAnsi="Times New Roman"/>
      <w:b/>
      <w:bCs/>
      <w:kern w:val="2"/>
      <w:sz w:val="24"/>
      <w:szCs w:val="28"/>
    </w:rPr>
  </w:style>
  <w:style w:type="paragraph" w:customStyle="1" w:styleId="154">
    <w:name w:val="五级标题格式"/>
    <w:basedOn w:val="6"/>
    <w:link w:val="153"/>
    <w:qFormat/>
    <w:uiPriority w:val="0"/>
    <w:pPr>
      <w:keepNext w:val="0"/>
      <w:keepLines w:val="0"/>
      <w:tabs>
        <w:tab w:val="clear" w:pos="1008"/>
      </w:tabs>
      <w:spacing w:before="0" w:afterLines="50" w:line="240" w:lineRule="auto"/>
      <w:ind w:left="0" w:firstLine="0"/>
      <w:jc w:val="left"/>
    </w:pPr>
    <w:rPr>
      <w:bCs/>
      <w:sz w:val="24"/>
      <w:szCs w:val="28"/>
    </w:rPr>
  </w:style>
  <w:style w:type="character" w:customStyle="1" w:styleId="155">
    <w:name w:val="页眉 Char"/>
    <w:basedOn w:val="73"/>
    <w:link w:val="52"/>
    <w:qFormat/>
    <w:uiPriority w:val="0"/>
    <w:rPr>
      <w:rFonts w:ascii="Times New Roman" w:hAnsi="Times New Roman"/>
      <w:kern w:val="2"/>
      <w:sz w:val="18"/>
      <w:szCs w:val="18"/>
    </w:rPr>
  </w:style>
  <w:style w:type="character" w:customStyle="1" w:styleId="156">
    <w:name w:val="Char Char111"/>
    <w:qFormat/>
    <w:uiPriority w:val="0"/>
    <w:rPr>
      <w:rFonts w:eastAsia="宋体"/>
      <w:b/>
      <w:bCs/>
      <w:kern w:val="2"/>
      <w:sz w:val="24"/>
      <w:szCs w:val="24"/>
      <w:lang w:val="en-US" w:eastAsia="zh-CN" w:bidi="ar-SA"/>
    </w:rPr>
  </w:style>
  <w:style w:type="character" w:customStyle="1" w:styleId="157">
    <w:name w:val="表格文字图表文字 Char Char"/>
    <w:qFormat/>
    <w:uiPriority w:val="0"/>
    <w:rPr>
      <w:color w:val="7030A0"/>
      <w:kern w:val="2"/>
      <w:sz w:val="21"/>
    </w:rPr>
  </w:style>
  <w:style w:type="character" w:customStyle="1" w:styleId="158">
    <w:name w:val="标题 8 Char"/>
    <w:basedOn w:val="73"/>
    <w:link w:val="9"/>
    <w:qFormat/>
    <w:uiPriority w:val="0"/>
    <w:rPr>
      <w:rFonts w:ascii="Arial" w:hAnsi="Arial" w:eastAsia="黑体"/>
      <w:kern w:val="2"/>
      <w:sz w:val="24"/>
    </w:rPr>
  </w:style>
  <w:style w:type="character" w:customStyle="1" w:styleId="159">
    <w:name w:val="占位符文本1"/>
    <w:basedOn w:val="73"/>
    <w:semiHidden/>
    <w:qFormat/>
    <w:uiPriority w:val="99"/>
    <w:rPr>
      <w:color w:val="808080"/>
    </w:rPr>
  </w:style>
  <w:style w:type="character" w:customStyle="1" w:styleId="160">
    <w:name w:val="正文首行缩进 Char"/>
    <w:basedOn w:val="161"/>
    <w:link w:val="14"/>
    <w:qFormat/>
    <w:uiPriority w:val="0"/>
    <w:rPr>
      <w:color w:val="7030A0"/>
    </w:rPr>
  </w:style>
  <w:style w:type="character" w:customStyle="1" w:styleId="161">
    <w:name w:val="正文文本 Char"/>
    <w:basedOn w:val="73"/>
    <w:link w:val="31"/>
    <w:qFormat/>
    <w:uiPriority w:val="0"/>
    <w:rPr>
      <w:rFonts w:ascii="Times New Roman" w:hAnsi="Times New Roman"/>
      <w:kern w:val="2"/>
      <w:sz w:val="21"/>
      <w:szCs w:val="24"/>
    </w:rPr>
  </w:style>
  <w:style w:type="character" w:customStyle="1" w:styleId="162">
    <w:name w:val="正文段落格式 Char"/>
    <w:link w:val="163"/>
    <w:qFormat/>
    <w:uiPriority w:val="0"/>
    <w:rPr>
      <w:rFonts w:ascii="Times New Roman" w:hAnsi="Times New Roman"/>
      <w:color w:val="7030A0"/>
      <w:kern w:val="2"/>
      <w:sz w:val="24"/>
    </w:rPr>
  </w:style>
  <w:style w:type="paragraph" w:customStyle="1" w:styleId="163">
    <w:name w:val="正文段落格式"/>
    <w:basedOn w:val="106"/>
    <w:link w:val="162"/>
    <w:qFormat/>
    <w:uiPriority w:val="0"/>
    <w:pPr>
      <w:spacing w:afterLines="50" w:line="336" w:lineRule="auto"/>
    </w:pPr>
  </w:style>
  <w:style w:type="character" w:customStyle="1" w:styleId="164">
    <w:name w:val="表格文字 BJ8 Char Char"/>
    <w:link w:val="165"/>
    <w:qFormat/>
    <w:uiPriority w:val="0"/>
    <w:rPr>
      <w:rFonts w:ascii="Times New Roman" w:hAnsi="Times New Roman"/>
      <w:kern w:val="2"/>
      <w:sz w:val="21"/>
      <w:szCs w:val="21"/>
    </w:rPr>
  </w:style>
  <w:style w:type="paragraph" w:customStyle="1" w:styleId="165">
    <w:name w:val="表格文字 BJ8"/>
    <w:basedOn w:val="1"/>
    <w:link w:val="164"/>
    <w:qFormat/>
    <w:uiPriority w:val="0"/>
    <w:pPr>
      <w:adjustRightInd w:val="0"/>
      <w:snapToGrid w:val="0"/>
      <w:spacing w:line="400" w:lineRule="exact"/>
      <w:ind w:firstLine="200" w:firstLineChars="200"/>
      <w:jc w:val="center"/>
    </w:pPr>
    <w:rPr>
      <w:szCs w:val="21"/>
    </w:rPr>
  </w:style>
  <w:style w:type="character" w:customStyle="1" w:styleId="166">
    <w:name w:val="gpa"/>
    <w:basedOn w:val="73"/>
    <w:qFormat/>
    <w:uiPriority w:val="0"/>
    <w:rPr>
      <w:rFonts w:ascii="Arial" w:hAnsi="Arial" w:cs="Arial"/>
      <w:sz w:val="12"/>
      <w:szCs w:val="12"/>
    </w:rPr>
  </w:style>
  <w:style w:type="character" w:customStyle="1" w:styleId="167">
    <w:name w:val="样式 标题 31.1条标题1.1.1二级节名h3Heading 3 - oldheading 3H3H31H3... Char"/>
    <w:link w:val="168"/>
    <w:qFormat/>
    <w:uiPriority w:val="0"/>
    <w:rPr>
      <w:rFonts w:ascii="宋体" w:hAnsi="宋体" w:eastAsia="黑体"/>
      <w:kern w:val="2"/>
      <w:sz w:val="24"/>
      <w:szCs w:val="21"/>
    </w:rPr>
  </w:style>
  <w:style w:type="paragraph" w:customStyle="1" w:styleId="168">
    <w:name w:val="样式 标题 31.1条标题1.1.1二级节名h3Heading 3 - oldheading 3H3H31H3..."/>
    <w:basedOn w:val="4"/>
    <w:link w:val="167"/>
    <w:qFormat/>
    <w:uiPriority w:val="0"/>
    <w:pPr>
      <w:keepNext w:val="0"/>
      <w:keepLines w:val="0"/>
      <w:spacing w:before="240" w:after="120" w:line="480" w:lineRule="exact"/>
      <w:jc w:val="left"/>
    </w:pPr>
    <w:rPr>
      <w:rFonts w:ascii="宋体" w:hAnsi="宋体" w:eastAsia="黑体"/>
      <w:b w:val="0"/>
      <w:bCs w:val="0"/>
      <w:sz w:val="24"/>
      <w:szCs w:val="21"/>
    </w:rPr>
  </w:style>
  <w:style w:type="character" w:customStyle="1" w:styleId="169">
    <w:name w:val="标题2 Char Char"/>
    <w:link w:val="170"/>
    <w:qFormat/>
    <w:uiPriority w:val="0"/>
    <w:rPr>
      <w:rFonts w:ascii="宋体" w:hAnsi="Times New Roman"/>
      <w:b/>
      <w:color w:val="92D050"/>
      <w:kern w:val="44"/>
      <w:sz w:val="30"/>
    </w:rPr>
  </w:style>
  <w:style w:type="paragraph" w:customStyle="1" w:styleId="170">
    <w:name w:val="标题2"/>
    <w:basedOn w:val="2"/>
    <w:link w:val="169"/>
    <w:qFormat/>
    <w:uiPriority w:val="0"/>
    <w:pPr>
      <w:spacing w:before="0" w:after="0" w:line="312" w:lineRule="auto"/>
      <w:ind w:left="0" w:firstLine="0"/>
      <w:jc w:val="center"/>
    </w:pPr>
    <w:rPr>
      <w:rFonts w:ascii="宋体"/>
      <w:bCs w:val="0"/>
      <w:color w:val="92D050"/>
      <w:sz w:val="30"/>
      <w:szCs w:val="20"/>
    </w:rPr>
  </w:style>
  <w:style w:type="character" w:customStyle="1" w:styleId="171">
    <w:name w:val="Char Char2"/>
    <w:qFormat/>
    <w:uiPriority w:val="0"/>
    <w:rPr>
      <w:rFonts w:eastAsia="仿宋_GB2312"/>
      <w:kern w:val="2"/>
      <w:sz w:val="28"/>
      <w:lang w:val="en-US" w:eastAsia="zh-CN" w:bidi="ar-SA"/>
    </w:rPr>
  </w:style>
  <w:style w:type="character" w:customStyle="1" w:styleId="172">
    <w:name w:val="标题 7 Char"/>
    <w:basedOn w:val="73"/>
    <w:link w:val="8"/>
    <w:qFormat/>
    <w:uiPriority w:val="0"/>
    <w:rPr>
      <w:rFonts w:ascii="Times New Roman" w:hAnsi="Times New Roman"/>
      <w:b/>
      <w:kern w:val="2"/>
      <w:sz w:val="24"/>
    </w:rPr>
  </w:style>
  <w:style w:type="character" w:customStyle="1" w:styleId="173">
    <w:name w:val="2 headline Char Char"/>
    <w:qFormat/>
    <w:uiPriority w:val="0"/>
    <w:rPr>
      <w:rFonts w:eastAsia="黑体"/>
      <w:bCs/>
      <w:kern w:val="2"/>
      <w:sz w:val="28"/>
      <w:szCs w:val="28"/>
      <w:lang w:val="en-US" w:eastAsia="zh-CN" w:bidi="ar-SA"/>
    </w:rPr>
  </w:style>
  <w:style w:type="character" w:customStyle="1" w:styleId="174">
    <w:name w:val="正文 QD3 Char Char"/>
    <w:link w:val="175"/>
    <w:qFormat/>
    <w:uiPriority w:val="0"/>
    <w:rPr>
      <w:rFonts w:ascii="Times New Roman" w:hAnsi="Times New Roman"/>
      <w:kern w:val="2"/>
      <w:sz w:val="24"/>
      <w:szCs w:val="24"/>
    </w:rPr>
  </w:style>
  <w:style w:type="paragraph" w:customStyle="1" w:styleId="175">
    <w:name w:val="正文 QD3"/>
    <w:basedOn w:val="1"/>
    <w:link w:val="174"/>
    <w:qFormat/>
    <w:uiPriority w:val="0"/>
    <w:pPr>
      <w:adjustRightInd w:val="0"/>
      <w:snapToGrid w:val="0"/>
      <w:spacing w:line="360" w:lineRule="auto"/>
      <w:ind w:firstLine="200" w:firstLineChars="200"/>
      <w:jc w:val="left"/>
    </w:pPr>
    <w:rPr>
      <w:sz w:val="24"/>
    </w:rPr>
  </w:style>
  <w:style w:type="character" w:customStyle="1" w:styleId="176">
    <w:name w:val="正文 BJ8 Char Char"/>
    <w:link w:val="177"/>
    <w:qFormat/>
    <w:uiPriority w:val="0"/>
    <w:rPr>
      <w:rFonts w:ascii="Times New Roman" w:hAnsi="Times New Roman"/>
      <w:color w:val="7030A0"/>
      <w:kern w:val="2"/>
      <w:sz w:val="24"/>
      <w:szCs w:val="24"/>
    </w:rPr>
  </w:style>
  <w:style w:type="paragraph" w:customStyle="1" w:styleId="177">
    <w:name w:val="正文 BJ8"/>
    <w:basedOn w:val="1"/>
    <w:link w:val="176"/>
    <w:qFormat/>
    <w:uiPriority w:val="0"/>
    <w:pPr>
      <w:adjustRightInd w:val="0"/>
      <w:snapToGrid w:val="0"/>
      <w:spacing w:line="360" w:lineRule="auto"/>
      <w:ind w:firstLine="200" w:firstLineChars="200"/>
      <w:jc w:val="left"/>
    </w:pPr>
    <w:rPr>
      <w:color w:val="7030A0"/>
      <w:sz w:val="24"/>
    </w:rPr>
  </w:style>
  <w:style w:type="character" w:customStyle="1" w:styleId="178">
    <w:name w:val="书籍标题1"/>
    <w:qFormat/>
    <w:uiPriority w:val="33"/>
    <w:rPr>
      <w:b/>
      <w:bCs/>
      <w:smallCaps/>
      <w:spacing w:val="5"/>
    </w:rPr>
  </w:style>
  <w:style w:type="character" w:customStyle="1" w:styleId="179">
    <w:name w:val="Char Char8"/>
    <w:qFormat/>
    <w:uiPriority w:val="0"/>
    <w:rPr>
      <w:rFonts w:eastAsia="宋体"/>
      <w:kern w:val="2"/>
      <w:sz w:val="21"/>
      <w:lang w:val="en-US" w:eastAsia="zh-CN" w:bidi="ar-SA"/>
    </w:rPr>
  </w:style>
  <w:style w:type="character" w:customStyle="1" w:styleId="180">
    <w:name w:val="正文文本缩进 Char1"/>
    <w:link w:val="32"/>
    <w:qFormat/>
    <w:uiPriority w:val="0"/>
    <w:rPr>
      <w:rFonts w:ascii="宋体" w:hAnsi="Times New Roman"/>
      <w:kern w:val="2"/>
      <w:sz w:val="21"/>
    </w:rPr>
  </w:style>
  <w:style w:type="character" w:customStyle="1" w:styleId="181">
    <w:name w:val="正文1 Char"/>
    <w:link w:val="182"/>
    <w:qFormat/>
    <w:uiPriority w:val="0"/>
    <w:rPr>
      <w:rFonts w:ascii="Times New Roman" w:hAnsi="Times New Roman"/>
      <w:kern w:val="2"/>
      <w:sz w:val="24"/>
    </w:rPr>
  </w:style>
  <w:style w:type="paragraph" w:customStyle="1" w:styleId="182">
    <w:name w:val="正文1"/>
    <w:basedOn w:val="1"/>
    <w:link w:val="181"/>
    <w:qFormat/>
    <w:uiPriority w:val="0"/>
    <w:pPr>
      <w:tabs>
        <w:tab w:val="left" w:pos="720"/>
        <w:tab w:val="right" w:pos="1191"/>
      </w:tabs>
      <w:spacing w:line="360" w:lineRule="auto"/>
      <w:ind w:left="720" w:hanging="360"/>
    </w:pPr>
    <w:rPr>
      <w:sz w:val="24"/>
      <w:szCs w:val="20"/>
    </w:rPr>
  </w:style>
  <w:style w:type="character" w:customStyle="1" w:styleId="183">
    <w:name w:val="HTML 预设格式 Char"/>
    <w:basedOn w:val="73"/>
    <w:link w:val="69"/>
    <w:qFormat/>
    <w:uiPriority w:val="99"/>
    <w:rPr>
      <w:rFonts w:ascii="Arial" w:hAnsi="Arial"/>
      <w:sz w:val="21"/>
      <w:szCs w:val="21"/>
    </w:rPr>
  </w:style>
  <w:style w:type="character" w:customStyle="1" w:styleId="184">
    <w:name w:val="批注框文本 Char"/>
    <w:basedOn w:val="73"/>
    <w:link w:val="49"/>
    <w:qFormat/>
    <w:uiPriority w:val="0"/>
    <w:rPr>
      <w:rFonts w:ascii="Times New Roman" w:hAnsi="Times New Roman" w:eastAsia="宋体" w:cs="Times New Roman"/>
      <w:sz w:val="18"/>
      <w:szCs w:val="18"/>
    </w:rPr>
  </w:style>
  <w:style w:type="character" w:customStyle="1" w:styleId="185">
    <w:name w:val="正文1 Char Char"/>
    <w:qFormat/>
    <w:uiPriority w:val="0"/>
    <w:rPr>
      <w:rFonts w:ascii="宋体" w:hAnsi="宋体"/>
      <w:kern w:val="10"/>
      <w:sz w:val="21"/>
      <w:szCs w:val="24"/>
    </w:rPr>
  </w:style>
  <w:style w:type="character" w:customStyle="1" w:styleId="186">
    <w:name w:val="页脚 Char"/>
    <w:basedOn w:val="73"/>
    <w:link w:val="50"/>
    <w:qFormat/>
    <w:uiPriority w:val="99"/>
    <w:rPr>
      <w:rFonts w:ascii="Times New Roman" w:hAnsi="Times New Roman"/>
      <w:kern w:val="2"/>
      <w:sz w:val="18"/>
      <w:szCs w:val="18"/>
    </w:rPr>
  </w:style>
  <w:style w:type="character" w:customStyle="1" w:styleId="187">
    <w:name w:val="列表框2 Char Char"/>
    <w:qFormat/>
    <w:uiPriority w:val="0"/>
    <w:rPr>
      <w:snapToGrid/>
      <w:color w:val="7030A0"/>
      <w:spacing w:val="10"/>
      <w:sz w:val="24"/>
      <w:szCs w:val="24"/>
    </w:rPr>
  </w:style>
  <w:style w:type="character" w:customStyle="1" w:styleId="188">
    <w:name w:val="标题3 Char Char"/>
    <w:qFormat/>
    <w:uiPriority w:val="0"/>
    <w:rPr>
      <w:rFonts w:ascii="宋体" w:hAnsi="宋体"/>
      <w:b/>
      <w:bCs/>
      <w:color w:val="92D050"/>
      <w:kern w:val="44"/>
      <w:sz w:val="24"/>
      <w:szCs w:val="21"/>
    </w:rPr>
  </w:style>
  <w:style w:type="character" w:customStyle="1" w:styleId="189">
    <w:name w:val="标题 3 Char"/>
    <w:basedOn w:val="73"/>
    <w:link w:val="4"/>
    <w:qFormat/>
    <w:uiPriority w:val="0"/>
    <w:rPr>
      <w:rFonts w:ascii="Times New Roman" w:hAnsi="Times New Roman"/>
      <w:b/>
      <w:bCs/>
      <w:kern w:val="2"/>
      <w:sz w:val="32"/>
      <w:szCs w:val="32"/>
    </w:rPr>
  </w:style>
  <w:style w:type="character" w:customStyle="1" w:styleId="190">
    <w:name w:val="标题 1 Char"/>
    <w:basedOn w:val="73"/>
    <w:link w:val="2"/>
    <w:qFormat/>
    <w:uiPriority w:val="0"/>
    <w:rPr>
      <w:rFonts w:ascii="Times New Roman" w:hAnsi="Times New Roman"/>
      <w:b/>
      <w:bCs/>
      <w:kern w:val="44"/>
      <w:sz w:val="44"/>
      <w:szCs w:val="44"/>
    </w:rPr>
  </w:style>
  <w:style w:type="character" w:customStyle="1" w:styleId="191">
    <w:name w:val="标题 6 Char"/>
    <w:basedOn w:val="73"/>
    <w:link w:val="7"/>
    <w:qFormat/>
    <w:uiPriority w:val="0"/>
    <w:rPr>
      <w:rFonts w:ascii="Arial" w:hAnsi="Arial" w:eastAsia="黑体"/>
      <w:b/>
      <w:kern w:val="2"/>
      <w:sz w:val="24"/>
    </w:rPr>
  </w:style>
  <w:style w:type="character" w:customStyle="1" w:styleId="192">
    <w:name w:val="文档结构图 Char"/>
    <w:basedOn w:val="73"/>
    <w:link w:val="25"/>
    <w:qFormat/>
    <w:uiPriority w:val="0"/>
    <w:rPr>
      <w:rFonts w:ascii="宋体" w:hAnsi="Times New Roman" w:eastAsia="宋体" w:cs="Times New Roman"/>
      <w:sz w:val="18"/>
      <w:szCs w:val="18"/>
    </w:rPr>
  </w:style>
  <w:style w:type="character" w:customStyle="1" w:styleId="193">
    <w:name w:val="样式 宋体 行距: 固定值 24 磅 Char Char"/>
    <w:qFormat/>
    <w:uiPriority w:val="0"/>
    <w:rPr>
      <w:rFonts w:ascii="宋体" w:cs="宋体"/>
      <w:color w:val="7030A0"/>
      <w:kern w:val="2"/>
      <w:sz w:val="28"/>
    </w:rPr>
  </w:style>
  <w:style w:type="character" w:customStyle="1" w:styleId="194">
    <w:name w:val="样式 Char Char"/>
    <w:link w:val="195"/>
    <w:qFormat/>
    <w:uiPriority w:val="0"/>
    <w:rPr>
      <w:rFonts w:ascii="宋体" w:hAnsi="宋体" w:cs="宋体"/>
      <w:sz w:val="24"/>
      <w:szCs w:val="24"/>
      <w:lang w:val="en-US" w:eastAsia="zh-CN" w:bidi="ar-SA"/>
    </w:rPr>
  </w:style>
  <w:style w:type="paragraph" w:customStyle="1" w:styleId="195">
    <w:name w:val="样式"/>
    <w:link w:val="19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96">
    <w:name w:val="无编号正文 Char Char"/>
    <w:link w:val="197"/>
    <w:qFormat/>
    <w:uiPriority w:val="0"/>
    <w:rPr>
      <w:rFonts w:ascii="宋体" w:hAnsi="宋体"/>
      <w:sz w:val="24"/>
      <w:szCs w:val="24"/>
    </w:rPr>
  </w:style>
  <w:style w:type="paragraph" w:customStyle="1" w:styleId="197">
    <w:name w:val="无编号正文"/>
    <w:basedOn w:val="31"/>
    <w:next w:val="1"/>
    <w:link w:val="196"/>
    <w:qFormat/>
    <w:uiPriority w:val="0"/>
    <w:pPr>
      <w:ind w:left="200" w:leftChars="200" w:firstLine="200" w:firstLineChars="200"/>
    </w:pPr>
    <w:rPr>
      <w:rFonts w:ascii="宋体" w:hAnsi="宋体"/>
      <w:kern w:val="0"/>
      <w:szCs w:val="24"/>
    </w:rPr>
  </w:style>
  <w:style w:type="character" w:customStyle="1" w:styleId="198">
    <w:name w:val="表图名称 Char Char"/>
    <w:link w:val="199"/>
    <w:qFormat/>
    <w:uiPriority w:val="0"/>
    <w:rPr>
      <w:rFonts w:ascii="黑体" w:hAnsi="宋体" w:eastAsia="黑体"/>
      <w:kern w:val="2"/>
      <w:sz w:val="24"/>
      <w:szCs w:val="24"/>
      <w:lang w:val="en-US" w:eastAsia="zh-CN" w:bidi="ar-SA"/>
    </w:rPr>
  </w:style>
  <w:style w:type="paragraph" w:customStyle="1" w:styleId="199">
    <w:name w:val="表图名称"/>
    <w:link w:val="198"/>
    <w:qFormat/>
    <w:uiPriority w:val="0"/>
    <w:pPr>
      <w:widowControl w:val="0"/>
      <w:tabs>
        <w:tab w:val="left" w:pos="6120"/>
        <w:tab w:val="left" w:pos="13784"/>
      </w:tabs>
      <w:adjustRightInd w:val="0"/>
      <w:snapToGrid w:val="0"/>
      <w:spacing w:line="360" w:lineRule="auto"/>
      <w:jc w:val="center"/>
    </w:pPr>
    <w:rPr>
      <w:rFonts w:ascii="黑体" w:hAnsi="宋体" w:eastAsia="黑体" w:cs="Times New Roman"/>
      <w:kern w:val="2"/>
      <w:sz w:val="24"/>
      <w:szCs w:val="24"/>
      <w:lang w:val="en-US" w:eastAsia="zh-CN" w:bidi="ar-SA"/>
    </w:rPr>
  </w:style>
  <w:style w:type="character" w:customStyle="1" w:styleId="200">
    <w:name w:val="列表框1 Char Char"/>
    <w:qFormat/>
    <w:uiPriority w:val="0"/>
    <w:rPr>
      <w:rFonts w:ascii="Arial" w:hAnsi="Arial" w:eastAsia="楷体_GB2312" w:cs="Arial"/>
      <w:spacing w:val="10"/>
      <w:sz w:val="21"/>
      <w:lang w:val="en-US" w:eastAsia="zh-CN" w:bidi="ar-SA"/>
    </w:rPr>
  </w:style>
  <w:style w:type="character" w:customStyle="1" w:styleId="201">
    <w:name w:val="表格文字图表文字 Char"/>
    <w:link w:val="202"/>
    <w:qFormat/>
    <w:uiPriority w:val="0"/>
    <w:rPr>
      <w:rFonts w:ascii="Times New Roman" w:hAnsi="Times New Roman"/>
      <w:color w:val="7030A0"/>
      <w:kern w:val="2"/>
      <w:sz w:val="21"/>
    </w:rPr>
  </w:style>
  <w:style w:type="paragraph" w:customStyle="1" w:styleId="202">
    <w:name w:val="表格文字图表文字"/>
    <w:basedOn w:val="1"/>
    <w:link w:val="201"/>
    <w:qFormat/>
    <w:uiPriority w:val="0"/>
    <w:pPr>
      <w:snapToGrid w:val="0"/>
      <w:ind w:firstLine="200" w:firstLineChars="200"/>
      <w:jc w:val="center"/>
    </w:pPr>
    <w:rPr>
      <w:color w:val="7030A0"/>
      <w:szCs w:val="20"/>
    </w:rPr>
  </w:style>
  <w:style w:type="character" w:customStyle="1" w:styleId="203">
    <w:name w:val="批注文字 Char1"/>
    <w:semiHidden/>
    <w:qFormat/>
    <w:uiPriority w:val="0"/>
    <w:rPr>
      <w:kern w:val="2"/>
      <w:sz w:val="24"/>
      <w:szCs w:val="24"/>
    </w:rPr>
  </w:style>
  <w:style w:type="paragraph" w:customStyle="1" w:styleId="204">
    <w:name w:val="xl51"/>
    <w:basedOn w:val="1"/>
    <w:qFormat/>
    <w:uiPriority w:val="0"/>
    <w:pPr>
      <w:widowControl/>
      <w:pBdr>
        <w:top w:val="single" w:color="auto" w:sz="4" w:space="0"/>
        <w:bottom w:val="single" w:color="auto" w:sz="4" w:space="0"/>
        <w:right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05">
    <w:name w:val="通用"/>
    <w:basedOn w:val="1"/>
    <w:qFormat/>
    <w:uiPriority w:val="0"/>
    <w:pPr>
      <w:spacing w:line="360" w:lineRule="auto"/>
      <w:ind w:left="840" w:leftChars="400"/>
    </w:pPr>
    <w:rPr>
      <w:rFonts w:ascii="宋体" w:hAnsi="宋体"/>
      <w:szCs w:val="20"/>
    </w:rPr>
  </w:style>
  <w:style w:type="paragraph" w:customStyle="1" w:styleId="206">
    <w:name w:val="样式 目录 1 + 首行缩进:  2 字符"/>
    <w:basedOn w:val="1"/>
    <w:qFormat/>
    <w:uiPriority w:val="0"/>
    <w:pPr>
      <w:adjustRightInd w:val="0"/>
      <w:snapToGrid w:val="0"/>
      <w:spacing w:line="360" w:lineRule="auto"/>
      <w:ind w:firstLine="200" w:firstLineChars="200"/>
      <w:jc w:val="center"/>
    </w:pPr>
    <w:rPr>
      <w:rFonts w:cs="宋体"/>
      <w:b/>
      <w:bCs/>
      <w:caps/>
      <w:color w:val="7030A0"/>
      <w:sz w:val="30"/>
      <w:szCs w:val="28"/>
    </w:rPr>
  </w:style>
  <w:style w:type="paragraph" w:customStyle="1" w:styleId="207">
    <w:name w:val="1"/>
    <w:basedOn w:val="1"/>
    <w:next w:val="67"/>
    <w:qFormat/>
    <w:uiPriority w:val="0"/>
    <w:pPr>
      <w:spacing w:after="120" w:line="480" w:lineRule="auto"/>
      <w:ind w:firstLine="200" w:firstLineChars="200"/>
      <w:jc w:val="left"/>
    </w:pPr>
    <w:rPr>
      <w:color w:val="7030A0"/>
    </w:rPr>
  </w:style>
  <w:style w:type="paragraph" w:customStyle="1" w:styleId="2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209">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210">
    <w:name w:val="zhengwen"/>
    <w:basedOn w:val="1"/>
    <w:qFormat/>
    <w:uiPriority w:val="0"/>
    <w:pPr>
      <w:tabs>
        <w:tab w:val="left" w:pos="1077"/>
      </w:tabs>
      <w:adjustRightInd w:val="0"/>
      <w:snapToGrid w:val="0"/>
      <w:spacing w:line="520" w:lineRule="exact"/>
      <w:ind w:left="1077" w:firstLine="200" w:firstLineChars="200"/>
      <w:jc w:val="left"/>
    </w:pPr>
    <w:rPr>
      <w:bCs/>
      <w:color w:val="7030A0"/>
      <w:sz w:val="28"/>
    </w:rPr>
  </w:style>
  <w:style w:type="paragraph" w:customStyle="1" w:styleId="211">
    <w:name w:val="样式 宋体 行距: 1.5 倍行距"/>
    <w:basedOn w:val="1"/>
    <w:qFormat/>
    <w:uiPriority w:val="0"/>
    <w:pPr>
      <w:ind w:firstLine="200" w:firstLineChars="200"/>
      <w:jc w:val="left"/>
    </w:pPr>
    <w:rPr>
      <w:rFonts w:ascii="宋体" w:hAnsi="宋体"/>
      <w:color w:val="7030A0"/>
      <w:szCs w:val="20"/>
    </w:rPr>
  </w:style>
  <w:style w:type="paragraph" w:customStyle="1" w:styleId="212">
    <w:name w:val="样式 左侧:  2 字符 段前: 0.5 行"/>
    <w:basedOn w:val="1"/>
    <w:qFormat/>
    <w:uiPriority w:val="0"/>
    <w:pPr>
      <w:spacing w:beforeLines="50"/>
      <w:ind w:firstLine="200" w:firstLineChars="200"/>
    </w:pPr>
    <w:rPr>
      <w:rFonts w:ascii="宋体" w:cs="宋体"/>
      <w:sz w:val="24"/>
      <w:szCs w:val="20"/>
    </w:rPr>
  </w:style>
  <w:style w:type="paragraph" w:customStyle="1" w:styleId="213">
    <w:name w:val="八级正文格式"/>
    <w:basedOn w:val="163"/>
    <w:qFormat/>
    <w:uiPriority w:val="0"/>
    <w:pPr>
      <w:spacing w:after="120"/>
      <w:ind w:firstLine="0" w:firstLineChars="0"/>
    </w:pPr>
  </w:style>
  <w:style w:type="paragraph" w:customStyle="1" w:styleId="2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Cs w:val="21"/>
    </w:rPr>
  </w:style>
  <w:style w:type="paragraph" w:customStyle="1" w:styleId="215">
    <w:name w:val="样式 样式 列表框 Char Char Char Char Char + 段后: 0.5 行 + 左侧:  6 字符 首行缩进..."/>
    <w:basedOn w:val="216"/>
    <w:qFormat/>
    <w:uiPriority w:val="0"/>
    <w:pPr>
      <w:tabs>
        <w:tab w:val="left" w:pos="420"/>
        <w:tab w:val="left" w:pos="2297"/>
      </w:tabs>
      <w:ind w:left="2297" w:leftChars="0" w:hanging="420" w:firstLineChars="0"/>
    </w:pPr>
  </w:style>
  <w:style w:type="paragraph" w:customStyle="1" w:styleId="216">
    <w:name w:val="样式 列表框 Char Char Char Char Char + 段后: 0.5 行"/>
    <w:basedOn w:val="217"/>
    <w:qFormat/>
    <w:uiPriority w:val="0"/>
    <w:pPr>
      <w:tabs>
        <w:tab w:val="left" w:pos="420"/>
      </w:tabs>
      <w:spacing w:after="156"/>
    </w:pPr>
    <w:rPr>
      <w:szCs w:val="20"/>
    </w:rPr>
  </w:style>
  <w:style w:type="paragraph" w:customStyle="1" w:styleId="217">
    <w:name w:val="正常文本 Char Char Char Char Char Char Char Char Char Char Char Char Char Char"/>
    <w:basedOn w:val="1"/>
    <w:qFormat/>
    <w:uiPriority w:val="0"/>
    <w:pPr>
      <w:spacing w:afterLines="50" w:line="320" w:lineRule="exact"/>
      <w:ind w:left="600" w:leftChars="600" w:firstLine="208" w:firstLineChars="208"/>
      <w:jc w:val="left"/>
    </w:pPr>
    <w:rPr>
      <w:rFonts w:ascii="宋体" w:hAnsi="宋体" w:eastAsia="楷体_GB2312"/>
      <w:color w:val="7030A0"/>
      <w:szCs w:val="18"/>
    </w:rPr>
  </w:style>
  <w:style w:type="paragraph" w:customStyle="1" w:styleId="21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19">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2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22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22">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223">
    <w:name w:val="正文文本缩进 21"/>
    <w:basedOn w:val="1"/>
    <w:qFormat/>
    <w:uiPriority w:val="0"/>
    <w:pPr>
      <w:autoSpaceDE w:val="0"/>
      <w:autoSpaceDN w:val="0"/>
      <w:adjustRightInd w:val="0"/>
      <w:spacing w:line="360" w:lineRule="auto"/>
      <w:ind w:firstLine="360" w:firstLineChars="200"/>
      <w:jc w:val="left"/>
      <w:textAlignment w:val="baseline"/>
    </w:pPr>
    <w:rPr>
      <w:rFonts w:ascii="宋体"/>
      <w:color w:val="7030A0"/>
      <w:sz w:val="24"/>
      <w:szCs w:val="20"/>
    </w:rPr>
  </w:style>
  <w:style w:type="paragraph" w:customStyle="1" w:styleId="224">
    <w:name w:val="批注框文本1"/>
    <w:basedOn w:val="1"/>
    <w:qFormat/>
    <w:uiPriority w:val="0"/>
    <w:rPr>
      <w:sz w:val="16"/>
      <w:szCs w:val="16"/>
    </w:rPr>
  </w:style>
  <w:style w:type="paragraph" w:customStyle="1" w:styleId="225">
    <w:name w:val="*"/>
    <w:basedOn w:val="1"/>
    <w:qFormat/>
    <w:uiPriority w:val="0"/>
    <w:pPr>
      <w:spacing w:line="360" w:lineRule="auto"/>
    </w:pPr>
    <w:rPr>
      <w:rFonts w:ascii="宋体" w:hAnsi="宋体"/>
      <w:kern w:val="0"/>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27">
    <w:name w:val="表格标题"/>
    <w:basedOn w:val="6"/>
    <w:qFormat/>
    <w:uiPriority w:val="0"/>
    <w:pPr>
      <w:keepNext w:val="0"/>
      <w:keepLines w:val="0"/>
      <w:tabs>
        <w:tab w:val="clear" w:pos="1008"/>
      </w:tabs>
      <w:spacing w:before="0" w:after="0" w:line="240" w:lineRule="auto"/>
      <w:ind w:left="0" w:firstLine="0"/>
      <w:jc w:val="center"/>
      <w:outlineLvl w:val="8"/>
    </w:pPr>
    <w:rPr>
      <w:b w:val="0"/>
      <w:bCs/>
      <w:sz w:val="21"/>
      <w:szCs w:val="28"/>
      <w:lang w:val="zh-CN"/>
    </w:rPr>
  </w:style>
  <w:style w:type="paragraph" w:customStyle="1" w:styleId="228">
    <w:name w:val="七级标题格式"/>
    <w:basedOn w:val="1"/>
    <w:qFormat/>
    <w:uiPriority w:val="0"/>
    <w:pPr>
      <w:spacing w:afterLines="50" w:line="336" w:lineRule="auto"/>
      <w:ind w:firstLine="200" w:firstLineChars="200"/>
      <w:jc w:val="left"/>
      <w:outlineLvl w:val="6"/>
    </w:pPr>
    <w:rPr>
      <w:color w:val="7030A0"/>
      <w:sz w:val="24"/>
    </w:rPr>
  </w:style>
  <w:style w:type="paragraph" w:customStyle="1" w:styleId="229">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230">
    <w:name w:val="表格文字"/>
    <w:basedOn w:val="202"/>
    <w:qFormat/>
    <w:uiPriority w:val="0"/>
  </w:style>
  <w:style w:type="paragraph" w:customStyle="1" w:styleId="231">
    <w:name w:val="二级标题格式"/>
    <w:basedOn w:val="3"/>
    <w:qFormat/>
    <w:uiPriority w:val="0"/>
    <w:pPr>
      <w:keepNext w:val="0"/>
      <w:keepLines w:val="0"/>
      <w:spacing w:before="0" w:afterLines="100" w:line="240" w:lineRule="auto"/>
      <w:jc w:val="left"/>
    </w:pPr>
    <w:rPr>
      <w:rFonts w:ascii="Times New Roman" w:hAnsi="Times New Roman"/>
      <w:b w:val="0"/>
      <w:color w:val="C00000"/>
      <w:sz w:val="28"/>
      <w:szCs w:val="28"/>
    </w:rPr>
  </w:style>
  <w:style w:type="paragraph" w:customStyle="1" w:styleId="232">
    <w:name w:val="样式 标题 1标题 1 1编号标题1标题1 + 宋体 加粗"/>
    <w:basedOn w:val="2"/>
    <w:qFormat/>
    <w:uiPriority w:val="0"/>
    <w:pPr>
      <w:keepNext w:val="0"/>
      <w:tabs>
        <w:tab w:val="left" w:pos="2340"/>
        <w:tab w:val="clear" w:pos="1440"/>
      </w:tabs>
      <w:spacing w:before="240" w:afterLines="50" w:line="360" w:lineRule="exact"/>
      <w:ind w:left="1304" w:hanging="1304"/>
      <w:jc w:val="left"/>
    </w:pPr>
    <w:rPr>
      <w:rFonts w:ascii="宋体" w:hAnsi="宋体" w:cs="Arial"/>
      <w:sz w:val="28"/>
      <w:szCs w:val="28"/>
    </w:rPr>
  </w:style>
  <w:style w:type="paragraph" w:customStyle="1" w:styleId="233">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34">
    <w:name w:val="列表框 Char Char Char Char Char"/>
    <w:basedOn w:val="217"/>
    <w:next w:val="217"/>
    <w:qFormat/>
    <w:uiPriority w:val="0"/>
    <w:pPr>
      <w:tabs>
        <w:tab w:val="left" w:pos="450"/>
        <w:tab w:val="left" w:pos="874"/>
      </w:tabs>
      <w:adjustRightInd w:val="0"/>
      <w:snapToGrid w:val="0"/>
      <w:ind w:left="874" w:leftChars="0" w:right="-5" w:rightChars="-5" w:hanging="420" w:firstLineChars="0"/>
    </w:pPr>
    <w:rPr>
      <w:rFonts w:ascii="Times New Roman" w:hAnsi="Times New Roman"/>
      <w:szCs w:val="21"/>
    </w:rPr>
  </w:style>
  <w:style w:type="paragraph" w:customStyle="1" w:styleId="235">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236">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3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38">
    <w:name w:val="Sprechblasentext"/>
    <w:basedOn w:val="1"/>
    <w:qFormat/>
    <w:uiPriority w:val="0"/>
    <w:pPr>
      <w:spacing w:line="300" w:lineRule="atLeast"/>
      <w:ind w:firstLine="709"/>
    </w:pPr>
    <w:rPr>
      <w:rFonts w:ascii="Tahoma" w:hAnsi="Tahoma" w:cs="Tahoma"/>
      <w:sz w:val="16"/>
      <w:szCs w:val="16"/>
    </w:rPr>
  </w:style>
  <w:style w:type="paragraph" w:customStyle="1" w:styleId="239">
    <w:name w:val="p0"/>
    <w:basedOn w:val="1"/>
    <w:qFormat/>
    <w:uiPriority w:val="0"/>
    <w:pPr>
      <w:widowControl/>
    </w:pPr>
    <w:rPr>
      <w:kern w:val="0"/>
      <w:szCs w:val="21"/>
    </w:rPr>
  </w:style>
  <w:style w:type="paragraph" w:customStyle="1" w:styleId="240">
    <w:name w:val="样式 样式 标题 3 + 段前: 1 行 段后: 0.5 行 + 段前: 1 行 段后: 0.5 行"/>
    <w:basedOn w:val="1"/>
    <w:qFormat/>
    <w:uiPriority w:val="0"/>
    <w:pPr>
      <w:keepNext/>
      <w:keepLines/>
      <w:spacing w:beforeLines="100" w:afterLines="50"/>
      <w:ind w:firstLine="200" w:firstLineChars="200"/>
      <w:jc w:val="left"/>
      <w:outlineLvl w:val="2"/>
    </w:pPr>
    <w:rPr>
      <w:rFonts w:eastAsia="黑体" w:cs="宋体"/>
      <w:bCs/>
      <w:color w:val="7030A0"/>
      <w:sz w:val="22"/>
      <w:szCs w:val="22"/>
    </w:rPr>
  </w:style>
  <w:style w:type="paragraph" w:customStyle="1" w:styleId="241">
    <w:name w:val="表格正文"/>
    <w:basedOn w:val="1"/>
    <w:next w:val="1"/>
    <w:qFormat/>
    <w:uiPriority w:val="0"/>
    <w:pPr>
      <w:adjustRightInd w:val="0"/>
      <w:snapToGrid w:val="0"/>
      <w:jc w:val="center"/>
    </w:pPr>
    <w:rPr>
      <w:color w:val="548DD4"/>
    </w:rPr>
  </w:style>
  <w:style w:type="paragraph" w:customStyle="1" w:styleId="242">
    <w:name w:val="样式1"/>
    <w:basedOn w:val="52"/>
    <w:next w:val="1"/>
    <w:qFormat/>
    <w:uiPriority w:val="0"/>
    <w:pPr>
      <w:jc w:val="left"/>
    </w:pPr>
  </w:style>
  <w:style w:type="paragraph" w:customStyle="1" w:styleId="243">
    <w:name w:val="_Style 1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46">
    <w:name w:val="Body text 1"/>
    <w:basedOn w:val="1"/>
    <w:qFormat/>
    <w:uiPriority w:val="0"/>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24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8">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24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Cs w:val="21"/>
    </w:rPr>
  </w:style>
  <w:style w:type="paragraph" w:customStyle="1" w:styleId="250">
    <w:name w:val="默认段落字体 Para Char Char Char Char Char Char Char"/>
    <w:basedOn w:val="1"/>
    <w:qFormat/>
    <w:uiPriority w:val="0"/>
    <w:pPr>
      <w:tabs>
        <w:tab w:val="left" w:pos="4665"/>
        <w:tab w:val="left" w:pos="8970"/>
      </w:tabs>
      <w:ind w:firstLine="400"/>
    </w:pPr>
    <w:rPr>
      <w:szCs w:val="20"/>
    </w:rPr>
  </w:style>
  <w:style w:type="paragraph" w:customStyle="1" w:styleId="25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252">
    <w:name w:val="xl40"/>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253">
    <w:name w:val="招标文件》"/>
    <w:basedOn w:val="254"/>
    <w:qFormat/>
    <w:uiPriority w:val="0"/>
    <w:pPr>
      <w:tabs>
        <w:tab w:val="left" w:pos="560"/>
      </w:tabs>
      <w:ind w:left="200" w:firstLine="0" w:firstLineChars="0"/>
    </w:pPr>
  </w:style>
  <w:style w:type="paragraph" w:customStyle="1" w:styleId="25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55">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256">
    <w:name w:val="列出段落1"/>
    <w:basedOn w:val="1"/>
    <w:qFormat/>
    <w:uiPriority w:val="34"/>
    <w:pPr>
      <w:ind w:firstLine="420" w:firstLineChars="200"/>
    </w:pPr>
    <w:rPr>
      <w:szCs w:val="20"/>
    </w:rPr>
  </w:style>
  <w:style w:type="paragraph" w:customStyle="1" w:styleId="257">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8">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59">
    <w:name w:val="xl52"/>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60">
    <w:name w:val="正文3"/>
    <w:qFormat/>
    <w:uiPriority w:val="0"/>
    <w:pPr>
      <w:spacing w:line="40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61">
    <w:name w:val="Char1 Char Char1 Char Char Char Char Char Char"/>
    <w:basedOn w:val="1"/>
    <w:qFormat/>
    <w:uiPriority w:val="0"/>
  </w:style>
  <w:style w:type="paragraph" w:customStyle="1" w:styleId="262">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63">
    <w:name w:val="样式 标题 5 + 右侧:  -0.18 字符"/>
    <w:basedOn w:val="1"/>
    <w:qFormat/>
    <w:uiPriority w:val="0"/>
    <w:pPr>
      <w:tabs>
        <w:tab w:val="left" w:pos="1008"/>
      </w:tabs>
      <w:ind w:left="1134" w:hanging="1134"/>
    </w:pPr>
  </w:style>
  <w:style w:type="paragraph" w:customStyle="1" w:styleId="264">
    <w:name w:val="xl24"/>
    <w:basedOn w:val="1"/>
    <w:qFormat/>
    <w:uiPriority w:val="0"/>
    <w:pPr>
      <w:widowControl/>
      <w:spacing w:before="100" w:beforeAutospacing="1" w:after="100" w:afterAutospacing="1"/>
      <w:jc w:val="left"/>
    </w:pPr>
    <w:rPr>
      <w:kern w:val="0"/>
      <w:sz w:val="24"/>
    </w:rPr>
  </w:style>
  <w:style w:type="paragraph" w:customStyle="1" w:styleId="265">
    <w:name w:val="xl28"/>
    <w:basedOn w:val="1"/>
    <w:qFormat/>
    <w:uiPriority w:val="0"/>
    <w:pPr>
      <w:widowControl/>
      <w:spacing w:before="100" w:beforeAutospacing="1" w:after="100" w:afterAutospacing="1"/>
      <w:jc w:val="center"/>
    </w:pPr>
    <w:rPr>
      <w:kern w:val="0"/>
      <w:sz w:val="24"/>
    </w:rPr>
  </w:style>
  <w:style w:type="paragraph" w:customStyle="1" w:styleId="266">
    <w:name w:val="默认段落字体 Para Char Char Char Char"/>
    <w:basedOn w:val="1"/>
    <w:qFormat/>
    <w:uiPriority w:val="0"/>
    <w:rPr>
      <w:szCs w:val="20"/>
    </w:rPr>
  </w:style>
  <w:style w:type="paragraph" w:customStyle="1" w:styleId="267">
    <w:name w:val="註解方塊文字"/>
    <w:basedOn w:val="1"/>
    <w:qFormat/>
    <w:uiPriority w:val="0"/>
    <w:pPr>
      <w:widowControl/>
      <w:jc w:val="left"/>
    </w:pPr>
    <w:rPr>
      <w:rFonts w:ascii="Arial" w:hAnsi="Arial" w:eastAsia="PMingLiU"/>
      <w:kern w:val="0"/>
      <w:sz w:val="18"/>
      <w:szCs w:val="18"/>
      <w:lang w:eastAsia="zh-HK"/>
    </w:rPr>
  </w:style>
  <w:style w:type="paragraph" w:customStyle="1" w:styleId="268">
    <w:name w:val="标题四"/>
    <w:basedOn w:val="269"/>
    <w:semiHidden/>
    <w:qFormat/>
    <w:uiPriority w:val="0"/>
    <w:pPr>
      <w:tabs>
        <w:tab w:val="left" w:pos="0"/>
      </w:tabs>
      <w:spacing w:line="360" w:lineRule="auto"/>
      <w:ind w:left="0"/>
    </w:pPr>
    <w:rPr>
      <w:rFonts w:ascii="Tahoma" w:hAnsi="Tahoma"/>
      <w:sz w:val="24"/>
      <w:szCs w:val="24"/>
    </w:rPr>
  </w:style>
  <w:style w:type="paragraph" w:customStyle="1" w:styleId="269">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font5"/>
    <w:basedOn w:val="1"/>
    <w:qFormat/>
    <w:uiPriority w:val="0"/>
    <w:pPr>
      <w:widowControl/>
      <w:spacing w:before="100" w:beforeAutospacing="1" w:after="100" w:afterAutospacing="1"/>
      <w:jc w:val="left"/>
    </w:pPr>
    <w:rPr>
      <w:b/>
      <w:bCs/>
      <w:kern w:val="0"/>
      <w:sz w:val="22"/>
      <w:szCs w:val="22"/>
    </w:rPr>
  </w:style>
  <w:style w:type="paragraph" w:customStyle="1" w:styleId="271">
    <w:name w:val="Char Char Char Char Char"/>
    <w:basedOn w:val="1"/>
    <w:qFormat/>
    <w:uiPriority w:val="0"/>
    <w:pPr>
      <w:ind w:firstLine="200" w:firstLineChars="200"/>
      <w:jc w:val="left"/>
    </w:pPr>
    <w:rPr>
      <w:rFonts w:ascii="Tahoma" w:hAnsi="Tahoma"/>
      <w:color w:val="7030A0"/>
      <w:sz w:val="24"/>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3">
    <w:name w:val="样式 标题 4 + 段前: 自动"/>
    <w:basedOn w:val="5"/>
    <w:qFormat/>
    <w:uiPriority w:val="0"/>
    <w:pPr>
      <w:tabs>
        <w:tab w:val="left" w:pos="1062"/>
      </w:tabs>
      <w:spacing w:beforeLines="50" w:after="0" w:line="400" w:lineRule="exact"/>
      <w:ind w:left="1062" w:hanging="864"/>
    </w:pPr>
    <w:rPr>
      <w:rFonts w:ascii="宋体" w:hAnsi="Arial" w:cs="宋体"/>
      <w:sz w:val="24"/>
      <w:szCs w:val="24"/>
    </w:rPr>
  </w:style>
  <w:style w:type="paragraph" w:customStyle="1" w:styleId="274">
    <w:name w:val="顺序编号-zlb"/>
    <w:basedOn w:val="275"/>
    <w:qFormat/>
    <w:uiPriority w:val="0"/>
    <w:pPr>
      <w:tabs>
        <w:tab w:val="left" w:pos="0"/>
      </w:tabs>
      <w:ind w:firstLine="425"/>
      <w:outlineLvl w:val="8"/>
    </w:pPr>
  </w:style>
  <w:style w:type="paragraph" w:customStyle="1" w:styleId="275">
    <w:name w:val="级别4"/>
    <w:basedOn w:val="276"/>
    <w:qFormat/>
    <w:uiPriority w:val="0"/>
    <w:pPr>
      <w:tabs>
        <w:tab w:val="left" w:pos="0"/>
      </w:tabs>
      <w:outlineLvl w:val="3"/>
    </w:pPr>
    <w:rPr>
      <w:b w:val="0"/>
      <w:kern w:val="0"/>
    </w:rPr>
  </w:style>
  <w:style w:type="paragraph" w:customStyle="1" w:styleId="276">
    <w:name w:val="级别2"/>
    <w:basedOn w:val="2"/>
    <w:qFormat/>
    <w:uiPriority w:val="0"/>
    <w:pPr>
      <w:keepNext w:val="0"/>
      <w:keepLines w:val="0"/>
      <w:tabs>
        <w:tab w:val="left" w:pos="0"/>
        <w:tab w:val="clear" w:pos="1440"/>
      </w:tabs>
      <w:adjustRightInd w:val="0"/>
      <w:snapToGrid w:val="0"/>
      <w:spacing w:before="0" w:after="0" w:line="360" w:lineRule="auto"/>
      <w:ind w:left="0" w:firstLine="0"/>
      <w:outlineLvl w:val="1"/>
    </w:pPr>
    <w:rPr>
      <w:rFonts w:ascii="宋体" w:hAnsi="宋体"/>
      <w:bCs w:val="0"/>
      <w:sz w:val="24"/>
      <w:szCs w:val="24"/>
    </w:rPr>
  </w:style>
  <w:style w:type="paragraph" w:customStyle="1" w:styleId="2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78">
    <w:name w:val="专用"/>
    <w:basedOn w:val="1"/>
    <w:qFormat/>
    <w:uiPriority w:val="0"/>
    <w:pPr>
      <w:spacing w:afterLines="100"/>
      <w:ind w:left="838" w:hanging="838" w:hangingChars="262"/>
    </w:pPr>
    <w:rPr>
      <w:rFonts w:ascii="宋体"/>
      <w:b/>
      <w:color w:val="000000"/>
      <w:sz w:val="32"/>
      <w:szCs w:val="20"/>
    </w:rPr>
  </w:style>
  <w:style w:type="paragraph" w:customStyle="1" w:styleId="279">
    <w:name w:val="xl56"/>
    <w:basedOn w:val="1"/>
    <w:qFormat/>
    <w:uiPriority w:val="0"/>
    <w:pPr>
      <w:widowControl/>
      <w:pBdr>
        <w:top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80">
    <w:name w:val="llp2"/>
    <w:basedOn w:val="1"/>
    <w:qFormat/>
    <w:uiPriority w:val="0"/>
    <w:pPr>
      <w:spacing w:beforeLines="100" w:afterLines="100" w:line="240" w:lineRule="atLeast"/>
      <w:ind w:firstLine="200" w:firstLineChars="200"/>
      <w:jc w:val="left"/>
      <w:outlineLvl w:val="1"/>
    </w:pPr>
    <w:rPr>
      <w:rFonts w:eastAsia="黑体"/>
      <w:color w:val="7030A0"/>
      <w:sz w:val="32"/>
      <w:szCs w:val="32"/>
    </w:rPr>
  </w:style>
  <w:style w:type="paragraph" w:customStyle="1" w:styleId="281">
    <w:name w:val="Sub title 1"/>
    <w:basedOn w:val="262"/>
    <w:qFormat/>
    <w:uiPriority w:val="0"/>
    <w:pPr>
      <w:tabs>
        <w:tab w:val="left" w:pos="1304"/>
      </w:tabs>
      <w:ind w:left="1304" w:hanging="170"/>
    </w:pPr>
    <w:rPr>
      <w:color w:val="auto"/>
    </w:rPr>
  </w:style>
  <w:style w:type="paragraph" w:customStyle="1" w:styleId="282">
    <w:name w:val="xl47"/>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83">
    <w:name w:val="样式 样式 首行缩进:  2 字符 + 首行缩进:  2 字符"/>
    <w:basedOn w:val="1"/>
    <w:qFormat/>
    <w:uiPriority w:val="0"/>
    <w:pPr>
      <w:spacing w:line="360" w:lineRule="auto"/>
      <w:ind w:firstLine="200" w:firstLineChars="200"/>
      <w:jc w:val="left"/>
    </w:pPr>
    <w:rPr>
      <w:rFonts w:cs="宋体"/>
      <w:color w:val="7030A0"/>
      <w:szCs w:val="20"/>
    </w:rPr>
  </w:style>
  <w:style w:type="paragraph" w:customStyle="1" w:styleId="284">
    <w:name w:val="正缩2字符"/>
    <w:basedOn w:val="1"/>
    <w:qFormat/>
    <w:uiPriority w:val="0"/>
    <w:pPr>
      <w:spacing w:line="480" w:lineRule="exact"/>
      <w:ind w:firstLine="200" w:firstLineChars="200"/>
    </w:pPr>
    <w:rPr>
      <w:sz w:val="24"/>
    </w:rPr>
  </w:style>
  <w:style w:type="paragraph" w:customStyle="1" w:styleId="285">
    <w:name w:val="招标文件1.1.1.1"/>
    <w:basedOn w:val="1"/>
    <w:qFormat/>
    <w:uiPriority w:val="0"/>
    <w:pPr>
      <w:spacing w:before="120" w:after="120" w:line="480" w:lineRule="exact"/>
      <w:ind w:left="200" w:firstLine="200" w:firstLineChars="200"/>
      <w:jc w:val="left"/>
      <w:outlineLvl w:val="4"/>
    </w:pPr>
    <w:rPr>
      <w:rFonts w:ascii="宋体"/>
      <w:b/>
      <w:color w:val="7030A0"/>
      <w:spacing w:val="10"/>
      <w:w w:val="95"/>
    </w:rPr>
  </w:style>
  <w:style w:type="paragraph" w:customStyle="1" w:styleId="286">
    <w:name w:val="样式 样式 宋体 小四 左侧:  1.85 厘米 段前: 11.15 磅 段后: 11.15 磅 + 图案: 清除 (白色)"/>
    <w:basedOn w:val="1"/>
    <w:qFormat/>
    <w:uiPriority w:val="0"/>
    <w:pPr>
      <w:snapToGrid w:val="0"/>
      <w:ind w:left="1049" w:firstLine="200" w:firstLineChars="200"/>
      <w:jc w:val="left"/>
    </w:pPr>
    <w:rPr>
      <w:color w:val="7030A0"/>
      <w:sz w:val="24"/>
      <w:shd w:val="clear" w:color="auto" w:fill="FFFFFF"/>
    </w:rPr>
  </w:style>
  <w:style w:type="paragraph" w:customStyle="1" w:styleId="287">
    <w:name w:val="标书正文1"/>
    <w:basedOn w:val="1"/>
    <w:qFormat/>
    <w:uiPriority w:val="0"/>
    <w:pPr>
      <w:tabs>
        <w:tab w:val="left" w:pos="1438"/>
      </w:tabs>
      <w:spacing w:before="100" w:after="100" w:line="360" w:lineRule="auto"/>
      <w:ind w:left="1438" w:hanging="720"/>
    </w:pPr>
    <w:rPr>
      <w:rFonts w:ascii="宋体" w:hAnsi="宋体"/>
    </w:rPr>
  </w:style>
  <w:style w:type="paragraph" w:customStyle="1" w:styleId="28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9">
    <w:name w:val="级别3"/>
    <w:basedOn w:val="276"/>
    <w:qFormat/>
    <w:uiPriority w:val="0"/>
    <w:pPr>
      <w:ind w:firstLine="425"/>
      <w:outlineLvl w:val="2"/>
    </w:pPr>
    <w:rPr>
      <w:b w:val="0"/>
    </w:rPr>
  </w:style>
  <w:style w:type="paragraph" w:customStyle="1" w:styleId="29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291">
    <w:name w:val="样式 标题 3列表编号33 bulletb23 bullet1b1213 bullet2b2223 bul...2"/>
    <w:basedOn w:val="1"/>
    <w:qFormat/>
    <w:uiPriority w:val="0"/>
    <w:pPr>
      <w:ind w:left="1320" w:hanging="420" w:firstLineChars="200"/>
      <w:jc w:val="left"/>
    </w:pPr>
    <w:rPr>
      <w:color w:val="7030A0"/>
    </w:rPr>
  </w:style>
  <w:style w:type="paragraph" w:customStyle="1" w:styleId="292">
    <w:name w:val="xl53"/>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3">
    <w:name w:val="附图 BJ8"/>
    <w:basedOn w:val="1"/>
    <w:qFormat/>
    <w:uiPriority w:val="0"/>
    <w:pPr>
      <w:adjustRightInd w:val="0"/>
      <w:snapToGrid w:val="0"/>
      <w:ind w:firstLine="200" w:firstLineChars="200"/>
      <w:jc w:val="center"/>
    </w:pPr>
    <w:rPr>
      <w:rFonts w:hAnsi="Arial"/>
      <w:color w:val="7030A0"/>
      <w:kern w:val="0"/>
    </w:rPr>
  </w:style>
  <w:style w:type="paragraph" w:customStyle="1" w:styleId="294">
    <w:name w:val="xl54"/>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5">
    <w:name w:val="招标文件1"/>
    <w:basedOn w:val="1"/>
    <w:qFormat/>
    <w:uiPriority w:val="0"/>
    <w:pPr>
      <w:tabs>
        <w:tab w:val="left" w:pos="420"/>
      </w:tabs>
      <w:spacing w:before="120" w:after="120" w:line="480" w:lineRule="exact"/>
      <w:ind w:left="200" w:firstLine="200" w:firstLineChars="200"/>
      <w:jc w:val="left"/>
      <w:outlineLvl w:val="1"/>
    </w:pPr>
    <w:rPr>
      <w:rFonts w:ascii="宋体"/>
      <w:b/>
      <w:color w:val="7030A0"/>
      <w:spacing w:val="10"/>
      <w:w w:val="95"/>
      <w:kern w:val="0"/>
      <w:sz w:val="28"/>
    </w:rPr>
  </w:style>
  <w:style w:type="paragraph" w:customStyle="1" w:styleId="296">
    <w:name w:val="Report Level 1"/>
    <w:basedOn w:val="1"/>
    <w:next w:val="297"/>
    <w:qFormat/>
    <w:uiPriority w:val="0"/>
    <w:pPr>
      <w:keepNext/>
      <w:widowControl/>
      <w:tabs>
        <w:tab w:val="left" w:pos="1080"/>
      </w:tabs>
      <w:spacing w:before="240" w:after="240" w:line="360" w:lineRule="auto"/>
      <w:ind w:left="1080" w:hanging="1080" w:firstLineChars="200"/>
      <w:jc w:val="left"/>
      <w:outlineLvl w:val="0"/>
    </w:pPr>
    <w:rPr>
      <w:rFonts w:ascii="Arial" w:hAnsi="Arial"/>
      <w:b/>
      <w:caps/>
      <w:color w:val="7030A0"/>
      <w:kern w:val="0"/>
      <w:sz w:val="24"/>
      <w:szCs w:val="21"/>
      <w:lang w:val="en-GB"/>
    </w:rPr>
  </w:style>
  <w:style w:type="paragraph" w:customStyle="1" w:styleId="297">
    <w:name w:val="Report Text"/>
    <w:basedOn w:val="1"/>
    <w:qFormat/>
    <w:uiPriority w:val="0"/>
    <w:pPr>
      <w:widowControl/>
      <w:spacing w:after="138"/>
      <w:ind w:left="1080" w:firstLine="200" w:firstLineChars="200"/>
      <w:jc w:val="left"/>
    </w:pPr>
    <w:rPr>
      <w:color w:val="7030A0"/>
      <w:kern w:val="0"/>
      <w:sz w:val="22"/>
      <w:szCs w:val="20"/>
      <w:lang w:val="en-GB" w:eastAsia="en-US"/>
    </w:rPr>
  </w:style>
  <w:style w:type="paragraph" w:customStyle="1" w:styleId="298">
    <w:name w:val="xl59"/>
    <w:basedOn w:val="1"/>
    <w:qFormat/>
    <w:uiPriority w:val="0"/>
    <w:pPr>
      <w:widowControl/>
      <w:pBdr>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9">
    <w:name w:val="xl45"/>
    <w:basedOn w:val="1"/>
    <w:qFormat/>
    <w:uiPriority w:val="0"/>
    <w:pPr>
      <w:widowControl/>
      <w:pBdr>
        <w:bottom w:val="single" w:color="auto" w:sz="4" w:space="0"/>
        <w:right w:val="single" w:color="auto" w:sz="4" w:space="0"/>
      </w:pBdr>
      <w:spacing w:before="100" w:after="100"/>
      <w:ind w:firstLine="200" w:firstLineChars="200"/>
      <w:jc w:val="center"/>
      <w:textAlignment w:val="center"/>
    </w:pPr>
    <w:rPr>
      <w:rFonts w:eastAsia="Arial Unicode MS"/>
      <w:color w:val="7030A0"/>
      <w:kern w:val="0"/>
      <w:sz w:val="22"/>
      <w:szCs w:val="20"/>
    </w:rPr>
  </w:style>
  <w:style w:type="paragraph" w:customStyle="1" w:styleId="30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301">
    <w:name w:val="xl58"/>
    <w:basedOn w:val="1"/>
    <w:qFormat/>
    <w:uiPriority w:val="0"/>
    <w:pPr>
      <w:widowControl/>
      <w:pBdr>
        <w:left w:val="single" w:color="auto" w:sz="4" w:space="0"/>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02">
    <w:name w:val="级别5"/>
    <w:basedOn w:val="275"/>
    <w:qFormat/>
    <w:uiPriority w:val="0"/>
    <w:pPr>
      <w:outlineLvl w:val="4"/>
    </w:pPr>
  </w:style>
  <w:style w:type="paragraph" w:customStyle="1" w:styleId="30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pPr>
    <w:rPr>
      <w:rFonts w:eastAsia="Arial Unicode MS"/>
      <w:color w:val="7030A0"/>
      <w:kern w:val="0"/>
      <w:szCs w:val="20"/>
    </w:rPr>
  </w:style>
  <w:style w:type="paragraph" w:customStyle="1" w:styleId="304">
    <w:name w:val="级别1"/>
    <w:basedOn w:val="2"/>
    <w:qFormat/>
    <w:uiPriority w:val="0"/>
    <w:pPr>
      <w:keepNext w:val="0"/>
      <w:keepLines w:val="0"/>
      <w:tabs>
        <w:tab w:val="left" w:pos="-1620"/>
        <w:tab w:val="clear" w:pos="1440"/>
      </w:tabs>
      <w:adjustRightInd w:val="0"/>
      <w:snapToGrid w:val="0"/>
      <w:spacing w:before="0" w:after="0" w:line="360" w:lineRule="auto"/>
      <w:ind w:left="2098" w:hanging="2098"/>
    </w:pPr>
    <w:rPr>
      <w:rFonts w:ascii="宋体" w:hAnsi="宋体"/>
      <w:bCs w:val="0"/>
      <w:sz w:val="28"/>
      <w:szCs w:val="28"/>
    </w:rPr>
  </w:style>
  <w:style w:type="paragraph" w:customStyle="1" w:styleId="305">
    <w:name w:val="纯文本1"/>
    <w:basedOn w:val="1"/>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306">
    <w:name w:val="应答文本"/>
    <w:basedOn w:val="1"/>
    <w:qFormat/>
    <w:uiPriority w:val="0"/>
    <w:pPr>
      <w:adjustRightInd w:val="0"/>
      <w:spacing w:afterLines="50" w:line="320" w:lineRule="exact"/>
      <w:ind w:left="480" w:leftChars="200" w:firstLine="460" w:firstLineChars="200"/>
      <w:jc w:val="left"/>
    </w:pPr>
    <w:rPr>
      <w:rFonts w:ascii="Arial" w:hAnsi="Arial" w:eastAsia="楷体_GB2312" w:cs="宋体"/>
      <w:color w:val="7030A0"/>
      <w:spacing w:val="10"/>
      <w:kern w:val="0"/>
      <w:szCs w:val="20"/>
    </w:rPr>
  </w:style>
  <w:style w:type="paragraph" w:customStyle="1" w:styleId="307">
    <w:name w:val="标准"/>
    <w:basedOn w:val="1"/>
    <w:qFormat/>
    <w:uiPriority w:val="0"/>
    <w:pPr>
      <w:adjustRightInd w:val="0"/>
      <w:spacing w:line="312" w:lineRule="atLeast"/>
      <w:jc w:val="center"/>
      <w:textAlignment w:val="baseline"/>
    </w:pPr>
    <w:rPr>
      <w:kern w:val="24"/>
      <w:sz w:val="24"/>
    </w:rPr>
  </w:style>
  <w:style w:type="paragraph" w:customStyle="1" w:styleId="308">
    <w:name w:val="1.1"/>
    <w:basedOn w:val="3"/>
    <w:qFormat/>
    <w:uiPriority w:val="0"/>
    <w:pPr>
      <w:keepNext w:val="0"/>
      <w:keepLines w:val="0"/>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309">
    <w:name w:val="Char Char Char Char"/>
    <w:basedOn w:val="25"/>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10">
    <w:name w:val="标题2 Char"/>
    <w:basedOn w:val="3"/>
    <w:qFormat/>
    <w:uiPriority w:val="0"/>
    <w:pPr>
      <w:tabs>
        <w:tab w:val="left" w:pos="709"/>
      </w:tabs>
      <w:adjustRightInd w:val="0"/>
      <w:spacing w:before="0" w:after="0" w:line="360" w:lineRule="auto"/>
      <w:ind w:left="709" w:hanging="709"/>
      <w:textAlignment w:val="baseline"/>
    </w:pPr>
    <w:rPr>
      <w:rFonts w:eastAsia="仿宋_GB2312" w:cs="Arial"/>
      <w:b w:val="0"/>
      <w:bCs w:val="0"/>
      <w:kern w:val="0"/>
      <w:sz w:val="21"/>
      <w:szCs w:val="24"/>
    </w:rPr>
  </w:style>
  <w:style w:type="paragraph" w:customStyle="1" w:styleId="311">
    <w:name w:val="样式 标题2 + 字距调整8 磅"/>
    <w:basedOn w:val="310"/>
    <w:qFormat/>
    <w:uiPriority w:val="0"/>
    <w:pPr>
      <w:tabs>
        <w:tab w:val="clear" w:pos="709"/>
      </w:tabs>
    </w:pPr>
    <w:rPr>
      <w:kern w:val="16"/>
    </w:rPr>
  </w:style>
  <w:style w:type="paragraph" w:customStyle="1" w:styleId="312">
    <w:name w:val="Char Char Char Char Char Char1 Char Char Char Char"/>
    <w:basedOn w:val="1"/>
    <w:qFormat/>
    <w:uiPriority w:val="0"/>
    <w:rPr>
      <w:rFonts w:ascii="仿宋_GB2312" w:eastAsia="仿宋_GB2312"/>
      <w:b/>
      <w:sz w:val="32"/>
      <w:szCs w:val="32"/>
    </w:rPr>
  </w:style>
  <w:style w:type="paragraph" w:customStyle="1" w:styleId="313">
    <w:name w:val="xl32"/>
    <w:basedOn w:val="1"/>
    <w:qFormat/>
    <w:uiPriority w:val="0"/>
    <w:pPr>
      <w:widowControl/>
      <w:spacing w:before="100" w:beforeAutospacing="1" w:after="100" w:afterAutospacing="1"/>
      <w:jc w:val="center"/>
    </w:pPr>
    <w:rPr>
      <w:b/>
      <w:bCs/>
      <w:kern w:val="0"/>
      <w:sz w:val="24"/>
      <w:u w:val="single"/>
    </w:rPr>
  </w:style>
  <w:style w:type="paragraph" w:customStyle="1" w:styleId="31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5">
    <w:name w:val="图1"/>
    <w:basedOn w:val="1"/>
    <w:next w:val="1"/>
    <w:qFormat/>
    <w:uiPriority w:val="0"/>
    <w:pPr>
      <w:tabs>
        <w:tab w:val="left" w:pos="1440"/>
      </w:tabs>
      <w:spacing w:beforeLines="50" w:afterLines="100" w:line="360" w:lineRule="auto"/>
      <w:ind w:left="1105" w:hanging="748"/>
      <w:jc w:val="center"/>
    </w:pPr>
    <w:rPr>
      <w:kern w:val="0"/>
    </w:rPr>
  </w:style>
  <w:style w:type="paragraph" w:customStyle="1" w:styleId="31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7">
    <w:name w:val="级别6"/>
    <w:basedOn w:val="302"/>
    <w:qFormat/>
    <w:uiPriority w:val="0"/>
    <w:pPr>
      <w:tabs>
        <w:tab w:val="left" w:pos="405"/>
        <w:tab w:val="clear" w:pos="0"/>
      </w:tabs>
      <w:ind w:left="409" w:hanging="23"/>
      <w:outlineLvl w:val="5"/>
    </w:pPr>
  </w:style>
  <w:style w:type="paragraph" w:customStyle="1" w:styleId="318">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319">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20">
    <w:name w:val="样式 标题 2标题 1.1head:2#2 headlinehheadlineS&amp;R2ERMH2Head 2 +..."/>
    <w:basedOn w:val="3"/>
    <w:qFormat/>
    <w:uiPriority w:val="0"/>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32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22">
    <w:name w:val="样式4"/>
    <w:basedOn w:val="1"/>
    <w:next w:val="3"/>
    <w:qFormat/>
    <w:uiPriority w:val="0"/>
    <w:pPr>
      <w:tabs>
        <w:tab w:val="left" w:pos="360"/>
      </w:tabs>
      <w:spacing w:line="360" w:lineRule="auto"/>
      <w:ind w:left="360" w:hanging="360"/>
    </w:pPr>
    <w:rPr>
      <w:rFonts w:ascii="宋体" w:hAnsi="宋体"/>
      <w:b/>
      <w:sz w:val="28"/>
      <w:szCs w:val="20"/>
    </w:rPr>
  </w:style>
  <w:style w:type="paragraph" w:customStyle="1" w:styleId="323">
    <w:name w:val="一"/>
    <w:basedOn w:val="2"/>
    <w:qFormat/>
    <w:uiPriority w:val="0"/>
    <w:pPr>
      <w:keepNext w:val="0"/>
      <w:keepLines w:val="0"/>
      <w:autoSpaceDE w:val="0"/>
      <w:autoSpaceDN w:val="0"/>
      <w:adjustRightInd w:val="0"/>
      <w:spacing w:before="0" w:after="0" w:line="360" w:lineRule="auto"/>
      <w:jc w:val="left"/>
    </w:pPr>
    <w:rPr>
      <w:rFonts w:ascii="宋体" w:hAnsi="宋体"/>
      <w:kern w:val="0"/>
      <w:sz w:val="28"/>
      <w:szCs w:val="20"/>
    </w:rPr>
  </w:style>
  <w:style w:type="paragraph" w:customStyle="1" w:styleId="324">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325">
    <w:name w:val="xl50"/>
    <w:basedOn w:val="1"/>
    <w:qFormat/>
    <w:uiPriority w:val="0"/>
    <w:pPr>
      <w:widowControl/>
      <w:pBdr>
        <w:top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26">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327">
    <w:name w:val="xl49"/>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28">
    <w:name w:val="三点段 Char"/>
    <w:basedOn w:val="1"/>
    <w:qFormat/>
    <w:uiPriority w:val="0"/>
    <w:pPr>
      <w:spacing w:line="360" w:lineRule="auto"/>
      <w:ind w:left="1200" w:hanging="1200" w:hangingChars="500"/>
    </w:pPr>
    <w:rPr>
      <w:rFonts w:hint="eastAsia" w:ascii="宋体"/>
      <w:sz w:val="24"/>
    </w:rPr>
  </w:style>
  <w:style w:type="paragraph" w:customStyle="1" w:styleId="329">
    <w:name w:val="样式2"/>
    <w:basedOn w:val="1"/>
    <w:qFormat/>
    <w:uiPriority w:val="0"/>
    <w:pPr>
      <w:adjustRightInd w:val="0"/>
      <w:spacing w:before="120" w:after="120" w:line="312" w:lineRule="atLeast"/>
      <w:jc w:val="center"/>
      <w:textAlignment w:val="baseline"/>
    </w:pPr>
    <w:rPr>
      <w:kern w:val="0"/>
      <w:sz w:val="24"/>
      <w:szCs w:val="20"/>
    </w:rPr>
  </w:style>
  <w:style w:type="paragraph" w:customStyle="1" w:styleId="330">
    <w:name w:val="小标题一"/>
    <w:basedOn w:val="1"/>
    <w:next w:val="1"/>
    <w:qFormat/>
    <w:uiPriority w:val="0"/>
    <w:pPr>
      <w:tabs>
        <w:tab w:val="left" w:pos="1080"/>
      </w:tabs>
      <w:spacing w:line="500" w:lineRule="exact"/>
      <w:ind w:left="1080" w:hanging="1080"/>
    </w:pPr>
    <w:rPr>
      <w:sz w:val="28"/>
      <w:szCs w:val="20"/>
    </w:rPr>
  </w:style>
  <w:style w:type="paragraph" w:customStyle="1" w:styleId="331">
    <w:name w:val="Char"/>
    <w:basedOn w:val="1"/>
    <w:qFormat/>
    <w:uiPriority w:val="0"/>
    <w:rPr>
      <w:rFonts w:ascii="仿宋_GB2312" w:eastAsia="仿宋_GB2312"/>
      <w:b/>
      <w:sz w:val="32"/>
      <w:szCs w:val="32"/>
    </w:rPr>
  </w:style>
  <w:style w:type="paragraph" w:customStyle="1" w:styleId="332">
    <w:name w:val="文档正文"/>
    <w:basedOn w:val="1"/>
    <w:qFormat/>
    <w:uiPriority w:val="0"/>
    <w:pPr>
      <w:spacing w:line="360" w:lineRule="auto"/>
      <w:ind w:firstLine="200" w:firstLineChars="200"/>
    </w:pPr>
    <w:rPr>
      <w:rFonts w:ascii="宋体" w:hAnsi="宋体"/>
      <w:sz w:val="24"/>
    </w:rPr>
  </w:style>
  <w:style w:type="paragraph" w:customStyle="1" w:styleId="333">
    <w:name w:val="标题1"/>
    <w:basedOn w:val="2"/>
    <w:qFormat/>
    <w:uiPriority w:val="0"/>
    <w:pPr>
      <w:tabs>
        <w:tab w:val="left" w:pos="450"/>
        <w:tab w:val="left" w:pos="709"/>
        <w:tab w:val="left" w:pos="907"/>
        <w:tab w:val="clear" w:pos="1440"/>
      </w:tabs>
      <w:adjustRightInd w:val="0"/>
      <w:spacing w:before="120" w:after="0" w:line="360" w:lineRule="auto"/>
      <w:ind w:left="450" w:hanging="450"/>
      <w:textAlignment w:val="baseline"/>
    </w:pPr>
    <w:rPr>
      <w:rFonts w:ascii="宋体" w:hAnsi="宋体"/>
      <w:bCs w:val="0"/>
      <w:sz w:val="28"/>
      <w:szCs w:val="20"/>
    </w:rPr>
  </w:style>
  <w:style w:type="paragraph" w:customStyle="1" w:styleId="334">
    <w:name w:val="合同书"/>
    <w:basedOn w:val="1"/>
    <w:qFormat/>
    <w:uiPriority w:val="0"/>
    <w:pPr>
      <w:spacing w:afterLines="100"/>
      <w:jc w:val="center"/>
    </w:pPr>
    <w:rPr>
      <w:rFonts w:hAnsi="宋体"/>
      <w:b/>
      <w:color w:val="000000"/>
      <w:sz w:val="44"/>
      <w:szCs w:val="44"/>
    </w:rPr>
  </w:style>
  <w:style w:type="paragraph" w:customStyle="1" w:styleId="335">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33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337">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338">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9">
    <w:name w:val="Char Char Char Char Char Char Char"/>
    <w:basedOn w:val="1"/>
    <w:qFormat/>
    <w:uiPriority w:val="0"/>
    <w:rPr>
      <w:rFonts w:ascii="仿宋_GB2312" w:eastAsia="仿宋_GB2312"/>
      <w:b/>
      <w:sz w:val="32"/>
      <w:szCs w:val="32"/>
    </w:rPr>
  </w:style>
  <w:style w:type="paragraph" w:customStyle="1" w:styleId="340">
    <w:name w:val="样式 目录 1 + 左侧:  3 字符"/>
    <w:basedOn w:val="53"/>
    <w:qFormat/>
    <w:uiPriority w:val="0"/>
    <w:pPr>
      <w:tabs>
        <w:tab w:val="left" w:pos="425"/>
        <w:tab w:val="left" w:pos="1680"/>
        <w:tab w:val="right" w:leader="dot" w:pos="8495"/>
        <w:tab w:val="right" w:pos="9060"/>
        <w:tab w:val="clear" w:pos="8778"/>
      </w:tabs>
      <w:snapToGrid/>
      <w:spacing w:line="240" w:lineRule="auto"/>
      <w:ind w:left="425" w:hanging="425"/>
    </w:pPr>
    <w:rPr>
      <w:bCs w:val="0"/>
      <w:iCs w:val="0"/>
      <w:caps w:val="0"/>
      <w:color w:val="7030A0"/>
      <w:kern w:val="2"/>
      <w:sz w:val="21"/>
      <w:szCs w:val="20"/>
    </w:rPr>
  </w:style>
  <w:style w:type="paragraph" w:customStyle="1" w:styleId="341">
    <w:name w:val="章节标题 BJ8"/>
    <w:basedOn w:val="177"/>
    <w:next w:val="177"/>
    <w:qFormat/>
    <w:uiPriority w:val="0"/>
    <w:pPr>
      <w:ind w:firstLine="0" w:firstLineChars="0"/>
      <w:jc w:val="center"/>
    </w:pPr>
    <w:rPr>
      <w:rFonts w:eastAsia="黑体"/>
      <w:b/>
      <w:sz w:val="44"/>
      <w:szCs w:val="84"/>
    </w:rPr>
  </w:style>
  <w:style w:type="paragraph" w:customStyle="1" w:styleId="34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43">
    <w:name w:val="表格"/>
    <w:basedOn w:val="1"/>
    <w:qFormat/>
    <w:uiPriority w:val="0"/>
    <w:pPr>
      <w:widowControl/>
      <w:snapToGrid w:val="0"/>
      <w:spacing w:before="60" w:after="60"/>
      <w:jc w:val="left"/>
    </w:pPr>
    <w:rPr>
      <w:rFonts w:ascii="宋体"/>
      <w:sz w:val="20"/>
      <w:szCs w:val="20"/>
    </w:rPr>
  </w:style>
  <w:style w:type="paragraph" w:customStyle="1" w:styleId="344">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7">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48">
    <w:name w:val="大标题"/>
    <w:qFormat/>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349">
    <w:name w:val="重点"/>
    <w:basedOn w:val="1"/>
    <w:qFormat/>
    <w:uiPriority w:val="0"/>
    <w:pPr>
      <w:tabs>
        <w:tab w:val="left" w:pos="0"/>
        <w:tab w:val="left" w:pos="814"/>
      </w:tabs>
      <w:adjustRightInd w:val="0"/>
      <w:snapToGrid w:val="0"/>
      <w:spacing w:line="560" w:lineRule="atLeast"/>
      <w:ind w:left="737" w:hanging="283" w:firstLineChars="200"/>
      <w:jc w:val="left"/>
    </w:pPr>
    <w:rPr>
      <w:color w:val="7030A0"/>
      <w:kern w:val="24"/>
      <w:sz w:val="30"/>
      <w:szCs w:val="20"/>
    </w:rPr>
  </w:style>
  <w:style w:type="paragraph" w:customStyle="1" w:styleId="350">
    <w:name w:val="青岛正文"/>
    <w:basedOn w:val="1"/>
    <w:qFormat/>
    <w:uiPriority w:val="0"/>
    <w:pPr>
      <w:spacing w:line="360" w:lineRule="auto"/>
    </w:pPr>
    <w:rPr>
      <w:sz w:val="28"/>
    </w:rPr>
  </w:style>
  <w:style w:type="paragraph" w:customStyle="1" w:styleId="351">
    <w:name w:val="样式 样式 列表框 Char Char Char Char Char + 右侧:  -0.05 字符 段后: 0.5 行 + 右..."/>
    <w:basedOn w:val="352"/>
    <w:qFormat/>
    <w:uiPriority w:val="0"/>
    <w:pPr>
      <w:tabs>
        <w:tab w:val="left" w:pos="375"/>
        <w:tab w:val="left" w:pos="630"/>
      </w:tabs>
    </w:pPr>
  </w:style>
  <w:style w:type="paragraph" w:customStyle="1" w:styleId="352">
    <w:name w:val="样式 列表框 Char Char Char Char Char + 右侧:  -0.05 字符 段后: 0.5 行"/>
    <w:basedOn w:val="234"/>
    <w:qFormat/>
    <w:uiPriority w:val="0"/>
    <w:pPr>
      <w:tabs>
        <w:tab w:val="left" w:pos="375"/>
        <w:tab w:val="clear" w:pos="450"/>
        <w:tab w:val="clear" w:pos="874"/>
      </w:tabs>
      <w:ind w:left="0" w:firstLine="0"/>
    </w:pPr>
    <w:rPr>
      <w:szCs w:val="20"/>
    </w:rPr>
  </w:style>
  <w:style w:type="paragraph" w:customStyle="1" w:styleId="353">
    <w:name w:val="xl39"/>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354">
    <w:name w:val="正文文本 21"/>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355">
    <w:name w:val="Report Heading"/>
    <w:basedOn w:val="1"/>
    <w:next w:val="1"/>
    <w:qFormat/>
    <w:uiPriority w:val="0"/>
    <w:pPr>
      <w:keepNext/>
      <w:widowControl/>
      <w:spacing w:before="120" w:after="138"/>
      <w:ind w:left="1080" w:firstLine="200" w:firstLineChars="200"/>
      <w:jc w:val="left"/>
    </w:pPr>
    <w:rPr>
      <w:rFonts w:ascii="Arial" w:hAnsi="Arial"/>
      <w:b/>
      <w:color w:val="7030A0"/>
      <w:kern w:val="0"/>
      <w:sz w:val="22"/>
      <w:szCs w:val="20"/>
      <w:lang w:val="en-GB"/>
    </w:rPr>
  </w:style>
  <w:style w:type="paragraph" w:customStyle="1" w:styleId="35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57">
    <w:name w:val="修订1"/>
    <w:qFormat/>
    <w:uiPriority w:val="0"/>
    <w:rPr>
      <w:rFonts w:ascii="Times New Roman" w:hAnsi="Times New Roman" w:eastAsia="宋体" w:cs="Times New Roman"/>
      <w:kern w:val="2"/>
      <w:sz w:val="21"/>
      <w:lang w:val="en-US" w:eastAsia="zh-CN" w:bidi="ar-SA"/>
    </w:rPr>
  </w:style>
  <w:style w:type="paragraph" w:customStyle="1" w:styleId="358">
    <w:name w:val="正文C"/>
    <w:qFormat/>
    <w:uiPriority w:val="0"/>
    <w:pPr>
      <w:widowControl w:val="0"/>
      <w:adjustRightInd w:val="0"/>
      <w:snapToGrid w:val="0"/>
      <w:spacing w:line="360" w:lineRule="auto"/>
      <w:ind w:right="31" w:rightChars="15" w:firstLine="420" w:firstLineChars="200"/>
      <w:jc w:val="both"/>
    </w:pPr>
    <w:rPr>
      <w:rFonts w:ascii="Times New Roman" w:hAnsi="Times New Roman" w:eastAsia="宋体" w:cs="宋体"/>
      <w:kern w:val="44"/>
      <w:sz w:val="24"/>
      <w:lang w:val="en-US" w:eastAsia="zh-CN" w:bidi="ar-SA"/>
    </w:rPr>
  </w:style>
  <w:style w:type="paragraph" w:customStyle="1" w:styleId="359">
    <w:name w:val="文档结构图2"/>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360">
    <w:name w:val="Char Char Char Char11"/>
    <w:basedOn w:val="1"/>
    <w:qFormat/>
    <w:uiPriority w:val="0"/>
    <w:pPr>
      <w:ind w:firstLine="200" w:firstLineChars="200"/>
      <w:jc w:val="left"/>
    </w:pPr>
    <w:rPr>
      <w:rFonts w:ascii="仿宋_GB2312" w:eastAsia="仿宋_GB2312"/>
      <w:b/>
      <w:color w:val="7030A0"/>
      <w:sz w:val="32"/>
      <w:szCs w:val="32"/>
    </w:rPr>
  </w:style>
  <w:style w:type="paragraph" w:customStyle="1" w:styleId="361">
    <w:name w:val="样式 标题 2标题 1.1编号标题2head:2#2 headlinehheadlineS&amp;R2ERMH2He..."/>
    <w:basedOn w:val="3"/>
    <w:qFormat/>
    <w:uiPriority w:val="0"/>
    <w:pPr>
      <w:keepNext w:val="0"/>
      <w:keepLines w:val="0"/>
      <w:spacing w:before="120" w:after="120" w:line="500" w:lineRule="exact"/>
      <w:jc w:val="left"/>
    </w:pPr>
    <w:rPr>
      <w:rFonts w:cs="宋体"/>
      <w:color w:val="C00000"/>
      <w:kern w:val="44"/>
      <w:sz w:val="28"/>
      <w:szCs w:val="20"/>
    </w:rPr>
  </w:style>
  <w:style w:type="paragraph" w:customStyle="1" w:styleId="362">
    <w:name w:val="章节标题 QD3"/>
    <w:basedOn w:val="175"/>
    <w:next w:val="175"/>
    <w:qFormat/>
    <w:uiPriority w:val="0"/>
    <w:pPr>
      <w:ind w:firstLine="0" w:firstLineChars="0"/>
      <w:jc w:val="center"/>
    </w:pPr>
    <w:rPr>
      <w:rFonts w:eastAsia="黑体"/>
      <w:b/>
      <w:sz w:val="44"/>
      <w:szCs w:val="84"/>
    </w:rPr>
  </w:style>
  <w:style w:type="paragraph" w:customStyle="1" w:styleId="363">
    <w:name w:val="Char2"/>
    <w:basedOn w:val="1"/>
    <w:qFormat/>
    <w:uiPriority w:val="0"/>
    <w:pPr>
      <w:widowControl/>
      <w:spacing w:after="160" w:line="240" w:lineRule="exact"/>
      <w:ind w:firstLine="200" w:firstLineChars="200"/>
      <w:jc w:val="left"/>
    </w:pPr>
    <w:rPr>
      <w:rFonts w:ascii="Verdana" w:hAnsi="Verdana" w:eastAsia="仿宋_GB2312"/>
      <w:color w:val="7030A0"/>
      <w:kern w:val="0"/>
      <w:sz w:val="24"/>
      <w:szCs w:val="20"/>
      <w:lang w:eastAsia="en-US"/>
    </w:rPr>
  </w:style>
  <w:style w:type="paragraph" w:customStyle="1" w:styleId="364">
    <w:name w:val="xiao b"/>
    <w:basedOn w:val="1"/>
    <w:qFormat/>
    <w:uiPriority w:val="0"/>
    <w:pPr>
      <w:ind w:firstLine="200" w:firstLineChars="200"/>
      <w:jc w:val="center"/>
    </w:pPr>
    <w:rPr>
      <w:rFonts w:eastAsia="黑体"/>
      <w:color w:val="7030A0"/>
      <w:sz w:val="24"/>
      <w:szCs w:val="20"/>
    </w:rPr>
  </w:style>
  <w:style w:type="paragraph" w:customStyle="1" w:styleId="365">
    <w:name w:val="样式 标题 4 + 加粗"/>
    <w:basedOn w:val="5"/>
    <w:qFormat/>
    <w:uiPriority w:val="0"/>
    <w:pPr>
      <w:keepNext w:val="0"/>
      <w:keepLines w:val="0"/>
      <w:spacing w:before="120" w:after="0" w:line="240" w:lineRule="auto"/>
      <w:jc w:val="left"/>
    </w:pPr>
    <w:rPr>
      <w:rFonts w:ascii="Times New Roman" w:hAnsi="Times New Roman"/>
      <w:b w:val="0"/>
      <w:color w:val="00B050"/>
      <w:sz w:val="24"/>
    </w:rPr>
  </w:style>
  <w:style w:type="paragraph" w:customStyle="1" w:styleId="366">
    <w:name w:val="Plain Text1"/>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67">
    <w:name w:val="Char Char Char Char1"/>
    <w:basedOn w:val="1"/>
    <w:qFormat/>
    <w:uiPriority w:val="0"/>
    <w:pPr>
      <w:ind w:firstLine="200" w:firstLineChars="200"/>
      <w:jc w:val="left"/>
    </w:pPr>
    <w:rPr>
      <w:rFonts w:ascii="仿宋_GB2312" w:eastAsia="仿宋_GB2312"/>
      <w:b/>
      <w:color w:val="7030A0"/>
      <w:sz w:val="32"/>
      <w:szCs w:val="32"/>
    </w:rPr>
  </w:style>
  <w:style w:type="paragraph" w:customStyle="1" w:styleId="368">
    <w:name w:val="Plain Text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69">
    <w:name w:val="正文2"/>
    <w:basedOn w:val="31"/>
    <w:qFormat/>
    <w:uiPriority w:val="0"/>
    <w:pPr>
      <w:ind w:firstLine="480" w:firstLineChars="200"/>
      <w:jc w:val="left"/>
    </w:pPr>
    <w:rPr>
      <w:rFonts w:ascii="宋体"/>
      <w:color w:val="7030A0"/>
      <w:szCs w:val="24"/>
    </w:rPr>
  </w:style>
  <w:style w:type="paragraph" w:customStyle="1" w:styleId="370">
    <w:name w:val="列表框1"/>
    <w:basedOn w:val="306"/>
    <w:next w:val="306"/>
    <w:qFormat/>
    <w:uiPriority w:val="0"/>
    <w:pPr>
      <w:tabs>
        <w:tab w:val="left" w:pos="960"/>
        <w:tab w:val="left" w:pos="1314"/>
      </w:tabs>
      <w:snapToGrid w:val="0"/>
      <w:ind w:left="1328" w:leftChars="397" w:hanging="375" w:hangingChars="163"/>
    </w:pPr>
    <w:rPr>
      <w:rFonts w:cs="Arial"/>
    </w:rPr>
  </w:style>
  <w:style w:type="paragraph" w:customStyle="1" w:styleId="371">
    <w:name w:val="Body text"/>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72">
    <w:name w:val="五级"/>
    <w:basedOn w:val="3"/>
    <w:qFormat/>
    <w:uiPriority w:val="0"/>
    <w:pPr>
      <w:keepNext w:val="0"/>
      <w:keepLines w:val="0"/>
      <w:tabs>
        <w:tab w:val="left" w:pos="851"/>
      </w:tabs>
      <w:spacing w:before="0" w:after="0" w:line="360" w:lineRule="auto"/>
      <w:ind w:left="851" w:hanging="851"/>
      <w:jc w:val="left"/>
    </w:pPr>
    <w:rPr>
      <w:rFonts w:ascii="宋体" w:hAnsi="宋体" w:eastAsia="宋体"/>
      <w:b w:val="0"/>
      <w:color w:val="C00000"/>
      <w:sz w:val="24"/>
    </w:rPr>
  </w:style>
  <w:style w:type="paragraph" w:customStyle="1" w:styleId="373">
    <w:name w:val="1."/>
    <w:basedOn w:val="1"/>
    <w:qFormat/>
    <w:uiPriority w:val="0"/>
    <w:pPr>
      <w:tabs>
        <w:tab w:val="left" w:pos="0"/>
        <w:tab w:val="left" w:pos="426"/>
      </w:tabs>
      <w:adjustRightInd w:val="0"/>
      <w:spacing w:before="60" w:after="60" w:line="360" w:lineRule="atLeast"/>
      <w:ind w:left="426" w:hanging="426" w:firstLineChars="200"/>
      <w:jc w:val="left"/>
      <w:textAlignment w:val="baseline"/>
    </w:pPr>
    <w:rPr>
      <w:rFonts w:ascii="Arial" w:hAnsi="Arial"/>
      <w:color w:val="7030A0"/>
      <w:kern w:val="0"/>
      <w:szCs w:val="20"/>
    </w:rPr>
  </w:style>
  <w:style w:type="paragraph" w:customStyle="1" w:styleId="374">
    <w:name w:val="xl57"/>
    <w:basedOn w:val="1"/>
    <w:qFormat/>
    <w:uiPriority w:val="0"/>
    <w:pPr>
      <w:widowControl/>
      <w:pBdr>
        <w:top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75">
    <w:name w:val="正文点缩进"/>
    <w:basedOn w:val="1"/>
    <w:qFormat/>
    <w:uiPriority w:val="0"/>
    <w:pPr>
      <w:widowControl/>
      <w:tabs>
        <w:tab w:val="left" w:pos="1758"/>
      </w:tabs>
      <w:snapToGrid w:val="0"/>
      <w:spacing w:after="60" w:line="288" w:lineRule="auto"/>
      <w:ind w:firstLine="200" w:firstLineChars="200"/>
      <w:jc w:val="left"/>
    </w:pPr>
    <w:rPr>
      <w:rFonts w:ascii="宋体"/>
      <w:color w:val="7030A0"/>
      <w:sz w:val="22"/>
      <w:szCs w:val="20"/>
      <w:shd w:val="clear" w:color="auto" w:fill="FFFFFF"/>
    </w:rPr>
  </w:style>
  <w:style w:type="paragraph" w:customStyle="1" w:styleId="376">
    <w:name w:val="xl41"/>
    <w:basedOn w:val="1"/>
    <w:qFormat/>
    <w:uiPriority w:val="0"/>
    <w:pPr>
      <w:widowControl/>
      <w:spacing w:before="100" w:beforeAutospacing="1" w:after="100" w:afterAutospacing="1"/>
      <w:ind w:firstLine="200" w:firstLineChars="200"/>
      <w:jc w:val="center"/>
      <w:textAlignment w:val="center"/>
    </w:pPr>
    <w:rPr>
      <w:rFonts w:ascii="宋体" w:hAnsi="宋体"/>
      <w:color w:val="7030A0"/>
      <w:kern w:val="0"/>
      <w:szCs w:val="21"/>
    </w:rPr>
  </w:style>
  <w:style w:type="paragraph" w:customStyle="1" w:styleId="377">
    <w:name w:val="样式 左侧:  2 字符 首行缩进:  0.85 厘米"/>
    <w:basedOn w:val="1"/>
    <w:qFormat/>
    <w:uiPriority w:val="0"/>
    <w:pPr>
      <w:adjustRightInd w:val="0"/>
      <w:snapToGrid w:val="0"/>
      <w:spacing w:line="360" w:lineRule="auto"/>
      <w:ind w:firstLine="425" w:firstLineChars="200"/>
      <w:jc w:val="left"/>
    </w:pPr>
    <w:rPr>
      <w:rFonts w:ascii="宋体" w:hAnsi="宋体" w:cs="宋体"/>
      <w:color w:val="7030A0"/>
      <w:szCs w:val="20"/>
    </w:rPr>
  </w:style>
  <w:style w:type="paragraph" w:customStyle="1" w:styleId="378">
    <w:name w:val="xl55"/>
    <w:basedOn w:val="1"/>
    <w:qFormat/>
    <w:uiPriority w:val="0"/>
    <w:pPr>
      <w:widowControl/>
      <w:pBdr>
        <w:top w:val="single" w:color="auto" w:sz="4" w:space="0"/>
        <w:lef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79">
    <w:name w:val="Char Char Char Char Char Char Char Char"/>
    <w:basedOn w:val="1"/>
    <w:qFormat/>
    <w:uiPriority w:val="0"/>
    <w:pPr>
      <w:ind w:firstLine="200" w:firstLineChars="200"/>
      <w:jc w:val="left"/>
    </w:pPr>
    <w:rPr>
      <w:rFonts w:ascii="Tahoma" w:hAnsi="Tahoma"/>
      <w:color w:val="7030A0"/>
      <w:sz w:val="24"/>
      <w:szCs w:val="20"/>
    </w:rPr>
  </w:style>
  <w:style w:type="paragraph" w:customStyle="1" w:styleId="380">
    <w:name w:val="StandardOhneEinzug"/>
    <w:basedOn w:val="1"/>
    <w:qFormat/>
    <w:uiPriority w:val="0"/>
    <w:pPr>
      <w:widowControl/>
      <w:tabs>
        <w:tab w:val="left" w:pos="560"/>
      </w:tabs>
      <w:spacing w:after="240" w:line="288" w:lineRule="auto"/>
      <w:ind w:left="200" w:firstLine="200" w:firstLineChars="200"/>
      <w:jc w:val="left"/>
    </w:pPr>
    <w:rPr>
      <w:rFonts w:ascii="Arial" w:hAnsi="Arial"/>
      <w:color w:val="7030A0"/>
      <w:kern w:val="0"/>
      <w:sz w:val="22"/>
      <w:szCs w:val="20"/>
      <w:lang w:val="de-DE"/>
    </w:rPr>
  </w:style>
  <w:style w:type="paragraph" w:customStyle="1" w:styleId="381">
    <w:name w:val="投标正文"/>
    <w:basedOn w:val="1"/>
    <w:qFormat/>
    <w:uiPriority w:val="0"/>
    <w:pPr>
      <w:spacing w:line="360" w:lineRule="auto"/>
      <w:ind w:firstLine="200" w:firstLineChars="200"/>
      <w:jc w:val="left"/>
    </w:pPr>
    <w:rPr>
      <w:rFonts w:eastAsia="黑体"/>
      <w:color w:val="7030A0"/>
      <w:spacing w:val="20"/>
      <w:sz w:val="32"/>
      <w:szCs w:val="32"/>
    </w:rPr>
  </w:style>
  <w:style w:type="paragraph" w:customStyle="1" w:styleId="382">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383">
    <w:name w:val="标书正文"/>
    <w:basedOn w:val="1"/>
    <w:qFormat/>
    <w:uiPriority w:val="0"/>
    <w:pPr>
      <w:spacing w:before="100" w:after="100" w:line="440" w:lineRule="atLeast"/>
      <w:ind w:left="176" w:firstLine="200" w:firstLineChars="200"/>
      <w:jc w:val="left"/>
    </w:pPr>
    <w:rPr>
      <w:rFonts w:ascii="宋体" w:hAnsi="宋体"/>
      <w:color w:val="7030A0"/>
      <w:spacing w:val="20"/>
      <w:sz w:val="24"/>
    </w:rPr>
  </w:style>
  <w:style w:type="paragraph" w:customStyle="1" w:styleId="384">
    <w:name w:val="xl44"/>
    <w:basedOn w:val="1"/>
    <w:qFormat/>
    <w:uiPriority w:val="0"/>
    <w:pPr>
      <w:widowControl/>
      <w:pBdr>
        <w:right w:val="single" w:color="auto" w:sz="4" w:space="0"/>
      </w:pBdr>
      <w:spacing w:before="100" w:after="100"/>
      <w:ind w:firstLine="200" w:firstLineChars="200"/>
      <w:jc w:val="center"/>
    </w:pPr>
    <w:rPr>
      <w:rFonts w:ascii="宋体" w:hAnsi="宋体"/>
      <w:color w:val="7030A0"/>
      <w:kern w:val="0"/>
      <w:sz w:val="24"/>
      <w:szCs w:val="20"/>
    </w:rPr>
  </w:style>
  <w:style w:type="paragraph" w:customStyle="1" w:styleId="38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386">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87">
    <w:name w:val="xl46"/>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88">
    <w:name w:val="xl48"/>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89">
    <w:name w:val="xl60"/>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90">
    <w:name w:val="样式 目录 1"/>
    <w:basedOn w:val="53"/>
    <w:qFormat/>
    <w:uiPriority w:val="0"/>
    <w:pPr>
      <w:tabs>
        <w:tab w:val="left" w:pos="420"/>
        <w:tab w:val="left" w:pos="525"/>
        <w:tab w:val="left" w:pos="1680"/>
        <w:tab w:val="right" w:leader="dot" w:pos="8495"/>
        <w:tab w:val="right" w:pos="9060"/>
        <w:tab w:val="clear" w:pos="8778"/>
      </w:tabs>
      <w:snapToGrid/>
      <w:spacing w:line="240" w:lineRule="auto"/>
      <w:ind w:left="525" w:hanging="425"/>
    </w:pPr>
    <w:rPr>
      <w:bCs w:val="0"/>
      <w:iCs w:val="0"/>
      <w:caps w:val="0"/>
      <w:color w:val="7030A0"/>
      <w:kern w:val="2"/>
      <w:sz w:val="21"/>
      <w:szCs w:val="20"/>
    </w:rPr>
  </w:style>
  <w:style w:type="paragraph" w:customStyle="1" w:styleId="391">
    <w:name w:val="A-12"/>
    <w:basedOn w:val="1"/>
    <w:qFormat/>
    <w:uiPriority w:val="0"/>
    <w:pPr>
      <w:widowControl/>
      <w:ind w:firstLine="200" w:firstLineChars="200"/>
      <w:jc w:val="left"/>
    </w:pPr>
    <w:rPr>
      <w:rFonts w:ascii="Arial" w:hAnsi="Arial"/>
      <w:color w:val="7030A0"/>
      <w:kern w:val="0"/>
      <w:sz w:val="24"/>
      <w:szCs w:val="20"/>
      <w:lang w:val="en-GB"/>
    </w:rPr>
  </w:style>
  <w:style w:type="paragraph" w:customStyle="1" w:styleId="392">
    <w:name w:val="样式 样式 样式 宋体 小四 左侧:  1.85 厘米 段前: 11.15 磅 段后: 11.15 磅 + 图案: 清除 (白色..."/>
    <w:basedOn w:val="286"/>
    <w:qFormat/>
    <w:uiPriority w:val="0"/>
    <w:pPr>
      <w:spacing w:beforeLines="50" w:afterLines="50"/>
      <w:ind w:left="318"/>
    </w:pPr>
    <w:rPr>
      <w:szCs w:val="20"/>
    </w:rPr>
  </w:style>
  <w:style w:type="paragraph" w:customStyle="1" w:styleId="393">
    <w:name w:val="无间隔1"/>
    <w:qFormat/>
    <w:uiPriority w:val="1"/>
    <w:pPr>
      <w:widowControl w:val="0"/>
      <w:ind w:firstLine="200" w:firstLineChars="200"/>
    </w:pPr>
    <w:rPr>
      <w:rFonts w:ascii="Times New Roman" w:hAnsi="Times New Roman" w:eastAsia="宋体" w:cs="Times New Roman"/>
      <w:color w:val="7030A0"/>
      <w:kern w:val="2"/>
      <w:sz w:val="24"/>
      <w:szCs w:val="24"/>
      <w:lang w:val="en-US" w:eastAsia="zh-CN" w:bidi="ar-SA"/>
    </w:rPr>
  </w:style>
  <w:style w:type="paragraph" w:customStyle="1" w:styleId="394">
    <w:name w:val="正文文本缩进 32"/>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95">
    <w:name w:val="一级条标题"/>
    <w:basedOn w:val="1"/>
    <w:next w:val="1"/>
    <w:qFormat/>
    <w:uiPriority w:val="0"/>
    <w:pPr>
      <w:widowControl/>
      <w:tabs>
        <w:tab w:val="left" w:pos="425"/>
        <w:tab w:val="left" w:pos="525"/>
      </w:tabs>
      <w:ind w:left="425" w:hanging="425" w:firstLineChars="200"/>
      <w:jc w:val="left"/>
      <w:outlineLvl w:val="2"/>
    </w:pPr>
    <w:rPr>
      <w:rFonts w:ascii="黑体" w:eastAsia="黑体"/>
      <w:color w:val="7030A0"/>
      <w:kern w:val="0"/>
      <w:szCs w:val="20"/>
    </w:rPr>
  </w:style>
  <w:style w:type="paragraph" w:customStyle="1" w:styleId="396">
    <w:name w:val="样式 样式 正文（首行缩进两字） + 宋体 小四 首行缩进:  0 厘米 段前: 11.15 磅 段后: 11.15 磅 + 左...1"/>
    <w:basedOn w:val="1"/>
    <w:qFormat/>
    <w:uiPriority w:val="0"/>
    <w:pPr>
      <w:tabs>
        <w:tab w:val="left" w:pos="425"/>
        <w:tab w:val="left" w:pos="720"/>
      </w:tabs>
      <w:snapToGrid w:val="0"/>
      <w:spacing w:before="223" w:after="223"/>
      <w:ind w:left="200" w:leftChars="200" w:firstLine="200" w:firstLineChars="200"/>
      <w:jc w:val="left"/>
    </w:pPr>
    <w:rPr>
      <w:rFonts w:ascii="宋体" w:hAnsi="宋体"/>
      <w:color w:val="7030A0"/>
      <w:sz w:val="24"/>
      <w:szCs w:val="20"/>
    </w:rPr>
  </w:style>
  <w:style w:type="paragraph" w:customStyle="1" w:styleId="397">
    <w:name w:val="Char Char Char Char Char Char Char Char1"/>
    <w:basedOn w:val="1"/>
    <w:qFormat/>
    <w:uiPriority w:val="0"/>
    <w:pPr>
      <w:ind w:firstLine="200" w:firstLineChars="200"/>
      <w:jc w:val="left"/>
    </w:pPr>
    <w:rPr>
      <w:rFonts w:ascii="Tahoma" w:hAnsi="Tahoma"/>
      <w:color w:val="7030A0"/>
      <w:sz w:val="24"/>
      <w:szCs w:val="20"/>
    </w:rPr>
  </w:style>
  <w:style w:type="paragraph" w:customStyle="1" w:styleId="398">
    <w:name w:val="三级条标题"/>
    <w:basedOn w:val="399"/>
    <w:next w:val="1"/>
    <w:qFormat/>
    <w:uiPriority w:val="0"/>
    <w:pPr>
      <w:tabs>
        <w:tab w:val="left" w:pos="425"/>
      </w:tabs>
      <w:outlineLvl w:val="4"/>
    </w:pPr>
  </w:style>
  <w:style w:type="paragraph" w:customStyle="1" w:styleId="399">
    <w:name w:val="二级条标题"/>
    <w:basedOn w:val="395"/>
    <w:next w:val="1"/>
    <w:qFormat/>
    <w:uiPriority w:val="0"/>
    <w:pPr>
      <w:tabs>
        <w:tab w:val="clear" w:pos="525"/>
      </w:tabs>
      <w:ind w:firstLine="0" w:firstLineChars="0"/>
      <w:outlineLvl w:val="3"/>
    </w:pPr>
  </w:style>
  <w:style w:type="paragraph" w:customStyle="1" w:styleId="400">
    <w:name w:val="样式 宋体 小四 左 图案: 清除 (白色) 行距: 1.5 倍行距"/>
    <w:basedOn w:val="1"/>
    <w:qFormat/>
    <w:uiPriority w:val="0"/>
    <w:pPr>
      <w:tabs>
        <w:tab w:val="left" w:pos="840"/>
      </w:tabs>
      <w:spacing w:beforeLines="50" w:afterLines="50"/>
      <w:ind w:firstLine="200" w:firstLineChars="200"/>
      <w:jc w:val="left"/>
    </w:pPr>
    <w:rPr>
      <w:rFonts w:ascii="宋体" w:hAnsi="宋体"/>
      <w:color w:val="7030A0"/>
      <w:sz w:val="24"/>
      <w:szCs w:val="20"/>
      <w:shd w:val="clear" w:color="auto" w:fill="FFFFFF"/>
    </w:rPr>
  </w:style>
  <w:style w:type="paragraph" w:customStyle="1" w:styleId="401">
    <w:name w:val="四级条标题"/>
    <w:basedOn w:val="398"/>
    <w:next w:val="1"/>
    <w:qFormat/>
    <w:uiPriority w:val="0"/>
    <w:pPr>
      <w:outlineLvl w:val="5"/>
    </w:pPr>
  </w:style>
  <w:style w:type="paragraph" w:customStyle="1" w:styleId="402">
    <w:name w:val="六级标题格式"/>
    <w:basedOn w:val="1"/>
    <w:qFormat/>
    <w:uiPriority w:val="0"/>
    <w:pPr>
      <w:spacing w:afterLines="50" w:line="336" w:lineRule="auto"/>
      <w:ind w:firstLine="200" w:firstLineChars="200"/>
      <w:jc w:val="left"/>
      <w:outlineLvl w:val="5"/>
    </w:pPr>
    <w:rPr>
      <w:color w:val="7030A0"/>
      <w:sz w:val="24"/>
    </w:rPr>
  </w:style>
  <w:style w:type="paragraph" w:customStyle="1" w:styleId="403">
    <w:name w:val="附图 BJ15"/>
    <w:basedOn w:val="1"/>
    <w:qFormat/>
    <w:uiPriority w:val="0"/>
    <w:pPr>
      <w:adjustRightInd w:val="0"/>
      <w:snapToGrid w:val="0"/>
      <w:ind w:firstLine="200" w:firstLineChars="200"/>
      <w:jc w:val="center"/>
    </w:pPr>
    <w:rPr>
      <w:rFonts w:hAnsi="Arial"/>
      <w:color w:val="7030A0"/>
      <w:kern w:val="0"/>
    </w:rPr>
  </w:style>
  <w:style w:type="paragraph" w:customStyle="1" w:styleId="404">
    <w:name w:val="正文文本缩进 31"/>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405">
    <w:name w:val="TOC 标题1"/>
    <w:basedOn w:val="2"/>
    <w:next w:val="1"/>
    <w:qFormat/>
    <w:uiPriority w:val="0"/>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406">
    <w:name w:val="Report Level 2"/>
    <w:basedOn w:val="296"/>
    <w:next w:val="297"/>
    <w:qFormat/>
    <w:uiPriority w:val="0"/>
    <w:pPr>
      <w:tabs>
        <w:tab w:val="left" w:pos="1500"/>
        <w:tab w:val="clear" w:pos="1080"/>
      </w:tabs>
      <w:ind w:left="1500"/>
      <w:outlineLvl w:val="1"/>
    </w:pPr>
    <w:rPr>
      <w:caps w:val="0"/>
    </w:rPr>
  </w:style>
  <w:style w:type="paragraph" w:customStyle="1" w:styleId="407">
    <w:name w:val="Report Level 3"/>
    <w:basedOn w:val="296"/>
    <w:next w:val="297"/>
    <w:qFormat/>
    <w:uiPriority w:val="0"/>
    <w:pPr>
      <w:tabs>
        <w:tab w:val="left" w:pos="1889"/>
        <w:tab w:val="clear" w:pos="1080"/>
      </w:tabs>
      <w:spacing w:before="120"/>
      <w:ind w:left="1889" w:hanging="420"/>
      <w:outlineLvl w:val="2"/>
    </w:pPr>
    <w:rPr>
      <w:caps w:val="0"/>
      <w:sz w:val="20"/>
    </w:rPr>
  </w:style>
  <w:style w:type="paragraph" w:customStyle="1" w:styleId="408">
    <w:name w:val="Report Level 4"/>
    <w:basedOn w:val="407"/>
    <w:next w:val="297"/>
    <w:qFormat/>
    <w:uiPriority w:val="0"/>
    <w:pPr>
      <w:tabs>
        <w:tab w:val="left" w:pos="720"/>
        <w:tab w:val="left" w:pos="2309"/>
        <w:tab w:val="clear" w:pos="1889"/>
      </w:tabs>
      <w:ind w:left="720" w:hanging="720"/>
      <w:outlineLvl w:val="3"/>
    </w:pPr>
    <w:rPr>
      <w:rFonts w:ascii="Times New Roman" w:hAnsi="Times New Roman"/>
    </w:rPr>
  </w:style>
  <w:style w:type="paragraph" w:customStyle="1" w:styleId="409">
    <w:name w:val="样式3"/>
    <w:basedOn w:val="4"/>
    <w:next w:val="1"/>
    <w:uiPriority w:val="0"/>
    <w:pPr>
      <w:tabs>
        <w:tab w:val="left" w:pos="709"/>
      </w:tabs>
      <w:spacing w:before="0" w:after="0" w:line="240" w:lineRule="auto"/>
      <w:ind w:left="709" w:hanging="709"/>
      <w:jc w:val="left"/>
    </w:pPr>
    <w:rPr>
      <w:rFonts w:ascii="Tahoma" w:hAnsi="Tahoma"/>
      <w:b w:val="0"/>
      <w:bCs w:val="0"/>
      <w:sz w:val="28"/>
      <w:szCs w:val="20"/>
    </w:rPr>
  </w:style>
  <w:style w:type="paragraph" w:customStyle="1" w:styleId="410">
    <w:name w:val="小标4"/>
    <w:basedOn w:val="1"/>
    <w:next w:val="1"/>
    <w:qFormat/>
    <w:uiPriority w:val="0"/>
    <w:pPr>
      <w:tabs>
        <w:tab w:val="left" w:pos="900"/>
      </w:tabs>
      <w:spacing w:line="400" w:lineRule="exact"/>
      <w:ind w:left="900" w:firstLine="200" w:firstLineChars="200"/>
      <w:jc w:val="left"/>
    </w:pPr>
    <w:rPr>
      <w:rFonts w:ascii="宋体"/>
      <w:color w:val="7030A0"/>
      <w:sz w:val="24"/>
    </w:rPr>
  </w:style>
  <w:style w:type="paragraph" w:customStyle="1" w:styleId="411">
    <w:name w:val="样式 标题2 1.1 + 段前: 0 磅 段后: 0 磅"/>
    <w:basedOn w:val="1"/>
    <w:qFormat/>
    <w:uiPriority w:val="0"/>
    <w:pPr>
      <w:keepNext/>
      <w:tabs>
        <w:tab w:val="left" w:pos="567"/>
      </w:tabs>
      <w:spacing w:line="480" w:lineRule="atLeast"/>
      <w:ind w:left="567" w:hanging="567" w:firstLineChars="200"/>
      <w:jc w:val="left"/>
      <w:outlineLvl w:val="1"/>
    </w:pPr>
    <w:rPr>
      <w:color w:val="7030A0"/>
      <w:sz w:val="28"/>
      <w:szCs w:val="20"/>
    </w:rPr>
  </w:style>
  <w:style w:type="paragraph" w:customStyle="1" w:styleId="412">
    <w:name w:val="表格文字格式"/>
    <w:basedOn w:val="1"/>
    <w:qFormat/>
    <w:uiPriority w:val="0"/>
    <w:pPr>
      <w:snapToGrid w:val="0"/>
      <w:jc w:val="center"/>
    </w:pPr>
    <w:rPr>
      <w:rFonts w:cs="宋体"/>
      <w:szCs w:val="20"/>
    </w:rPr>
  </w:style>
  <w:style w:type="paragraph" w:customStyle="1" w:styleId="413">
    <w:name w:val="正文文本 22"/>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414">
    <w:name w:val="样式 宋体 小四 首行缩进:  0.93 厘米 段前: 11.15 磅 段后: 11.15 磅1 Char"/>
    <w:basedOn w:val="1"/>
    <w:qFormat/>
    <w:uiPriority w:val="0"/>
    <w:pPr>
      <w:adjustRightInd w:val="0"/>
      <w:snapToGrid w:val="0"/>
      <w:ind w:left="200" w:leftChars="200" w:firstLine="200" w:firstLineChars="200"/>
      <w:jc w:val="left"/>
    </w:pPr>
    <w:rPr>
      <w:rFonts w:ascii="宋体"/>
      <w:color w:val="7030A0"/>
      <w:sz w:val="24"/>
      <w:szCs w:val="20"/>
    </w:rPr>
  </w:style>
  <w:style w:type="paragraph" w:customStyle="1" w:styleId="415">
    <w:name w:val="五级条标题"/>
    <w:basedOn w:val="401"/>
    <w:next w:val="1"/>
    <w:qFormat/>
    <w:uiPriority w:val="0"/>
    <w:pPr>
      <w:outlineLvl w:val="6"/>
    </w:pPr>
  </w:style>
  <w:style w:type="paragraph" w:customStyle="1" w:styleId="416">
    <w:name w:val="文档结构图1"/>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417">
    <w:name w:val="註解方塊文字2"/>
    <w:basedOn w:val="1"/>
    <w:semiHidden/>
    <w:qFormat/>
    <w:uiPriority w:val="0"/>
    <w:rPr>
      <w:rFonts w:ascii="Arial" w:hAnsi="Arial" w:eastAsia="PMingLiU"/>
      <w:color w:val="7030A0"/>
      <w:sz w:val="18"/>
      <w:szCs w:val="18"/>
    </w:rPr>
  </w:style>
  <w:style w:type="paragraph" w:customStyle="1" w:styleId="418">
    <w:name w:val="正文文本缩进 22"/>
    <w:basedOn w:val="1"/>
    <w:qFormat/>
    <w:uiPriority w:val="0"/>
    <w:pPr>
      <w:autoSpaceDE w:val="0"/>
      <w:autoSpaceDN w:val="0"/>
      <w:adjustRightInd w:val="0"/>
      <w:ind w:firstLine="420" w:firstLineChars="200"/>
      <w:jc w:val="left"/>
      <w:textAlignment w:val="baseline"/>
    </w:pPr>
    <w:rPr>
      <w:color w:val="7030A0"/>
      <w:szCs w:val="20"/>
    </w:rPr>
  </w:style>
  <w:style w:type="paragraph" w:customStyle="1" w:styleId="419">
    <w:name w:val="纯文本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420">
    <w:name w:val="三级标题格式"/>
    <w:basedOn w:val="4"/>
    <w:qFormat/>
    <w:uiPriority w:val="0"/>
    <w:pPr>
      <w:keepNext w:val="0"/>
      <w:keepLines w:val="0"/>
      <w:spacing w:before="0" w:afterLines="100" w:line="240" w:lineRule="auto"/>
      <w:jc w:val="left"/>
    </w:pPr>
    <w:rPr>
      <w:rFonts w:eastAsia="黑体"/>
      <w:b w:val="0"/>
      <w:sz w:val="28"/>
      <w:szCs w:val="28"/>
    </w:rPr>
  </w:style>
  <w:style w:type="table" w:customStyle="1" w:styleId="421">
    <w:name w:val="样式-表格"/>
    <w:basedOn w:val="87"/>
    <w:qFormat/>
    <w:uiPriority w:val="0"/>
    <w:rPr>
      <w:sz w:val="21"/>
    </w:rPr>
    <w:tblPr>
      <w:jc w:val="center"/>
      <w:tblLayout w:type="fixed"/>
      <w:tblCellMar>
        <w:top w:w="0" w:type="dxa"/>
        <w:left w:w="108" w:type="dxa"/>
        <w:bottom w:w="0" w:type="dxa"/>
        <w:right w:w="108" w:type="dxa"/>
      </w:tblCellMar>
    </w:tblPr>
    <w:trPr>
      <w:jc w:val="center"/>
    </w:trPr>
    <w:tcPr>
      <w:vAlign w:val="center"/>
    </w:tcPr>
  </w:style>
  <w:style w:type="character" w:customStyle="1" w:styleId="422">
    <w:name w:val="正文缩进 Char Char"/>
    <w:link w:val="423"/>
    <w:qFormat/>
    <w:uiPriority w:val="0"/>
    <w:rPr>
      <w:kern w:val="2"/>
      <w:sz w:val="21"/>
      <w:szCs w:val="24"/>
    </w:rPr>
  </w:style>
  <w:style w:type="paragraph" w:customStyle="1" w:styleId="423">
    <w:name w:val="正文缩进1"/>
    <w:basedOn w:val="1"/>
    <w:link w:val="422"/>
    <w:qFormat/>
    <w:uiPriority w:val="0"/>
    <w:pPr>
      <w:spacing w:line="360" w:lineRule="auto"/>
      <w:ind w:firstLine="420"/>
    </w:pPr>
  </w:style>
  <w:style w:type="paragraph" w:customStyle="1" w:styleId="424">
    <w:name w:val="图文"/>
    <w:basedOn w:val="1"/>
    <w:qFormat/>
    <w:uiPriority w:val="0"/>
    <w:pPr>
      <w:adjustRightInd w:val="0"/>
      <w:snapToGrid w:val="0"/>
      <w:spacing w:after="50" w:line="360" w:lineRule="auto"/>
    </w:pPr>
    <w:rPr>
      <w:sz w:val="24"/>
    </w:rPr>
  </w:style>
  <w:style w:type="paragraph" w:styleId="425">
    <w:name w:val="List Paragraph"/>
    <w:basedOn w:val="1"/>
    <w:unhideWhenUsed/>
    <w:qFormat/>
    <w:uiPriority w:val="34"/>
    <w:pPr>
      <w:ind w:firstLine="420" w:firstLineChars="200"/>
    </w:pPr>
  </w:style>
  <w:style w:type="character" w:customStyle="1" w:styleId="426">
    <w:name w:val="Char Char"/>
    <w:basedOn w:val="73"/>
    <w:qFormat/>
    <w:uiPriority w:val="0"/>
    <w:rPr>
      <w:rFonts w:ascii="Arial" w:hAnsi="Arial" w:eastAsia="黑体"/>
      <w:b/>
      <w:bCs/>
      <w:kern w:val="2"/>
      <w:sz w:val="32"/>
      <w:szCs w:val="32"/>
      <w:lang w:val="en-US" w:eastAsia="zh-CN" w:bidi="ar-SA"/>
    </w:rPr>
  </w:style>
  <w:style w:type="character" w:customStyle="1" w:styleId="427">
    <w:name w:val="font161"/>
    <w:basedOn w:val="73"/>
    <w:qFormat/>
    <w:uiPriority w:val="0"/>
    <w:rPr>
      <w:b/>
      <w:bCs/>
      <w:sz w:val="32"/>
      <w:szCs w:val="32"/>
    </w:rPr>
  </w:style>
  <w:style w:type="character" w:customStyle="1" w:styleId="428">
    <w:name w:val="Char Char7"/>
    <w:basedOn w:val="73"/>
    <w:qFormat/>
    <w:uiPriority w:val="0"/>
    <w:rPr>
      <w:rFonts w:ascii="Arial" w:hAnsi="Arial" w:eastAsia="黑体"/>
      <w:b/>
      <w:bCs/>
      <w:kern w:val="2"/>
      <w:sz w:val="32"/>
      <w:szCs w:val="32"/>
      <w:lang w:val="en-US" w:eastAsia="zh-CN" w:bidi="ar-SA"/>
    </w:rPr>
  </w:style>
  <w:style w:type="paragraph" w:customStyle="1" w:styleId="42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0">
    <w:name w:val="样式 标题 1 + 黑体 三号 非加粗 居中 段前: 6 磅 段后: 6 磅 行距: 固定值 20 磅"/>
    <w:basedOn w:val="2"/>
    <w:qFormat/>
    <w:uiPriority w:val="0"/>
    <w:pPr>
      <w:tabs>
        <w:tab w:val="clear" w:pos="1440"/>
      </w:tabs>
      <w:spacing w:before="120" w:after="120" w:line="400" w:lineRule="exact"/>
      <w:ind w:left="0" w:firstLine="0"/>
      <w:jc w:val="center"/>
    </w:pPr>
    <w:rPr>
      <w:rFonts w:ascii="黑体" w:hAnsi="黑体" w:eastAsia="黑体" w:cs="宋体"/>
      <w:b w:val="0"/>
      <w:bCs w:val="0"/>
      <w:sz w:val="32"/>
      <w:szCs w:val="20"/>
    </w:rPr>
  </w:style>
  <w:style w:type="paragraph" w:customStyle="1" w:styleId="431">
    <w:name w:val="样式 标题 3 + (中文) 黑体 小四 非加粗 段前: 7.8 磅 段后: 0 磅 行距: 固定值 20 磅"/>
    <w:basedOn w:val="4"/>
    <w:link w:val="433"/>
    <w:qFormat/>
    <w:uiPriority w:val="0"/>
    <w:pPr>
      <w:spacing w:before="0" w:after="0" w:line="400" w:lineRule="exact"/>
    </w:pPr>
    <w:rPr>
      <w:rFonts w:eastAsia="黑体" w:cs="宋体"/>
      <w:b w:val="0"/>
      <w:bCs w:val="0"/>
      <w:sz w:val="24"/>
      <w:szCs w:val="20"/>
    </w:rPr>
  </w:style>
  <w:style w:type="paragraph" w:customStyle="1" w:styleId="43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character" w:customStyle="1" w:styleId="433">
    <w:name w:val="样式 标题 3 + (中文) 黑体 小四 非加粗 段前: 7.8 磅 段后: 0 磅 行距: 固定值 20 磅 Char Char"/>
    <w:link w:val="431"/>
    <w:qFormat/>
    <w:uiPriority w:val="0"/>
    <w:rPr>
      <w:rFonts w:eastAsia="黑体" w:cs="宋体"/>
      <w:kern w:val="2"/>
      <w:sz w:val="24"/>
    </w:rPr>
  </w:style>
  <w:style w:type="paragraph" w:customStyle="1" w:styleId="434">
    <w:name w:val="WPSOffice手动目录 1"/>
    <w:qFormat/>
    <w:uiPriority w:val="0"/>
    <w:rPr>
      <w:rFonts w:ascii="Calibri" w:hAnsi="Calibri" w:eastAsia="宋体" w:cs="Times New Roman"/>
      <w:lang w:val="en-US" w:eastAsia="zh-CN" w:bidi="ar-SA"/>
    </w:rPr>
  </w:style>
  <w:style w:type="paragraph" w:customStyle="1" w:styleId="435">
    <w:name w:val="WPSOffice手动目录 2"/>
    <w:qFormat/>
    <w:uiPriority w:val="0"/>
    <w:pPr>
      <w:ind w:left="200" w:leftChars="200"/>
    </w:pPr>
    <w:rPr>
      <w:rFonts w:ascii="Calibri" w:hAnsi="Calibri" w:eastAsia="宋体" w:cs="Times New Roman"/>
      <w:lang w:val="en-US" w:eastAsia="zh-CN" w:bidi="ar-SA"/>
    </w:rPr>
  </w:style>
  <w:style w:type="character" w:customStyle="1" w:styleId="436">
    <w:name w:val="del2"/>
    <w:basedOn w:val="73"/>
    <w:qFormat/>
    <w:uiPriority w:val="0"/>
  </w:style>
  <w:style w:type="character" w:customStyle="1" w:styleId="437">
    <w:name w:val="morewin"/>
    <w:basedOn w:val="73"/>
    <w:qFormat/>
    <w:uiPriority w:val="0"/>
  </w:style>
  <w:style w:type="character" w:customStyle="1" w:styleId="438">
    <w:name w:val="label"/>
    <w:basedOn w:val="73"/>
    <w:qFormat/>
    <w:uiPriority w:val="0"/>
  </w:style>
  <w:style w:type="character" w:customStyle="1" w:styleId="439">
    <w:name w:val="error"/>
    <w:basedOn w:val="73"/>
    <w:qFormat/>
    <w:uiPriority w:val="0"/>
    <w:rPr>
      <w:color w:val="CC0000"/>
    </w:rPr>
  </w:style>
  <w:style w:type="character" w:customStyle="1" w:styleId="440">
    <w:name w:val="open"/>
    <w:basedOn w:val="73"/>
    <w:qFormat/>
    <w:uiPriority w:val="0"/>
  </w:style>
  <w:style w:type="character" w:customStyle="1" w:styleId="441">
    <w:name w:val="mod"/>
    <w:basedOn w:val="73"/>
    <w:qFormat/>
    <w:uiPriority w:val="0"/>
  </w:style>
  <w:style w:type="character" w:customStyle="1" w:styleId="442">
    <w:name w:val="add"/>
    <w:basedOn w:val="73"/>
    <w:qFormat/>
    <w:uiPriority w:val="0"/>
  </w:style>
  <w:style w:type="character" w:customStyle="1" w:styleId="443">
    <w:name w:val="refresh"/>
    <w:basedOn w:val="73"/>
    <w:qFormat/>
    <w:uiPriority w:val="0"/>
  </w:style>
  <w:style w:type="character" w:customStyle="1" w:styleId="444">
    <w:name w:val="pagebanner"/>
    <w:basedOn w:val="73"/>
    <w:qFormat/>
    <w:uiPriority w:val="0"/>
  </w:style>
  <w:style w:type="character" w:customStyle="1" w:styleId="445">
    <w:name w:val="pagelinks"/>
    <w:basedOn w:val="7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362B6-62D3-41CF-9211-46769EBC2BF8}">
  <ds:schemaRefs/>
</ds:datastoreItem>
</file>

<file path=docProps/app.xml><?xml version="1.0" encoding="utf-8"?>
<Properties xmlns="http://schemas.openxmlformats.org/officeDocument/2006/extended-properties" xmlns:vt="http://schemas.openxmlformats.org/officeDocument/2006/docPropsVTypes">
  <Template>Normal</Template>
  <Company>zzz</Company>
  <Pages>84</Pages>
  <Words>7135</Words>
  <Characters>40675</Characters>
  <Lines>338</Lines>
  <Paragraphs>95</Paragraphs>
  <TotalTime>12</TotalTime>
  <ScaleCrop>false</ScaleCrop>
  <LinksUpToDate>false</LinksUpToDate>
  <CharactersWithSpaces>47715</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2018-11-02T02:37:00Z</dcterms:created>
  <dc:creator>wmq</dc:creator>
  <cp:lastModifiedBy>Administrator</cp:lastModifiedBy>
  <cp:lastPrinted>2018-12-03T04:48:34Z</cp:lastPrinted>
  <dcterms:modified xsi:type="dcterms:W3CDTF">2018-12-03T04:49:06Z</dcterms:modified>
  <dc:title>适用一般货物采购/非建筑设备货物采购含安装等伴随服务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