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20C6FC" w14:textId="77777777" w:rsidR="00750A0E" w:rsidRPr="00221221" w:rsidRDefault="00750A0E" w:rsidP="00750A0E"/>
    <w:p w14:paraId="297E9102" w14:textId="77777777" w:rsidR="00750A0E" w:rsidRDefault="00750A0E" w:rsidP="00750A0E">
      <w:pPr>
        <w:spacing w:line="360" w:lineRule="auto"/>
        <w:rPr>
          <w:rFonts w:hAnsi="宋体"/>
          <w:sz w:val="24"/>
          <w:szCs w:val="24"/>
        </w:rPr>
      </w:pPr>
      <w:r>
        <w:rPr>
          <w:rFonts w:hAnsi="宋体" w:hint="eastAsia"/>
          <w:sz w:val="24"/>
          <w:szCs w:val="24"/>
        </w:rPr>
        <w:t>采购项目名称：运营能耗监管中心配套服务项目</w:t>
      </w:r>
    </w:p>
    <w:p w14:paraId="778DBCEF" w14:textId="77777777" w:rsidR="00750A0E" w:rsidRDefault="00750A0E" w:rsidP="00750A0E">
      <w:pPr>
        <w:spacing w:line="360" w:lineRule="auto"/>
        <w:rPr>
          <w:sz w:val="24"/>
          <w:szCs w:val="24"/>
        </w:rPr>
      </w:pPr>
      <w:r>
        <w:rPr>
          <w:rFonts w:hAnsi="宋体" w:hint="eastAsia"/>
          <w:sz w:val="24"/>
          <w:szCs w:val="24"/>
        </w:rPr>
        <w:t>采购人：儋州市机关事务管理局</w:t>
      </w:r>
    </w:p>
    <w:p w14:paraId="13961A68" w14:textId="77777777" w:rsidR="00750A0E" w:rsidRDefault="00750A0E" w:rsidP="00750A0E">
      <w:pPr>
        <w:spacing w:line="360" w:lineRule="auto"/>
        <w:rPr>
          <w:sz w:val="24"/>
          <w:szCs w:val="24"/>
        </w:rPr>
      </w:pPr>
      <w:r>
        <w:rPr>
          <w:rFonts w:hAnsi="宋体" w:hint="eastAsia"/>
          <w:sz w:val="24"/>
          <w:szCs w:val="24"/>
        </w:rPr>
        <w:t>项目地点：儋州市</w:t>
      </w:r>
    </w:p>
    <w:p w14:paraId="007FCBBF" w14:textId="77777777" w:rsidR="00750A0E" w:rsidRDefault="00750A0E" w:rsidP="00750A0E">
      <w:pPr>
        <w:spacing w:line="360" w:lineRule="auto"/>
        <w:rPr>
          <w:rFonts w:hAnsi="宋体"/>
          <w:sz w:val="24"/>
          <w:szCs w:val="24"/>
        </w:rPr>
      </w:pPr>
      <w:r>
        <w:rPr>
          <w:rFonts w:hAnsi="宋体" w:hint="eastAsia"/>
          <w:sz w:val="24"/>
          <w:szCs w:val="24"/>
        </w:rPr>
        <w:t>项目预算：人民币</w:t>
      </w:r>
      <w:r>
        <w:rPr>
          <w:rFonts w:hint="eastAsia"/>
          <w:sz w:val="24"/>
          <w:szCs w:val="24"/>
        </w:rPr>
        <w:t>79.98万</w:t>
      </w:r>
      <w:r>
        <w:rPr>
          <w:rFonts w:hAnsi="宋体" w:hint="eastAsia"/>
          <w:sz w:val="24"/>
          <w:szCs w:val="24"/>
        </w:rPr>
        <w:t>元</w:t>
      </w:r>
    </w:p>
    <w:p w14:paraId="41B80832" w14:textId="77777777" w:rsidR="00750A0E" w:rsidRDefault="00750A0E" w:rsidP="00750A0E">
      <w:pPr>
        <w:spacing w:line="360" w:lineRule="auto"/>
        <w:rPr>
          <w:sz w:val="24"/>
          <w:szCs w:val="24"/>
        </w:rPr>
      </w:pPr>
    </w:p>
    <w:p w14:paraId="4C1F4DA4" w14:textId="77777777" w:rsidR="00750A0E" w:rsidRPr="00280BBC" w:rsidRDefault="00750A0E" w:rsidP="00750A0E">
      <w:pPr>
        <w:spacing w:line="360" w:lineRule="auto"/>
        <w:rPr>
          <w:rFonts w:hAnsi="宋体"/>
          <w:b/>
          <w:sz w:val="28"/>
          <w:szCs w:val="28"/>
        </w:rPr>
      </w:pPr>
      <w:r w:rsidRPr="00280BBC">
        <w:rPr>
          <w:rFonts w:hAnsi="宋体" w:hint="eastAsia"/>
          <w:b/>
          <w:sz w:val="28"/>
          <w:szCs w:val="28"/>
        </w:rPr>
        <w:t>一、项目建设需求及建设内容</w:t>
      </w:r>
    </w:p>
    <w:p w14:paraId="67F26BF6" w14:textId="77777777" w:rsidR="00750A0E" w:rsidRDefault="00750A0E" w:rsidP="00750A0E">
      <w:pPr>
        <w:pStyle w:val="2"/>
        <w:numPr>
          <w:ilvl w:val="1"/>
          <w:numId w:val="1"/>
        </w:numPr>
        <w:spacing w:before="100" w:beforeAutospacing="1" w:after="0" w:line="360" w:lineRule="auto"/>
        <w:ind w:hanging="4084"/>
        <w:jc w:val="left"/>
        <w:rPr>
          <w:rFonts w:ascii="宋体" w:hAnsi="宋体"/>
          <w:sz w:val="28"/>
          <w:szCs w:val="28"/>
        </w:rPr>
      </w:pPr>
      <w:r>
        <w:rPr>
          <w:rFonts w:hint="eastAsia"/>
          <w:sz w:val="28"/>
          <w:szCs w:val="28"/>
        </w:rPr>
        <w:t>项目基本概况</w:t>
      </w:r>
    </w:p>
    <w:p w14:paraId="5A249EF9" w14:textId="77777777" w:rsidR="00750A0E" w:rsidRDefault="00750A0E" w:rsidP="00750A0E">
      <w:pPr>
        <w:spacing w:line="360" w:lineRule="auto"/>
        <w:ind w:firstLineChars="200" w:firstLine="480"/>
        <w:rPr>
          <w:rFonts w:hAnsi="宋体"/>
          <w:sz w:val="24"/>
          <w:szCs w:val="24"/>
        </w:rPr>
      </w:pPr>
      <w:r>
        <w:rPr>
          <w:rFonts w:hAnsi="宋体" w:hint="eastAsia"/>
          <w:sz w:val="24"/>
          <w:szCs w:val="24"/>
        </w:rPr>
        <w:t>“十八大”以来，我国政府进一步提出了“创新、协调、绿色、开放、共享”的生态文明建设理念。党的十八大和十八届三中、四中、五中全会以及十九大，习近平总书记系列重要讲话，及国务院“十三五”规划纲要中均对“生态文明建设”、“节能减排”工作提出了明确的内容和目标。“十三五”时期，经济社会发展面临的能源资源环境瓶颈约束依然比较突出，能源供给、消费、技术、体制改革将全面开展，能源节约型社会建设加速推进，要求公共机构率先行动。</w:t>
      </w:r>
    </w:p>
    <w:p w14:paraId="49F391CB" w14:textId="77777777" w:rsidR="00750A0E" w:rsidRDefault="00750A0E" w:rsidP="00750A0E">
      <w:pPr>
        <w:spacing w:line="360" w:lineRule="auto"/>
        <w:ind w:firstLineChars="200" w:firstLine="480"/>
        <w:rPr>
          <w:rFonts w:hAnsi="宋体"/>
          <w:sz w:val="24"/>
          <w:szCs w:val="24"/>
        </w:rPr>
      </w:pPr>
      <w:r>
        <w:rPr>
          <w:rFonts w:hAnsi="宋体" w:hint="eastAsia"/>
          <w:sz w:val="24"/>
          <w:szCs w:val="24"/>
        </w:rPr>
        <w:t>为深入推进儋州市公共机构及大型公共建筑的节能工作，贯彻落实国家和海南省公共机构节能主管部门关于加强对公共机构节能管理的有关文件精神，儋州市机关事务管理局拟实施“儋州市公共机构能耗监管平台”。项目将遵循“统一规划，分步实施”，</w:t>
      </w:r>
      <w:r>
        <w:rPr>
          <w:rFonts w:hAnsi="宋体" w:hint="eastAsia"/>
          <w:b/>
          <w:bCs/>
          <w:sz w:val="24"/>
          <w:szCs w:val="24"/>
        </w:rPr>
        <w:t>项目本次完成市级公共机构能耗监管云平台的搭建，以及部分公共机构监测点的数据采集与传输</w:t>
      </w:r>
      <w:r>
        <w:rPr>
          <w:rFonts w:hAnsi="宋体" w:hint="eastAsia"/>
          <w:sz w:val="24"/>
          <w:szCs w:val="24"/>
        </w:rPr>
        <w:t>；后期将逐年完成全市内各公共机构建筑终端能耗釆集系统建设，安装各类能耗计量装置和釆集设备，实现建筑物能耗数据（电能、水耗等）釆集和数据上传功能。</w:t>
      </w:r>
    </w:p>
    <w:p w14:paraId="202D02B2" w14:textId="77777777" w:rsidR="00750A0E" w:rsidRDefault="00750A0E" w:rsidP="00750A0E">
      <w:pPr>
        <w:pStyle w:val="2"/>
        <w:numPr>
          <w:ilvl w:val="1"/>
          <w:numId w:val="1"/>
        </w:numPr>
        <w:spacing w:before="100" w:beforeAutospacing="1" w:after="0" w:line="360" w:lineRule="auto"/>
        <w:ind w:hanging="4084"/>
        <w:jc w:val="left"/>
        <w:rPr>
          <w:rFonts w:ascii="宋体" w:hAnsi="宋体"/>
          <w:sz w:val="28"/>
          <w:szCs w:val="28"/>
        </w:rPr>
      </w:pPr>
      <w:bookmarkStart w:id="0" w:name="_Toc468788157"/>
      <w:bookmarkEnd w:id="0"/>
      <w:r>
        <w:rPr>
          <w:rFonts w:hint="eastAsia"/>
          <w:sz w:val="28"/>
          <w:szCs w:val="28"/>
        </w:rPr>
        <w:t>规范与标准</w:t>
      </w:r>
    </w:p>
    <w:p w14:paraId="79CD3A5B" w14:textId="77777777" w:rsidR="00750A0E" w:rsidRDefault="00750A0E" w:rsidP="00750A0E">
      <w:pPr>
        <w:spacing w:line="360" w:lineRule="auto"/>
        <w:ind w:firstLineChars="200" w:firstLine="480"/>
        <w:rPr>
          <w:rFonts w:hAnsi="宋体"/>
          <w:sz w:val="24"/>
          <w:szCs w:val="24"/>
        </w:rPr>
      </w:pPr>
      <w:r>
        <w:rPr>
          <w:rFonts w:hAnsi="宋体" w:hint="eastAsia"/>
          <w:sz w:val="24"/>
          <w:szCs w:val="24"/>
        </w:rPr>
        <w:t>本项目建设须严格按照国家、海南省颁布的规范、标准、通知等，主要有：</w:t>
      </w:r>
    </w:p>
    <w:p w14:paraId="5144B124" w14:textId="77777777" w:rsidR="00750A0E" w:rsidRDefault="00750A0E" w:rsidP="00750A0E">
      <w:pPr>
        <w:spacing w:line="360" w:lineRule="auto"/>
        <w:ind w:firstLineChars="200" w:firstLine="480"/>
        <w:rPr>
          <w:rFonts w:hAnsi="宋体"/>
          <w:sz w:val="24"/>
          <w:szCs w:val="24"/>
        </w:rPr>
      </w:pPr>
      <w:r>
        <w:rPr>
          <w:rFonts w:hAnsi="宋体" w:hint="eastAsia"/>
          <w:sz w:val="24"/>
          <w:szCs w:val="24"/>
        </w:rPr>
        <w:t>《国家机关办公建筑和大型公共建筑能耗监测平台建设技术导则》</w:t>
      </w:r>
    </w:p>
    <w:p w14:paraId="534C8420" w14:textId="77777777" w:rsidR="00750A0E" w:rsidRDefault="00750A0E" w:rsidP="00750A0E">
      <w:pPr>
        <w:spacing w:line="360" w:lineRule="auto"/>
        <w:ind w:firstLineChars="200" w:firstLine="480"/>
        <w:rPr>
          <w:rFonts w:hAnsi="宋体"/>
          <w:sz w:val="24"/>
          <w:szCs w:val="24"/>
        </w:rPr>
      </w:pPr>
      <w:r>
        <w:rPr>
          <w:rFonts w:hAnsi="宋体" w:hint="eastAsia"/>
          <w:sz w:val="24"/>
          <w:szCs w:val="24"/>
        </w:rPr>
        <w:t>《国家机关办公建筑和大型公共建筑能耗监测系统分项能耗数据采集技术导则》</w:t>
      </w:r>
    </w:p>
    <w:p w14:paraId="3975957E" w14:textId="77777777" w:rsidR="00750A0E" w:rsidRDefault="00750A0E" w:rsidP="00750A0E">
      <w:pPr>
        <w:spacing w:line="360" w:lineRule="auto"/>
        <w:ind w:firstLineChars="200" w:firstLine="480"/>
        <w:rPr>
          <w:rFonts w:hAnsi="宋体"/>
          <w:sz w:val="24"/>
          <w:szCs w:val="24"/>
        </w:rPr>
      </w:pPr>
      <w:r>
        <w:rPr>
          <w:rFonts w:hAnsi="宋体" w:hint="eastAsia"/>
          <w:sz w:val="24"/>
          <w:szCs w:val="24"/>
        </w:rPr>
        <w:t>《国家机关办公建筑和大型公共建筑能耗监测系统分项能耗数据传输技术</w:t>
      </w:r>
      <w:r>
        <w:rPr>
          <w:rFonts w:hAnsi="宋体" w:hint="eastAsia"/>
          <w:sz w:val="24"/>
          <w:szCs w:val="24"/>
        </w:rPr>
        <w:lastRenderedPageBreak/>
        <w:t>导则》</w:t>
      </w:r>
    </w:p>
    <w:p w14:paraId="6EF4E2C1" w14:textId="77777777" w:rsidR="00750A0E" w:rsidRDefault="00750A0E" w:rsidP="00750A0E">
      <w:pPr>
        <w:spacing w:line="360" w:lineRule="auto"/>
        <w:ind w:firstLineChars="200" w:firstLine="480"/>
        <w:rPr>
          <w:rFonts w:hAnsi="宋体"/>
          <w:sz w:val="24"/>
          <w:szCs w:val="24"/>
        </w:rPr>
      </w:pPr>
      <w:r>
        <w:rPr>
          <w:rFonts w:hAnsi="宋体" w:hint="eastAsia"/>
          <w:sz w:val="24"/>
          <w:szCs w:val="24"/>
        </w:rPr>
        <w:t>《国家机关办公建筑和大型公共建筑能耗监测系统楼宇分项计量设计安装技术导则》</w:t>
      </w:r>
    </w:p>
    <w:p w14:paraId="43ABFA1A" w14:textId="77777777" w:rsidR="00750A0E" w:rsidRDefault="00750A0E" w:rsidP="00750A0E">
      <w:pPr>
        <w:spacing w:line="360" w:lineRule="auto"/>
        <w:ind w:firstLineChars="200" w:firstLine="480"/>
        <w:rPr>
          <w:rFonts w:hAnsi="宋体"/>
          <w:sz w:val="24"/>
          <w:szCs w:val="24"/>
        </w:rPr>
      </w:pPr>
      <w:r>
        <w:rPr>
          <w:rFonts w:hAnsi="宋体" w:hint="eastAsia"/>
          <w:sz w:val="24"/>
          <w:szCs w:val="24"/>
        </w:rPr>
        <w:t>《国家机关办公建筑和大型公共建筑能耗监测系统数据中心建设与维护技术导则》</w:t>
      </w:r>
    </w:p>
    <w:p w14:paraId="37A6982E" w14:textId="77777777" w:rsidR="00750A0E" w:rsidRDefault="00750A0E" w:rsidP="00750A0E">
      <w:pPr>
        <w:spacing w:line="360" w:lineRule="auto"/>
        <w:ind w:firstLineChars="200" w:firstLine="480"/>
        <w:rPr>
          <w:rFonts w:hAnsi="宋体"/>
          <w:sz w:val="24"/>
          <w:szCs w:val="24"/>
        </w:rPr>
      </w:pPr>
      <w:r>
        <w:rPr>
          <w:rFonts w:hAnsi="宋体" w:hint="eastAsia"/>
          <w:sz w:val="24"/>
          <w:szCs w:val="24"/>
        </w:rPr>
        <w:t>《国家机关办公建筑和大型公共建筑能耗监测系统建设、验收与运行管理规范》</w:t>
      </w:r>
    </w:p>
    <w:p w14:paraId="0D28E34C" w14:textId="77777777" w:rsidR="00750A0E" w:rsidRDefault="00750A0E" w:rsidP="00750A0E">
      <w:pPr>
        <w:spacing w:line="360" w:lineRule="auto"/>
        <w:ind w:firstLineChars="200" w:firstLine="480"/>
        <w:rPr>
          <w:rFonts w:hAnsi="宋体"/>
          <w:sz w:val="24"/>
          <w:szCs w:val="24"/>
        </w:rPr>
      </w:pPr>
      <w:r>
        <w:rPr>
          <w:rFonts w:hAnsi="宋体" w:hint="eastAsia"/>
          <w:sz w:val="24"/>
          <w:szCs w:val="24"/>
        </w:rPr>
        <w:t>《海南省节约能源条例》</w:t>
      </w:r>
    </w:p>
    <w:p w14:paraId="74A49221" w14:textId="77777777" w:rsidR="00750A0E" w:rsidRDefault="00750A0E" w:rsidP="00750A0E">
      <w:pPr>
        <w:spacing w:line="360" w:lineRule="auto"/>
        <w:ind w:firstLineChars="200" w:firstLine="480"/>
        <w:rPr>
          <w:rFonts w:hAnsi="宋体"/>
          <w:sz w:val="24"/>
          <w:szCs w:val="24"/>
        </w:rPr>
      </w:pPr>
      <w:r>
        <w:rPr>
          <w:rFonts w:hAnsi="宋体" w:hint="eastAsia"/>
          <w:sz w:val="24"/>
          <w:szCs w:val="24"/>
        </w:rPr>
        <w:t>《海南省国家机关办公建筑和大型公共建筑能耗监测管理办法》</w:t>
      </w:r>
    </w:p>
    <w:p w14:paraId="6886ECAE" w14:textId="77777777" w:rsidR="00750A0E" w:rsidRDefault="00750A0E" w:rsidP="00750A0E">
      <w:pPr>
        <w:spacing w:line="360" w:lineRule="auto"/>
        <w:ind w:firstLineChars="200" w:firstLine="480"/>
        <w:rPr>
          <w:rFonts w:hAnsi="宋体"/>
          <w:sz w:val="24"/>
          <w:szCs w:val="24"/>
        </w:rPr>
      </w:pPr>
      <w:r>
        <w:rPr>
          <w:rFonts w:hAnsi="宋体" w:hint="eastAsia"/>
          <w:sz w:val="24"/>
          <w:szCs w:val="24"/>
        </w:rPr>
        <w:t>《海南省公共机构节约能源”十三五”规划》</w:t>
      </w:r>
    </w:p>
    <w:p w14:paraId="1B32B03F" w14:textId="77777777" w:rsidR="00750A0E" w:rsidRDefault="00750A0E" w:rsidP="00750A0E">
      <w:pPr>
        <w:spacing w:line="360" w:lineRule="auto"/>
        <w:ind w:firstLineChars="200" w:firstLine="480"/>
        <w:rPr>
          <w:rFonts w:hAnsi="宋体"/>
          <w:sz w:val="24"/>
          <w:szCs w:val="24"/>
        </w:rPr>
      </w:pPr>
      <w:r>
        <w:rPr>
          <w:rFonts w:hAnsi="宋体" w:hint="eastAsia"/>
          <w:sz w:val="24"/>
          <w:szCs w:val="24"/>
        </w:rPr>
        <w:t>《海南省人民政府办公厅关于印发海南省公共机构节约能源资源“十三五”规划的通知》</w:t>
      </w:r>
    </w:p>
    <w:p w14:paraId="02A01CFC" w14:textId="77777777" w:rsidR="00750A0E" w:rsidRDefault="00750A0E" w:rsidP="00750A0E">
      <w:pPr>
        <w:pStyle w:val="2"/>
        <w:numPr>
          <w:ilvl w:val="1"/>
          <w:numId w:val="1"/>
        </w:numPr>
        <w:spacing w:before="100" w:beforeAutospacing="1" w:after="0" w:line="360" w:lineRule="auto"/>
        <w:ind w:hanging="4084"/>
        <w:jc w:val="left"/>
        <w:rPr>
          <w:rFonts w:ascii="宋体" w:hAnsi="宋体"/>
          <w:sz w:val="28"/>
          <w:szCs w:val="28"/>
        </w:rPr>
      </w:pPr>
      <w:r>
        <w:rPr>
          <w:rFonts w:hint="eastAsia"/>
          <w:sz w:val="28"/>
          <w:szCs w:val="28"/>
        </w:rPr>
        <w:t>平台架构</w:t>
      </w:r>
    </w:p>
    <w:p w14:paraId="53849695" w14:textId="77777777" w:rsidR="00750A0E" w:rsidRDefault="00750A0E" w:rsidP="00750A0E">
      <w:pPr>
        <w:pStyle w:val="3"/>
        <w:widowControl w:val="0"/>
        <w:numPr>
          <w:ilvl w:val="2"/>
          <w:numId w:val="1"/>
        </w:numPr>
        <w:spacing w:before="100" w:beforeAutospacing="1" w:after="0" w:line="360" w:lineRule="auto"/>
        <w:rPr>
          <w:sz w:val="28"/>
          <w:szCs w:val="28"/>
        </w:rPr>
      </w:pPr>
      <w:r>
        <w:rPr>
          <w:rFonts w:hint="eastAsia"/>
          <w:sz w:val="28"/>
          <w:szCs w:val="28"/>
        </w:rPr>
        <w:t>平台网络架构</w:t>
      </w:r>
    </w:p>
    <w:p w14:paraId="2091C453" w14:textId="77777777" w:rsidR="00750A0E" w:rsidRDefault="00750A0E" w:rsidP="00750A0E">
      <w:pPr>
        <w:spacing w:line="360" w:lineRule="auto"/>
        <w:ind w:firstLineChars="200" w:firstLine="482"/>
        <w:rPr>
          <w:rFonts w:hAnsi="宋体"/>
          <w:sz w:val="24"/>
          <w:szCs w:val="24"/>
        </w:rPr>
      </w:pPr>
      <w:r>
        <w:rPr>
          <w:rFonts w:hAnsi="宋体" w:hint="eastAsia"/>
          <w:b/>
          <w:bCs/>
          <w:sz w:val="24"/>
          <w:szCs w:val="24"/>
        </w:rPr>
        <w:t>能耗监测平台采用B/S架构设计，</w:t>
      </w:r>
      <w:r>
        <w:rPr>
          <w:rFonts w:hAnsi="宋体" w:hint="eastAsia"/>
          <w:sz w:val="24"/>
          <w:szCs w:val="24"/>
        </w:rPr>
        <w:t>其体系架如下图所示。</w:t>
      </w:r>
      <w:bookmarkStart w:id="1" w:name="OLE_LINK45"/>
      <w:r>
        <w:rPr>
          <w:rFonts w:hAnsi="宋体" w:hint="eastAsia"/>
          <w:sz w:val="24"/>
          <w:szCs w:val="24"/>
        </w:rPr>
        <w:t>能耗监测</w:t>
      </w:r>
      <w:bookmarkEnd w:id="1"/>
      <w:r>
        <w:rPr>
          <w:rFonts w:hAnsi="宋体" w:hint="eastAsia"/>
          <w:sz w:val="24"/>
          <w:szCs w:val="24"/>
        </w:rPr>
        <w:t>平台最底层是计量器具（包括水表和电表）；能耗数据采集器定时（采集间隔为不超过15分钟）通过RS-485总线采集水表和电表的计量数据，完成能源资源消耗数据预处理、存储和备份，并定时（15分钟至24小时任意时间）将消耗数据上传至儋州市公共机构能耗监管平台云数据中心。</w:t>
      </w:r>
    </w:p>
    <w:p w14:paraId="132567BE" w14:textId="77777777" w:rsidR="00750A0E" w:rsidRDefault="00750A0E" w:rsidP="00750A0E">
      <w:pPr>
        <w:jc w:val="center"/>
        <w:rPr>
          <w:rFonts w:hAnsi="宋体"/>
          <w:sz w:val="21"/>
          <w:szCs w:val="21"/>
        </w:rPr>
      </w:pPr>
      <w:r>
        <w:rPr>
          <w:noProof/>
        </w:rPr>
        <w:lastRenderedPageBreak/>
        <w:drawing>
          <wp:inline distT="0" distB="0" distL="0" distR="0" wp14:anchorId="29637253" wp14:editId="6725956B">
            <wp:extent cx="5657850" cy="4552950"/>
            <wp:effectExtent l="19050" t="0" r="0" b="0"/>
            <wp:docPr id="3" name="图片 1" descr="C:\Users\68555\AppData\Local\Temp\ksohtml\wps6DA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68555\AppData\Local\Temp\ksohtml\wps6DA5.tmp.png"/>
                    <pic:cNvPicPr>
                      <a:picLocks noChangeAspect="1" noChangeArrowheads="1"/>
                    </pic:cNvPicPr>
                  </pic:nvPicPr>
                  <pic:blipFill>
                    <a:blip r:embed="rId7" cstate="print"/>
                    <a:srcRect/>
                    <a:stretch>
                      <a:fillRect/>
                    </a:stretch>
                  </pic:blipFill>
                  <pic:spPr>
                    <a:xfrm>
                      <a:off x="0" y="0"/>
                      <a:ext cx="5657850" cy="4552950"/>
                    </a:xfrm>
                    <a:prstGeom prst="rect">
                      <a:avLst/>
                    </a:prstGeom>
                    <a:noFill/>
                    <a:ln w="9525">
                      <a:noFill/>
                      <a:miter lim="800000"/>
                      <a:headEnd/>
                      <a:tailEnd/>
                    </a:ln>
                  </pic:spPr>
                </pic:pic>
              </a:graphicData>
            </a:graphic>
          </wp:inline>
        </w:drawing>
      </w:r>
    </w:p>
    <w:p w14:paraId="1D09915C" w14:textId="77777777" w:rsidR="00750A0E" w:rsidRDefault="00750A0E" w:rsidP="00750A0E">
      <w:pPr>
        <w:spacing w:beforeLines="50" w:before="156"/>
        <w:ind w:firstLineChars="200" w:firstLine="683"/>
        <w:jc w:val="center"/>
        <w:rPr>
          <w:rFonts w:hAnsi="宋体"/>
          <w:b/>
          <w:bCs/>
        </w:rPr>
      </w:pPr>
      <w:r>
        <w:rPr>
          <w:rFonts w:hAnsi="宋体" w:hint="eastAsia"/>
          <w:b/>
          <w:bCs/>
        </w:rPr>
        <w:t>能耗监测平台架构图</w:t>
      </w:r>
    </w:p>
    <w:p w14:paraId="131A25C8" w14:textId="77777777" w:rsidR="00750A0E" w:rsidRDefault="00750A0E" w:rsidP="00750A0E">
      <w:pPr>
        <w:widowControl/>
        <w:rPr>
          <w:rFonts w:hAnsi="宋体"/>
          <w:sz w:val="24"/>
          <w:szCs w:val="24"/>
        </w:rPr>
      </w:pPr>
      <w:bookmarkStart w:id="2" w:name="_Toc20191"/>
      <w:bookmarkEnd w:id="2"/>
    </w:p>
    <w:p w14:paraId="6D281556" w14:textId="77777777" w:rsidR="00750A0E" w:rsidRDefault="00750A0E" w:rsidP="00750A0E">
      <w:pPr>
        <w:pStyle w:val="3"/>
        <w:widowControl w:val="0"/>
        <w:numPr>
          <w:ilvl w:val="2"/>
          <w:numId w:val="1"/>
        </w:numPr>
        <w:spacing w:before="100" w:beforeAutospacing="1" w:after="0" w:line="360" w:lineRule="auto"/>
        <w:rPr>
          <w:rFonts w:ascii="宋体" w:hAnsi="宋体"/>
          <w:sz w:val="28"/>
          <w:szCs w:val="28"/>
        </w:rPr>
      </w:pPr>
      <w:r>
        <w:rPr>
          <w:rFonts w:hint="eastAsia"/>
          <w:sz w:val="28"/>
          <w:szCs w:val="28"/>
        </w:rPr>
        <w:t>平台应用软件体系架构</w:t>
      </w:r>
    </w:p>
    <w:p w14:paraId="35C78079" w14:textId="77777777" w:rsidR="00750A0E" w:rsidRDefault="00750A0E" w:rsidP="00750A0E">
      <w:pPr>
        <w:spacing w:line="360" w:lineRule="auto"/>
        <w:ind w:firstLineChars="200" w:firstLine="480"/>
        <w:rPr>
          <w:rFonts w:hAnsi="宋体"/>
          <w:sz w:val="24"/>
          <w:szCs w:val="24"/>
        </w:rPr>
      </w:pPr>
      <w:r>
        <w:rPr>
          <w:rFonts w:hAnsi="宋体" w:hint="eastAsia"/>
          <w:sz w:val="24"/>
          <w:szCs w:val="24"/>
        </w:rPr>
        <w:t>能耗监测平台应用软件在结构上分为四个层次：现场数据采集层、数据平台层、基础平台层、系统应用层；每个层次完成不同的任务，下层为上层提供相应的技术支持服务。体系遵循国家相关技术标准，具有身份认证、数据加密、数据备份、病毒防范等相关安全保障体系。平台的软件架构方案如图所示。</w:t>
      </w:r>
    </w:p>
    <w:p w14:paraId="41988217" w14:textId="77777777" w:rsidR="00750A0E" w:rsidRDefault="00750A0E" w:rsidP="00750A0E">
      <w:pPr>
        <w:spacing w:line="360" w:lineRule="auto"/>
        <w:jc w:val="center"/>
        <w:rPr>
          <w:rFonts w:hAnsi="宋体"/>
          <w:sz w:val="21"/>
          <w:szCs w:val="21"/>
        </w:rPr>
      </w:pPr>
      <w:r>
        <w:rPr>
          <w:noProof/>
        </w:rPr>
        <w:lastRenderedPageBreak/>
        <w:drawing>
          <wp:inline distT="0" distB="0" distL="0" distR="0" wp14:anchorId="27E21DB6" wp14:editId="289AA1EA">
            <wp:extent cx="5476875" cy="4895850"/>
            <wp:effectExtent l="19050" t="0" r="9525" b="0"/>
            <wp:docPr id="4" name="图片 2" descr="C:\Users\68555\AppData\Local\Temp\ksohtml\wps6DB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68555\AppData\Local\Temp\ksohtml\wps6DB6.tmp.png"/>
                    <pic:cNvPicPr>
                      <a:picLocks noChangeAspect="1" noChangeArrowheads="1"/>
                    </pic:cNvPicPr>
                  </pic:nvPicPr>
                  <pic:blipFill>
                    <a:blip r:embed="rId8" cstate="print"/>
                    <a:srcRect/>
                    <a:stretch>
                      <a:fillRect/>
                    </a:stretch>
                  </pic:blipFill>
                  <pic:spPr>
                    <a:xfrm>
                      <a:off x="0" y="0"/>
                      <a:ext cx="5476875" cy="4895850"/>
                    </a:xfrm>
                    <a:prstGeom prst="rect">
                      <a:avLst/>
                    </a:prstGeom>
                    <a:noFill/>
                    <a:ln w="9525">
                      <a:noFill/>
                      <a:miter lim="800000"/>
                      <a:headEnd/>
                      <a:tailEnd/>
                    </a:ln>
                  </pic:spPr>
                </pic:pic>
              </a:graphicData>
            </a:graphic>
          </wp:inline>
        </w:drawing>
      </w:r>
    </w:p>
    <w:p w14:paraId="12C387EC" w14:textId="77777777" w:rsidR="00750A0E" w:rsidRDefault="00750A0E" w:rsidP="00750A0E">
      <w:pPr>
        <w:spacing w:beforeLines="50" w:before="156" w:line="360" w:lineRule="auto"/>
        <w:ind w:firstLineChars="200" w:firstLine="480"/>
        <w:jc w:val="center"/>
        <w:rPr>
          <w:rFonts w:hAnsi="宋体"/>
          <w:sz w:val="24"/>
          <w:szCs w:val="24"/>
        </w:rPr>
      </w:pPr>
      <w:r>
        <w:rPr>
          <w:rFonts w:hAnsi="宋体" w:hint="eastAsia"/>
          <w:sz w:val="24"/>
          <w:szCs w:val="24"/>
        </w:rPr>
        <w:t>能耗监测平台应用软件体系架构图</w:t>
      </w:r>
    </w:p>
    <w:p w14:paraId="72421ADC" w14:textId="77777777" w:rsidR="00750A0E" w:rsidRDefault="00750A0E" w:rsidP="00750A0E">
      <w:pPr>
        <w:spacing w:line="360" w:lineRule="auto"/>
        <w:ind w:leftChars="200" w:left="680"/>
        <w:rPr>
          <w:rFonts w:hAnsi="宋体"/>
          <w:sz w:val="24"/>
          <w:szCs w:val="24"/>
        </w:rPr>
      </w:pPr>
      <w:r>
        <w:rPr>
          <w:rFonts w:hAnsi="宋体" w:hint="eastAsia"/>
          <w:sz w:val="24"/>
          <w:szCs w:val="24"/>
        </w:rPr>
        <w:t>1）现场数据采集层</w:t>
      </w:r>
    </w:p>
    <w:p w14:paraId="6D0D579D" w14:textId="77777777" w:rsidR="00750A0E" w:rsidRDefault="00750A0E" w:rsidP="00750A0E">
      <w:pPr>
        <w:spacing w:line="360" w:lineRule="auto"/>
        <w:ind w:firstLineChars="200" w:firstLine="480"/>
        <w:rPr>
          <w:rFonts w:hAnsi="宋体"/>
          <w:sz w:val="24"/>
          <w:szCs w:val="24"/>
        </w:rPr>
      </w:pPr>
      <w:r>
        <w:rPr>
          <w:rFonts w:hAnsi="宋体" w:hint="eastAsia"/>
          <w:sz w:val="24"/>
          <w:szCs w:val="24"/>
        </w:rPr>
        <w:t>现场采集子系统的核心是能耗数据采集器。该采集器负责采集计量装置的原始数据，然后将处理完的数据传输到数据平台系统。</w:t>
      </w:r>
    </w:p>
    <w:p w14:paraId="33E71F3E" w14:textId="77777777" w:rsidR="00750A0E" w:rsidRDefault="00750A0E" w:rsidP="00750A0E">
      <w:pPr>
        <w:spacing w:line="360" w:lineRule="auto"/>
        <w:ind w:leftChars="200" w:left="680"/>
        <w:rPr>
          <w:rFonts w:hAnsi="宋体"/>
          <w:sz w:val="24"/>
          <w:szCs w:val="24"/>
        </w:rPr>
      </w:pPr>
      <w:r>
        <w:rPr>
          <w:rFonts w:hAnsi="宋体" w:hint="eastAsia"/>
          <w:sz w:val="24"/>
          <w:szCs w:val="24"/>
        </w:rPr>
        <w:t xml:space="preserve">2）数据平台层 </w:t>
      </w:r>
    </w:p>
    <w:p w14:paraId="44A65514" w14:textId="77777777" w:rsidR="00750A0E" w:rsidRDefault="00750A0E" w:rsidP="00750A0E">
      <w:pPr>
        <w:spacing w:line="360" w:lineRule="auto"/>
        <w:ind w:firstLineChars="200" w:firstLine="480"/>
        <w:rPr>
          <w:rFonts w:hAnsi="宋体"/>
          <w:sz w:val="24"/>
          <w:szCs w:val="24"/>
        </w:rPr>
      </w:pPr>
      <w:r>
        <w:rPr>
          <w:rFonts w:hAnsi="宋体" w:hint="eastAsia"/>
          <w:sz w:val="24"/>
          <w:szCs w:val="24"/>
        </w:rPr>
        <w:t>数据处理系统：数据处理系统对采集上来的原始能源资源消耗数据进行有效性验证，规范化能源资源消耗数据，并将数据保存到数据库中。</w:t>
      </w:r>
    </w:p>
    <w:p w14:paraId="3C1ACC03" w14:textId="77777777" w:rsidR="00750A0E" w:rsidRDefault="00750A0E" w:rsidP="00750A0E">
      <w:pPr>
        <w:spacing w:line="360" w:lineRule="auto"/>
        <w:ind w:leftChars="200" w:left="680"/>
        <w:rPr>
          <w:rFonts w:hAnsi="宋体"/>
          <w:sz w:val="24"/>
          <w:szCs w:val="24"/>
        </w:rPr>
      </w:pPr>
      <w:r>
        <w:rPr>
          <w:rFonts w:hAnsi="宋体" w:hint="eastAsia"/>
          <w:sz w:val="24"/>
          <w:szCs w:val="24"/>
        </w:rPr>
        <w:t>3）基础平台层</w:t>
      </w:r>
    </w:p>
    <w:p w14:paraId="6B117092" w14:textId="77777777" w:rsidR="00750A0E" w:rsidRDefault="00750A0E" w:rsidP="00750A0E">
      <w:pPr>
        <w:spacing w:line="360" w:lineRule="auto"/>
        <w:ind w:firstLineChars="200" w:firstLine="480"/>
        <w:rPr>
          <w:rFonts w:hAnsi="宋体"/>
          <w:sz w:val="24"/>
          <w:szCs w:val="24"/>
        </w:rPr>
      </w:pPr>
      <w:r>
        <w:rPr>
          <w:rFonts w:hAnsi="宋体" w:hint="eastAsia"/>
          <w:sz w:val="24"/>
          <w:szCs w:val="24"/>
        </w:rPr>
        <w:t>基础平台层包括基础参数管理、权限管理等功能。基础平台对能耗监测平台需要的所有数据字典和建筑物概况等基础信息、建筑用能支路及计量表具安装等专业配置信息、时间同步信息和用户权限信息等进行录入和维护。</w:t>
      </w:r>
    </w:p>
    <w:p w14:paraId="171876F2" w14:textId="77777777" w:rsidR="00750A0E" w:rsidRDefault="00750A0E" w:rsidP="00750A0E">
      <w:pPr>
        <w:spacing w:line="360" w:lineRule="auto"/>
        <w:ind w:leftChars="200" w:left="680"/>
        <w:rPr>
          <w:rFonts w:hAnsi="宋体"/>
          <w:sz w:val="24"/>
          <w:szCs w:val="24"/>
        </w:rPr>
      </w:pPr>
      <w:r>
        <w:rPr>
          <w:rFonts w:hAnsi="宋体" w:hint="eastAsia"/>
          <w:sz w:val="24"/>
          <w:szCs w:val="24"/>
        </w:rPr>
        <w:t>4）系统应用层</w:t>
      </w:r>
    </w:p>
    <w:p w14:paraId="2097D697" w14:textId="77777777" w:rsidR="00750A0E" w:rsidRDefault="00750A0E" w:rsidP="00750A0E">
      <w:pPr>
        <w:spacing w:line="360" w:lineRule="auto"/>
        <w:ind w:firstLineChars="200" w:firstLine="480"/>
        <w:rPr>
          <w:rFonts w:hAnsi="宋体"/>
          <w:sz w:val="24"/>
          <w:szCs w:val="24"/>
        </w:rPr>
      </w:pPr>
      <w:r>
        <w:rPr>
          <w:rFonts w:hAnsi="宋体" w:hint="eastAsia"/>
          <w:sz w:val="24"/>
          <w:szCs w:val="24"/>
        </w:rPr>
        <w:lastRenderedPageBreak/>
        <w:t>依据项目建设需求，能耗监测平台软件功能包括</w:t>
      </w:r>
      <w:bookmarkStart w:id="3" w:name="OLE_LINK75"/>
      <w:bookmarkStart w:id="4" w:name="OLE_LINK76"/>
      <w:bookmarkEnd w:id="3"/>
      <w:r>
        <w:rPr>
          <w:rFonts w:hAnsi="宋体" w:hint="eastAsia"/>
          <w:sz w:val="24"/>
          <w:szCs w:val="24"/>
        </w:rPr>
        <w:t>能源总览、能源监测、能源统计</w:t>
      </w:r>
      <w:bookmarkEnd w:id="4"/>
      <w:r>
        <w:rPr>
          <w:rFonts w:hAnsi="宋体" w:hint="eastAsia"/>
          <w:sz w:val="24"/>
          <w:szCs w:val="24"/>
        </w:rPr>
        <w:t>、能耗公示、能效评估等功能模块。</w:t>
      </w:r>
    </w:p>
    <w:p w14:paraId="7C102CED" w14:textId="77777777" w:rsidR="00750A0E" w:rsidRDefault="00750A0E" w:rsidP="00750A0E">
      <w:pPr>
        <w:pStyle w:val="2"/>
        <w:numPr>
          <w:ilvl w:val="1"/>
          <w:numId w:val="1"/>
        </w:numPr>
        <w:spacing w:before="100" w:beforeAutospacing="1" w:after="0" w:line="360" w:lineRule="auto"/>
        <w:ind w:hanging="4084"/>
        <w:jc w:val="left"/>
        <w:rPr>
          <w:rFonts w:ascii="宋体" w:hAnsi="宋体"/>
          <w:sz w:val="28"/>
          <w:szCs w:val="28"/>
        </w:rPr>
      </w:pPr>
      <w:r>
        <w:rPr>
          <w:rFonts w:hint="eastAsia"/>
          <w:sz w:val="28"/>
          <w:szCs w:val="28"/>
        </w:rPr>
        <w:t>平台软件详细功能需求</w:t>
      </w:r>
    </w:p>
    <w:p w14:paraId="13988AA5" w14:textId="77777777" w:rsidR="00750A0E" w:rsidRDefault="00750A0E" w:rsidP="00750A0E">
      <w:pPr>
        <w:spacing w:line="360" w:lineRule="auto"/>
        <w:ind w:firstLineChars="200" w:firstLine="480"/>
        <w:rPr>
          <w:rFonts w:hAnsi="宋体"/>
          <w:sz w:val="24"/>
          <w:szCs w:val="24"/>
        </w:rPr>
      </w:pPr>
      <w:r>
        <w:rPr>
          <w:rFonts w:hAnsi="宋体" w:hint="eastAsia"/>
          <w:sz w:val="24"/>
          <w:szCs w:val="24"/>
        </w:rPr>
        <w:t>市级公共机构能耗监管平台主要功能是监管各市直、区县甚至各乡镇公共机构的基础信息和建筑的能耗数据，通过能耗统计、能源审计及能耗动态监测能效公示等手段，实现公共建筑能耗的可计量、可监测。该平台功能主要包括维护管理、基础信息库管理、实时监控管理、能耗统计管理、能耗分析管理、能耗数据分析处理服务等功能，通过分项计量和能耗监测平台，依托科技手段，实施全方位、全过程、全寿命监督管理,提高用能管理水平，对实现节能减排战略目标打下坚实基础。</w:t>
      </w:r>
    </w:p>
    <w:p w14:paraId="5E0B89DF" w14:textId="77777777" w:rsidR="00750A0E" w:rsidRDefault="00750A0E" w:rsidP="00750A0E">
      <w:pPr>
        <w:spacing w:line="360" w:lineRule="auto"/>
        <w:ind w:firstLineChars="200" w:firstLine="480"/>
        <w:rPr>
          <w:rFonts w:hAnsi="宋体"/>
          <w:sz w:val="24"/>
          <w:szCs w:val="24"/>
        </w:rPr>
      </w:pPr>
      <w:r>
        <w:rPr>
          <w:rFonts w:hAnsi="宋体" w:hint="eastAsia"/>
          <w:sz w:val="24"/>
          <w:szCs w:val="24"/>
        </w:rPr>
        <w:t>本次市级平台采用统一入口登录，用户按不同角色划分不同层级权限。不同用户权限的可见内容可控制，保障系统管理的安全性。</w:t>
      </w:r>
    </w:p>
    <w:p w14:paraId="7BB5171C"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平台具备身份验证、电子地图信息、数据采集、数据上传、数据存贮、能耗数据实时监测、图表显示、自动统计、报表管理、指标比对、能耗信息统计公示、节能控制、节能分析等功能，</w:t>
      </w:r>
      <w:r>
        <w:rPr>
          <w:rFonts w:hAnsi="宋体" w:hint="eastAsia"/>
          <w:b/>
          <w:bCs/>
          <w:sz w:val="24"/>
          <w:szCs w:val="24"/>
        </w:rPr>
        <w:t>平台预留与第三系统对接的端口（可与上级平台对接）</w:t>
      </w:r>
      <w:r>
        <w:rPr>
          <w:rFonts w:hAnsi="宋体" w:hint="eastAsia"/>
          <w:sz w:val="24"/>
          <w:szCs w:val="24"/>
        </w:rPr>
        <w:t>。</w:t>
      </w:r>
    </w:p>
    <w:p w14:paraId="6D448AF9" w14:textId="77777777" w:rsidR="00750A0E" w:rsidRDefault="00750A0E" w:rsidP="00750A0E">
      <w:pPr>
        <w:snapToGrid w:val="0"/>
        <w:spacing w:line="360" w:lineRule="auto"/>
        <w:ind w:firstLineChars="200" w:firstLine="480"/>
        <w:rPr>
          <w:rFonts w:hAnsi="宋体"/>
          <w:color w:val="FF0000"/>
          <w:sz w:val="24"/>
          <w:szCs w:val="24"/>
        </w:rPr>
      </w:pPr>
      <w:r>
        <w:rPr>
          <w:rFonts w:hAnsi="宋体" w:hint="eastAsia"/>
          <w:sz w:val="24"/>
          <w:szCs w:val="24"/>
        </w:rPr>
        <w:t>主要功能有：</w:t>
      </w:r>
    </w:p>
    <w:p w14:paraId="799471C2"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（1）身份验证功能</w:t>
      </w:r>
    </w:p>
    <w:p w14:paraId="4EDD10B1"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每个子系统采用统一入口登录，用户按不同角色划分权限，使用各自用户名登录系统。不同用户权限的可见内容可定制，保障系统管理的安全性。</w:t>
      </w:r>
    </w:p>
    <w:p w14:paraId="11D641D3"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（2）电子地图信息</w:t>
      </w:r>
    </w:p>
    <w:p w14:paraId="63A8083A"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系统集成电子地图，方便用户快速找到接入单位（建筑）具体位置。点击建筑物可显示当前建筑的名称、建设年代、层数、功能属性、办公人数、总建筑面积、空调面积等基础信息；并能够显示建筑物的整体用能情况和当前实时能耗。不受地域，随时随地掌握进行管理。同时可以对建筑物基础数据信息、地理编码数据进行修改。</w:t>
      </w:r>
    </w:p>
    <w:p w14:paraId="40508B56"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（3）能耗监测</w:t>
      </w:r>
    </w:p>
    <w:p w14:paraId="6CFE3C27"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展示实时监控数据、运行状态参数、实时计量数据、历史数据；</w:t>
      </w:r>
    </w:p>
    <w:p w14:paraId="7056A32B"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表具具有实时监控功能，通过表具监控界面，可以清楚的知道当前耗能的情</w:t>
      </w:r>
      <w:r>
        <w:rPr>
          <w:rFonts w:hAnsi="宋体" w:hint="eastAsia"/>
          <w:sz w:val="24"/>
          <w:szCs w:val="24"/>
        </w:rPr>
        <w:lastRenderedPageBreak/>
        <w:t>况，便于进行管理。</w:t>
      </w:r>
    </w:p>
    <w:p w14:paraId="46BEA454"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（4）能耗统计</w:t>
      </w:r>
    </w:p>
    <w:p w14:paraId="1AB30029"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实现多种统计图表，多种数据分析，能导出各种符合公共机构统计格式的月、季、年等能源资源消耗报表；对单个区域、单个部门、多个部门的组合、复合条件筛选出的组合等按时间条件（按日、按月、按季、按年、按指定的一段时间等）对用能情况分析绘制相应图表，同时对多种分析类型生成数据报表。用户可以根据自己的需要，选择不同的查询方式，系统会生成丰富多样的图形和报表，进行数据分析，以曲线图、柱状图、饼图等形式体现；</w:t>
      </w:r>
    </w:p>
    <w:p w14:paraId="6019EFF9"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（5）能耗公示</w:t>
      </w:r>
    </w:p>
    <w:p w14:paraId="5E17FD72"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系统可以通过Web方式公示各类建筑的能耗情况，能效等级，用能结构、各项能效指标排名和根据组织机构进行用能公示排名，通过比较各类建筑节能设计标准和建筑实际能耗，评价监测建筑的能效。通过对建筑能源利用状况进行定量分析，对建筑能源利用效率、消耗水平、能源经济与环境效果进行审计、监测、诊断和评价。通过能耗公示系统量化考核，监督各单位、部门能耗情况，通过对数据的比对，找到工作中的问题和不足，激励各单位、部门寻找更适合自身的节能措施，开展各部门、单位相互监督、相互借鉴的良性节能评比，最终达到节能降耗的目的。</w:t>
      </w:r>
    </w:p>
    <w:p w14:paraId="5962DE05"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（6）定额管理</w:t>
      </w:r>
    </w:p>
    <w:p w14:paraId="40EC5D54"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定额管理，可以为用户的能耗管理提供参考数据和监管数据，使后勤管理朝科学化、智能化方面提升一大步。平台可以为用户提供定额管理模式，用户也可以自己修改，每个帐户都有独立的定额设计，在平台运行阶段，不断给出定额结算情况，并以图表等方式展示，便于领导决策、管理；</w:t>
      </w:r>
    </w:p>
    <w:p w14:paraId="46C52E7D"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（7）数据上报</w:t>
      </w:r>
    </w:p>
    <w:p w14:paraId="15955C7C"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根据导则要求将指定数据上报到上级指定的数据库中。</w:t>
      </w:r>
    </w:p>
    <w:p w14:paraId="1E09CA2E"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通过从数据中心数据库中提取能耗分类分项数据、汇总统计数据，按照定义的数据交换格式进行合并整理打包，将标准的XML数据包报送到上一级数据中心。并可以按照公共机构能源上报格式进行信息的上报。</w:t>
      </w:r>
    </w:p>
    <w:p w14:paraId="789E04F9"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（8）能耗分析与评价功能</w:t>
      </w:r>
    </w:p>
    <w:p w14:paraId="6131C27C"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能耗分析和评价主要用于按照区域特征、部门分类、分项统计总能耗、单位面积能耗、用电能耗、用水能耗、用热能耗等对周期（日、周、月、年）能耗进</w:t>
      </w:r>
      <w:r>
        <w:rPr>
          <w:rFonts w:hAnsi="宋体" w:hint="eastAsia"/>
          <w:sz w:val="24"/>
          <w:szCs w:val="24"/>
        </w:rPr>
        <w:lastRenderedPageBreak/>
        <w:t>行统计分析，包括堆积柱形图、100%堆积柱形图、升序图、降序图、饼图等分析展示方式。在分析的结果的基础上进行相关的能耗指标评价。</w:t>
      </w:r>
    </w:p>
    <w:p w14:paraId="4CFEFCF7" w14:textId="77777777" w:rsidR="00750A0E" w:rsidRDefault="00750A0E" w:rsidP="00750A0E">
      <w:pPr>
        <w:pStyle w:val="31"/>
        <w:numPr>
          <w:ilvl w:val="0"/>
          <w:numId w:val="2"/>
        </w:numPr>
        <w:snapToGrid w:val="0"/>
        <w:spacing w:after="0" w:line="360" w:lineRule="auto"/>
        <w:ind w:firstLineChars="0"/>
        <w:rPr>
          <w:rFonts w:ascii="宋体" w:hAnsi="宋体"/>
          <w:b/>
          <w:bCs/>
          <w:sz w:val="24"/>
          <w:szCs w:val="24"/>
        </w:rPr>
      </w:pPr>
      <w:r>
        <w:rPr>
          <w:rFonts w:ascii="宋体" w:hAnsi="宋体" w:hint="eastAsia"/>
          <w:b/>
          <w:bCs/>
          <w:sz w:val="24"/>
          <w:szCs w:val="24"/>
        </w:rPr>
        <w:t>按照时段和环境进行分类统计分析</w:t>
      </w:r>
    </w:p>
    <w:p w14:paraId="6D3B7B7A"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平台应存贮实时气候和环境数据，结合能耗和建筑物的围护结构、建筑材料、以及假期和学期等诸多相关因素，进行能耗的相关性分析。</w:t>
      </w:r>
    </w:p>
    <w:p w14:paraId="1DFCD8CE" w14:textId="77777777" w:rsidR="00750A0E" w:rsidRDefault="00750A0E" w:rsidP="00750A0E">
      <w:pPr>
        <w:pStyle w:val="31"/>
        <w:numPr>
          <w:ilvl w:val="0"/>
          <w:numId w:val="2"/>
        </w:numPr>
        <w:snapToGrid w:val="0"/>
        <w:spacing w:after="0" w:line="360" w:lineRule="auto"/>
        <w:ind w:firstLineChars="0"/>
        <w:rPr>
          <w:rFonts w:ascii="宋体" w:hAnsi="宋体"/>
          <w:b/>
          <w:bCs/>
          <w:sz w:val="24"/>
          <w:szCs w:val="24"/>
        </w:rPr>
      </w:pPr>
      <w:r>
        <w:rPr>
          <w:rFonts w:ascii="宋体" w:hAnsi="宋体" w:hint="eastAsia"/>
          <w:b/>
          <w:bCs/>
          <w:sz w:val="24"/>
          <w:szCs w:val="24"/>
        </w:rPr>
        <w:t>能耗对比分析</w:t>
      </w:r>
    </w:p>
    <w:p w14:paraId="08161674"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能耗分析和评价主要用于按照区域特征、部门分类、分项统计总能耗、单位面积能耗、用电能耗、用水能耗、用热能耗等对周期（日、周、月、年）能耗进行统计分析，包括堆积柱形图、升序图、降序图、饼图等分析展示方式。在分析的结果的基础上进行相关的能耗指标评价。</w:t>
      </w:r>
    </w:p>
    <w:p w14:paraId="52681BC8"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可提供各单位建筑、建筑类型、建筑功能和功能系统在任意时间段的能耗百分比数据。</w:t>
      </w:r>
    </w:p>
    <w:p w14:paraId="7EFEB7F8" w14:textId="77777777" w:rsidR="00750A0E" w:rsidRDefault="00750A0E" w:rsidP="00750A0E">
      <w:pPr>
        <w:pStyle w:val="31"/>
        <w:numPr>
          <w:ilvl w:val="0"/>
          <w:numId w:val="2"/>
        </w:numPr>
        <w:snapToGrid w:val="0"/>
        <w:spacing w:after="0" w:line="360" w:lineRule="auto"/>
        <w:ind w:firstLineChars="0"/>
        <w:rPr>
          <w:rFonts w:ascii="宋体" w:hAnsi="宋体"/>
          <w:b/>
          <w:bCs/>
          <w:sz w:val="24"/>
          <w:szCs w:val="24"/>
        </w:rPr>
      </w:pPr>
      <w:r>
        <w:rPr>
          <w:rFonts w:ascii="宋体" w:hAnsi="宋体" w:hint="eastAsia"/>
          <w:b/>
          <w:bCs/>
          <w:sz w:val="24"/>
          <w:szCs w:val="24"/>
        </w:rPr>
        <w:t>同期对比分析</w:t>
      </w:r>
    </w:p>
    <w:p w14:paraId="0CE4B004"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按照某一个特定的建筑、单位和特定的能耗人群，选择历史同期时段进行能耗的纵向对比，可以发现能耗的变花规律以及能耗的同比趋势。系统可以提供多种对比分析方式，包括有工作时段/非工作时段对比，工作日/非工作日对比，相同类型对比，不同时段对比等。</w:t>
      </w:r>
    </w:p>
    <w:p w14:paraId="3C4133F0"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（9）故障报警与能耗报警功能</w:t>
      </w:r>
    </w:p>
    <w:p w14:paraId="2C7257A7"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当故障或能耗报警时，系统自动生成一条消息并显示在首页界面。可通过电子邮件或短信平台等方式向管理员报警。管理员对故障和能耗报警进行处置和分析后，系统自动保留处理日志，提供检索查询和文档导出功能。</w:t>
      </w:r>
    </w:p>
    <w:p w14:paraId="399976DD" w14:textId="77777777" w:rsidR="00750A0E" w:rsidRDefault="00750A0E" w:rsidP="00750A0E">
      <w:pPr>
        <w:snapToGrid w:val="0"/>
        <w:spacing w:line="360" w:lineRule="auto"/>
        <w:ind w:firstLineChars="200" w:firstLine="480"/>
        <w:rPr>
          <w:rFonts w:hAnsi="宋体"/>
          <w:sz w:val="24"/>
          <w:szCs w:val="24"/>
        </w:rPr>
      </w:pPr>
      <w:r>
        <w:rPr>
          <w:rFonts w:hAnsi="宋体" w:hint="eastAsia"/>
          <w:sz w:val="24"/>
          <w:szCs w:val="24"/>
        </w:rPr>
        <w:t>通过后台设置的检测报警系统，将异常能耗进行记录，并及时进行通知、公示，以加强能耗的使用考核。异常能耗可以通过交互式的异常能耗报警功能进行查询。同时也可以利用电子邮件或短信平台进行告警。</w:t>
      </w:r>
    </w:p>
    <w:p w14:paraId="4F71C3EA" w14:textId="77777777" w:rsidR="00750A0E" w:rsidRDefault="00750A0E" w:rsidP="00750A0E">
      <w:pPr>
        <w:pStyle w:val="2"/>
        <w:numPr>
          <w:ilvl w:val="1"/>
          <w:numId w:val="1"/>
        </w:numPr>
        <w:spacing w:before="100" w:beforeAutospacing="1" w:after="0" w:line="360" w:lineRule="auto"/>
        <w:ind w:hanging="4084"/>
        <w:jc w:val="left"/>
        <w:rPr>
          <w:rFonts w:ascii="宋体" w:hAnsi="宋体"/>
          <w:sz w:val="28"/>
          <w:szCs w:val="28"/>
        </w:rPr>
      </w:pPr>
      <w:r>
        <w:rPr>
          <w:rFonts w:hint="eastAsia"/>
          <w:sz w:val="28"/>
          <w:szCs w:val="28"/>
        </w:rPr>
        <w:lastRenderedPageBreak/>
        <w:t>本期项目具体建设内容及监测点</w:t>
      </w:r>
    </w:p>
    <w:p w14:paraId="5A75DAB9" w14:textId="77777777" w:rsidR="00750A0E" w:rsidRDefault="00750A0E" w:rsidP="00750A0E">
      <w:pPr>
        <w:pStyle w:val="3"/>
        <w:widowControl w:val="0"/>
        <w:numPr>
          <w:ilvl w:val="2"/>
          <w:numId w:val="1"/>
        </w:numPr>
        <w:spacing w:before="100" w:beforeAutospacing="1" w:after="0" w:line="360" w:lineRule="auto"/>
        <w:rPr>
          <w:sz w:val="28"/>
          <w:szCs w:val="28"/>
        </w:rPr>
      </w:pPr>
      <w:r>
        <w:rPr>
          <w:rFonts w:hint="eastAsia"/>
          <w:sz w:val="28"/>
          <w:szCs w:val="28"/>
        </w:rPr>
        <w:t>建设内容</w:t>
      </w:r>
    </w:p>
    <w:p w14:paraId="7654C891" w14:textId="77777777" w:rsidR="00750A0E" w:rsidRDefault="00750A0E" w:rsidP="00750A0E">
      <w:pPr>
        <w:spacing w:line="360" w:lineRule="auto"/>
        <w:ind w:firstLineChars="200" w:firstLine="480"/>
        <w:rPr>
          <w:rFonts w:hAnsi="宋体"/>
          <w:sz w:val="24"/>
          <w:szCs w:val="24"/>
        </w:rPr>
      </w:pPr>
      <w:r>
        <w:rPr>
          <w:rFonts w:hAnsi="宋体" w:hint="eastAsia"/>
          <w:sz w:val="24"/>
          <w:szCs w:val="24"/>
        </w:rPr>
        <w:t>（1）完成儋州市国家机关办公建筑能耗监管平台整体的框架搭建。本次儋州儋州市国家机关办公建筑能耗监管平台将采用云平台服务模式，数据中心须托管在中标人云数据中心内，则无需再投入数据中心设备及软件；</w:t>
      </w:r>
    </w:p>
    <w:p w14:paraId="2D9F48F4" w14:textId="77777777" w:rsidR="00750A0E" w:rsidRDefault="00750A0E" w:rsidP="00750A0E">
      <w:pPr>
        <w:spacing w:line="360" w:lineRule="auto"/>
        <w:ind w:firstLineChars="200" w:firstLine="480"/>
        <w:rPr>
          <w:rFonts w:hAnsi="宋体"/>
          <w:sz w:val="24"/>
          <w:szCs w:val="24"/>
        </w:rPr>
      </w:pPr>
      <w:r>
        <w:rPr>
          <w:rFonts w:hAnsi="宋体" w:hint="eastAsia"/>
          <w:sz w:val="24"/>
          <w:szCs w:val="24"/>
        </w:rPr>
        <w:t>（2）对儋州市政府办公大楼电能耗实施到二级计量与监测，对办公大楼及食堂等用水实施一级计量与监测；</w:t>
      </w:r>
    </w:p>
    <w:p w14:paraId="52BE903B" w14:textId="77777777" w:rsidR="00750A0E" w:rsidRDefault="00750A0E" w:rsidP="00750A0E">
      <w:pPr>
        <w:spacing w:line="360" w:lineRule="auto"/>
        <w:ind w:firstLineChars="200" w:firstLine="480"/>
        <w:rPr>
          <w:rFonts w:hAnsi="宋体"/>
          <w:sz w:val="24"/>
          <w:szCs w:val="24"/>
        </w:rPr>
      </w:pPr>
      <w:r>
        <w:rPr>
          <w:rFonts w:hAnsi="宋体" w:hint="eastAsia"/>
          <w:sz w:val="24"/>
          <w:szCs w:val="24"/>
        </w:rPr>
        <w:t>（3）对儋州市财政局、人民法院、公安局、第二中学、人力资源与社会保障局、卫生和计划生育委员会、西部中心医院、中医医院、那大镇政府等九家单位的水耗、电能耗实施一级计量与监测；</w:t>
      </w:r>
    </w:p>
    <w:p w14:paraId="73B00E3B" w14:textId="77777777" w:rsidR="00750A0E" w:rsidRDefault="00750A0E" w:rsidP="00750A0E">
      <w:pPr>
        <w:spacing w:line="360" w:lineRule="auto"/>
        <w:ind w:firstLineChars="200" w:firstLine="480"/>
        <w:rPr>
          <w:rFonts w:hAnsi="宋体"/>
          <w:sz w:val="24"/>
          <w:szCs w:val="24"/>
        </w:rPr>
      </w:pPr>
      <w:r>
        <w:rPr>
          <w:rFonts w:hAnsi="宋体" w:hint="eastAsia"/>
          <w:sz w:val="24"/>
          <w:szCs w:val="24"/>
        </w:rPr>
        <w:t>（4）将采集的市政府大楼及其他九家单位的各类能源资源数据纳入能耗监管平台，通过技术手段进行平台功能完善，并预留对接接口，为后期建设及扩容打好基础。</w:t>
      </w:r>
    </w:p>
    <w:p w14:paraId="441EF5BA" w14:textId="77777777" w:rsidR="00750A0E" w:rsidRDefault="00750A0E" w:rsidP="00750A0E">
      <w:pPr>
        <w:pStyle w:val="3"/>
        <w:widowControl w:val="0"/>
        <w:numPr>
          <w:ilvl w:val="2"/>
          <w:numId w:val="1"/>
        </w:numPr>
        <w:spacing w:before="100" w:beforeAutospacing="1" w:after="0" w:line="360" w:lineRule="auto"/>
        <w:rPr>
          <w:rFonts w:ascii="宋体" w:hAnsi="宋体"/>
          <w:sz w:val="28"/>
          <w:szCs w:val="28"/>
        </w:rPr>
      </w:pPr>
      <w:r>
        <w:rPr>
          <w:rFonts w:hint="eastAsia"/>
        </w:rPr>
        <w:t>监测点数量</w:t>
      </w:r>
    </w:p>
    <w:tbl>
      <w:tblPr>
        <w:tblW w:w="9214" w:type="dxa"/>
        <w:tblInd w:w="-34" w:type="dxa"/>
        <w:tblLayout w:type="fixed"/>
        <w:tblLook w:val="04A0" w:firstRow="1" w:lastRow="0" w:firstColumn="1" w:lastColumn="0" w:noHBand="0" w:noVBand="1"/>
      </w:tblPr>
      <w:tblGrid>
        <w:gridCol w:w="4282"/>
        <w:gridCol w:w="4932"/>
      </w:tblGrid>
      <w:tr w:rsidR="00750A0E" w14:paraId="284077BA" w14:textId="77777777" w:rsidTr="00152F5A">
        <w:trPr>
          <w:trHeight w:val="288"/>
        </w:trPr>
        <w:tc>
          <w:tcPr>
            <w:tcW w:w="4282" w:type="dxa"/>
            <w:tcBorders>
              <w:top w:val="single" w:sz="4" w:space="0" w:color="auto"/>
              <w:left w:val="single" w:sz="4" w:space="0" w:color="auto"/>
              <w:bottom w:val="single" w:sz="4" w:space="0" w:color="auto"/>
              <w:right w:val="single" w:sz="4" w:space="0" w:color="auto"/>
            </w:tcBorders>
            <w:noWrap/>
            <w:vAlign w:val="center"/>
          </w:tcPr>
          <w:p w14:paraId="72C5C9FE"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t>监测点类型</w:t>
            </w:r>
          </w:p>
        </w:tc>
        <w:tc>
          <w:tcPr>
            <w:tcW w:w="4932" w:type="dxa"/>
            <w:tcBorders>
              <w:top w:val="single" w:sz="4" w:space="0" w:color="auto"/>
              <w:left w:val="nil"/>
              <w:bottom w:val="single" w:sz="4" w:space="0" w:color="auto"/>
              <w:right w:val="single" w:sz="4" w:space="0" w:color="auto"/>
            </w:tcBorders>
            <w:noWrap/>
            <w:vAlign w:val="center"/>
          </w:tcPr>
          <w:p w14:paraId="28E304EB"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t>数量（个）</w:t>
            </w:r>
          </w:p>
        </w:tc>
      </w:tr>
      <w:tr w:rsidR="00750A0E" w14:paraId="095BA129" w14:textId="77777777" w:rsidTr="00152F5A">
        <w:trPr>
          <w:trHeight w:val="288"/>
        </w:trPr>
        <w:tc>
          <w:tcPr>
            <w:tcW w:w="4282" w:type="dxa"/>
            <w:tcBorders>
              <w:top w:val="nil"/>
              <w:left w:val="single" w:sz="4" w:space="0" w:color="auto"/>
              <w:bottom w:val="single" w:sz="4" w:space="0" w:color="auto"/>
              <w:right w:val="single" w:sz="4" w:space="0" w:color="auto"/>
            </w:tcBorders>
            <w:noWrap/>
            <w:vAlign w:val="center"/>
          </w:tcPr>
          <w:p w14:paraId="4C3DD191"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t>电能耗一级监测点</w:t>
            </w:r>
          </w:p>
        </w:tc>
        <w:tc>
          <w:tcPr>
            <w:tcW w:w="4932" w:type="dxa"/>
            <w:tcBorders>
              <w:top w:val="nil"/>
              <w:left w:val="nil"/>
              <w:bottom w:val="single" w:sz="4" w:space="0" w:color="auto"/>
              <w:right w:val="single" w:sz="4" w:space="0" w:color="auto"/>
            </w:tcBorders>
            <w:vAlign w:val="center"/>
          </w:tcPr>
          <w:p w14:paraId="7A9D8DF3"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t>18</w:t>
            </w:r>
          </w:p>
        </w:tc>
      </w:tr>
      <w:tr w:rsidR="00750A0E" w14:paraId="38D2CEB8" w14:textId="77777777" w:rsidTr="00152F5A">
        <w:trPr>
          <w:trHeight w:val="288"/>
        </w:trPr>
        <w:tc>
          <w:tcPr>
            <w:tcW w:w="4282" w:type="dxa"/>
            <w:tcBorders>
              <w:top w:val="nil"/>
              <w:left w:val="single" w:sz="4" w:space="0" w:color="auto"/>
              <w:bottom w:val="single" w:sz="4" w:space="0" w:color="auto"/>
              <w:right w:val="single" w:sz="4" w:space="0" w:color="auto"/>
            </w:tcBorders>
            <w:noWrap/>
            <w:vAlign w:val="center"/>
          </w:tcPr>
          <w:p w14:paraId="1B425B5E"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t>电能耗分项一级监测点</w:t>
            </w:r>
          </w:p>
        </w:tc>
        <w:tc>
          <w:tcPr>
            <w:tcW w:w="4932" w:type="dxa"/>
            <w:tcBorders>
              <w:top w:val="nil"/>
              <w:left w:val="nil"/>
              <w:bottom w:val="single" w:sz="4" w:space="0" w:color="auto"/>
              <w:right w:val="single" w:sz="4" w:space="0" w:color="auto"/>
            </w:tcBorders>
            <w:vAlign w:val="center"/>
          </w:tcPr>
          <w:p w14:paraId="5BB7E4D6"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t>20</w:t>
            </w:r>
          </w:p>
        </w:tc>
      </w:tr>
      <w:tr w:rsidR="00750A0E" w14:paraId="15FDAA79" w14:textId="77777777" w:rsidTr="00152F5A">
        <w:trPr>
          <w:trHeight w:val="288"/>
        </w:trPr>
        <w:tc>
          <w:tcPr>
            <w:tcW w:w="4282" w:type="dxa"/>
            <w:tcBorders>
              <w:top w:val="nil"/>
              <w:left w:val="single" w:sz="4" w:space="0" w:color="auto"/>
              <w:bottom w:val="single" w:sz="4" w:space="0" w:color="auto"/>
              <w:right w:val="single" w:sz="4" w:space="0" w:color="auto"/>
            </w:tcBorders>
            <w:noWrap/>
            <w:vAlign w:val="center"/>
          </w:tcPr>
          <w:p w14:paraId="0A512EAE"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t>电能耗二级监测点</w:t>
            </w:r>
          </w:p>
        </w:tc>
        <w:tc>
          <w:tcPr>
            <w:tcW w:w="4932" w:type="dxa"/>
            <w:tcBorders>
              <w:top w:val="nil"/>
              <w:left w:val="nil"/>
              <w:bottom w:val="single" w:sz="4" w:space="0" w:color="auto"/>
              <w:right w:val="single" w:sz="4" w:space="0" w:color="auto"/>
            </w:tcBorders>
            <w:vAlign w:val="center"/>
          </w:tcPr>
          <w:p w14:paraId="677887C6"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t>49</w:t>
            </w:r>
          </w:p>
        </w:tc>
      </w:tr>
      <w:tr w:rsidR="00750A0E" w14:paraId="56D96CFF" w14:textId="77777777" w:rsidTr="00152F5A">
        <w:trPr>
          <w:trHeight w:val="288"/>
        </w:trPr>
        <w:tc>
          <w:tcPr>
            <w:tcW w:w="4282" w:type="dxa"/>
            <w:tcBorders>
              <w:top w:val="nil"/>
              <w:left w:val="single" w:sz="4" w:space="0" w:color="auto"/>
              <w:bottom w:val="single" w:sz="4" w:space="0" w:color="auto"/>
              <w:right w:val="single" w:sz="4" w:space="0" w:color="auto"/>
            </w:tcBorders>
            <w:noWrap/>
            <w:vAlign w:val="center"/>
          </w:tcPr>
          <w:p w14:paraId="3F819AE1"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t>建筑水能耗监测点</w:t>
            </w:r>
          </w:p>
        </w:tc>
        <w:tc>
          <w:tcPr>
            <w:tcW w:w="4932" w:type="dxa"/>
            <w:tcBorders>
              <w:top w:val="nil"/>
              <w:left w:val="nil"/>
              <w:bottom w:val="single" w:sz="4" w:space="0" w:color="auto"/>
              <w:right w:val="single" w:sz="4" w:space="0" w:color="auto"/>
            </w:tcBorders>
            <w:vAlign w:val="center"/>
          </w:tcPr>
          <w:p w14:paraId="6A1F890B"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t>13</w:t>
            </w:r>
          </w:p>
        </w:tc>
      </w:tr>
      <w:tr w:rsidR="00750A0E" w14:paraId="725CB089" w14:textId="77777777" w:rsidTr="00152F5A">
        <w:trPr>
          <w:trHeight w:val="288"/>
        </w:trPr>
        <w:tc>
          <w:tcPr>
            <w:tcW w:w="4282" w:type="dxa"/>
            <w:tcBorders>
              <w:top w:val="nil"/>
              <w:left w:val="single" w:sz="4" w:space="0" w:color="auto"/>
              <w:bottom w:val="single" w:sz="4" w:space="0" w:color="auto"/>
              <w:right w:val="single" w:sz="4" w:space="0" w:color="auto"/>
            </w:tcBorders>
            <w:noWrap/>
            <w:vAlign w:val="center"/>
          </w:tcPr>
          <w:p w14:paraId="6E375218"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t>合计</w:t>
            </w:r>
          </w:p>
        </w:tc>
        <w:tc>
          <w:tcPr>
            <w:tcW w:w="4932" w:type="dxa"/>
            <w:tcBorders>
              <w:top w:val="nil"/>
              <w:left w:val="nil"/>
              <w:bottom w:val="single" w:sz="4" w:space="0" w:color="auto"/>
              <w:right w:val="single" w:sz="4" w:space="0" w:color="auto"/>
            </w:tcBorders>
            <w:noWrap/>
            <w:vAlign w:val="center"/>
          </w:tcPr>
          <w:p w14:paraId="5B554C4B"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t>100</w:t>
            </w:r>
          </w:p>
        </w:tc>
      </w:tr>
    </w:tbl>
    <w:p w14:paraId="68ED690F" w14:textId="77777777" w:rsidR="00750A0E" w:rsidRDefault="00750A0E" w:rsidP="00750A0E">
      <w:pPr>
        <w:pStyle w:val="2"/>
        <w:numPr>
          <w:ilvl w:val="1"/>
          <w:numId w:val="1"/>
        </w:numPr>
        <w:spacing w:before="100" w:beforeAutospacing="1" w:after="0" w:line="360" w:lineRule="auto"/>
        <w:ind w:hanging="4084"/>
        <w:jc w:val="left"/>
        <w:rPr>
          <w:rFonts w:ascii="宋体" w:hAnsi="宋体"/>
          <w:sz w:val="28"/>
          <w:szCs w:val="28"/>
        </w:rPr>
      </w:pPr>
      <w:r>
        <w:rPr>
          <w:rFonts w:hint="eastAsia"/>
          <w:sz w:val="28"/>
          <w:szCs w:val="28"/>
        </w:rPr>
        <w:t>项目清单</w:t>
      </w:r>
    </w:p>
    <w:p w14:paraId="76E456DD" w14:textId="77777777" w:rsidR="00750A0E" w:rsidRDefault="00750A0E" w:rsidP="00750A0E">
      <w:pPr>
        <w:pStyle w:val="3"/>
        <w:widowControl w:val="0"/>
        <w:numPr>
          <w:ilvl w:val="2"/>
          <w:numId w:val="1"/>
        </w:numPr>
        <w:spacing w:before="100" w:beforeAutospacing="1" w:after="200" w:line="360" w:lineRule="auto"/>
        <w:rPr>
          <w:sz w:val="28"/>
          <w:szCs w:val="28"/>
        </w:rPr>
      </w:pPr>
      <w:r>
        <w:rPr>
          <w:rFonts w:hint="eastAsia"/>
          <w:sz w:val="28"/>
          <w:szCs w:val="28"/>
        </w:rPr>
        <w:t>服务清单及要求</w:t>
      </w:r>
    </w:p>
    <w:tbl>
      <w:tblPr>
        <w:tblW w:w="9209" w:type="dxa"/>
        <w:tblLayout w:type="fixed"/>
        <w:tblLook w:val="04A0" w:firstRow="1" w:lastRow="0" w:firstColumn="1" w:lastColumn="0" w:noHBand="0" w:noVBand="1"/>
      </w:tblPr>
      <w:tblGrid>
        <w:gridCol w:w="619"/>
        <w:gridCol w:w="1077"/>
        <w:gridCol w:w="5955"/>
        <w:gridCol w:w="790"/>
        <w:gridCol w:w="768"/>
      </w:tblGrid>
      <w:tr w:rsidR="00750A0E" w14:paraId="4F0335E0" w14:textId="77777777" w:rsidTr="00152F5A">
        <w:trPr>
          <w:trHeight w:val="576"/>
        </w:trPr>
        <w:tc>
          <w:tcPr>
            <w:tcW w:w="619" w:type="dxa"/>
            <w:tcBorders>
              <w:top w:val="single" w:sz="4" w:space="0" w:color="auto"/>
              <w:left w:val="single" w:sz="4" w:space="0" w:color="auto"/>
              <w:bottom w:val="single" w:sz="4" w:space="0" w:color="auto"/>
              <w:right w:val="single" w:sz="4" w:space="0" w:color="auto"/>
            </w:tcBorders>
            <w:vAlign w:val="center"/>
          </w:tcPr>
          <w:p w14:paraId="30E54423" w14:textId="77777777" w:rsidR="00750A0E" w:rsidRDefault="00750A0E" w:rsidP="00152F5A">
            <w:pPr>
              <w:widowControl/>
              <w:spacing w:before="100" w:beforeAutospacing="1" w:line="273" w:lineRule="auto"/>
              <w:jc w:val="center"/>
              <w:rPr>
                <w:rFonts w:ascii="Times New Roman"/>
                <w:b/>
                <w:bCs/>
                <w:color w:val="000000"/>
                <w:sz w:val="22"/>
                <w:szCs w:val="22"/>
              </w:rPr>
            </w:pPr>
            <w:r>
              <w:rPr>
                <w:rFonts w:hAnsi="宋体" w:hint="eastAsia"/>
                <w:b/>
                <w:bCs/>
                <w:color w:val="000000"/>
                <w:sz w:val="22"/>
                <w:szCs w:val="22"/>
              </w:rPr>
              <w:t>序号</w:t>
            </w:r>
          </w:p>
        </w:tc>
        <w:tc>
          <w:tcPr>
            <w:tcW w:w="1077" w:type="dxa"/>
            <w:tcBorders>
              <w:top w:val="single" w:sz="4" w:space="0" w:color="auto"/>
              <w:left w:val="nil"/>
              <w:bottom w:val="single" w:sz="4" w:space="0" w:color="auto"/>
              <w:right w:val="single" w:sz="4" w:space="0" w:color="auto"/>
            </w:tcBorders>
            <w:vAlign w:val="center"/>
          </w:tcPr>
          <w:p w14:paraId="6673C343" w14:textId="77777777" w:rsidR="00750A0E" w:rsidRDefault="00750A0E" w:rsidP="00152F5A">
            <w:pPr>
              <w:widowControl/>
              <w:spacing w:before="100" w:beforeAutospacing="1" w:line="273" w:lineRule="auto"/>
              <w:jc w:val="center"/>
              <w:rPr>
                <w:rFonts w:ascii="Times New Roman"/>
                <w:b/>
                <w:bCs/>
                <w:color w:val="000000"/>
                <w:sz w:val="22"/>
                <w:szCs w:val="22"/>
              </w:rPr>
            </w:pPr>
            <w:r>
              <w:rPr>
                <w:rFonts w:hAnsi="宋体" w:hint="eastAsia"/>
                <w:b/>
                <w:bCs/>
                <w:color w:val="000000"/>
                <w:sz w:val="22"/>
                <w:szCs w:val="22"/>
              </w:rPr>
              <w:t>采购品目名称</w:t>
            </w:r>
          </w:p>
        </w:tc>
        <w:tc>
          <w:tcPr>
            <w:tcW w:w="5955" w:type="dxa"/>
            <w:tcBorders>
              <w:top w:val="single" w:sz="4" w:space="0" w:color="auto"/>
              <w:left w:val="nil"/>
              <w:bottom w:val="single" w:sz="4" w:space="0" w:color="auto"/>
              <w:right w:val="single" w:sz="4" w:space="0" w:color="auto"/>
            </w:tcBorders>
            <w:vAlign w:val="center"/>
          </w:tcPr>
          <w:p w14:paraId="0216C54C" w14:textId="77777777" w:rsidR="00750A0E" w:rsidRDefault="00750A0E" w:rsidP="00152F5A">
            <w:pPr>
              <w:widowControl/>
              <w:spacing w:before="100" w:beforeAutospacing="1" w:line="273" w:lineRule="auto"/>
              <w:jc w:val="center"/>
              <w:rPr>
                <w:rFonts w:ascii="Times New Roman"/>
                <w:b/>
                <w:bCs/>
                <w:color w:val="000000"/>
                <w:sz w:val="22"/>
                <w:szCs w:val="22"/>
              </w:rPr>
            </w:pPr>
            <w:r>
              <w:rPr>
                <w:rFonts w:hAnsi="宋体" w:hint="eastAsia"/>
                <w:b/>
                <w:bCs/>
                <w:color w:val="000000"/>
                <w:sz w:val="22"/>
                <w:szCs w:val="22"/>
              </w:rPr>
              <w:t>项目内容</w:t>
            </w:r>
          </w:p>
        </w:tc>
        <w:tc>
          <w:tcPr>
            <w:tcW w:w="790" w:type="dxa"/>
            <w:tcBorders>
              <w:top w:val="single" w:sz="4" w:space="0" w:color="auto"/>
              <w:left w:val="nil"/>
              <w:bottom w:val="single" w:sz="4" w:space="0" w:color="auto"/>
              <w:right w:val="single" w:sz="4" w:space="0" w:color="auto"/>
            </w:tcBorders>
            <w:vAlign w:val="center"/>
          </w:tcPr>
          <w:p w14:paraId="3E9BB3ED" w14:textId="77777777" w:rsidR="00750A0E" w:rsidRDefault="00750A0E" w:rsidP="00152F5A">
            <w:pPr>
              <w:widowControl/>
              <w:spacing w:before="100" w:beforeAutospacing="1" w:line="273" w:lineRule="auto"/>
              <w:jc w:val="center"/>
              <w:rPr>
                <w:rFonts w:ascii="Times New Roman"/>
                <w:b/>
                <w:bCs/>
                <w:color w:val="000000"/>
                <w:sz w:val="22"/>
                <w:szCs w:val="22"/>
              </w:rPr>
            </w:pPr>
            <w:r>
              <w:rPr>
                <w:rFonts w:hAnsi="宋体" w:hint="eastAsia"/>
                <w:b/>
                <w:bCs/>
                <w:color w:val="000000"/>
                <w:sz w:val="22"/>
                <w:szCs w:val="22"/>
              </w:rPr>
              <w:t>数量</w:t>
            </w:r>
          </w:p>
        </w:tc>
        <w:tc>
          <w:tcPr>
            <w:tcW w:w="768" w:type="dxa"/>
            <w:tcBorders>
              <w:top w:val="single" w:sz="4" w:space="0" w:color="auto"/>
              <w:left w:val="nil"/>
              <w:bottom w:val="single" w:sz="4" w:space="0" w:color="auto"/>
              <w:right w:val="single" w:sz="4" w:space="0" w:color="auto"/>
            </w:tcBorders>
            <w:vAlign w:val="center"/>
          </w:tcPr>
          <w:p w14:paraId="7652513B" w14:textId="77777777" w:rsidR="00750A0E" w:rsidRDefault="00750A0E" w:rsidP="00152F5A">
            <w:pPr>
              <w:widowControl/>
              <w:spacing w:before="100" w:beforeAutospacing="1" w:line="273" w:lineRule="auto"/>
              <w:jc w:val="center"/>
              <w:rPr>
                <w:rFonts w:ascii="Times New Roman"/>
                <w:b/>
                <w:bCs/>
                <w:color w:val="000000"/>
                <w:sz w:val="22"/>
                <w:szCs w:val="22"/>
              </w:rPr>
            </w:pPr>
            <w:r>
              <w:rPr>
                <w:rFonts w:hAnsi="宋体" w:hint="eastAsia"/>
                <w:b/>
                <w:bCs/>
                <w:color w:val="000000"/>
                <w:sz w:val="22"/>
                <w:szCs w:val="22"/>
              </w:rPr>
              <w:t>单位</w:t>
            </w:r>
          </w:p>
        </w:tc>
      </w:tr>
      <w:tr w:rsidR="00750A0E" w14:paraId="716CD38C" w14:textId="77777777" w:rsidTr="00152F5A">
        <w:trPr>
          <w:trHeight w:val="2592"/>
        </w:trPr>
        <w:tc>
          <w:tcPr>
            <w:tcW w:w="619" w:type="dxa"/>
            <w:tcBorders>
              <w:top w:val="nil"/>
              <w:left w:val="single" w:sz="4" w:space="0" w:color="auto"/>
              <w:bottom w:val="single" w:sz="4" w:space="0" w:color="auto"/>
              <w:right w:val="single" w:sz="4" w:space="0" w:color="auto"/>
            </w:tcBorders>
            <w:vAlign w:val="center"/>
          </w:tcPr>
          <w:p w14:paraId="4936AC83"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lastRenderedPageBreak/>
              <w:t>1</w:t>
            </w:r>
          </w:p>
        </w:tc>
        <w:tc>
          <w:tcPr>
            <w:tcW w:w="1077" w:type="dxa"/>
            <w:tcBorders>
              <w:top w:val="nil"/>
              <w:left w:val="nil"/>
              <w:bottom w:val="single" w:sz="4" w:space="0" w:color="auto"/>
              <w:right w:val="single" w:sz="4" w:space="0" w:color="auto"/>
            </w:tcBorders>
            <w:vAlign w:val="center"/>
          </w:tcPr>
          <w:p w14:paraId="51850B22" w14:textId="77777777" w:rsidR="00750A0E" w:rsidRDefault="00750A0E" w:rsidP="00152F5A">
            <w:pPr>
              <w:widowControl/>
              <w:spacing w:before="100" w:beforeAutospacing="1" w:line="273" w:lineRule="auto"/>
              <w:jc w:val="center"/>
              <w:rPr>
                <w:rFonts w:ascii="Times New Roman"/>
                <w:color w:val="000000"/>
                <w:sz w:val="22"/>
                <w:szCs w:val="22"/>
              </w:rPr>
            </w:pPr>
            <w:r>
              <w:rPr>
                <w:rFonts w:hAnsi="宋体" w:hint="eastAsia"/>
                <w:color w:val="000000"/>
                <w:sz w:val="22"/>
                <w:szCs w:val="22"/>
              </w:rPr>
              <w:t>能耗监管设备</w:t>
            </w:r>
          </w:p>
        </w:tc>
        <w:tc>
          <w:tcPr>
            <w:tcW w:w="5955" w:type="dxa"/>
            <w:tcBorders>
              <w:top w:val="nil"/>
              <w:left w:val="nil"/>
              <w:bottom w:val="single" w:sz="4" w:space="0" w:color="auto"/>
              <w:right w:val="single" w:sz="4" w:space="0" w:color="auto"/>
            </w:tcBorders>
            <w:vAlign w:val="center"/>
          </w:tcPr>
          <w:p w14:paraId="7809069E" w14:textId="77777777" w:rsidR="00750A0E" w:rsidRDefault="00750A0E" w:rsidP="00152F5A">
            <w:pPr>
              <w:widowControl/>
              <w:spacing w:before="100" w:beforeAutospacing="1" w:line="273" w:lineRule="auto"/>
              <w:rPr>
                <w:rFonts w:ascii="Times New Roman"/>
                <w:color w:val="000000"/>
                <w:sz w:val="22"/>
                <w:szCs w:val="22"/>
              </w:rPr>
            </w:pPr>
            <w:r>
              <w:rPr>
                <w:rFonts w:hAnsi="宋体" w:hint="eastAsia"/>
                <w:color w:val="000000"/>
                <w:sz w:val="22"/>
                <w:szCs w:val="22"/>
              </w:rPr>
              <w:t>★能耗监管平台采用云架构，即数据上传至服务商云数据中心进行托管，本地则无需建设数据中心；</w:t>
            </w:r>
            <w:r>
              <w:rPr>
                <w:rFonts w:hAnsi="宋体" w:hint="eastAsia"/>
                <w:color w:val="000000"/>
                <w:sz w:val="22"/>
                <w:szCs w:val="22"/>
              </w:rPr>
              <w:br/>
              <w:t>云数据中心须含平台所需服务器等硬件设备及安装平台所需应用软件；平台云数据中心设备及应用软件须满足以下要求：</w:t>
            </w:r>
            <w:r>
              <w:rPr>
                <w:rFonts w:hAnsi="宋体" w:hint="eastAsia"/>
                <w:color w:val="000000"/>
                <w:sz w:val="22"/>
                <w:szCs w:val="22"/>
              </w:rPr>
              <w:br/>
              <w:t>采用</w:t>
            </w:r>
            <w:r>
              <w:rPr>
                <w:rFonts w:ascii="Times New Roman"/>
                <w:color w:val="000000"/>
                <w:sz w:val="22"/>
                <w:szCs w:val="22"/>
              </w:rPr>
              <w:t>B/S</w:t>
            </w:r>
            <w:r>
              <w:rPr>
                <w:rFonts w:hAnsi="宋体" w:hint="eastAsia"/>
                <w:color w:val="000000"/>
                <w:sz w:val="22"/>
                <w:szCs w:val="22"/>
              </w:rPr>
              <w:t>架构，相关领导、能源管理人员通过授权可以在办公网络或互联网访问本系统实现数据查询和管理；业务流程清晰，其核心技术先进，操作便捷，人机交互过程简单清晰，能够满足各种不同层次管理权限的人员使用需求；分级授权访问方式，以保障系统管理的安全性；系统可提供建筑能耗实时在线监测、能源信息公示、能耗数据上报功能、能耗对比、能耗数据分析、节能改造分析、设备在线状态监测及控制、能耗预警等功能服务。</w:t>
            </w:r>
            <w:r>
              <w:rPr>
                <w:rFonts w:hAnsi="宋体" w:hint="eastAsia"/>
                <w:color w:val="000000"/>
                <w:sz w:val="22"/>
                <w:szCs w:val="22"/>
              </w:rPr>
              <w:br/>
              <w:t>一年内免费硬件升级及数据运维服务。</w:t>
            </w:r>
          </w:p>
        </w:tc>
        <w:tc>
          <w:tcPr>
            <w:tcW w:w="790" w:type="dxa"/>
            <w:tcBorders>
              <w:top w:val="nil"/>
              <w:left w:val="nil"/>
              <w:bottom w:val="single" w:sz="4" w:space="0" w:color="auto"/>
              <w:right w:val="single" w:sz="4" w:space="0" w:color="auto"/>
            </w:tcBorders>
            <w:vAlign w:val="center"/>
          </w:tcPr>
          <w:p w14:paraId="0D4FD17D"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t>1</w:t>
            </w:r>
          </w:p>
        </w:tc>
        <w:tc>
          <w:tcPr>
            <w:tcW w:w="768" w:type="dxa"/>
            <w:tcBorders>
              <w:top w:val="nil"/>
              <w:left w:val="nil"/>
              <w:bottom w:val="single" w:sz="4" w:space="0" w:color="auto"/>
              <w:right w:val="single" w:sz="4" w:space="0" w:color="auto"/>
            </w:tcBorders>
            <w:vAlign w:val="center"/>
          </w:tcPr>
          <w:p w14:paraId="4A246613" w14:textId="77777777" w:rsidR="00750A0E" w:rsidRDefault="00750A0E" w:rsidP="00152F5A">
            <w:pPr>
              <w:widowControl/>
              <w:spacing w:before="100" w:beforeAutospacing="1" w:line="273" w:lineRule="auto"/>
              <w:jc w:val="center"/>
              <w:rPr>
                <w:rFonts w:ascii="Times New Roman"/>
                <w:color w:val="000000"/>
                <w:sz w:val="22"/>
                <w:szCs w:val="22"/>
              </w:rPr>
            </w:pPr>
            <w:r>
              <w:rPr>
                <w:rFonts w:hAnsi="宋体" w:hint="eastAsia"/>
                <w:color w:val="000000"/>
                <w:sz w:val="22"/>
                <w:szCs w:val="22"/>
              </w:rPr>
              <w:t>套</w:t>
            </w:r>
          </w:p>
        </w:tc>
      </w:tr>
      <w:tr w:rsidR="00750A0E" w14:paraId="6BBC44F7" w14:textId="77777777" w:rsidTr="00152F5A">
        <w:trPr>
          <w:trHeight w:val="693"/>
        </w:trPr>
        <w:tc>
          <w:tcPr>
            <w:tcW w:w="619" w:type="dxa"/>
            <w:tcBorders>
              <w:top w:val="single" w:sz="4" w:space="0" w:color="auto"/>
              <w:left w:val="single" w:sz="4" w:space="0" w:color="auto"/>
              <w:bottom w:val="single" w:sz="4" w:space="0" w:color="auto"/>
              <w:right w:val="single" w:sz="4" w:space="0" w:color="auto"/>
            </w:tcBorders>
            <w:vAlign w:val="center"/>
          </w:tcPr>
          <w:p w14:paraId="76FC8A3B"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t>2</w:t>
            </w:r>
          </w:p>
        </w:tc>
        <w:tc>
          <w:tcPr>
            <w:tcW w:w="1077" w:type="dxa"/>
            <w:tcBorders>
              <w:top w:val="single" w:sz="4" w:space="0" w:color="auto"/>
              <w:left w:val="nil"/>
              <w:bottom w:val="single" w:sz="4" w:space="0" w:color="auto"/>
              <w:right w:val="single" w:sz="4" w:space="0" w:color="auto"/>
            </w:tcBorders>
            <w:vAlign w:val="center"/>
          </w:tcPr>
          <w:p w14:paraId="514FFAAF" w14:textId="77777777" w:rsidR="00750A0E" w:rsidRDefault="00750A0E" w:rsidP="00152F5A">
            <w:pPr>
              <w:widowControl/>
              <w:spacing w:before="100" w:beforeAutospacing="1" w:line="273" w:lineRule="auto"/>
              <w:jc w:val="center"/>
              <w:rPr>
                <w:rFonts w:ascii="Times New Roman"/>
                <w:color w:val="000000"/>
                <w:sz w:val="22"/>
                <w:szCs w:val="22"/>
              </w:rPr>
            </w:pPr>
            <w:r>
              <w:rPr>
                <w:rFonts w:hAnsi="宋体" w:hint="eastAsia"/>
                <w:color w:val="000000"/>
                <w:sz w:val="22"/>
                <w:szCs w:val="22"/>
              </w:rPr>
              <w:t>展示设备</w:t>
            </w:r>
          </w:p>
        </w:tc>
        <w:tc>
          <w:tcPr>
            <w:tcW w:w="5955" w:type="dxa"/>
            <w:tcBorders>
              <w:top w:val="single" w:sz="4" w:space="0" w:color="auto"/>
              <w:left w:val="nil"/>
              <w:bottom w:val="single" w:sz="4" w:space="0" w:color="auto"/>
              <w:right w:val="single" w:sz="4" w:space="0" w:color="auto"/>
            </w:tcBorders>
            <w:vAlign w:val="center"/>
          </w:tcPr>
          <w:p w14:paraId="0450F228" w14:textId="77777777" w:rsidR="00750A0E" w:rsidRDefault="00750A0E" w:rsidP="00152F5A">
            <w:pPr>
              <w:widowControl/>
              <w:spacing w:before="100" w:beforeAutospacing="1" w:line="240" w:lineRule="exact"/>
              <w:rPr>
                <w:rFonts w:hAnsi="宋体"/>
                <w:color w:val="000000"/>
                <w:sz w:val="22"/>
                <w:szCs w:val="22"/>
              </w:rPr>
            </w:pPr>
            <w:r>
              <w:rPr>
                <w:rFonts w:hAnsi="宋体" w:hint="eastAsia"/>
                <w:color w:val="000000"/>
                <w:sz w:val="22"/>
                <w:szCs w:val="22"/>
              </w:rPr>
              <w:t>★展示中心工作站及高清拼接展示大屏一整套设备的安装、调试、运维服务（含设备）。</w:t>
            </w:r>
            <w:r>
              <w:rPr>
                <w:rFonts w:hAnsi="宋体" w:hint="eastAsia"/>
                <w:color w:val="000000"/>
                <w:sz w:val="22"/>
                <w:szCs w:val="22"/>
              </w:rPr>
              <w:br/>
            </w:r>
            <w:r>
              <w:rPr>
                <w:rFonts w:ascii="Times New Roman"/>
                <w:color w:val="000000"/>
                <w:sz w:val="22"/>
                <w:szCs w:val="22"/>
              </w:rPr>
              <w:t>1</w:t>
            </w:r>
            <w:r>
              <w:rPr>
                <w:rFonts w:hAnsi="宋体" w:hint="eastAsia"/>
                <w:color w:val="000000"/>
                <w:sz w:val="22"/>
                <w:szCs w:val="22"/>
              </w:rPr>
              <w:t>、展示工作站服务参数：</w:t>
            </w:r>
            <w:r>
              <w:rPr>
                <w:rFonts w:ascii="Times New Roman"/>
                <w:color w:val="000000"/>
                <w:sz w:val="22"/>
                <w:szCs w:val="22"/>
              </w:rPr>
              <w:t>i5</w:t>
            </w:r>
            <w:r>
              <w:rPr>
                <w:rFonts w:hAnsi="宋体" w:hint="eastAsia"/>
                <w:color w:val="000000"/>
                <w:sz w:val="22"/>
                <w:szCs w:val="22"/>
              </w:rPr>
              <w:t>处理器；</w:t>
            </w:r>
            <w:r>
              <w:rPr>
                <w:rFonts w:ascii="Times New Roman"/>
                <w:color w:val="000000"/>
                <w:sz w:val="22"/>
                <w:szCs w:val="22"/>
              </w:rPr>
              <w:t xml:space="preserve">4GB </w:t>
            </w:r>
            <w:r>
              <w:rPr>
                <w:rFonts w:hAnsi="宋体" w:hint="eastAsia"/>
                <w:color w:val="000000"/>
                <w:sz w:val="22"/>
                <w:szCs w:val="22"/>
              </w:rPr>
              <w:t>运行内存；硬盘容量</w:t>
            </w:r>
            <w:r>
              <w:rPr>
                <w:rFonts w:ascii="Times New Roman"/>
                <w:color w:val="000000"/>
                <w:sz w:val="22"/>
                <w:szCs w:val="22"/>
              </w:rPr>
              <w:t>500G</w:t>
            </w:r>
            <w:r>
              <w:rPr>
                <w:rFonts w:hAnsi="宋体" w:hint="eastAsia"/>
                <w:color w:val="000000"/>
                <w:sz w:val="22"/>
                <w:szCs w:val="22"/>
              </w:rPr>
              <w:t>；</w:t>
            </w:r>
            <w:r>
              <w:rPr>
                <w:rFonts w:ascii="Times New Roman"/>
                <w:color w:val="000000"/>
                <w:sz w:val="22"/>
                <w:szCs w:val="22"/>
              </w:rPr>
              <w:t>21</w:t>
            </w:r>
            <w:r>
              <w:rPr>
                <w:rFonts w:hAnsi="宋体" w:hint="eastAsia"/>
                <w:color w:val="000000"/>
                <w:sz w:val="22"/>
                <w:szCs w:val="22"/>
              </w:rPr>
              <w:t>英寸显示器；</w:t>
            </w:r>
            <w:r>
              <w:rPr>
                <w:rFonts w:ascii="Times New Roman"/>
                <w:color w:val="000000"/>
                <w:sz w:val="22"/>
                <w:szCs w:val="22"/>
              </w:rPr>
              <w:t>Win10</w:t>
            </w:r>
            <w:r>
              <w:rPr>
                <w:rFonts w:hAnsi="宋体" w:hint="eastAsia"/>
                <w:color w:val="000000"/>
                <w:sz w:val="22"/>
                <w:szCs w:val="22"/>
              </w:rPr>
              <w:t>操作系统；</w:t>
            </w:r>
            <w:r>
              <w:rPr>
                <w:rFonts w:hAnsi="宋体" w:hint="eastAsia"/>
                <w:color w:val="000000"/>
                <w:sz w:val="22"/>
                <w:szCs w:val="22"/>
              </w:rPr>
              <w:br/>
            </w:r>
            <w:r>
              <w:rPr>
                <w:rFonts w:ascii="Times New Roman"/>
                <w:color w:val="000000"/>
                <w:sz w:val="22"/>
                <w:szCs w:val="22"/>
              </w:rPr>
              <w:t>2</w:t>
            </w:r>
            <w:r>
              <w:rPr>
                <w:rFonts w:hAnsi="宋体" w:hint="eastAsia"/>
                <w:color w:val="000000"/>
                <w:sz w:val="22"/>
                <w:szCs w:val="22"/>
              </w:rPr>
              <w:t>、清拼接展示大屏参数：</w:t>
            </w:r>
            <w:r>
              <w:rPr>
                <w:rFonts w:ascii="Times New Roman"/>
                <w:color w:val="000000"/>
                <w:sz w:val="22"/>
                <w:szCs w:val="22"/>
              </w:rPr>
              <w:t>49</w:t>
            </w:r>
            <w:r>
              <w:rPr>
                <w:rFonts w:hAnsi="宋体" w:hint="eastAsia"/>
                <w:color w:val="000000"/>
                <w:sz w:val="22"/>
                <w:szCs w:val="22"/>
              </w:rPr>
              <w:t>寸拼接单元</w:t>
            </w:r>
            <w:r>
              <w:rPr>
                <w:rFonts w:ascii="Times New Roman"/>
                <w:color w:val="000000"/>
                <w:sz w:val="22"/>
                <w:szCs w:val="22"/>
              </w:rPr>
              <w:t>9</w:t>
            </w:r>
            <w:r>
              <w:rPr>
                <w:rFonts w:hAnsi="宋体" w:hint="eastAsia"/>
                <w:color w:val="000000"/>
                <w:sz w:val="22"/>
                <w:szCs w:val="22"/>
              </w:rPr>
              <w:t>台</w:t>
            </w:r>
            <w:r>
              <w:rPr>
                <w:rFonts w:ascii="Times New Roman"/>
                <w:color w:val="000000"/>
                <w:sz w:val="22"/>
                <w:szCs w:val="22"/>
              </w:rPr>
              <w:t xml:space="preserve"> 3(</w:t>
            </w:r>
            <w:r>
              <w:rPr>
                <w:rFonts w:hAnsi="宋体" w:hint="eastAsia"/>
                <w:color w:val="000000"/>
                <w:sz w:val="22"/>
                <w:szCs w:val="22"/>
              </w:rPr>
              <w:t>行</w:t>
            </w:r>
            <w:r>
              <w:rPr>
                <w:rFonts w:ascii="Times New Roman"/>
                <w:color w:val="000000"/>
                <w:sz w:val="22"/>
                <w:szCs w:val="22"/>
              </w:rPr>
              <w:t>)×3(</w:t>
            </w:r>
            <w:r>
              <w:rPr>
                <w:rFonts w:hAnsi="宋体" w:hint="eastAsia"/>
                <w:color w:val="000000"/>
                <w:sz w:val="22"/>
                <w:szCs w:val="22"/>
              </w:rPr>
              <w:t>列</w:t>
            </w:r>
            <w:r>
              <w:rPr>
                <w:rFonts w:ascii="Times New Roman"/>
                <w:color w:val="000000"/>
                <w:sz w:val="22"/>
                <w:szCs w:val="22"/>
              </w:rPr>
              <w:t>)</w:t>
            </w:r>
            <w:r>
              <w:rPr>
                <w:rFonts w:hAnsi="宋体" w:hint="eastAsia"/>
                <w:color w:val="000000"/>
                <w:sz w:val="22"/>
                <w:szCs w:val="22"/>
              </w:rPr>
              <w:t>排列；原装</w:t>
            </w:r>
            <w:r>
              <w:rPr>
                <w:rFonts w:ascii="Times New Roman"/>
                <w:color w:val="000000"/>
                <w:sz w:val="22"/>
                <w:szCs w:val="22"/>
              </w:rPr>
              <w:t>DID FHD-LED</w:t>
            </w:r>
            <w:r>
              <w:rPr>
                <w:rFonts w:hAnsi="宋体" w:hint="eastAsia"/>
                <w:color w:val="000000"/>
                <w:sz w:val="22"/>
                <w:szCs w:val="22"/>
              </w:rPr>
              <w:t>屏；亮度≥</w:t>
            </w:r>
            <w:r>
              <w:rPr>
                <w:rFonts w:ascii="Times New Roman"/>
                <w:color w:val="000000"/>
                <w:sz w:val="22"/>
                <w:szCs w:val="22"/>
              </w:rPr>
              <w:t>450cd/</w:t>
            </w:r>
            <w:r>
              <w:rPr>
                <w:rFonts w:hAnsi="宋体" w:hint="eastAsia"/>
                <w:color w:val="000000"/>
                <w:sz w:val="22"/>
                <w:szCs w:val="22"/>
              </w:rPr>
              <w:t>㎡，对比度：</w:t>
            </w:r>
            <w:r>
              <w:rPr>
                <w:rFonts w:ascii="Times New Roman"/>
                <w:color w:val="000000"/>
                <w:sz w:val="22"/>
                <w:szCs w:val="22"/>
              </w:rPr>
              <w:t>4000:1</w:t>
            </w:r>
            <w:r>
              <w:rPr>
                <w:rFonts w:hAnsi="宋体" w:hint="eastAsia"/>
                <w:color w:val="000000"/>
                <w:sz w:val="22"/>
                <w:szCs w:val="22"/>
              </w:rPr>
              <w:t>；分辨率：</w:t>
            </w:r>
            <w:r>
              <w:rPr>
                <w:rFonts w:ascii="Times New Roman"/>
                <w:color w:val="000000"/>
                <w:sz w:val="22"/>
                <w:szCs w:val="22"/>
              </w:rPr>
              <w:t>1920*1080</w:t>
            </w:r>
            <w:r>
              <w:rPr>
                <w:rFonts w:hAnsi="宋体" w:hint="eastAsia"/>
                <w:color w:val="000000"/>
                <w:sz w:val="22"/>
                <w:szCs w:val="22"/>
              </w:rPr>
              <w:t>，</w:t>
            </w:r>
            <w:r>
              <w:rPr>
                <w:rFonts w:ascii="Times New Roman"/>
                <w:color w:val="000000"/>
                <w:sz w:val="22"/>
                <w:szCs w:val="22"/>
              </w:rPr>
              <w:t>W1077.6×H607.8mm</w:t>
            </w:r>
            <w:r>
              <w:rPr>
                <w:rFonts w:hAnsi="宋体" w:hint="eastAsia"/>
                <w:color w:val="000000"/>
                <w:sz w:val="22"/>
                <w:szCs w:val="22"/>
              </w:rPr>
              <w:t>；上下左右物理拼接缝≦</w:t>
            </w:r>
            <w:r>
              <w:rPr>
                <w:rFonts w:ascii="Times New Roman"/>
                <w:color w:val="000000"/>
                <w:sz w:val="22"/>
                <w:szCs w:val="22"/>
              </w:rPr>
              <w:t>3.5mm</w:t>
            </w:r>
            <w:r>
              <w:rPr>
                <w:rFonts w:hAnsi="宋体" w:hint="eastAsia"/>
                <w:color w:val="000000"/>
                <w:sz w:val="22"/>
                <w:szCs w:val="22"/>
              </w:rPr>
              <w:t>。</w:t>
            </w:r>
          </w:p>
          <w:p w14:paraId="30668F32" w14:textId="77777777" w:rsidR="00750A0E" w:rsidRPr="00280BBC" w:rsidRDefault="00750A0E" w:rsidP="00152F5A">
            <w:pPr>
              <w:widowControl/>
              <w:spacing w:before="100" w:beforeAutospacing="1" w:line="240" w:lineRule="exact"/>
              <w:rPr>
                <w:rFonts w:hAnsi="宋体"/>
                <w:color w:val="000000"/>
                <w:sz w:val="22"/>
                <w:szCs w:val="22"/>
              </w:rPr>
            </w:pPr>
            <w:r>
              <w:rPr>
                <w:rFonts w:hAnsi="宋体" w:hint="eastAsia"/>
                <w:color w:val="000000"/>
                <w:sz w:val="22"/>
                <w:szCs w:val="22"/>
              </w:rPr>
              <w:t>一年内免费软硬件升级、维护、技术支持服务。高清拼接大屏软硬件安装、调试、运维服务须符合相关规范及质量要求；</w:t>
            </w:r>
          </w:p>
        </w:tc>
        <w:tc>
          <w:tcPr>
            <w:tcW w:w="790" w:type="dxa"/>
            <w:tcBorders>
              <w:top w:val="single" w:sz="4" w:space="0" w:color="auto"/>
              <w:left w:val="nil"/>
              <w:bottom w:val="single" w:sz="4" w:space="0" w:color="auto"/>
              <w:right w:val="single" w:sz="4" w:space="0" w:color="auto"/>
            </w:tcBorders>
            <w:vAlign w:val="center"/>
          </w:tcPr>
          <w:p w14:paraId="69904083"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t>1</w:t>
            </w:r>
          </w:p>
        </w:tc>
        <w:tc>
          <w:tcPr>
            <w:tcW w:w="768" w:type="dxa"/>
            <w:tcBorders>
              <w:top w:val="single" w:sz="4" w:space="0" w:color="auto"/>
              <w:left w:val="nil"/>
              <w:bottom w:val="single" w:sz="4" w:space="0" w:color="auto"/>
              <w:right w:val="single" w:sz="4" w:space="0" w:color="auto"/>
            </w:tcBorders>
            <w:vAlign w:val="center"/>
          </w:tcPr>
          <w:p w14:paraId="5E07C924" w14:textId="77777777" w:rsidR="00750A0E" w:rsidRDefault="00750A0E" w:rsidP="00152F5A">
            <w:pPr>
              <w:widowControl/>
              <w:spacing w:before="100" w:beforeAutospacing="1" w:line="273" w:lineRule="auto"/>
              <w:jc w:val="center"/>
              <w:rPr>
                <w:rFonts w:ascii="Times New Roman"/>
                <w:color w:val="000000"/>
                <w:sz w:val="22"/>
                <w:szCs w:val="22"/>
              </w:rPr>
            </w:pPr>
            <w:r>
              <w:rPr>
                <w:rFonts w:hAnsi="宋体" w:hint="eastAsia"/>
                <w:color w:val="000000"/>
                <w:sz w:val="22"/>
                <w:szCs w:val="22"/>
              </w:rPr>
              <w:t>套</w:t>
            </w:r>
          </w:p>
        </w:tc>
      </w:tr>
      <w:tr w:rsidR="00750A0E" w14:paraId="709E1C5B" w14:textId="77777777" w:rsidTr="00152F5A">
        <w:trPr>
          <w:trHeight w:val="2880"/>
        </w:trPr>
        <w:tc>
          <w:tcPr>
            <w:tcW w:w="619" w:type="dxa"/>
            <w:tcBorders>
              <w:top w:val="nil"/>
              <w:left w:val="single" w:sz="4" w:space="0" w:color="auto"/>
              <w:bottom w:val="single" w:sz="4" w:space="0" w:color="auto"/>
              <w:right w:val="single" w:sz="4" w:space="0" w:color="auto"/>
            </w:tcBorders>
            <w:vAlign w:val="center"/>
          </w:tcPr>
          <w:p w14:paraId="30AE9E3C"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t>3</w:t>
            </w:r>
          </w:p>
        </w:tc>
        <w:tc>
          <w:tcPr>
            <w:tcW w:w="1077" w:type="dxa"/>
            <w:tcBorders>
              <w:top w:val="nil"/>
              <w:left w:val="nil"/>
              <w:bottom w:val="single" w:sz="4" w:space="0" w:color="auto"/>
              <w:right w:val="single" w:sz="4" w:space="0" w:color="auto"/>
            </w:tcBorders>
            <w:vAlign w:val="center"/>
          </w:tcPr>
          <w:p w14:paraId="35F929DB" w14:textId="77777777" w:rsidR="00750A0E" w:rsidRDefault="00750A0E" w:rsidP="00152F5A">
            <w:pPr>
              <w:widowControl/>
              <w:spacing w:before="100" w:beforeAutospacing="1" w:line="273" w:lineRule="auto"/>
              <w:jc w:val="center"/>
              <w:rPr>
                <w:rFonts w:ascii="Times New Roman"/>
                <w:color w:val="000000"/>
                <w:sz w:val="22"/>
                <w:szCs w:val="22"/>
              </w:rPr>
            </w:pPr>
            <w:r>
              <w:rPr>
                <w:rFonts w:hAnsi="宋体" w:hint="eastAsia"/>
                <w:color w:val="000000"/>
                <w:sz w:val="22"/>
                <w:szCs w:val="22"/>
              </w:rPr>
              <w:t>数据采集端</w:t>
            </w:r>
          </w:p>
        </w:tc>
        <w:tc>
          <w:tcPr>
            <w:tcW w:w="5955" w:type="dxa"/>
            <w:tcBorders>
              <w:top w:val="nil"/>
              <w:left w:val="nil"/>
              <w:bottom w:val="single" w:sz="4" w:space="0" w:color="auto"/>
              <w:right w:val="single" w:sz="4" w:space="0" w:color="auto"/>
            </w:tcBorders>
            <w:vAlign w:val="center"/>
          </w:tcPr>
          <w:p w14:paraId="32C78A08" w14:textId="77777777" w:rsidR="00750A0E" w:rsidRDefault="00750A0E" w:rsidP="00152F5A">
            <w:pPr>
              <w:widowControl/>
              <w:spacing w:before="100" w:beforeAutospacing="1" w:line="273" w:lineRule="auto"/>
              <w:rPr>
                <w:rFonts w:ascii="Times New Roman"/>
                <w:color w:val="000000"/>
                <w:sz w:val="22"/>
                <w:szCs w:val="22"/>
              </w:rPr>
            </w:pPr>
            <w:r>
              <w:rPr>
                <w:rFonts w:hAnsi="宋体" w:hint="eastAsia"/>
                <w:color w:val="000000"/>
                <w:sz w:val="22"/>
                <w:szCs w:val="22"/>
              </w:rPr>
              <w:t>★数据采集服务硬件设备数据采集器及其配套箱体的采购、安装、调试、运维服务。</w:t>
            </w:r>
            <w:r>
              <w:rPr>
                <w:rFonts w:hAnsi="宋体" w:hint="eastAsia"/>
                <w:color w:val="000000"/>
                <w:sz w:val="22"/>
                <w:szCs w:val="22"/>
              </w:rPr>
              <w:br/>
            </w:r>
            <w:r>
              <w:rPr>
                <w:rFonts w:ascii="Times New Roman"/>
                <w:color w:val="000000"/>
                <w:sz w:val="22"/>
                <w:szCs w:val="22"/>
              </w:rPr>
              <w:t>1.</w:t>
            </w:r>
            <w:r>
              <w:rPr>
                <w:rFonts w:hAnsi="宋体" w:hint="eastAsia"/>
                <w:color w:val="000000"/>
                <w:sz w:val="22"/>
                <w:szCs w:val="22"/>
              </w:rPr>
              <w:t>数据采集设备参数：产品符合《国家机关办公建筑和大型公共建筑能耗监管平台建设技术导则》、《国家机关办公建筑和大型公共建筑能耗监管平台分项能耗数据传输技术导则》对数据采集器的要求；接口：配置独立采集接口（</w:t>
            </w:r>
            <w:r>
              <w:rPr>
                <w:rFonts w:ascii="Times New Roman"/>
                <w:color w:val="000000"/>
                <w:sz w:val="22"/>
                <w:szCs w:val="22"/>
              </w:rPr>
              <w:t>RS485</w:t>
            </w:r>
            <w:r>
              <w:rPr>
                <w:rFonts w:hAnsi="宋体" w:hint="eastAsia"/>
                <w:color w:val="000000"/>
                <w:sz w:val="22"/>
                <w:szCs w:val="22"/>
              </w:rPr>
              <w:t>），具有</w:t>
            </w:r>
            <w:r>
              <w:rPr>
                <w:rFonts w:ascii="Times New Roman"/>
                <w:color w:val="000000"/>
                <w:sz w:val="22"/>
                <w:szCs w:val="22"/>
              </w:rPr>
              <w:t>USB</w:t>
            </w:r>
            <w:r>
              <w:rPr>
                <w:rFonts w:hAnsi="宋体" w:hint="eastAsia"/>
                <w:color w:val="000000"/>
                <w:sz w:val="22"/>
                <w:szCs w:val="22"/>
              </w:rPr>
              <w:t>扩展接口；支持</w:t>
            </w:r>
            <w:r>
              <w:rPr>
                <w:rFonts w:ascii="Times New Roman"/>
                <w:color w:val="000000"/>
                <w:sz w:val="22"/>
                <w:szCs w:val="22"/>
              </w:rPr>
              <w:t>RS485/MBUS</w:t>
            </w:r>
            <w:r>
              <w:rPr>
                <w:rFonts w:hAnsi="宋体" w:hint="eastAsia"/>
                <w:color w:val="000000"/>
                <w:sz w:val="22"/>
                <w:szCs w:val="22"/>
              </w:rPr>
              <w:t>方式的用户数据接口；支持对不同厂家不同协议的电表、水表、燃气、冷（热）量表等计量装置等各项数据进行采集管理；数据采样周期：可以从</w:t>
            </w:r>
            <w:r>
              <w:rPr>
                <w:rFonts w:ascii="Times New Roman"/>
                <w:color w:val="000000"/>
                <w:sz w:val="22"/>
                <w:szCs w:val="22"/>
              </w:rPr>
              <w:t>1</w:t>
            </w:r>
            <w:r>
              <w:rPr>
                <w:rFonts w:hAnsi="宋体" w:hint="eastAsia"/>
                <w:color w:val="000000"/>
                <w:sz w:val="22"/>
                <w:szCs w:val="22"/>
              </w:rPr>
              <w:t>分钟以上任意时间灵活配置；存储周期：支持本地存储，可从</w:t>
            </w:r>
            <w:r>
              <w:rPr>
                <w:rFonts w:ascii="Times New Roman"/>
                <w:color w:val="000000"/>
                <w:sz w:val="22"/>
                <w:szCs w:val="22"/>
              </w:rPr>
              <w:t>15</w:t>
            </w:r>
            <w:r>
              <w:rPr>
                <w:rFonts w:hAnsi="宋体" w:hint="eastAsia"/>
                <w:color w:val="000000"/>
                <w:sz w:val="22"/>
                <w:szCs w:val="22"/>
              </w:rPr>
              <w:t>分钟以上任意时间灵活配置；数据存储量不少于</w:t>
            </w:r>
            <w:r>
              <w:rPr>
                <w:rFonts w:ascii="Times New Roman"/>
                <w:color w:val="000000"/>
                <w:sz w:val="22"/>
                <w:szCs w:val="22"/>
              </w:rPr>
              <w:t>4GB</w:t>
            </w:r>
            <w:r>
              <w:rPr>
                <w:rFonts w:hAnsi="宋体" w:hint="eastAsia"/>
                <w:color w:val="000000"/>
                <w:sz w:val="22"/>
                <w:szCs w:val="22"/>
              </w:rPr>
              <w:t>，支持</w:t>
            </w:r>
            <w:r>
              <w:rPr>
                <w:rFonts w:ascii="Times New Roman"/>
                <w:color w:val="000000"/>
                <w:sz w:val="22"/>
                <w:szCs w:val="22"/>
              </w:rPr>
              <w:t>1</w:t>
            </w:r>
            <w:r>
              <w:rPr>
                <w:rFonts w:hAnsi="宋体" w:hint="eastAsia"/>
                <w:color w:val="000000"/>
                <w:sz w:val="22"/>
                <w:szCs w:val="22"/>
              </w:rPr>
              <w:t>年以上的能耗数据存储；</w:t>
            </w:r>
            <w:r>
              <w:rPr>
                <w:rFonts w:hAnsi="宋体" w:hint="eastAsia"/>
                <w:color w:val="000000"/>
                <w:sz w:val="22"/>
                <w:szCs w:val="22"/>
              </w:rPr>
              <w:br/>
            </w:r>
            <w:r>
              <w:rPr>
                <w:rFonts w:ascii="Times New Roman"/>
                <w:color w:val="000000"/>
                <w:sz w:val="22"/>
                <w:szCs w:val="22"/>
              </w:rPr>
              <w:t>2.</w:t>
            </w:r>
            <w:r>
              <w:rPr>
                <w:rFonts w:hAnsi="宋体" w:hint="eastAsia"/>
                <w:color w:val="000000"/>
                <w:sz w:val="22"/>
                <w:szCs w:val="22"/>
              </w:rPr>
              <w:t>配套箱体参数要求：内含</w:t>
            </w:r>
            <w:r>
              <w:rPr>
                <w:rFonts w:ascii="Times New Roman"/>
                <w:color w:val="000000"/>
                <w:sz w:val="22"/>
                <w:szCs w:val="22"/>
              </w:rPr>
              <w:t>1</w:t>
            </w:r>
            <w:r>
              <w:rPr>
                <w:rFonts w:hAnsi="宋体" w:hint="eastAsia"/>
                <w:color w:val="000000"/>
                <w:sz w:val="22"/>
                <w:szCs w:val="22"/>
              </w:rPr>
              <w:t>个</w:t>
            </w:r>
            <w:r>
              <w:rPr>
                <w:rFonts w:ascii="Times New Roman"/>
                <w:color w:val="000000"/>
                <w:sz w:val="22"/>
                <w:szCs w:val="22"/>
              </w:rPr>
              <w:t>20A</w:t>
            </w:r>
            <w:r>
              <w:rPr>
                <w:rFonts w:hAnsi="宋体" w:hint="eastAsia"/>
                <w:color w:val="000000"/>
                <w:sz w:val="22"/>
                <w:szCs w:val="22"/>
              </w:rPr>
              <w:t>漏电保护器和</w:t>
            </w:r>
            <w:r>
              <w:rPr>
                <w:rFonts w:ascii="Times New Roman"/>
                <w:color w:val="000000"/>
                <w:sz w:val="22"/>
                <w:szCs w:val="22"/>
              </w:rPr>
              <w:t>2</w:t>
            </w:r>
            <w:r>
              <w:rPr>
                <w:rFonts w:hAnsi="宋体" w:hint="eastAsia"/>
                <w:color w:val="000000"/>
                <w:sz w:val="22"/>
                <w:szCs w:val="22"/>
              </w:rPr>
              <w:t>个三眼插座；</w:t>
            </w:r>
            <w:r>
              <w:rPr>
                <w:rFonts w:hAnsi="宋体" w:hint="eastAsia"/>
                <w:color w:val="000000"/>
                <w:sz w:val="22"/>
                <w:szCs w:val="22"/>
              </w:rPr>
              <w:br/>
              <w:t>一年内免费软硬件升级、维护、技术支持服务。</w:t>
            </w:r>
          </w:p>
        </w:tc>
        <w:tc>
          <w:tcPr>
            <w:tcW w:w="790" w:type="dxa"/>
            <w:tcBorders>
              <w:top w:val="nil"/>
              <w:left w:val="nil"/>
              <w:bottom w:val="single" w:sz="4" w:space="0" w:color="auto"/>
              <w:right w:val="single" w:sz="4" w:space="0" w:color="auto"/>
            </w:tcBorders>
            <w:vAlign w:val="center"/>
          </w:tcPr>
          <w:p w14:paraId="2C0715B9"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t>14</w:t>
            </w:r>
          </w:p>
        </w:tc>
        <w:tc>
          <w:tcPr>
            <w:tcW w:w="768" w:type="dxa"/>
            <w:tcBorders>
              <w:top w:val="nil"/>
              <w:left w:val="nil"/>
              <w:bottom w:val="single" w:sz="4" w:space="0" w:color="auto"/>
              <w:right w:val="single" w:sz="4" w:space="0" w:color="auto"/>
            </w:tcBorders>
            <w:vAlign w:val="center"/>
          </w:tcPr>
          <w:p w14:paraId="26D91241" w14:textId="77777777" w:rsidR="00750A0E" w:rsidRDefault="00750A0E" w:rsidP="00152F5A">
            <w:pPr>
              <w:widowControl/>
              <w:spacing w:before="100" w:beforeAutospacing="1" w:line="273" w:lineRule="auto"/>
              <w:jc w:val="center"/>
              <w:rPr>
                <w:rFonts w:ascii="Times New Roman"/>
                <w:color w:val="000000"/>
                <w:sz w:val="22"/>
                <w:szCs w:val="22"/>
              </w:rPr>
            </w:pPr>
            <w:r>
              <w:rPr>
                <w:rFonts w:hAnsi="宋体" w:hint="eastAsia"/>
                <w:color w:val="000000"/>
                <w:sz w:val="22"/>
                <w:szCs w:val="22"/>
              </w:rPr>
              <w:t>个</w:t>
            </w:r>
          </w:p>
        </w:tc>
      </w:tr>
      <w:tr w:rsidR="00750A0E" w14:paraId="4507EAE7" w14:textId="77777777" w:rsidTr="00152F5A">
        <w:trPr>
          <w:trHeight w:val="1728"/>
        </w:trPr>
        <w:tc>
          <w:tcPr>
            <w:tcW w:w="619" w:type="dxa"/>
            <w:tcBorders>
              <w:top w:val="nil"/>
              <w:left w:val="single" w:sz="4" w:space="0" w:color="auto"/>
              <w:bottom w:val="single" w:sz="4" w:space="0" w:color="auto"/>
              <w:right w:val="single" w:sz="4" w:space="0" w:color="auto"/>
            </w:tcBorders>
            <w:vAlign w:val="center"/>
          </w:tcPr>
          <w:p w14:paraId="7CB2B99A"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lastRenderedPageBreak/>
              <w:t>4</w:t>
            </w:r>
          </w:p>
        </w:tc>
        <w:tc>
          <w:tcPr>
            <w:tcW w:w="1077" w:type="dxa"/>
            <w:tcBorders>
              <w:top w:val="nil"/>
              <w:left w:val="nil"/>
              <w:bottom w:val="single" w:sz="4" w:space="0" w:color="auto"/>
              <w:right w:val="single" w:sz="4" w:space="0" w:color="auto"/>
            </w:tcBorders>
            <w:vAlign w:val="center"/>
          </w:tcPr>
          <w:p w14:paraId="6F875489" w14:textId="77777777" w:rsidR="00750A0E" w:rsidRDefault="00750A0E" w:rsidP="00152F5A">
            <w:pPr>
              <w:widowControl/>
              <w:spacing w:before="100" w:beforeAutospacing="1" w:line="273" w:lineRule="auto"/>
              <w:jc w:val="center"/>
              <w:rPr>
                <w:rFonts w:ascii="Times New Roman"/>
                <w:color w:val="000000"/>
                <w:sz w:val="22"/>
                <w:szCs w:val="22"/>
              </w:rPr>
            </w:pPr>
            <w:r>
              <w:rPr>
                <w:rFonts w:hAnsi="宋体" w:hint="eastAsia"/>
                <w:color w:val="000000"/>
                <w:sz w:val="22"/>
                <w:szCs w:val="22"/>
              </w:rPr>
              <w:t>一级电能耗监测点数据端</w:t>
            </w:r>
          </w:p>
        </w:tc>
        <w:tc>
          <w:tcPr>
            <w:tcW w:w="5955" w:type="dxa"/>
            <w:tcBorders>
              <w:top w:val="nil"/>
              <w:left w:val="nil"/>
              <w:bottom w:val="single" w:sz="4" w:space="0" w:color="auto"/>
              <w:right w:val="single" w:sz="4" w:space="0" w:color="auto"/>
            </w:tcBorders>
            <w:vAlign w:val="center"/>
          </w:tcPr>
          <w:p w14:paraId="35C2F4E5" w14:textId="77777777" w:rsidR="00750A0E" w:rsidRDefault="00750A0E" w:rsidP="00152F5A">
            <w:pPr>
              <w:widowControl/>
              <w:spacing w:before="100" w:beforeAutospacing="1" w:line="273" w:lineRule="auto"/>
              <w:rPr>
                <w:rFonts w:ascii="Times New Roman"/>
                <w:color w:val="000000"/>
                <w:sz w:val="22"/>
                <w:szCs w:val="22"/>
              </w:rPr>
            </w:pPr>
            <w:r>
              <w:rPr>
                <w:rFonts w:hAnsi="宋体" w:hint="eastAsia"/>
                <w:color w:val="000000"/>
                <w:sz w:val="22"/>
                <w:szCs w:val="22"/>
              </w:rPr>
              <w:t>★监测点数据采集所需综合电力监测仪表及其配套所需的互感器、二次线、通讯线、穿线管等配套设备的采购、安装、数据调试及运维等服务须符合相关规范，满足质量合格标准。综合电力监测仪表要求功能：正反向有功、四象限无功和正反向视在电能计量及分相电能计量；计量精度度等级：有功精度</w:t>
            </w:r>
            <w:r>
              <w:rPr>
                <w:rFonts w:ascii="Times New Roman"/>
                <w:color w:val="000000"/>
                <w:sz w:val="22"/>
                <w:szCs w:val="22"/>
              </w:rPr>
              <w:t>0.5S</w:t>
            </w:r>
            <w:r>
              <w:rPr>
                <w:rFonts w:hAnsi="宋体" w:hint="eastAsia"/>
                <w:color w:val="000000"/>
                <w:sz w:val="22"/>
                <w:szCs w:val="22"/>
              </w:rPr>
              <w:t>级，无功精度</w:t>
            </w:r>
            <w:r>
              <w:rPr>
                <w:rFonts w:ascii="Times New Roman"/>
                <w:color w:val="000000"/>
                <w:sz w:val="22"/>
                <w:szCs w:val="22"/>
              </w:rPr>
              <w:t>1.0</w:t>
            </w:r>
            <w:r>
              <w:rPr>
                <w:rFonts w:hAnsi="宋体" w:hint="eastAsia"/>
                <w:color w:val="000000"/>
                <w:sz w:val="22"/>
                <w:szCs w:val="22"/>
              </w:rPr>
              <w:t>级；具有电压、电流、功率、功率因数、频率、无功电能、负载性质、最大需量、总谐波等电能参数监测功能；各种事件记录：掉电、清零、断相、失流等事件记录功能；</w:t>
            </w:r>
            <w:r>
              <w:rPr>
                <w:rFonts w:hAnsi="宋体" w:hint="eastAsia"/>
                <w:color w:val="000000"/>
                <w:sz w:val="22"/>
                <w:szCs w:val="22"/>
              </w:rPr>
              <w:br/>
              <w:t>一年内免费软硬件升级、维护、技术支持服务。</w:t>
            </w:r>
          </w:p>
        </w:tc>
        <w:tc>
          <w:tcPr>
            <w:tcW w:w="790" w:type="dxa"/>
            <w:tcBorders>
              <w:top w:val="nil"/>
              <w:left w:val="nil"/>
              <w:bottom w:val="single" w:sz="4" w:space="0" w:color="auto"/>
              <w:right w:val="single" w:sz="4" w:space="0" w:color="auto"/>
            </w:tcBorders>
            <w:vAlign w:val="center"/>
          </w:tcPr>
          <w:p w14:paraId="1339C90A"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t>18</w:t>
            </w:r>
          </w:p>
        </w:tc>
        <w:tc>
          <w:tcPr>
            <w:tcW w:w="768" w:type="dxa"/>
            <w:tcBorders>
              <w:top w:val="nil"/>
              <w:left w:val="nil"/>
              <w:bottom w:val="single" w:sz="4" w:space="0" w:color="auto"/>
              <w:right w:val="single" w:sz="4" w:space="0" w:color="auto"/>
            </w:tcBorders>
            <w:vAlign w:val="center"/>
          </w:tcPr>
          <w:p w14:paraId="2AE241ED" w14:textId="77777777" w:rsidR="00750A0E" w:rsidRDefault="00750A0E" w:rsidP="00152F5A">
            <w:pPr>
              <w:widowControl/>
              <w:spacing w:before="100" w:beforeAutospacing="1" w:line="273" w:lineRule="auto"/>
              <w:jc w:val="center"/>
              <w:rPr>
                <w:rFonts w:ascii="Times New Roman"/>
                <w:color w:val="000000"/>
                <w:sz w:val="22"/>
                <w:szCs w:val="22"/>
              </w:rPr>
            </w:pPr>
            <w:r>
              <w:rPr>
                <w:rFonts w:hAnsi="宋体" w:hint="eastAsia"/>
                <w:color w:val="000000"/>
                <w:sz w:val="22"/>
                <w:szCs w:val="22"/>
              </w:rPr>
              <w:t>个</w:t>
            </w:r>
          </w:p>
        </w:tc>
      </w:tr>
      <w:tr w:rsidR="00750A0E" w14:paraId="20D4E8A2" w14:textId="77777777" w:rsidTr="00152F5A">
        <w:trPr>
          <w:trHeight w:val="2304"/>
        </w:trPr>
        <w:tc>
          <w:tcPr>
            <w:tcW w:w="619" w:type="dxa"/>
            <w:tcBorders>
              <w:top w:val="single" w:sz="4" w:space="0" w:color="auto"/>
              <w:left w:val="single" w:sz="4" w:space="0" w:color="auto"/>
              <w:bottom w:val="single" w:sz="4" w:space="0" w:color="auto"/>
              <w:right w:val="single" w:sz="4" w:space="0" w:color="auto"/>
            </w:tcBorders>
            <w:vAlign w:val="center"/>
          </w:tcPr>
          <w:p w14:paraId="5BCB7689"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t>5</w:t>
            </w:r>
          </w:p>
        </w:tc>
        <w:tc>
          <w:tcPr>
            <w:tcW w:w="1077" w:type="dxa"/>
            <w:tcBorders>
              <w:top w:val="single" w:sz="4" w:space="0" w:color="auto"/>
              <w:left w:val="nil"/>
              <w:bottom w:val="single" w:sz="4" w:space="0" w:color="auto"/>
              <w:right w:val="single" w:sz="4" w:space="0" w:color="auto"/>
            </w:tcBorders>
            <w:vAlign w:val="center"/>
          </w:tcPr>
          <w:p w14:paraId="278F3EB6" w14:textId="77777777" w:rsidR="00750A0E" w:rsidRDefault="00750A0E" w:rsidP="00152F5A">
            <w:pPr>
              <w:widowControl/>
              <w:spacing w:before="100" w:beforeAutospacing="1" w:line="273" w:lineRule="auto"/>
              <w:jc w:val="center"/>
              <w:rPr>
                <w:rFonts w:ascii="Times New Roman"/>
                <w:color w:val="000000"/>
                <w:sz w:val="22"/>
                <w:szCs w:val="22"/>
              </w:rPr>
            </w:pPr>
            <w:r>
              <w:rPr>
                <w:rFonts w:hAnsi="宋体" w:hint="eastAsia"/>
                <w:color w:val="000000"/>
                <w:sz w:val="22"/>
                <w:szCs w:val="22"/>
              </w:rPr>
              <w:t>一级分项电能耗监测点数据端</w:t>
            </w:r>
          </w:p>
        </w:tc>
        <w:tc>
          <w:tcPr>
            <w:tcW w:w="5955" w:type="dxa"/>
            <w:tcBorders>
              <w:top w:val="single" w:sz="4" w:space="0" w:color="auto"/>
              <w:left w:val="nil"/>
              <w:bottom w:val="single" w:sz="4" w:space="0" w:color="auto"/>
              <w:right w:val="single" w:sz="4" w:space="0" w:color="auto"/>
            </w:tcBorders>
            <w:vAlign w:val="center"/>
          </w:tcPr>
          <w:p w14:paraId="3D6596E5" w14:textId="77777777" w:rsidR="00750A0E" w:rsidRDefault="00750A0E" w:rsidP="00152F5A">
            <w:pPr>
              <w:widowControl/>
              <w:spacing w:before="100" w:beforeAutospacing="1" w:line="273" w:lineRule="auto"/>
              <w:rPr>
                <w:rFonts w:ascii="Times New Roman"/>
                <w:color w:val="000000"/>
                <w:sz w:val="22"/>
                <w:szCs w:val="22"/>
              </w:rPr>
            </w:pPr>
            <w:r>
              <w:rPr>
                <w:rFonts w:hAnsi="宋体" w:hint="eastAsia"/>
                <w:color w:val="000000"/>
                <w:sz w:val="22"/>
                <w:szCs w:val="22"/>
              </w:rPr>
              <w:t>★监测点数据采集所需三相多功能电表及其配套所需的互感器、二次线、通讯线、穿线管等配套设备的采购、安装、数据调试等服务。</w:t>
            </w:r>
            <w:r>
              <w:rPr>
                <w:rFonts w:hAnsi="宋体" w:hint="eastAsia"/>
                <w:color w:val="000000"/>
                <w:sz w:val="22"/>
                <w:szCs w:val="22"/>
              </w:rPr>
              <w:br/>
              <w:t>监测点数据采集所需三相多功能电表及其配套所需的互感器、二次线、通讯线、穿线管等配套设备的安装、数据调试及运维等服务须符合国标，满足质量合格标准。三相多功能电表要求功能：正反向有功、四象限无功和正反向视在电能计量及分相电能计量；计量精度度等级：有功精度</w:t>
            </w:r>
            <w:r>
              <w:rPr>
                <w:rFonts w:ascii="Times New Roman"/>
                <w:color w:val="000000"/>
                <w:sz w:val="22"/>
                <w:szCs w:val="22"/>
              </w:rPr>
              <w:t>0.5</w:t>
            </w:r>
            <w:r>
              <w:rPr>
                <w:rFonts w:hAnsi="宋体" w:hint="eastAsia"/>
                <w:color w:val="000000"/>
                <w:sz w:val="22"/>
                <w:szCs w:val="22"/>
              </w:rPr>
              <w:t>级，无功精度</w:t>
            </w:r>
            <w:r>
              <w:rPr>
                <w:rFonts w:ascii="Times New Roman"/>
                <w:color w:val="000000"/>
                <w:sz w:val="22"/>
                <w:szCs w:val="22"/>
              </w:rPr>
              <w:t>1.0</w:t>
            </w:r>
            <w:r>
              <w:rPr>
                <w:rFonts w:hAnsi="宋体" w:hint="eastAsia"/>
                <w:color w:val="000000"/>
                <w:sz w:val="22"/>
                <w:szCs w:val="22"/>
              </w:rPr>
              <w:t>级；具有电压、电流、功率、功率因数、频率等电能参数监测功能；各种事件记录：掉电、清零、断相、失流等事件记录。</w:t>
            </w:r>
            <w:r>
              <w:rPr>
                <w:rFonts w:hAnsi="宋体" w:hint="eastAsia"/>
                <w:color w:val="000000"/>
                <w:sz w:val="22"/>
                <w:szCs w:val="22"/>
              </w:rPr>
              <w:br/>
              <w:t>一年内免费软硬件升级、维护、技术支持服务。</w:t>
            </w:r>
          </w:p>
        </w:tc>
        <w:tc>
          <w:tcPr>
            <w:tcW w:w="790" w:type="dxa"/>
            <w:tcBorders>
              <w:top w:val="single" w:sz="4" w:space="0" w:color="auto"/>
              <w:left w:val="nil"/>
              <w:bottom w:val="single" w:sz="4" w:space="0" w:color="auto"/>
              <w:right w:val="single" w:sz="4" w:space="0" w:color="auto"/>
            </w:tcBorders>
            <w:vAlign w:val="center"/>
          </w:tcPr>
          <w:p w14:paraId="7D5AB3AB"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t>20</w:t>
            </w:r>
          </w:p>
        </w:tc>
        <w:tc>
          <w:tcPr>
            <w:tcW w:w="768" w:type="dxa"/>
            <w:tcBorders>
              <w:top w:val="single" w:sz="4" w:space="0" w:color="auto"/>
              <w:left w:val="nil"/>
              <w:bottom w:val="single" w:sz="4" w:space="0" w:color="auto"/>
              <w:right w:val="single" w:sz="4" w:space="0" w:color="auto"/>
            </w:tcBorders>
            <w:vAlign w:val="center"/>
          </w:tcPr>
          <w:p w14:paraId="1BAB9737" w14:textId="77777777" w:rsidR="00750A0E" w:rsidRDefault="00750A0E" w:rsidP="00152F5A">
            <w:pPr>
              <w:widowControl/>
              <w:spacing w:before="100" w:beforeAutospacing="1" w:line="273" w:lineRule="auto"/>
              <w:jc w:val="center"/>
              <w:rPr>
                <w:rFonts w:ascii="Times New Roman"/>
                <w:color w:val="000000"/>
                <w:sz w:val="22"/>
                <w:szCs w:val="22"/>
              </w:rPr>
            </w:pPr>
            <w:r>
              <w:rPr>
                <w:rFonts w:hAnsi="宋体" w:hint="eastAsia"/>
                <w:color w:val="000000"/>
                <w:sz w:val="22"/>
                <w:szCs w:val="22"/>
              </w:rPr>
              <w:t>个</w:t>
            </w:r>
          </w:p>
        </w:tc>
      </w:tr>
      <w:tr w:rsidR="00750A0E" w14:paraId="01FD49C0" w14:textId="77777777" w:rsidTr="00152F5A">
        <w:trPr>
          <w:trHeight w:val="2016"/>
        </w:trPr>
        <w:tc>
          <w:tcPr>
            <w:tcW w:w="619" w:type="dxa"/>
            <w:tcBorders>
              <w:top w:val="single" w:sz="4" w:space="0" w:color="auto"/>
              <w:left w:val="single" w:sz="4" w:space="0" w:color="auto"/>
              <w:bottom w:val="single" w:sz="4" w:space="0" w:color="auto"/>
              <w:right w:val="single" w:sz="4" w:space="0" w:color="auto"/>
            </w:tcBorders>
            <w:vAlign w:val="center"/>
          </w:tcPr>
          <w:p w14:paraId="22ED458D"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t>6</w:t>
            </w:r>
          </w:p>
        </w:tc>
        <w:tc>
          <w:tcPr>
            <w:tcW w:w="1077" w:type="dxa"/>
            <w:tcBorders>
              <w:top w:val="single" w:sz="4" w:space="0" w:color="auto"/>
              <w:left w:val="nil"/>
              <w:bottom w:val="single" w:sz="4" w:space="0" w:color="auto"/>
              <w:right w:val="single" w:sz="4" w:space="0" w:color="auto"/>
            </w:tcBorders>
            <w:vAlign w:val="center"/>
          </w:tcPr>
          <w:p w14:paraId="0391FCA1" w14:textId="77777777" w:rsidR="00750A0E" w:rsidRDefault="00750A0E" w:rsidP="00152F5A">
            <w:pPr>
              <w:widowControl/>
              <w:spacing w:before="100" w:beforeAutospacing="1" w:line="273" w:lineRule="auto"/>
              <w:jc w:val="center"/>
              <w:rPr>
                <w:rFonts w:ascii="Times New Roman"/>
                <w:color w:val="000000"/>
                <w:sz w:val="22"/>
                <w:szCs w:val="22"/>
              </w:rPr>
            </w:pPr>
            <w:r>
              <w:rPr>
                <w:rFonts w:hAnsi="宋体" w:hint="eastAsia"/>
                <w:color w:val="000000"/>
                <w:sz w:val="22"/>
                <w:szCs w:val="22"/>
              </w:rPr>
              <w:t>二级电能耗监测点数据端</w:t>
            </w:r>
          </w:p>
        </w:tc>
        <w:tc>
          <w:tcPr>
            <w:tcW w:w="5955" w:type="dxa"/>
            <w:tcBorders>
              <w:top w:val="single" w:sz="4" w:space="0" w:color="auto"/>
              <w:left w:val="nil"/>
              <w:bottom w:val="single" w:sz="4" w:space="0" w:color="auto"/>
              <w:right w:val="single" w:sz="4" w:space="0" w:color="auto"/>
            </w:tcBorders>
            <w:vAlign w:val="center"/>
          </w:tcPr>
          <w:p w14:paraId="12956E21" w14:textId="77777777" w:rsidR="00750A0E" w:rsidRDefault="00750A0E" w:rsidP="00152F5A">
            <w:pPr>
              <w:widowControl/>
              <w:spacing w:before="100" w:beforeAutospacing="1" w:line="273" w:lineRule="auto"/>
              <w:rPr>
                <w:rFonts w:ascii="Times New Roman"/>
                <w:color w:val="000000"/>
                <w:sz w:val="22"/>
                <w:szCs w:val="22"/>
              </w:rPr>
            </w:pPr>
            <w:r>
              <w:rPr>
                <w:rFonts w:hAnsi="宋体" w:hint="eastAsia"/>
                <w:color w:val="000000"/>
                <w:sz w:val="22"/>
                <w:szCs w:val="22"/>
              </w:rPr>
              <w:t>★监测点数据采集所需三相智能电表及其配套所需的互感器、二次线、通讯线、穿线管等配套设备的安装、数据调试及运维等服务。</w:t>
            </w:r>
            <w:r>
              <w:rPr>
                <w:rFonts w:hAnsi="宋体" w:hint="eastAsia"/>
                <w:color w:val="000000"/>
                <w:sz w:val="22"/>
                <w:szCs w:val="22"/>
              </w:rPr>
              <w:br/>
              <w:t>监测点数据采集所需三相智能电表及其配套所需的互感器、二次线、通讯线、穿线管等配套设备的采购、安装、数据调试及运维等服务须符合国标，满足质量合格标准；三相智能电表功能：</w:t>
            </w:r>
            <w:r>
              <w:rPr>
                <w:rFonts w:ascii="Times New Roman"/>
                <w:color w:val="000000"/>
                <w:sz w:val="22"/>
                <w:szCs w:val="22"/>
              </w:rPr>
              <w:t>LCD</w:t>
            </w:r>
            <w:r>
              <w:rPr>
                <w:rFonts w:hAnsi="宋体" w:hint="eastAsia"/>
                <w:color w:val="000000"/>
                <w:sz w:val="22"/>
                <w:szCs w:val="22"/>
              </w:rPr>
              <w:t>显示数据；计量精度度等级：有功</w:t>
            </w:r>
            <w:r>
              <w:rPr>
                <w:rFonts w:ascii="Times New Roman"/>
                <w:color w:val="000000"/>
                <w:sz w:val="22"/>
                <w:szCs w:val="22"/>
              </w:rPr>
              <w:t>1.0</w:t>
            </w:r>
            <w:r>
              <w:rPr>
                <w:rFonts w:hAnsi="宋体" w:hint="eastAsia"/>
                <w:color w:val="000000"/>
                <w:sz w:val="22"/>
                <w:szCs w:val="22"/>
              </w:rPr>
              <w:t>级；测量功能：实时测量三相电压、电流、有功功率、无功功率、功率因数、正反向有功电能、正反向无功电度、频率。</w:t>
            </w:r>
            <w:r>
              <w:rPr>
                <w:rFonts w:hAnsi="宋体" w:hint="eastAsia"/>
                <w:color w:val="000000"/>
                <w:sz w:val="22"/>
                <w:szCs w:val="22"/>
              </w:rPr>
              <w:br/>
              <w:t>一年内免费软硬件升级、维护、技术支持服务。</w:t>
            </w:r>
          </w:p>
        </w:tc>
        <w:tc>
          <w:tcPr>
            <w:tcW w:w="790" w:type="dxa"/>
            <w:tcBorders>
              <w:top w:val="single" w:sz="4" w:space="0" w:color="auto"/>
              <w:left w:val="nil"/>
              <w:bottom w:val="single" w:sz="4" w:space="0" w:color="auto"/>
              <w:right w:val="single" w:sz="4" w:space="0" w:color="auto"/>
            </w:tcBorders>
            <w:vAlign w:val="center"/>
          </w:tcPr>
          <w:p w14:paraId="09AE9FF7"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t>49</w:t>
            </w:r>
          </w:p>
        </w:tc>
        <w:tc>
          <w:tcPr>
            <w:tcW w:w="768" w:type="dxa"/>
            <w:tcBorders>
              <w:top w:val="single" w:sz="4" w:space="0" w:color="auto"/>
              <w:left w:val="nil"/>
              <w:bottom w:val="single" w:sz="4" w:space="0" w:color="auto"/>
              <w:right w:val="single" w:sz="4" w:space="0" w:color="auto"/>
            </w:tcBorders>
            <w:vAlign w:val="center"/>
          </w:tcPr>
          <w:p w14:paraId="0B3B6E25" w14:textId="77777777" w:rsidR="00750A0E" w:rsidRDefault="00750A0E" w:rsidP="00152F5A">
            <w:pPr>
              <w:widowControl/>
              <w:spacing w:before="100" w:beforeAutospacing="1" w:line="273" w:lineRule="auto"/>
              <w:jc w:val="center"/>
              <w:rPr>
                <w:rFonts w:ascii="Times New Roman"/>
                <w:color w:val="000000"/>
                <w:sz w:val="22"/>
                <w:szCs w:val="22"/>
              </w:rPr>
            </w:pPr>
            <w:r>
              <w:rPr>
                <w:rFonts w:hAnsi="宋体" w:hint="eastAsia"/>
                <w:color w:val="000000"/>
                <w:sz w:val="22"/>
                <w:szCs w:val="22"/>
              </w:rPr>
              <w:t>个</w:t>
            </w:r>
          </w:p>
        </w:tc>
      </w:tr>
      <w:tr w:rsidR="00750A0E" w14:paraId="77AFFC74" w14:textId="77777777" w:rsidTr="00152F5A">
        <w:trPr>
          <w:trHeight w:val="1440"/>
        </w:trPr>
        <w:tc>
          <w:tcPr>
            <w:tcW w:w="619" w:type="dxa"/>
            <w:tcBorders>
              <w:top w:val="nil"/>
              <w:left w:val="single" w:sz="4" w:space="0" w:color="auto"/>
              <w:bottom w:val="single" w:sz="4" w:space="0" w:color="auto"/>
              <w:right w:val="single" w:sz="4" w:space="0" w:color="auto"/>
            </w:tcBorders>
            <w:vAlign w:val="center"/>
          </w:tcPr>
          <w:p w14:paraId="6D030917"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t>7</w:t>
            </w:r>
          </w:p>
        </w:tc>
        <w:tc>
          <w:tcPr>
            <w:tcW w:w="1077" w:type="dxa"/>
            <w:tcBorders>
              <w:top w:val="nil"/>
              <w:left w:val="nil"/>
              <w:bottom w:val="single" w:sz="4" w:space="0" w:color="auto"/>
              <w:right w:val="single" w:sz="4" w:space="0" w:color="auto"/>
            </w:tcBorders>
            <w:vAlign w:val="center"/>
          </w:tcPr>
          <w:p w14:paraId="288095FE" w14:textId="77777777" w:rsidR="00750A0E" w:rsidRDefault="00750A0E" w:rsidP="00152F5A">
            <w:pPr>
              <w:widowControl/>
              <w:spacing w:before="100" w:beforeAutospacing="1" w:line="273" w:lineRule="auto"/>
              <w:jc w:val="center"/>
              <w:rPr>
                <w:rFonts w:ascii="Times New Roman"/>
                <w:color w:val="000000"/>
                <w:sz w:val="22"/>
                <w:szCs w:val="22"/>
              </w:rPr>
            </w:pPr>
            <w:r>
              <w:rPr>
                <w:rFonts w:hAnsi="宋体" w:hint="eastAsia"/>
                <w:color w:val="000000"/>
                <w:sz w:val="22"/>
                <w:szCs w:val="22"/>
              </w:rPr>
              <w:t>建筑生活用水监测点数据端</w:t>
            </w:r>
          </w:p>
        </w:tc>
        <w:tc>
          <w:tcPr>
            <w:tcW w:w="5955" w:type="dxa"/>
            <w:tcBorders>
              <w:top w:val="nil"/>
              <w:left w:val="nil"/>
              <w:bottom w:val="single" w:sz="4" w:space="0" w:color="auto"/>
              <w:right w:val="single" w:sz="4" w:space="0" w:color="auto"/>
            </w:tcBorders>
            <w:vAlign w:val="center"/>
          </w:tcPr>
          <w:p w14:paraId="68070B8F" w14:textId="77777777" w:rsidR="00750A0E" w:rsidRDefault="00750A0E" w:rsidP="00152F5A">
            <w:pPr>
              <w:widowControl/>
              <w:spacing w:before="100" w:beforeAutospacing="1" w:line="273" w:lineRule="auto"/>
              <w:rPr>
                <w:rFonts w:ascii="Times New Roman"/>
                <w:color w:val="000000"/>
                <w:sz w:val="22"/>
                <w:szCs w:val="22"/>
              </w:rPr>
            </w:pPr>
            <w:r>
              <w:rPr>
                <w:rFonts w:hAnsi="宋体" w:hint="eastAsia"/>
                <w:color w:val="000000"/>
                <w:sz w:val="22"/>
                <w:szCs w:val="22"/>
              </w:rPr>
              <w:t>★监测点数据采集所需智能水表及其配套所需的阀门、开关电源、通讯线、穿线管等配套设备的采购、安装、数据调试及运维等服务须符合国标，满足质量合格标准；</w:t>
            </w:r>
            <w:r>
              <w:rPr>
                <w:rFonts w:hAnsi="宋体" w:hint="eastAsia"/>
                <w:color w:val="000000"/>
                <w:sz w:val="22"/>
                <w:szCs w:val="22"/>
              </w:rPr>
              <w:br/>
              <w:t>智能水表功能：提供垂直螺翼式基表；内置不锈钢滤网；电子远传结构满足可拆式机芯，光电直读；水表精确度：不低于</w:t>
            </w:r>
            <w:r>
              <w:rPr>
                <w:rFonts w:ascii="Times New Roman"/>
                <w:color w:val="000000"/>
                <w:sz w:val="22"/>
                <w:szCs w:val="22"/>
              </w:rPr>
              <w:t>2</w:t>
            </w:r>
            <w:r>
              <w:rPr>
                <w:rFonts w:hAnsi="宋体" w:hint="eastAsia"/>
                <w:color w:val="000000"/>
                <w:sz w:val="22"/>
                <w:szCs w:val="22"/>
              </w:rPr>
              <w:t>级；防护等级：</w:t>
            </w:r>
            <w:r>
              <w:rPr>
                <w:rFonts w:ascii="Times New Roman"/>
                <w:color w:val="000000"/>
                <w:sz w:val="22"/>
                <w:szCs w:val="22"/>
              </w:rPr>
              <w:t>IP68</w:t>
            </w:r>
            <w:r>
              <w:rPr>
                <w:rFonts w:hAnsi="宋体" w:hint="eastAsia"/>
                <w:color w:val="000000"/>
                <w:sz w:val="22"/>
                <w:szCs w:val="22"/>
              </w:rPr>
              <w:t>。</w:t>
            </w:r>
            <w:r>
              <w:rPr>
                <w:rFonts w:hAnsi="宋体" w:hint="eastAsia"/>
                <w:color w:val="000000"/>
                <w:sz w:val="22"/>
                <w:szCs w:val="22"/>
              </w:rPr>
              <w:br/>
              <w:t>一年免费软硬件升级、维护、技术支持服务</w:t>
            </w:r>
          </w:p>
        </w:tc>
        <w:tc>
          <w:tcPr>
            <w:tcW w:w="790" w:type="dxa"/>
            <w:tcBorders>
              <w:top w:val="nil"/>
              <w:left w:val="nil"/>
              <w:bottom w:val="single" w:sz="4" w:space="0" w:color="auto"/>
              <w:right w:val="single" w:sz="4" w:space="0" w:color="auto"/>
            </w:tcBorders>
            <w:vAlign w:val="center"/>
          </w:tcPr>
          <w:p w14:paraId="7153686E" w14:textId="77777777" w:rsidR="00750A0E" w:rsidRDefault="00750A0E" w:rsidP="00152F5A">
            <w:pPr>
              <w:widowControl/>
              <w:spacing w:before="100" w:beforeAutospacing="1" w:line="273" w:lineRule="auto"/>
              <w:jc w:val="center"/>
              <w:rPr>
                <w:rFonts w:ascii="Times New Roman"/>
                <w:color w:val="000000"/>
                <w:sz w:val="22"/>
                <w:szCs w:val="22"/>
              </w:rPr>
            </w:pPr>
            <w:r>
              <w:rPr>
                <w:rFonts w:ascii="Times New Roman"/>
                <w:color w:val="000000"/>
                <w:sz w:val="22"/>
                <w:szCs w:val="22"/>
              </w:rPr>
              <w:t>13</w:t>
            </w:r>
          </w:p>
        </w:tc>
        <w:tc>
          <w:tcPr>
            <w:tcW w:w="768" w:type="dxa"/>
            <w:tcBorders>
              <w:top w:val="nil"/>
              <w:left w:val="nil"/>
              <w:bottom w:val="single" w:sz="4" w:space="0" w:color="auto"/>
              <w:right w:val="single" w:sz="4" w:space="0" w:color="auto"/>
            </w:tcBorders>
            <w:vAlign w:val="center"/>
          </w:tcPr>
          <w:p w14:paraId="27DA2AFD" w14:textId="77777777" w:rsidR="00750A0E" w:rsidRDefault="00750A0E" w:rsidP="00152F5A">
            <w:pPr>
              <w:widowControl/>
              <w:spacing w:before="100" w:beforeAutospacing="1" w:line="273" w:lineRule="auto"/>
              <w:jc w:val="center"/>
              <w:rPr>
                <w:rFonts w:ascii="Times New Roman"/>
                <w:color w:val="000000"/>
                <w:sz w:val="22"/>
                <w:szCs w:val="22"/>
              </w:rPr>
            </w:pPr>
            <w:r>
              <w:rPr>
                <w:rFonts w:hAnsi="宋体" w:hint="eastAsia"/>
                <w:color w:val="000000"/>
                <w:sz w:val="22"/>
                <w:szCs w:val="22"/>
              </w:rPr>
              <w:t>个</w:t>
            </w:r>
          </w:p>
        </w:tc>
      </w:tr>
    </w:tbl>
    <w:p w14:paraId="3574F876" w14:textId="77777777" w:rsidR="00750A0E" w:rsidRDefault="00750A0E" w:rsidP="00750A0E">
      <w:pPr>
        <w:pStyle w:val="3"/>
        <w:widowControl w:val="0"/>
        <w:numPr>
          <w:ilvl w:val="2"/>
          <w:numId w:val="1"/>
        </w:numPr>
        <w:spacing w:before="100" w:beforeAutospacing="1" w:after="0" w:line="360" w:lineRule="auto"/>
        <w:rPr>
          <w:rFonts w:ascii="宋体" w:hAnsi="宋体"/>
          <w:kern w:val="2"/>
          <w:sz w:val="28"/>
          <w:szCs w:val="28"/>
        </w:rPr>
      </w:pPr>
      <w:r>
        <w:rPr>
          <w:rFonts w:hint="eastAsia"/>
          <w:sz w:val="28"/>
          <w:szCs w:val="28"/>
        </w:rPr>
        <w:lastRenderedPageBreak/>
        <w:t>云平台数据服务费</w:t>
      </w:r>
    </w:p>
    <w:p w14:paraId="636C8654" w14:textId="77777777" w:rsidR="00750A0E" w:rsidRPr="002F0CD6" w:rsidRDefault="00750A0E" w:rsidP="00750A0E">
      <w:pPr>
        <w:ind w:firstLineChars="200" w:firstLine="480"/>
        <w:rPr>
          <w:rFonts w:hAnsi="宋体"/>
          <w:bCs/>
          <w:sz w:val="24"/>
          <w:szCs w:val="24"/>
        </w:rPr>
      </w:pPr>
      <w:r>
        <w:rPr>
          <w:rFonts w:hAnsi="宋体" w:hint="eastAsia"/>
          <w:bCs/>
          <w:sz w:val="24"/>
          <w:szCs w:val="24"/>
        </w:rPr>
        <w:t>因此项目采用云平台构架，采购人每年将支付成交供应商云平台数据服务费，中标后将另签附加合同，不计入此次报价。</w:t>
      </w:r>
    </w:p>
    <w:p w14:paraId="556A3EF3" w14:textId="77777777" w:rsidR="00750A0E" w:rsidRPr="00280BBC" w:rsidRDefault="00750A0E" w:rsidP="00750A0E">
      <w:pPr>
        <w:spacing w:line="360" w:lineRule="auto"/>
        <w:rPr>
          <w:rFonts w:hAnsi="宋体" w:cs="Tahoma"/>
          <w:b/>
          <w:color w:val="000000"/>
          <w:sz w:val="24"/>
          <w:szCs w:val="24"/>
        </w:rPr>
      </w:pPr>
      <w:r w:rsidRPr="00280BBC">
        <w:rPr>
          <w:rFonts w:hAnsi="宋体" w:cs="Tahoma" w:hint="eastAsia"/>
          <w:b/>
          <w:color w:val="000000"/>
          <w:sz w:val="24"/>
          <w:szCs w:val="24"/>
        </w:rPr>
        <w:t>二、</w:t>
      </w:r>
      <w:r>
        <w:rPr>
          <w:rFonts w:hAnsi="宋体" w:cs="Tahoma" w:hint="eastAsia"/>
          <w:b/>
          <w:color w:val="000000"/>
          <w:sz w:val="24"/>
          <w:szCs w:val="24"/>
        </w:rPr>
        <w:t>强制</w:t>
      </w:r>
      <w:r w:rsidRPr="00280BBC">
        <w:rPr>
          <w:rFonts w:hAnsi="宋体" w:cs="Tahoma" w:hint="eastAsia"/>
          <w:b/>
          <w:color w:val="000000"/>
          <w:sz w:val="24"/>
          <w:szCs w:val="24"/>
        </w:rPr>
        <w:t>要求：</w:t>
      </w:r>
    </w:p>
    <w:p w14:paraId="67FDC279" w14:textId="77777777" w:rsidR="00750A0E" w:rsidRDefault="00750A0E" w:rsidP="00750A0E">
      <w:pPr>
        <w:shd w:val="clear" w:color="auto" w:fill="FFFFFF"/>
        <w:snapToGrid w:val="0"/>
        <w:spacing w:line="360" w:lineRule="auto"/>
        <w:ind w:firstLineChars="200" w:firstLine="480"/>
        <w:rPr>
          <w:rFonts w:hAnsi="Calibri"/>
          <w:color w:val="000000"/>
          <w:sz w:val="24"/>
          <w:szCs w:val="24"/>
        </w:rPr>
      </w:pPr>
      <w:r>
        <w:rPr>
          <w:rFonts w:hAnsi="Calibri" w:hint="eastAsia"/>
          <w:sz w:val="24"/>
          <w:szCs w:val="24"/>
        </w:rPr>
        <w:t>1、服务期：总共</w:t>
      </w:r>
      <w:r>
        <w:rPr>
          <w:rFonts w:hAnsi="Calibri" w:hint="eastAsia"/>
          <w:b/>
          <w:bCs/>
          <w:color w:val="000000"/>
          <w:sz w:val="24"/>
          <w:szCs w:val="24"/>
        </w:rPr>
        <w:t>14</w:t>
      </w:r>
      <w:r>
        <w:rPr>
          <w:rFonts w:hAnsi="宋体" w:hint="eastAsia"/>
          <w:color w:val="000000"/>
          <w:sz w:val="24"/>
          <w:szCs w:val="24"/>
        </w:rPr>
        <w:t>个月，</w:t>
      </w:r>
      <w:r>
        <w:rPr>
          <w:rFonts w:hAnsi="宋体" w:hint="eastAsia"/>
          <w:sz w:val="24"/>
          <w:szCs w:val="24"/>
        </w:rPr>
        <w:t>（其中设备安装调试期2个月，平台数据服务期：12个月）</w:t>
      </w:r>
      <w:r>
        <w:rPr>
          <w:rFonts w:hAnsi="宋体" w:hint="eastAsia"/>
          <w:color w:val="000000"/>
          <w:sz w:val="24"/>
          <w:szCs w:val="24"/>
        </w:rPr>
        <w:t>。</w:t>
      </w:r>
    </w:p>
    <w:p w14:paraId="0D1A7FC4" w14:textId="77777777" w:rsidR="00750A0E" w:rsidRDefault="00750A0E" w:rsidP="00750A0E">
      <w:pPr>
        <w:spacing w:line="360" w:lineRule="auto"/>
        <w:ind w:firstLineChars="200" w:firstLine="480"/>
        <w:rPr>
          <w:rFonts w:hAnsi="Calibri"/>
          <w:color w:val="000000"/>
          <w:sz w:val="24"/>
          <w:szCs w:val="24"/>
        </w:rPr>
      </w:pPr>
      <w:r>
        <w:rPr>
          <w:rFonts w:hAnsi="Calibri" w:hint="eastAsia"/>
          <w:sz w:val="24"/>
          <w:szCs w:val="24"/>
        </w:rPr>
        <w:t>2、</w:t>
      </w:r>
      <w:r>
        <w:rPr>
          <w:rFonts w:hAnsi="Calibri" w:hint="eastAsia"/>
          <w:color w:val="000000"/>
          <w:sz w:val="24"/>
          <w:szCs w:val="24"/>
        </w:rPr>
        <w:t>供应商必须保证所投商品符合中华人民共和国质量、安全、卫生、环保、消防等方面的强制要求，</w:t>
      </w:r>
      <w:r w:rsidRPr="00F40AF0">
        <w:rPr>
          <w:rFonts w:hAnsi="Calibri" w:hint="eastAsia"/>
          <w:color w:val="000000"/>
          <w:sz w:val="24"/>
          <w:szCs w:val="24"/>
        </w:rPr>
        <w:t>如成交供应商商品在项目实施过程中经检测不符合要求，则</w:t>
      </w:r>
      <w:r>
        <w:rPr>
          <w:rFonts w:hAnsi="Calibri" w:hint="eastAsia"/>
          <w:color w:val="000000"/>
          <w:sz w:val="24"/>
          <w:szCs w:val="24"/>
        </w:rPr>
        <w:t>采购人有权退换货、并拒绝付款（已付款的将责令退回），严重的终止合同，没收履约保证金，并报主管部门严肃处理。</w:t>
      </w:r>
    </w:p>
    <w:p w14:paraId="4CA43395" w14:textId="77777777" w:rsidR="00750A0E" w:rsidRDefault="00750A0E" w:rsidP="00750A0E">
      <w:pPr>
        <w:spacing w:line="360" w:lineRule="auto"/>
        <w:ind w:firstLineChars="200" w:firstLine="480"/>
        <w:rPr>
          <w:rFonts w:hAnsi="Calibri"/>
          <w:color w:val="000000"/>
          <w:sz w:val="24"/>
          <w:szCs w:val="24"/>
        </w:rPr>
      </w:pPr>
      <w:r>
        <w:rPr>
          <w:rFonts w:hAnsi="Calibri" w:hint="eastAsia"/>
          <w:sz w:val="24"/>
          <w:szCs w:val="24"/>
        </w:rPr>
        <w:t>3、</w:t>
      </w:r>
      <w:r>
        <w:rPr>
          <w:rFonts w:hAnsi="Calibri" w:hint="eastAsia"/>
          <w:color w:val="000000"/>
          <w:sz w:val="24"/>
          <w:szCs w:val="24"/>
        </w:rPr>
        <w:t>主要采购设备清单中相关设备（带</w:t>
      </w:r>
      <w:r w:rsidRPr="001820FF">
        <w:rPr>
          <w:rFonts w:hAnsi="Calibri" w:hint="eastAsia"/>
          <w:color w:val="000000"/>
          <w:sz w:val="24"/>
          <w:szCs w:val="24"/>
        </w:rPr>
        <w:t>★号为</w:t>
      </w:r>
      <w:r>
        <w:rPr>
          <w:rFonts w:hAnsi="Calibri" w:hint="eastAsia"/>
          <w:color w:val="000000"/>
          <w:sz w:val="24"/>
          <w:szCs w:val="24"/>
        </w:rPr>
        <w:t>核心设备），没有列明技术指标参数的，投标人所投的这部分设备应确保满足整个设备的正常安全的运行。否则，采购人可以要求退货换货，成交供应商拒不执行的，采购人可以</w:t>
      </w:r>
      <w:r w:rsidRPr="00F40AF0">
        <w:rPr>
          <w:rFonts w:hAnsi="Calibri" w:hint="eastAsia"/>
          <w:color w:val="000000"/>
          <w:sz w:val="24"/>
          <w:szCs w:val="24"/>
        </w:rPr>
        <w:t>有权取消其中标资格并终止合同，没收投标保证金，并报政府采购主管部门</w:t>
      </w:r>
      <w:r>
        <w:rPr>
          <w:rFonts w:hAnsi="Calibri" w:hint="eastAsia"/>
          <w:color w:val="000000"/>
          <w:sz w:val="24"/>
          <w:szCs w:val="24"/>
        </w:rPr>
        <w:t>严肃处理。</w:t>
      </w:r>
    </w:p>
    <w:p w14:paraId="525BA981" w14:textId="77777777" w:rsidR="00750A0E" w:rsidRDefault="00750A0E" w:rsidP="00750A0E">
      <w:pPr>
        <w:spacing w:line="360" w:lineRule="auto"/>
        <w:ind w:firstLineChars="200" w:firstLine="480"/>
        <w:rPr>
          <w:rFonts w:hAnsi="Calibri"/>
          <w:color w:val="000000"/>
          <w:sz w:val="24"/>
          <w:szCs w:val="24"/>
        </w:rPr>
      </w:pPr>
      <w:r>
        <w:rPr>
          <w:rFonts w:hAnsi="Calibri" w:hint="eastAsia"/>
          <w:color w:val="000000"/>
          <w:sz w:val="24"/>
          <w:szCs w:val="24"/>
        </w:rPr>
        <w:t>4、</w:t>
      </w:r>
      <w:r>
        <w:rPr>
          <w:rFonts w:hAnsi="宋体" w:hint="eastAsia"/>
          <w:color w:val="000000"/>
          <w:sz w:val="24"/>
          <w:szCs w:val="24"/>
        </w:rPr>
        <w:t>供应商所做的服务承诺，必须得到履行，否则</w:t>
      </w:r>
      <w:r>
        <w:rPr>
          <w:rFonts w:hAnsi="Calibri" w:hint="eastAsia"/>
          <w:color w:val="000000"/>
          <w:sz w:val="24"/>
          <w:szCs w:val="24"/>
        </w:rPr>
        <w:t>，采购人可以</w:t>
      </w:r>
      <w:r>
        <w:rPr>
          <w:rFonts w:hAnsi="宋体" w:cs="Tahoma" w:hint="eastAsia"/>
          <w:color w:val="000000"/>
          <w:sz w:val="24"/>
          <w:szCs w:val="24"/>
        </w:rPr>
        <w:t>有权取消其中标资格并终止合同，没收投标保证金，并报政府采购主管部门</w:t>
      </w:r>
      <w:r>
        <w:rPr>
          <w:rFonts w:hAnsi="宋体" w:hint="eastAsia"/>
          <w:color w:val="000000"/>
          <w:sz w:val="24"/>
          <w:szCs w:val="24"/>
        </w:rPr>
        <w:t>严肃处理。</w:t>
      </w:r>
    </w:p>
    <w:p w14:paraId="2182938E" w14:textId="77777777" w:rsidR="00750A0E" w:rsidRDefault="00750A0E" w:rsidP="00750A0E">
      <w:pPr>
        <w:spacing w:line="360" w:lineRule="auto"/>
        <w:ind w:firstLineChars="200" w:firstLine="480"/>
        <w:rPr>
          <w:rFonts w:hAnsi="宋体"/>
          <w:sz w:val="24"/>
          <w:szCs w:val="24"/>
        </w:rPr>
      </w:pPr>
      <w:r>
        <w:rPr>
          <w:rFonts w:hAnsi="宋体" w:hint="eastAsia"/>
          <w:color w:val="000000"/>
          <w:sz w:val="24"/>
          <w:szCs w:val="24"/>
        </w:rPr>
        <w:t>5、供应商承诺投入的技术服务人员（含留驻人员），应确保配备到位，未经采购人许可不得擅自变更人员</w:t>
      </w:r>
      <w:r>
        <w:rPr>
          <w:rFonts w:hAnsi="Calibri" w:hint="eastAsia"/>
          <w:color w:val="000000"/>
          <w:sz w:val="24"/>
          <w:szCs w:val="24"/>
        </w:rPr>
        <w:t>，采购人可以</w:t>
      </w:r>
      <w:r>
        <w:rPr>
          <w:rFonts w:hAnsi="宋体" w:cs="Tahoma" w:hint="eastAsia"/>
          <w:color w:val="000000"/>
          <w:sz w:val="24"/>
          <w:szCs w:val="24"/>
        </w:rPr>
        <w:t>有权取消其中标资格并终止合同，并报政府采购主管部门</w:t>
      </w:r>
      <w:r>
        <w:rPr>
          <w:rFonts w:hAnsi="宋体" w:hint="eastAsia"/>
          <w:color w:val="000000"/>
          <w:sz w:val="24"/>
          <w:szCs w:val="24"/>
        </w:rPr>
        <w:t>严肃处理。</w:t>
      </w:r>
    </w:p>
    <w:p w14:paraId="37731029" w14:textId="77777777" w:rsidR="00C36EDC" w:rsidRPr="00750A0E" w:rsidRDefault="00C36EDC">
      <w:bookmarkStart w:id="5" w:name="_GoBack"/>
      <w:bookmarkEnd w:id="5"/>
    </w:p>
    <w:sectPr w:rsidR="00C36EDC" w:rsidRPr="00750A0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7335BF" w14:textId="77777777" w:rsidR="00961DE1" w:rsidRDefault="00961DE1" w:rsidP="00750A0E">
      <w:r>
        <w:separator/>
      </w:r>
    </w:p>
  </w:endnote>
  <w:endnote w:type="continuationSeparator" w:id="0">
    <w:p w14:paraId="35B57725" w14:textId="77777777" w:rsidR="00961DE1" w:rsidRDefault="00961DE1" w:rsidP="00750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88F9E" w14:textId="77777777" w:rsidR="00961DE1" w:rsidRDefault="00961DE1" w:rsidP="00750A0E">
      <w:r>
        <w:separator/>
      </w:r>
    </w:p>
  </w:footnote>
  <w:footnote w:type="continuationSeparator" w:id="0">
    <w:p w14:paraId="39270F23" w14:textId="77777777" w:rsidR="00961DE1" w:rsidRDefault="00961DE1" w:rsidP="00750A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F07B6"/>
    <w:multiLevelType w:val="multilevel"/>
    <w:tmpl w:val="0BEF07B6"/>
    <w:lvl w:ilvl="0">
      <w:start w:val="1"/>
      <w:numFmt w:val="chineseCountingThousand"/>
      <w:suff w:val="space"/>
      <w:lvlText w:val="%1、"/>
      <w:lvlJc w:val="left"/>
      <w:pPr>
        <w:ind w:left="170" w:hanging="170"/>
      </w:pPr>
      <w:rPr>
        <w:rFonts w:ascii="宋体" w:eastAsia="宋体" w:hAnsi="宋体" w:hint="eastAsia"/>
        <w:b/>
        <w:bCs/>
        <w:i w:val="0"/>
        <w:iCs w:val="0"/>
        <w:sz w:val="32"/>
        <w:szCs w:val="32"/>
      </w:rPr>
    </w:lvl>
    <w:lvl w:ilvl="1">
      <w:start w:val="1"/>
      <w:numFmt w:val="decimal"/>
      <w:isLgl/>
      <w:suff w:val="space"/>
      <w:lvlText w:val="%2、"/>
      <w:lvlJc w:val="left"/>
      <w:pPr>
        <w:ind w:left="4084" w:hanging="114"/>
      </w:pPr>
      <w:rPr>
        <w:rFonts w:ascii="宋体" w:eastAsia="宋体" w:hAnsi="宋体" w:hint="eastAsia"/>
        <w:b/>
        <w:bCs/>
        <w:i w:val="0"/>
        <w:iCs w:val="0"/>
        <w:sz w:val="30"/>
        <w:szCs w:val="30"/>
      </w:rPr>
    </w:lvl>
    <w:lvl w:ilvl="2">
      <w:start w:val="1"/>
      <w:numFmt w:val="decimal"/>
      <w:isLgl/>
      <w:suff w:val="space"/>
      <w:lvlText w:val="%2.%3"/>
      <w:lvlJc w:val="left"/>
      <w:pPr>
        <w:ind w:left="227" w:hanging="85"/>
      </w:pPr>
      <w:rPr>
        <w:rFonts w:ascii="宋体" w:eastAsia="宋体" w:hAnsi="宋体" w:hint="eastAsia"/>
        <w:b/>
        <w:bCs/>
        <w:i w:val="0"/>
        <w:iCs w:val="0"/>
        <w:sz w:val="28"/>
        <w:szCs w:val="28"/>
      </w:rPr>
    </w:lvl>
    <w:lvl w:ilvl="3">
      <w:start w:val="1"/>
      <w:numFmt w:val="decimal"/>
      <w:isLgl/>
      <w:suff w:val="space"/>
      <w:lvlText w:val="%2.%3.%4"/>
      <w:lvlJc w:val="left"/>
      <w:pPr>
        <w:ind w:left="227" w:hanging="57"/>
      </w:pPr>
      <w:rPr>
        <w:rFonts w:ascii="宋体" w:eastAsia="宋体" w:hAnsi="宋体" w:hint="eastAsia"/>
        <w:b/>
        <w:bCs/>
        <w:i w:val="0"/>
        <w:iCs w:val="0"/>
        <w:sz w:val="24"/>
        <w:szCs w:val="24"/>
      </w:rPr>
    </w:lvl>
    <w:lvl w:ilvl="4">
      <w:start w:val="1"/>
      <w:numFmt w:val="decimal"/>
      <w:isLgl/>
      <w:suff w:val="space"/>
      <w:lvlText w:val="%2.%3.%4.%5"/>
      <w:lvlJc w:val="left"/>
      <w:pPr>
        <w:ind w:left="29" w:hanging="29"/>
      </w:pPr>
      <w:rPr>
        <w:rFonts w:ascii="宋体" w:eastAsia="宋体" w:hAnsi="宋体" w:hint="eastAsia"/>
        <w:b/>
        <w:bCs/>
        <w:i w:val="0"/>
        <w:iCs w:val="0"/>
        <w:sz w:val="24"/>
        <w:szCs w:val="24"/>
      </w:rPr>
    </w:lvl>
    <w:lvl w:ilvl="5">
      <w:start w:val="1"/>
      <w:numFmt w:val="decimal"/>
      <w:isLgl/>
      <w:suff w:val="space"/>
      <w:lvlText w:val="%2.%3.%4.%5.%6"/>
      <w:lvlJc w:val="left"/>
      <w:pPr>
        <w:ind w:left="227" w:hanging="29"/>
      </w:pPr>
      <w:rPr>
        <w:rFonts w:ascii="宋体" w:eastAsia="宋体" w:hAnsi="宋体" w:hint="eastAsia"/>
        <w:b w:val="0"/>
        <w:bCs w:val="0"/>
        <w:i w:val="0"/>
        <w:iCs w:val="0"/>
        <w:sz w:val="24"/>
        <w:szCs w:val="24"/>
      </w:rPr>
    </w:lvl>
    <w:lvl w:ilvl="6">
      <w:start w:val="1"/>
      <w:numFmt w:val="decimal"/>
      <w:lvlText w:val="%1.%2.%3.%4.%5.%6.%7"/>
      <w:lvlJc w:val="left"/>
      <w:pPr>
        <w:ind w:left="3827" w:hanging="1276"/>
      </w:pPr>
      <w:rPr>
        <w:rFonts w:ascii="宋体" w:eastAsia="宋体" w:hAnsi="宋体" w:hint="eastAsia"/>
      </w:rPr>
    </w:lvl>
    <w:lvl w:ilvl="7">
      <w:start w:val="1"/>
      <w:numFmt w:val="decimal"/>
      <w:lvlText w:val="%1.%2.%3.%4.%5.%6.%7.%8"/>
      <w:lvlJc w:val="left"/>
      <w:pPr>
        <w:ind w:left="4394" w:hanging="1418"/>
      </w:pPr>
      <w:rPr>
        <w:rFonts w:ascii="宋体" w:eastAsia="宋体" w:hAnsi="宋体" w:hint="eastAsia"/>
      </w:rPr>
    </w:lvl>
    <w:lvl w:ilvl="8">
      <w:start w:val="1"/>
      <w:numFmt w:val="decimal"/>
      <w:lvlText w:val="%1.%2.%3.%4.%5.%6.%7.%8.%9"/>
      <w:lvlJc w:val="left"/>
      <w:pPr>
        <w:ind w:left="5102" w:hanging="1700"/>
      </w:pPr>
      <w:rPr>
        <w:rFonts w:ascii="宋体" w:eastAsia="宋体" w:hAnsi="宋体" w:hint="eastAsia"/>
      </w:rPr>
    </w:lvl>
  </w:abstractNum>
  <w:abstractNum w:abstractNumId="1" w15:restartNumberingAfterBreak="0">
    <w:nsid w:val="2B104821"/>
    <w:multiLevelType w:val="multilevel"/>
    <w:tmpl w:val="2B10482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3F2CBC"/>
    <w:rsid w:val="003F2CBC"/>
    <w:rsid w:val="00750A0E"/>
    <w:rsid w:val="00961DE1"/>
    <w:rsid w:val="00C36E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85FD5B0-6260-4B22-BD83-845597E87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50A0E"/>
    <w:pPr>
      <w:widowControl w:val="0"/>
      <w:jc w:val="both"/>
    </w:pPr>
    <w:rPr>
      <w:rFonts w:ascii="宋体" w:eastAsia="宋体" w:hAnsi="Times New Roman" w:cs="Times New Roman"/>
      <w:kern w:val="0"/>
      <w:sz w:val="34"/>
      <w:szCs w:val="20"/>
    </w:rPr>
  </w:style>
  <w:style w:type="paragraph" w:styleId="2">
    <w:name w:val="heading 2"/>
    <w:basedOn w:val="a"/>
    <w:next w:val="a"/>
    <w:link w:val="20"/>
    <w:qFormat/>
    <w:rsid w:val="00750A0E"/>
    <w:pPr>
      <w:keepNext/>
      <w:keepLines/>
      <w:spacing w:before="260" w:after="260" w:line="413" w:lineRule="auto"/>
      <w:outlineLvl w:val="1"/>
    </w:pPr>
    <w:rPr>
      <w:rFonts w:ascii="Arial" w:eastAsia="黑体" w:hAnsi="Arial"/>
      <w:b/>
      <w:bCs/>
      <w:kern w:val="2"/>
      <w:sz w:val="32"/>
      <w:szCs w:val="32"/>
    </w:rPr>
  </w:style>
  <w:style w:type="paragraph" w:styleId="3">
    <w:name w:val="heading 3"/>
    <w:basedOn w:val="a"/>
    <w:next w:val="a"/>
    <w:link w:val="30"/>
    <w:qFormat/>
    <w:rsid w:val="00750A0E"/>
    <w:pPr>
      <w:keepNext/>
      <w:keepLines/>
      <w:widowControl/>
      <w:spacing w:before="260" w:after="260" w:line="413" w:lineRule="auto"/>
      <w:jc w:val="left"/>
      <w:outlineLvl w:val="2"/>
    </w:pPr>
    <w:rPr>
      <w:rFonts w:ascii="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0A0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50A0E"/>
    <w:rPr>
      <w:sz w:val="18"/>
      <w:szCs w:val="18"/>
    </w:rPr>
  </w:style>
  <w:style w:type="paragraph" w:styleId="a5">
    <w:name w:val="footer"/>
    <w:basedOn w:val="a"/>
    <w:link w:val="a6"/>
    <w:uiPriority w:val="99"/>
    <w:unhideWhenUsed/>
    <w:rsid w:val="00750A0E"/>
    <w:pPr>
      <w:tabs>
        <w:tab w:val="center" w:pos="4153"/>
        <w:tab w:val="right" w:pos="8306"/>
      </w:tabs>
      <w:snapToGrid w:val="0"/>
      <w:jc w:val="left"/>
    </w:pPr>
    <w:rPr>
      <w:sz w:val="18"/>
      <w:szCs w:val="18"/>
    </w:rPr>
  </w:style>
  <w:style w:type="character" w:customStyle="1" w:styleId="a6">
    <w:name w:val="页脚 字符"/>
    <w:basedOn w:val="a0"/>
    <w:link w:val="a5"/>
    <w:uiPriority w:val="99"/>
    <w:rsid w:val="00750A0E"/>
    <w:rPr>
      <w:sz w:val="18"/>
      <w:szCs w:val="18"/>
    </w:rPr>
  </w:style>
  <w:style w:type="character" w:customStyle="1" w:styleId="20">
    <w:name w:val="标题 2 字符"/>
    <w:basedOn w:val="a0"/>
    <w:link w:val="2"/>
    <w:qFormat/>
    <w:rsid w:val="00750A0E"/>
    <w:rPr>
      <w:rFonts w:ascii="Arial" w:eastAsia="黑体" w:hAnsi="Arial" w:cs="Times New Roman"/>
      <w:b/>
      <w:bCs/>
      <w:sz w:val="32"/>
      <w:szCs w:val="32"/>
    </w:rPr>
  </w:style>
  <w:style w:type="character" w:customStyle="1" w:styleId="30">
    <w:name w:val="标题 3 字符"/>
    <w:basedOn w:val="a0"/>
    <w:link w:val="3"/>
    <w:qFormat/>
    <w:rsid w:val="00750A0E"/>
    <w:rPr>
      <w:rFonts w:ascii="Times New Roman" w:eastAsia="宋体" w:hAnsi="Times New Roman" w:cs="Times New Roman"/>
      <w:b/>
      <w:bCs/>
      <w:kern w:val="0"/>
      <w:sz w:val="32"/>
      <w:szCs w:val="32"/>
    </w:rPr>
  </w:style>
  <w:style w:type="paragraph" w:customStyle="1" w:styleId="31">
    <w:name w:val="列出段落3"/>
    <w:basedOn w:val="a"/>
    <w:rsid w:val="00750A0E"/>
    <w:pPr>
      <w:spacing w:before="100" w:beforeAutospacing="1" w:after="200" w:line="273" w:lineRule="auto"/>
      <w:ind w:firstLineChars="200" w:firstLine="420"/>
      <w:jc w:val="left"/>
    </w:pPr>
    <w:rPr>
      <w:rFonts w:asci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CD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991</Words>
  <Characters>5650</Characters>
  <Application>Microsoft Office Word</Application>
  <DocSecurity>0</DocSecurity>
  <Lines>47</Lines>
  <Paragraphs>13</Paragraphs>
  <ScaleCrop>false</ScaleCrop>
  <Company/>
  <LinksUpToDate>false</LinksUpToDate>
  <CharactersWithSpaces>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2018-12-05T09:24:00Z</dcterms:created>
  <dcterms:modified xsi:type="dcterms:W3CDTF">2018-12-05T09:24:00Z</dcterms:modified>
</cp:coreProperties>
</file>