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rPr>
          <w:b/>
          <w:bCs/>
          <w:kern w:val="0"/>
          <w:sz w:val="72"/>
          <w:szCs w:val="72"/>
          <w:lang w:val="en-GB"/>
        </w:rPr>
      </w:pPr>
    </w:p>
    <w:p>
      <w:pPr>
        <w:pStyle w:val="8"/>
        <w:spacing w:line="360" w:lineRule="auto"/>
        <w:ind w:firstLine="0" w:firstLineChars="0"/>
        <w:jc w:val="center"/>
        <w:rPr>
          <w:b/>
          <w:bCs/>
          <w:kern w:val="0"/>
          <w:sz w:val="28"/>
          <w:szCs w:val="28"/>
          <w:lang w:val="en-GB"/>
        </w:rPr>
      </w:pPr>
      <w:r>
        <w:rPr>
          <w:rFonts w:hint="eastAsia"/>
          <w:b/>
          <w:bCs/>
          <w:color w:val="000000"/>
          <w:sz w:val="52"/>
          <w:szCs w:val="52"/>
          <w:lang w:eastAsia="zh-CN"/>
        </w:rPr>
        <w:t>音乐舞蹈专业实训设备购置（二次招标）</w:t>
      </w:r>
    </w:p>
    <w:p>
      <w:pPr>
        <w:pStyle w:val="8"/>
        <w:spacing w:line="360" w:lineRule="auto"/>
        <w:ind w:firstLine="0" w:firstLineChars="0"/>
        <w:jc w:val="center"/>
        <w:rPr>
          <w:b/>
          <w:bCs/>
          <w:kern w:val="0"/>
          <w:sz w:val="28"/>
          <w:szCs w:val="28"/>
          <w:lang w:val="en-GB"/>
        </w:rPr>
      </w:pPr>
    </w:p>
    <w:p>
      <w:pPr>
        <w:pStyle w:val="8"/>
        <w:spacing w:line="360" w:lineRule="auto"/>
        <w:ind w:firstLine="0" w:firstLineChars="0"/>
        <w:jc w:val="center"/>
        <w:rPr>
          <w:b/>
          <w:bCs/>
          <w:kern w:val="0"/>
          <w:sz w:val="28"/>
          <w:szCs w:val="28"/>
          <w:lang w:val="en-GB"/>
        </w:rPr>
      </w:pPr>
    </w:p>
    <w:p>
      <w:pPr>
        <w:pStyle w:val="8"/>
        <w:spacing w:line="360" w:lineRule="auto"/>
        <w:ind w:firstLine="0" w:firstLineChars="0"/>
        <w:jc w:val="center"/>
        <w:rPr>
          <w:b/>
          <w:bCs/>
          <w:kern w:val="0"/>
          <w:sz w:val="28"/>
          <w:szCs w:val="28"/>
          <w:lang w:val="en-GB"/>
        </w:rPr>
      </w:pPr>
    </w:p>
    <w:p>
      <w:pPr>
        <w:pStyle w:val="8"/>
        <w:spacing w:line="360" w:lineRule="auto"/>
        <w:ind w:firstLine="0" w:firstLineChars="0"/>
        <w:jc w:val="center"/>
        <w:rPr>
          <w:b/>
          <w:bCs/>
          <w:kern w:val="0"/>
          <w:sz w:val="72"/>
          <w:szCs w:val="72"/>
          <w:lang w:val="en-GB"/>
        </w:rPr>
      </w:pPr>
      <w:r>
        <w:rPr>
          <w:b/>
          <w:bCs/>
          <w:kern w:val="0"/>
          <w:sz w:val="72"/>
          <w:szCs w:val="72"/>
          <w:lang w:val="en-GB"/>
        </w:rPr>
        <w:t>招标文件</w:t>
      </w:r>
    </w:p>
    <w:p>
      <w:pPr>
        <w:adjustRightInd w:val="0"/>
        <w:snapToGrid w:val="0"/>
        <w:spacing w:line="360" w:lineRule="auto"/>
        <w:jc w:val="center"/>
        <w:rPr>
          <w:rStyle w:val="43"/>
          <w:rFonts w:ascii="Times New Roman" w:hAnsi="Times New Roman"/>
          <w:b/>
          <w:bCs/>
          <w:sz w:val="28"/>
          <w:szCs w:val="28"/>
        </w:rPr>
      </w:pPr>
    </w:p>
    <w:p>
      <w:pPr>
        <w:adjustRightInd w:val="0"/>
        <w:snapToGrid w:val="0"/>
        <w:spacing w:line="360" w:lineRule="auto"/>
        <w:jc w:val="center"/>
        <w:rPr>
          <w:rStyle w:val="43"/>
          <w:rFonts w:ascii="Times New Roman" w:hAnsi="Times New Roman"/>
          <w:b/>
          <w:bCs/>
          <w:sz w:val="28"/>
          <w:szCs w:val="28"/>
        </w:rPr>
      </w:pPr>
    </w:p>
    <w:p>
      <w:pPr>
        <w:adjustRightInd w:val="0"/>
        <w:snapToGrid w:val="0"/>
        <w:spacing w:line="360" w:lineRule="auto"/>
        <w:rPr>
          <w:rStyle w:val="43"/>
          <w:rFonts w:ascii="Times New Roman" w:hAnsi="Times New Roman"/>
          <w:b/>
          <w:bCs/>
          <w:sz w:val="28"/>
          <w:szCs w:val="28"/>
        </w:rPr>
      </w:pPr>
    </w:p>
    <w:p>
      <w:pPr>
        <w:adjustRightInd w:val="0"/>
        <w:snapToGrid w:val="0"/>
        <w:spacing w:line="360" w:lineRule="auto"/>
        <w:jc w:val="center"/>
        <w:rPr>
          <w:rStyle w:val="43"/>
          <w:rFonts w:ascii="Times New Roman" w:hAnsi="Times New Roman"/>
          <w:b/>
          <w:bCs/>
          <w:sz w:val="28"/>
          <w:szCs w:val="28"/>
        </w:rPr>
      </w:pPr>
    </w:p>
    <w:p>
      <w:pPr>
        <w:adjustRightInd w:val="0"/>
        <w:snapToGrid w:val="0"/>
        <w:spacing w:line="360" w:lineRule="auto"/>
        <w:jc w:val="center"/>
        <w:rPr>
          <w:rStyle w:val="43"/>
          <w:rFonts w:ascii="Times New Roman" w:hAnsi="Times New Roman"/>
          <w:b/>
          <w:bCs/>
          <w:sz w:val="28"/>
          <w:szCs w:val="28"/>
        </w:rPr>
      </w:pPr>
    </w:p>
    <w:p>
      <w:pPr>
        <w:adjustRightInd w:val="0"/>
        <w:snapToGrid w:val="0"/>
        <w:spacing w:line="360" w:lineRule="auto"/>
        <w:rPr>
          <w:rStyle w:val="43"/>
          <w:rFonts w:ascii="Times New Roman" w:hAnsi="Times New Roman"/>
          <w:b/>
          <w:bCs/>
          <w:sz w:val="30"/>
          <w:szCs w:val="30"/>
        </w:rPr>
      </w:pPr>
    </w:p>
    <w:p>
      <w:pPr>
        <w:ind w:firstLine="1644" w:firstLineChars="546"/>
        <w:rPr>
          <w:rStyle w:val="43"/>
          <w:rFonts w:hint="eastAsia" w:ascii="Times New Roman" w:hAnsi="Times New Roman" w:eastAsia="宋体"/>
          <w:b/>
          <w:bCs/>
          <w:kern w:val="0"/>
          <w:sz w:val="30"/>
          <w:szCs w:val="30"/>
          <w:lang w:val="en-GB" w:eastAsia="zh-CN"/>
        </w:rPr>
      </w:pPr>
      <w:bookmarkStart w:id="0" w:name="_Toc436140879"/>
      <w:bookmarkStart w:id="1" w:name="_Toc435450514"/>
      <w:bookmarkStart w:id="2" w:name="_Toc438454298"/>
      <w:bookmarkStart w:id="3" w:name="_Toc435538770"/>
      <w:bookmarkStart w:id="4" w:name="_Toc436895695"/>
      <w:bookmarkStart w:id="5" w:name="_Toc436143577"/>
      <w:bookmarkStart w:id="6" w:name="_Toc438567640"/>
      <w:bookmarkStart w:id="7" w:name="_Toc436036157"/>
      <w:r>
        <w:rPr>
          <w:rStyle w:val="43"/>
          <w:rFonts w:ascii="Times New Roman" w:hAnsi="Times New Roman"/>
          <w:b/>
          <w:bCs/>
          <w:sz w:val="30"/>
          <w:szCs w:val="30"/>
        </w:rPr>
        <w:t>项目编号：</w:t>
      </w:r>
      <w:bookmarkEnd w:id="0"/>
      <w:bookmarkEnd w:id="1"/>
      <w:bookmarkEnd w:id="2"/>
      <w:bookmarkEnd w:id="3"/>
      <w:bookmarkEnd w:id="4"/>
      <w:bookmarkEnd w:id="5"/>
      <w:bookmarkEnd w:id="6"/>
      <w:bookmarkEnd w:id="7"/>
      <w:r>
        <w:rPr>
          <w:rFonts w:hint="eastAsia"/>
          <w:b/>
          <w:bCs/>
          <w:kern w:val="0"/>
          <w:sz w:val="30"/>
          <w:szCs w:val="30"/>
          <w:lang w:eastAsia="zh-CN"/>
        </w:rPr>
        <w:t>TSC2018-93</w:t>
      </w:r>
    </w:p>
    <w:p>
      <w:pPr>
        <w:ind w:firstLine="1644" w:firstLineChars="546"/>
        <w:rPr>
          <w:rStyle w:val="43"/>
          <w:rFonts w:ascii="Times New Roman" w:hAnsi="Times New Roman"/>
          <w:b/>
          <w:bCs/>
          <w:sz w:val="30"/>
          <w:szCs w:val="30"/>
        </w:rPr>
      </w:pPr>
      <w:bookmarkStart w:id="8" w:name="_Toc438567641"/>
      <w:bookmarkStart w:id="9" w:name="_Toc436143578"/>
      <w:bookmarkStart w:id="10" w:name="_Toc435538771"/>
      <w:bookmarkStart w:id="11" w:name="_Toc436895696"/>
      <w:bookmarkStart w:id="12" w:name="_Toc436140880"/>
      <w:bookmarkStart w:id="13" w:name="_Toc436036158"/>
      <w:bookmarkStart w:id="14" w:name="_Toc435450515"/>
      <w:bookmarkStart w:id="15" w:name="_Toc438454299"/>
      <w:r>
        <w:rPr>
          <w:rStyle w:val="43"/>
          <w:rFonts w:ascii="Times New Roman" w:hAnsi="Times New Roman"/>
          <w:b/>
          <w:bCs/>
          <w:sz w:val="30"/>
          <w:szCs w:val="30"/>
        </w:rPr>
        <w:t>采购单位：</w:t>
      </w:r>
      <w:bookmarkEnd w:id="8"/>
      <w:bookmarkEnd w:id="9"/>
      <w:bookmarkEnd w:id="10"/>
      <w:bookmarkEnd w:id="11"/>
      <w:bookmarkEnd w:id="12"/>
      <w:bookmarkEnd w:id="13"/>
      <w:bookmarkEnd w:id="14"/>
      <w:bookmarkEnd w:id="15"/>
      <w:r>
        <w:rPr>
          <w:rStyle w:val="43"/>
          <w:rFonts w:hint="eastAsia"/>
          <w:b/>
          <w:bCs/>
          <w:sz w:val="30"/>
          <w:szCs w:val="30"/>
        </w:rPr>
        <w:t>东方市职业技术学校</w:t>
      </w:r>
    </w:p>
    <w:p>
      <w:pPr>
        <w:ind w:firstLine="1644" w:firstLineChars="546"/>
        <w:rPr>
          <w:rStyle w:val="43"/>
          <w:rFonts w:ascii="Times New Roman" w:hAnsi="Times New Roman"/>
          <w:b/>
          <w:bCs/>
          <w:sz w:val="30"/>
          <w:szCs w:val="30"/>
        </w:rPr>
      </w:pPr>
      <w:bookmarkStart w:id="16" w:name="_Toc435450516"/>
      <w:bookmarkStart w:id="17" w:name="_Toc438567642"/>
      <w:bookmarkStart w:id="18" w:name="_Toc436140881"/>
      <w:bookmarkStart w:id="19" w:name="_Toc436143579"/>
      <w:bookmarkStart w:id="20" w:name="_Toc436895697"/>
      <w:bookmarkStart w:id="21" w:name="_Toc436036159"/>
      <w:bookmarkStart w:id="22" w:name="_Toc435538772"/>
      <w:bookmarkStart w:id="23" w:name="_Toc438454300"/>
      <w:r>
        <w:rPr>
          <w:rStyle w:val="43"/>
          <w:rFonts w:ascii="Times New Roman" w:hAnsi="Times New Roman"/>
          <w:b/>
          <w:bCs/>
          <w:sz w:val="30"/>
          <w:szCs w:val="30"/>
        </w:rPr>
        <w:t>招标代理：</w:t>
      </w:r>
      <w:bookmarkEnd w:id="16"/>
      <w:bookmarkEnd w:id="17"/>
      <w:bookmarkEnd w:id="18"/>
      <w:bookmarkEnd w:id="19"/>
      <w:bookmarkEnd w:id="20"/>
      <w:bookmarkEnd w:id="21"/>
      <w:bookmarkEnd w:id="22"/>
      <w:bookmarkEnd w:id="23"/>
      <w:r>
        <w:rPr>
          <w:b/>
          <w:sz w:val="30"/>
        </w:rPr>
        <w:t>海南泰尚项目投资管理有限公司</w:t>
      </w:r>
    </w:p>
    <w:p>
      <w:pPr>
        <w:adjustRightInd w:val="0"/>
        <w:snapToGrid w:val="0"/>
        <w:spacing w:line="360" w:lineRule="auto"/>
        <w:ind w:firstLine="2268" w:firstLineChars="753"/>
        <w:rPr>
          <w:rStyle w:val="43"/>
          <w:rFonts w:ascii="Times New Roman" w:hAnsi="Times New Roman"/>
          <w:b/>
          <w:bCs/>
          <w:sz w:val="30"/>
          <w:szCs w:val="30"/>
        </w:rPr>
      </w:pPr>
    </w:p>
    <w:p>
      <w:pPr>
        <w:adjustRightInd w:val="0"/>
        <w:snapToGrid w:val="0"/>
        <w:spacing w:line="360" w:lineRule="auto"/>
        <w:jc w:val="center"/>
        <w:rPr>
          <w:rFonts w:hint="eastAsia" w:eastAsia="宋体"/>
          <w:b/>
          <w:bCs/>
          <w:kern w:val="0"/>
          <w:sz w:val="28"/>
          <w:szCs w:val="28"/>
          <w:lang w:val="en-US" w:eastAsia="zh-CN"/>
        </w:rPr>
      </w:pPr>
      <w:r>
        <w:rPr>
          <w:rFonts w:hint="eastAsia"/>
          <w:b/>
          <w:bCs/>
          <w:kern w:val="0"/>
          <w:sz w:val="28"/>
          <w:szCs w:val="28"/>
          <w:lang w:val="en-US" w:eastAsia="zh-CN"/>
        </w:rPr>
        <w:t>2018年 9月</w:t>
      </w:r>
    </w:p>
    <w:p>
      <w:pPr>
        <w:adjustRightInd w:val="0"/>
        <w:snapToGrid w:val="0"/>
        <w:spacing w:line="360" w:lineRule="auto"/>
        <w:jc w:val="center"/>
        <w:rPr>
          <w:b/>
          <w:bCs/>
          <w:kern w:val="0"/>
          <w:sz w:val="28"/>
          <w:szCs w:val="28"/>
          <w:lang w:val="en-GB"/>
        </w:rPr>
      </w:pPr>
    </w:p>
    <w:p>
      <w:pPr>
        <w:tabs>
          <w:tab w:val="left" w:leader="dot" w:pos="8400"/>
        </w:tabs>
        <w:spacing w:line="480" w:lineRule="exact"/>
        <w:jc w:val="both"/>
        <w:rPr>
          <w:b/>
          <w:sz w:val="44"/>
          <w:szCs w:val="44"/>
        </w:rPr>
        <w:sectPr>
          <w:headerReference r:id="rId5" w:type="first"/>
          <w:headerReference r:id="rId3" w:type="default"/>
          <w:headerReference r:id="rId4" w:type="even"/>
          <w:footerReference r:id="rId6" w:type="even"/>
          <w:pgSz w:w="11906" w:h="16838"/>
          <w:pgMar w:top="1258" w:right="1519" w:bottom="1258" w:left="1519" w:header="907" w:footer="907" w:gutter="0"/>
          <w:pgNumType w:start="1"/>
          <w:cols w:space="720" w:num="1"/>
          <w:titlePg/>
          <w:docGrid w:type="lines" w:linePitch="312" w:charSpace="0"/>
        </w:sectPr>
      </w:pPr>
    </w:p>
    <w:p>
      <w:pPr>
        <w:tabs>
          <w:tab w:val="left" w:leader="dot" w:pos="8400"/>
        </w:tabs>
        <w:spacing w:line="360" w:lineRule="auto"/>
        <w:jc w:val="center"/>
        <w:rPr>
          <w:b/>
          <w:sz w:val="44"/>
          <w:szCs w:val="44"/>
        </w:rPr>
      </w:pPr>
      <w:r>
        <w:rPr>
          <w:b/>
          <w:sz w:val="44"/>
          <w:szCs w:val="44"/>
        </w:rPr>
        <w:t>目录</w:t>
      </w:r>
    </w:p>
    <w:p>
      <w:pPr>
        <w:pStyle w:val="19"/>
        <w:tabs>
          <w:tab w:val="right" w:leader="dot" w:pos="8868"/>
        </w:tabs>
        <w:rPr>
          <w:rFonts w:ascii="Times New Roman" w:hAnsi="Times New Roman" w:cs="Times New Roman"/>
          <w:b w:val="0"/>
          <w:bCs w:val="0"/>
          <w:sz w:val="28"/>
          <w:szCs w:val="28"/>
        </w:rPr>
      </w:pPr>
      <w:r>
        <w:rPr>
          <w:rFonts w:ascii="Times New Roman" w:hAnsi="Times New Roman" w:cs="Times New Roman"/>
          <w:b w:val="0"/>
          <w:bCs w:val="0"/>
          <w:kern w:val="0"/>
          <w:sz w:val="28"/>
          <w:szCs w:val="28"/>
        </w:rPr>
        <w:fldChar w:fldCharType="begin"/>
      </w:r>
      <w:r>
        <w:rPr>
          <w:rFonts w:ascii="Times New Roman" w:hAnsi="Times New Roman" w:cs="Times New Roman"/>
          <w:b w:val="0"/>
          <w:bCs w:val="0"/>
          <w:kern w:val="0"/>
          <w:sz w:val="28"/>
          <w:szCs w:val="28"/>
        </w:rPr>
        <w:instrText xml:space="preserve"> TOC \o "1-2" \h \z \u </w:instrText>
      </w:r>
      <w:r>
        <w:rPr>
          <w:rFonts w:ascii="Times New Roman" w:hAnsi="Times New Roman" w:cs="Times New Roman"/>
          <w:b w:val="0"/>
          <w:bCs w:val="0"/>
          <w:kern w:val="0"/>
          <w:sz w:val="28"/>
          <w:szCs w:val="28"/>
        </w:rPr>
        <w:fldChar w:fldCharType="separate"/>
      </w:r>
      <w:r>
        <w:fldChar w:fldCharType="begin"/>
      </w:r>
      <w:r>
        <w:instrText xml:space="preserve"> HYPERLINK \l "_Toc962" </w:instrText>
      </w:r>
      <w:r>
        <w:fldChar w:fldCharType="separate"/>
      </w:r>
      <w:r>
        <w:rPr>
          <w:rFonts w:ascii="Times New Roman" w:hAnsi="Times New Roman" w:cs="Times New Roman"/>
          <w:b w:val="0"/>
          <w:bCs w:val="0"/>
          <w:sz w:val="28"/>
          <w:szCs w:val="28"/>
        </w:rPr>
        <w:t>第一部分投标邀请函</w:t>
      </w:r>
      <w:r>
        <w:rPr>
          <w:rFonts w:ascii="Times New Roman" w:hAnsi="Times New Roman" w:cs="Times New Roman"/>
          <w:b w:val="0"/>
          <w:bCs w:val="0"/>
          <w:sz w:val="28"/>
          <w:szCs w:val="28"/>
        </w:rPr>
        <w:tab/>
      </w:r>
      <w:r>
        <w:rPr>
          <w:rFonts w:hint="eastAsia" w:ascii="Times New Roman" w:hAnsi="Times New Roman" w:cs="Times New Roman"/>
          <w:b w:val="0"/>
          <w:bCs w:val="0"/>
          <w:sz w:val="28"/>
          <w:szCs w:val="28"/>
          <w:lang w:val="en-US" w:eastAsia="zh-CN"/>
        </w:rPr>
        <w:t>1</w:t>
      </w:r>
      <w:r>
        <w:rPr>
          <w:rFonts w:ascii="Times New Roman" w:hAnsi="Times New Roman" w:cs="Times New Roman"/>
          <w:b w:val="0"/>
          <w:bCs w:val="0"/>
          <w:sz w:val="28"/>
          <w:szCs w:val="28"/>
        </w:rPr>
        <w:fldChar w:fldCharType="end"/>
      </w:r>
    </w:p>
    <w:p>
      <w:pPr>
        <w:pStyle w:val="19"/>
        <w:tabs>
          <w:tab w:val="right" w:leader="dot" w:pos="8868"/>
        </w:tabs>
        <w:rPr>
          <w:rFonts w:ascii="Times New Roman" w:hAnsi="Times New Roman" w:cs="Times New Roman"/>
          <w:b w:val="0"/>
          <w:bCs w:val="0"/>
          <w:sz w:val="28"/>
          <w:szCs w:val="28"/>
        </w:rPr>
      </w:pPr>
      <w:r>
        <w:fldChar w:fldCharType="begin"/>
      </w:r>
      <w:r>
        <w:instrText xml:space="preserve"> HYPERLINK \l "_Toc23192" </w:instrText>
      </w:r>
      <w:r>
        <w:fldChar w:fldCharType="separate"/>
      </w:r>
      <w:r>
        <w:rPr>
          <w:rFonts w:ascii="Times New Roman" w:hAnsi="Times New Roman" w:cs="Times New Roman"/>
          <w:b w:val="0"/>
          <w:bCs w:val="0"/>
          <w:sz w:val="28"/>
          <w:szCs w:val="28"/>
        </w:rPr>
        <w:t>第二部分投标人须知</w:t>
      </w:r>
      <w:r>
        <w:rPr>
          <w:rFonts w:ascii="Times New Roman" w:hAnsi="Times New Roman" w:cs="Times New Roman"/>
          <w:b w:val="0"/>
          <w:bCs w:val="0"/>
          <w:sz w:val="28"/>
          <w:szCs w:val="28"/>
        </w:rPr>
        <w:tab/>
      </w:r>
      <w:r>
        <w:rPr>
          <w:rFonts w:ascii="Times New Roman" w:hAnsi="Times New Roman" w:cs="Times New Roman"/>
          <w:b w:val="0"/>
          <w:bCs w:val="0"/>
          <w:sz w:val="28"/>
          <w:szCs w:val="28"/>
        </w:rPr>
        <w:fldChar w:fldCharType="begin"/>
      </w:r>
      <w:r>
        <w:rPr>
          <w:rFonts w:ascii="Times New Roman" w:hAnsi="Times New Roman" w:cs="Times New Roman"/>
          <w:b w:val="0"/>
          <w:bCs w:val="0"/>
          <w:sz w:val="28"/>
          <w:szCs w:val="28"/>
        </w:rPr>
        <w:instrText xml:space="preserve"> PAGEREF _Toc23192 </w:instrText>
      </w:r>
      <w:r>
        <w:rPr>
          <w:rFonts w:ascii="Times New Roman" w:hAnsi="Times New Roman" w:cs="Times New Roman"/>
          <w:b w:val="0"/>
          <w:bCs w:val="0"/>
          <w:sz w:val="28"/>
          <w:szCs w:val="28"/>
        </w:rPr>
        <w:fldChar w:fldCharType="separate"/>
      </w:r>
      <w:r>
        <w:rPr>
          <w:rFonts w:ascii="Times New Roman" w:hAnsi="Times New Roman" w:cs="Times New Roman"/>
          <w:b w:val="0"/>
          <w:bCs w:val="0"/>
          <w:sz w:val="28"/>
          <w:szCs w:val="28"/>
        </w:rPr>
        <w:t>3</w:t>
      </w:r>
      <w:r>
        <w:rPr>
          <w:rFonts w:ascii="Times New Roman" w:hAnsi="Times New Roman" w:cs="Times New Roman"/>
          <w:b w:val="0"/>
          <w:bCs w:val="0"/>
          <w:sz w:val="28"/>
          <w:szCs w:val="28"/>
        </w:rPr>
        <w:fldChar w:fldCharType="end"/>
      </w:r>
      <w:r>
        <w:rPr>
          <w:rFonts w:ascii="Times New Roman" w:hAnsi="Times New Roman" w:cs="Times New Roman"/>
          <w:b w:val="0"/>
          <w:bCs w:val="0"/>
          <w:sz w:val="28"/>
          <w:szCs w:val="28"/>
        </w:rPr>
        <w:fldChar w:fldCharType="end"/>
      </w:r>
    </w:p>
    <w:p>
      <w:pPr>
        <w:pStyle w:val="19"/>
        <w:tabs>
          <w:tab w:val="right" w:leader="dot" w:pos="8868"/>
        </w:tabs>
        <w:rPr>
          <w:rFonts w:ascii="Times New Roman" w:hAnsi="Times New Roman" w:cs="Times New Roman"/>
          <w:b w:val="0"/>
          <w:bCs w:val="0"/>
          <w:sz w:val="28"/>
          <w:szCs w:val="28"/>
        </w:rPr>
      </w:pPr>
      <w:r>
        <w:fldChar w:fldCharType="begin"/>
      </w:r>
      <w:r>
        <w:instrText xml:space="preserve"> HYPERLINK \l "_Toc9796" </w:instrText>
      </w:r>
      <w:r>
        <w:fldChar w:fldCharType="separate"/>
      </w:r>
      <w:r>
        <w:rPr>
          <w:rFonts w:ascii="Times New Roman" w:hAnsi="Times New Roman" w:cs="Times New Roman"/>
          <w:b w:val="0"/>
          <w:bCs w:val="0"/>
          <w:sz w:val="28"/>
          <w:szCs w:val="28"/>
        </w:rPr>
        <w:t>第三部分用户需求书</w:t>
      </w:r>
      <w:r>
        <w:rPr>
          <w:rFonts w:ascii="Times New Roman" w:hAnsi="Times New Roman" w:cs="Times New Roman"/>
          <w:b w:val="0"/>
          <w:bCs w:val="0"/>
          <w:sz w:val="28"/>
          <w:szCs w:val="28"/>
        </w:rPr>
        <w:tab/>
      </w:r>
      <w:r>
        <w:rPr>
          <w:rFonts w:ascii="Times New Roman" w:hAnsi="Times New Roman" w:cs="Times New Roman"/>
          <w:b w:val="0"/>
          <w:bCs w:val="0"/>
          <w:sz w:val="28"/>
          <w:szCs w:val="28"/>
        </w:rPr>
        <w:fldChar w:fldCharType="begin"/>
      </w:r>
      <w:r>
        <w:rPr>
          <w:rFonts w:ascii="Times New Roman" w:hAnsi="Times New Roman" w:cs="Times New Roman"/>
          <w:b w:val="0"/>
          <w:bCs w:val="0"/>
          <w:sz w:val="28"/>
          <w:szCs w:val="28"/>
        </w:rPr>
        <w:instrText xml:space="preserve"> PAGEREF _Toc9796 </w:instrText>
      </w:r>
      <w:r>
        <w:rPr>
          <w:rFonts w:ascii="Times New Roman" w:hAnsi="Times New Roman" w:cs="Times New Roman"/>
          <w:b w:val="0"/>
          <w:bCs w:val="0"/>
          <w:sz w:val="28"/>
          <w:szCs w:val="28"/>
        </w:rPr>
        <w:fldChar w:fldCharType="separate"/>
      </w:r>
      <w:r>
        <w:rPr>
          <w:rFonts w:ascii="Times New Roman" w:hAnsi="Times New Roman" w:cs="Times New Roman"/>
          <w:b w:val="0"/>
          <w:bCs w:val="0"/>
          <w:sz w:val="28"/>
          <w:szCs w:val="28"/>
        </w:rPr>
        <w:t>12</w:t>
      </w:r>
      <w:r>
        <w:rPr>
          <w:rFonts w:ascii="Times New Roman" w:hAnsi="Times New Roman" w:cs="Times New Roman"/>
          <w:b w:val="0"/>
          <w:bCs w:val="0"/>
          <w:sz w:val="28"/>
          <w:szCs w:val="28"/>
        </w:rPr>
        <w:fldChar w:fldCharType="end"/>
      </w:r>
      <w:r>
        <w:rPr>
          <w:rFonts w:ascii="Times New Roman" w:hAnsi="Times New Roman" w:cs="Times New Roman"/>
          <w:b w:val="0"/>
          <w:bCs w:val="0"/>
          <w:sz w:val="28"/>
          <w:szCs w:val="28"/>
        </w:rPr>
        <w:fldChar w:fldCharType="end"/>
      </w:r>
    </w:p>
    <w:p>
      <w:pPr>
        <w:pStyle w:val="19"/>
        <w:tabs>
          <w:tab w:val="right" w:leader="dot" w:pos="8868"/>
        </w:tabs>
        <w:rPr>
          <w:rFonts w:ascii="Times New Roman" w:hAnsi="Times New Roman" w:cs="Times New Roman"/>
          <w:b w:val="0"/>
          <w:bCs w:val="0"/>
          <w:sz w:val="28"/>
          <w:szCs w:val="28"/>
        </w:rPr>
      </w:pPr>
      <w:r>
        <w:fldChar w:fldCharType="begin"/>
      </w:r>
      <w:r>
        <w:instrText xml:space="preserve"> HYPERLINK \l "_Toc6757" </w:instrText>
      </w:r>
      <w:r>
        <w:fldChar w:fldCharType="separate"/>
      </w:r>
      <w:r>
        <w:rPr>
          <w:rFonts w:ascii="Times New Roman" w:hAnsi="Times New Roman" w:cs="Times New Roman"/>
          <w:b w:val="0"/>
          <w:bCs w:val="0"/>
          <w:sz w:val="28"/>
          <w:szCs w:val="28"/>
        </w:rPr>
        <w:t>第四部分合同条款及格式</w:t>
      </w:r>
      <w:r>
        <w:rPr>
          <w:rFonts w:ascii="Times New Roman" w:hAnsi="Times New Roman" w:cs="Times New Roman"/>
          <w:b w:val="0"/>
          <w:bCs w:val="0"/>
          <w:sz w:val="28"/>
          <w:szCs w:val="28"/>
        </w:rPr>
        <w:tab/>
      </w:r>
      <w:r>
        <w:rPr>
          <w:rFonts w:ascii="Times New Roman" w:hAnsi="Times New Roman" w:cs="Times New Roman"/>
          <w:b w:val="0"/>
          <w:bCs w:val="0"/>
          <w:sz w:val="28"/>
          <w:szCs w:val="28"/>
        </w:rPr>
        <w:fldChar w:fldCharType="begin"/>
      </w:r>
      <w:r>
        <w:rPr>
          <w:rFonts w:ascii="Times New Roman" w:hAnsi="Times New Roman" w:cs="Times New Roman"/>
          <w:b w:val="0"/>
          <w:bCs w:val="0"/>
          <w:sz w:val="28"/>
          <w:szCs w:val="28"/>
        </w:rPr>
        <w:instrText xml:space="preserve"> PAGEREF _Toc6757 </w:instrText>
      </w:r>
      <w:r>
        <w:rPr>
          <w:rFonts w:ascii="Times New Roman" w:hAnsi="Times New Roman" w:cs="Times New Roman"/>
          <w:b w:val="0"/>
          <w:bCs w:val="0"/>
          <w:sz w:val="28"/>
          <w:szCs w:val="28"/>
        </w:rPr>
        <w:fldChar w:fldCharType="separate"/>
      </w:r>
      <w:r>
        <w:rPr>
          <w:rFonts w:ascii="Times New Roman" w:hAnsi="Times New Roman" w:cs="Times New Roman"/>
          <w:b w:val="0"/>
          <w:bCs w:val="0"/>
          <w:sz w:val="28"/>
          <w:szCs w:val="28"/>
        </w:rPr>
        <w:t>32</w:t>
      </w:r>
      <w:r>
        <w:rPr>
          <w:rFonts w:ascii="Times New Roman" w:hAnsi="Times New Roman" w:cs="Times New Roman"/>
          <w:b w:val="0"/>
          <w:bCs w:val="0"/>
          <w:sz w:val="28"/>
          <w:szCs w:val="28"/>
        </w:rPr>
        <w:fldChar w:fldCharType="end"/>
      </w:r>
      <w:r>
        <w:rPr>
          <w:rFonts w:ascii="Times New Roman" w:hAnsi="Times New Roman" w:cs="Times New Roman"/>
          <w:b w:val="0"/>
          <w:bCs w:val="0"/>
          <w:sz w:val="28"/>
          <w:szCs w:val="28"/>
        </w:rPr>
        <w:fldChar w:fldCharType="end"/>
      </w:r>
    </w:p>
    <w:p>
      <w:pPr>
        <w:pStyle w:val="19"/>
        <w:tabs>
          <w:tab w:val="right" w:leader="dot" w:pos="8868"/>
        </w:tabs>
        <w:rPr>
          <w:rFonts w:ascii="Times New Roman" w:hAnsi="Times New Roman" w:cs="Times New Roman"/>
          <w:b w:val="0"/>
          <w:bCs w:val="0"/>
          <w:sz w:val="28"/>
          <w:szCs w:val="28"/>
        </w:rPr>
      </w:pPr>
      <w:r>
        <w:fldChar w:fldCharType="begin"/>
      </w:r>
      <w:r>
        <w:instrText xml:space="preserve"> HYPERLINK \l "_Toc8578" </w:instrText>
      </w:r>
      <w:r>
        <w:fldChar w:fldCharType="separate"/>
      </w:r>
      <w:r>
        <w:rPr>
          <w:rFonts w:ascii="Times New Roman" w:hAnsi="Times New Roman" w:cs="Times New Roman"/>
          <w:b w:val="0"/>
          <w:bCs w:val="0"/>
          <w:sz w:val="28"/>
          <w:szCs w:val="28"/>
        </w:rPr>
        <w:t>第五部分投标文件内容及格式</w:t>
      </w:r>
      <w:r>
        <w:rPr>
          <w:rFonts w:ascii="Times New Roman" w:hAnsi="Times New Roman" w:cs="Times New Roman"/>
          <w:b w:val="0"/>
          <w:bCs w:val="0"/>
          <w:sz w:val="28"/>
          <w:szCs w:val="28"/>
        </w:rPr>
        <w:tab/>
      </w:r>
      <w:r>
        <w:rPr>
          <w:rFonts w:hint="eastAsia" w:ascii="Times New Roman" w:hAnsi="Times New Roman" w:cs="Times New Roman"/>
          <w:b w:val="0"/>
          <w:bCs w:val="0"/>
          <w:sz w:val="28"/>
          <w:szCs w:val="28"/>
          <w:lang w:val="en-US" w:eastAsia="zh-CN"/>
        </w:rPr>
        <w:t>34</w:t>
      </w:r>
      <w:r>
        <w:rPr>
          <w:rFonts w:hint="eastAsia" w:ascii="Times New Roman" w:hAnsi="Times New Roman" w:cs="Times New Roman"/>
          <w:b w:val="0"/>
          <w:bCs w:val="0"/>
          <w:sz w:val="28"/>
          <w:szCs w:val="28"/>
        </w:rPr>
        <w:fldChar w:fldCharType="end"/>
      </w:r>
    </w:p>
    <w:p>
      <w:pPr>
        <w:pStyle w:val="19"/>
        <w:tabs>
          <w:tab w:val="right" w:leader="dot" w:pos="8868"/>
        </w:tabs>
        <w:rPr>
          <w:rFonts w:hint="eastAsia" w:ascii="Times New Roman" w:hAnsi="Times New Roman" w:eastAsia="宋体" w:cs="Times New Roman"/>
          <w:b w:val="0"/>
          <w:bCs w:val="0"/>
          <w:sz w:val="28"/>
          <w:szCs w:val="28"/>
          <w:lang w:val="en-US" w:eastAsia="zh-CN"/>
        </w:rPr>
      </w:pPr>
      <w:r>
        <w:fldChar w:fldCharType="begin"/>
      </w:r>
      <w:r>
        <w:instrText xml:space="preserve"> HYPERLINK \l "_Toc5089" </w:instrText>
      </w:r>
      <w:r>
        <w:fldChar w:fldCharType="separate"/>
      </w:r>
      <w:r>
        <w:rPr>
          <w:rFonts w:ascii="Times New Roman" w:hAnsi="Times New Roman" w:cs="Times New Roman"/>
          <w:b w:val="0"/>
          <w:bCs w:val="0"/>
          <w:sz w:val="28"/>
          <w:szCs w:val="28"/>
        </w:rPr>
        <w:t>第六部分评审办法和程序</w:t>
      </w:r>
      <w:r>
        <w:rPr>
          <w:rFonts w:ascii="Times New Roman" w:hAnsi="Times New Roman" w:cs="Times New Roman"/>
          <w:b w:val="0"/>
          <w:bCs w:val="0"/>
          <w:sz w:val="28"/>
          <w:szCs w:val="28"/>
        </w:rPr>
        <w:tab/>
      </w:r>
      <w:r>
        <w:rPr>
          <w:rFonts w:hint="eastAsia" w:ascii="Times New Roman" w:hAnsi="Times New Roman" w:cs="Times New Roman"/>
          <w:b w:val="0"/>
          <w:bCs w:val="0"/>
          <w:sz w:val="28"/>
          <w:szCs w:val="28"/>
          <w:lang w:val="en-US" w:eastAsia="zh-CN"/>
        </w:rPr>
        <w:t>4</w:t>
      </w:r>
      <w:r>
        <w:rPr>
          <w:rFonts w:hint="eastAsia" w:ascii="Times New Roman" w:hAnsi="Times New Roman" w:cs="Times New Roman"/>
          <w:b w:val="0"/>
          <w:bCs w:val="0"/>
          <w:sz w:val="28"/>
          <w:szCs w:val="28"/>
        </w:rPr>
        <w:fldChar w:fldCharType="end"/>
      </w:r>
      <w:r>
        <w:rPr>
          <w:rFonts w:hint="eastAsia" w:ascii="Times New Roman" w:hAnsi="Times New Roman" w:cs="Times New Roman"/>
          <w:b w:val="0"/>
          <w:bCs w:val="0"/>
          <w:kern w:val="0"/>
          <w:sz w:val="28"/>
          <w:szCs w:val="28"/>
          <w:lang w:val="en-US" w:eastAsia="zh-CN"/>
        </w:rPr>
        <w:t>3</w:t>
      </w:r>
    </w:p>
    <w:p>
      <w:pPr>
        <w:rPr>
          <w:kern w:val="0"/>
          <w:sz w:val="32"/>
          <w:szCs w:val="32"/>
        </w:rPr>
      </w:pPr>
      <w:r>
        <w:rPr>
          <w:kern w:val="0"/>
          <w:sz w:val="28"/>
          <w:szCs w:val="28"/>
        </w:rPr>
        <w:fldChar w:fldCharType="end"/>
      </w:r>
    </w:p>
    <w:p>
      <w:pPr>
        <w:rPr>
          <w:rStyle w:val="43"/>
          <w:rFonts w:ascii="Times New Roman" w:hAnsi="Times New Roman"/>
          <w:b/>
          <w:bCs/>
          <w:sz w:val="24"/>
        </w:rPr>
      </w:pPr>
    </w:p>
    <w:p>
      <w:pPr>
        <w:rPr>
          <w:rStyle w:val="43"/>
          <w:rFonts w:ascii="Times New Roman" w:hAnsi="Times New Roman"/>
          <w:b/>
          <w:bCs/>
          <w:sz w:val="24"/>
        </w:rPr>
      </w:pPr>
    </w:p>
    <w:p>
      <w:pPr>
        <w:rPr>
          <w:rStyle w:val="43"/>
          <w:rFonts w:ascii="Times New Roman" w:hAnsi="Times New Roman"/>
          <w:b/>
          <w:bCs/>
          <w:sz w:val="24"/>
        </w:rPr>
      </w:pPr>
    </w:p>
    <w:p>
      <w:pPr>
        <w:rPr>
          <w:rStyle w:val="43"/>
          <w:rFonts w:ascii="Times New Roman" w:hAnsi="Times New Roman"/>
          <w:b/>
          <w:bCs/>
          <w:sz w:val="24"/>
        </w:rPr>
      </w:pPr>
    </w:p>
    <w:p>
      <w:pPr>
        <w:rPr>
          <w:rStyle w:val="43"/>
          <w:rFonts w:ascii="Times New Roman" w:hAnsi="Times New Roman"/>
          <w:b/>
          <w:bCs/>
          <w:sz w:val="24"/>
        </w:rPr>
      </w:pPr>
    </w:p>
    <w:p>
      <w:pPr>
        <w:rPr>
          <w:rStyle w:val="43"/>
          <w:rFonts w:ascii="Times New Roman" w:hAnsi="Times New Roman"/>
          <w:b/>
          <w:bCs/>
          <w:sz w:val="44"/>
          <w:szCs w:val="44"/>
        </w:rPr>
      </w:pPr>
    </w:p>
    <w:p>
      <w:pPr>
        <w:rPr>
          <w:rStyle w:val="43"/>
          <w:rFonts w:ascii="Times New Roman" w:hAnsi="Times New Roman"/>
          <w:b/>
          <w:bCs/>
          <w:sz w:val="44"/>
          <w:szCs w:val="44"/>
        </w:rPr>
        <w:sectPr>
          <w:headerReference r:id="rId8" w:type="first"/>
          <w:footerReference r:id="rId10" w:type="first"/>
          <w:headerReference r:id="rId7" w:type="default"/>
          <w:footerReference r:id="rId9" w:type="default"/>
          <w:pgSz w:w="11906" w:h="16838"/>
          <w:pgMar w:top="1258" w:right="1519" w:bottom="1258" w:left="1519" w:header="907" w:footer="907" w:gutter="0"/>
          <w:cols w:space="720" w:num="1"/>
          <w:titlePg/>
          <w:docGrid w:type="lines" w:linePitch="312" w:charSpace="0"/>
        </w:sectPr>
      </w:pPr>
    </w:p>
    <w:p>
      <w:pPr>
        <w:spacing w:beforeLines="50" w:afterLines="50" w:line="360" w:lineRule="auto"/>
        <w:jc w:val="center"/>
        <w:outlineLvl w:val="0"/>
        <w:rPr>
          <w:rStyle w:val="43"/>
          <w:rFonts w:ascii="Times New Roman" w:hAnsi="Times New Roman"/>
          <w:b/>
          <w:bCs/>
          <w:sz w:val="44"/>
          <w:szCs w:val="44"/>
          <w:lang w:val="en-GB"/>
        </w:rPr>
      </w:pPr>
      <w:r>
        <w:rPr>
          <w:rStyle w:val="43"/>
          <w:rFonts w:ascii="Times New Roman" w:hAnsi="Times New Roman"/>
          <w:b/>
          <w:bCs/>
          <w:sz w:val="44"/>
          <w:szCs w:val="44"/>
        </w:rPr>
        <w:t>投标邀请函</w:t>
      </w:r>
    </w:p>
    <w:p>
      <w:pPr>
        <w:adjustRightInd w:val="0"/>
        <w:snapToGrid w:val="0"/>
        <w:spacing w:line="360" w:lineRule="auto"/>
        <w:ind w:firstLine="480" w:firstLineChars="200"/>
        <w:rPr>
          <w:b/>
          <w:bCs/>
          <w:kern w:val="0"/>
          <w:sz w:val="24"/>
          <w:lang w:val="en-GB"/>
        </w:rPr>
      </w:pPr>
      <w:r>
        <w:rPr>
          <w:bCs/>
          <w:kern w:val="0"/>
          <w:sz w:val="24"/>
          <w:lang w:val="en-GB"/>
        </w:rPr>
        <w:t>受</w:t>
      </w:r>
      <w:r>
        <w:rPr>
          <w:rFonts w:hint="eastAsia"/>
          <w:bCs/>
          <w:kern w:val="0"/>
          <w:sz w:val="24"/>
          <w:lang w:eastAsia="zh-CN"/>
        </w:rPr>
        <w:t>东方市职业技术学校</w:t>
      </w:r>
      <w:r>
        <w:rPr>
          <w:bCs/>
          <w:kern w:val="0"/>
          <w:sz w:val="24"/>
        </w:rPr>
        <w:t>（以下简称“采购人”）的委托，海南泰尚项目投资管理有限公司（以下简称“招标人”）拟对</w:t>
      </w:r>
      <w:r>
        <w:rPr>
          <w:rFonts w:hint="eastAsia"/>
          <w:bCs/>
          <w:kern w:val="0"/>
          <w:sz w:val="24"/>
          <w:lang w:eastAsia="zh-CN"/>
        </w:rPr>
        <w:t>音乐舞蹈专业实训设备购置（二次招标）</w:t>
      </w:r>
      <w:r>
        <w:rPr>
          <w:bCs/>
          <w:kern w:val="0"/>
          <w:sz w:val="24"/>
        </w:rPr>
        <w:t>（项目编号：</w:t>
      </w:r>
      <w:r>
        <w:rPr>
          <w:rFonts w:hint="eastAsia"/>
          <w:bCs/>
          <w:kern w:val="0"/>
          <w:sz w:val="24"/>
          <w:lang w:eastAsia="zh-CN"/>
        </w:rPr>
        <w:t>TSC2018-93</w:t>
      </w:r>
      <w:r>
        <w:rPr>
          <w:bCs/>
          <w:kern w:val="0"/>
          <w:sz w:val="24"/>
        </w:rPr>
        <w:t>）所需的货物及其服务组织公开招标采购工作，兹邀请符合本次公开招</w:t>
      </w:r>
      <w:r>
        <w:rPr>
          <w:bCs/>
          <w:kern w:val="0"/>
          <w:sz w:val="24"/>
          <w:lang w:val="en-GB"/>
        </w:rPr>
        <w:t>标采购要求的投标人进行密封投标，有关事项如下：</w:t>
      </w:r>
    </w:p>
    <w:p>
      <w:pPr>
        <w:autoSpaceDE w:val="0"/>
        <w:autoSpaceDN w:val="0"/>
        <w:adjustRightInd w:val="0"/>
        <w:snapToGrid w:val="0"/>
        <w:spacing w:line="360" w:lineRule="auto"/>
        <w:rPr>
          <w:sz w:val="28"/>
          <w:szCs w:val="28"/>
          <w:lang w:val="zh-CN"/>
        </w:rPr>
      </w:pPr>
      <w:r>
        <w:rPr>
          <w:b/>
          <w:bCs/>
          <w:sz w:val="28"/>
          <w:szCs w:val="28"/>
          <w:lang w:val="zh-CN"/>
        </w:rPr>
        <w:t>一、招标项目的名称、用途、数量及简要技术要求或招标性质：</w:t>
      </w:r>
    </w:p>
    <w:p>
      <w:pPr>
        <w:pStyle w:val="59"/>
        <w:adjustRightInd w:val="0"/>
        <w:snapToGrid w:val="0"/>
        <w:ind w:firstLine="480"/>
        <w:rPr>
          <w:sz w:val="24"/>
          <w:lang w:val="zh-CN"/>
        </w:rPr>
      </w:pPr>
      <w:r>
        <w:rPr>
          <w:sz w:val="24"/>
        </w:rPr>
        <w:t>1、</w:t>
      </w:r>
      <w:r>
        <w:rPr>
          <w:sz w:val="24"/>
          <w:lang w:val="zh-CN"/>
        </w:rPr>
        <w:t>项目名称：</w:t>
      </w:r>
      <w:r>
        <w:rPr>
          <w:rFonts w:hint="eastAsia"/>
          <w:bCs/>
          <w:kern w:val="0"/>
          <w:sz w:val="24"/>
          <w:lang w:eastAsia="zh-CN"/>
        </w:rPr>
        <w:t>音乐舞蹈专业实训设备购置（二次招标）</w:t>
      </w:r>
      <w:r>
        <w:rPr>
          <w:bCs/>
          <w:kern w:val="0"/>
          <w:sz w:val="24"/>
        </w:rPr>
        <w:t>；</w:t>
      </w:r>
    </w:p>
    <w:p>
      <w:pPr>
        <w:pStyle w:val="59"/>
        <w:adjustRightInd w:val="0"/>
        <w:snapToGrid w:val="0"/>
        <w:ind w:firstLine="480"/>
        <w:rPr>
          <w:bCs/>
          <w:kern w:val="0"/>
          <w:sz w:val="24"/>
        </w:rPr>
      </w:pPr>
      <w:r>
        <w:rPr>
          <w:sz w:val="24"/>
        </w:rPr>
        <w:t>2、</w:t>
      </w:r>
      <w:r>
        <w:rPr>
          <w:bCs/>
          <w:kern w:val="0"/>
          <w:sz w:val="24"/>
        </w:rPr>
        <w:t>用途：</w:t>
      </w:r>
      <w:r>
        <w:rPr>
          <w:rFonts w:hint="eastAsia"/>
          <w:bCs/>
          <w:kern w:val="0"/>
          <w:sz w:val="24"/>
        </w:rPr>
        <w:t>工作需求</w:t>
      </w:r>
      <w:r>
        <w:rPr>
          <w:bCs/>
          <w:kern w:val="0"/>
          <w:sz w:val="24"/>
        </w:rPr>
        <w:t>；</w:t>
      </w:r>
    </w:p>
    <w:p>
      <w:pPr>
        <w:pStyle w:val="59"/>
        <w:adjustRightInd w:val="0"/>
        <w:snapToGrid w:val="0"/>
        <w:ind w:firstLine="480"/>
        <w:rPr>
          <w:bCs/>
          <w:kern w:val="0"/>
          <w:sz w:val="24"/>
        </w:rPr>
      </w:pPr>
      <w:r>
        <w:rPr>
          <w:bCs/>
          <w:kern w:val="0"/>
          <w:sz w:val="24"/>
        </w:rPr>
        <w:t>3、数量及分包：一批不分包；</w:t>
      </w:r>
    </w:p>
    <w:p>
      <w:pPr>
        <w:pStyle w:val="59"/>
        <w:adjustRightInd w:val="0"/>
        <w:snapToGrid w:val="0"/>
        <w:ind w:firstLine="480"/>
        <w:rPr>
          <w:sz w:val="24"/>
          <w:lang w:val="zh-CN"/>
        </w:rPr>
      </w:pPr>
      <w:r>
        <w:rPr>
          <w:sz w:val="24"/>
        </w:rPr>
        <w:t>4、</w:t>
      </w:r>
      <w:r>
        <w:rPr>
          <w:sz w:val="24"/>
          <w:lang w:val="zh-CN"/>
        </w:rPr>
        <w:t>简要技术要求或招标性质：详见《用户需求书》；</w:t>
      </w:r>
    </w:p>
    <w:p>
      <w:pPr>
        <w:pStyle w:val="59"/>
        <w:adjustRightInd w:val="0"/>
        <w:snapToGrid w:val="0"/>
        <w:ind w:firstLine="480"/>
        <w:rPr>
          <w:sz w:val="24"/>
        </w:rPr>
      </w:pPr>
      <w:r>
        <w:rPr>
          <w:sz w:val="24"/>
        </w:rPr>
        <w:t>5、采购预算：¥</w:t>
      </w:r>
      <w:r>
        <w:rPr>
          <w:rFonts w:hint="eastAsia"/>
          <w:sz w:val="24"/>
          <w:lang w:val="en-US" w:eastAsia="zh-CN"/>
        </w:rPr>
        <w:t>200.00</w:t>
      </w:r>
      <w:r>
        <w:rPr>
          <w:sz w:val="24"/>
        </w:rPr>
        <w:t>万元，投标报价超出采购预算的视为无效投标。</w:t>
      </w:r>
    </w:p>
    <w:p>
      <w:pPr>
        <w:shd w:val="solid" w:color="FFFFFF" w:fill="auto"/>
        <w:autoSpaceDN w:val="0"/>
        <w:adjustRightInd w:val="0"/>
        <w:snapToGrid w:val="0"/>
        <w:spacing w:line="360" w:lineRule="auto"/>
        <w:rPr>
          <w:b/>
          <w:bCs/>
          <w:sz w:val="30"/>
          <w:szCs w:val="30"/>
        </w:rPr>
      </w:pPr>
      <w:r>
        <w:rPr>
          <w:b/>
          <w:bCs/>
          <w:kern w:val="0"/>
          <w:sz w:val="28"/>
          <w:szCs w:val="28"/>
        </w:rPr>
        <w:t>二、投标人资格要求：（投标人必须具备以下条件并提交相关证明资料）</w:t>
      </w:r>
    </w:p>
    <w:p>
      <w:pPr>
        <w:pStyle w:val="25"/>
        <w:shd w:val="clear" w:color="auto" w:fill="FFFFFF"/>
        <w:spacing w:before="0" w:beforeAutospacing="0" w:after="0" w:afterAutospacing="0" w:line="360" w:lineRule="auto"/>
        <w:ind w:firstLine="240" w:firstLineChars="100"/>
        <w:rPr>
          <w:rFonts w:hint="eastAsia" w:ascii="宋体" w:hAnsi="宋体"/>
          <w:szCs w:val="24"/>
        </w:rPr>
      </w:pPr>
      <w:r>
        <w:rPr>
          <w:rFonts w:hint="eastAsia" w:ascii="宋体" w:hAnsi="宋体"/>
          <w:szCs w:val="24"/>
        </w:rPr>
        <w:t>1、在中华人民共和国注册，具有独立承担民事责任能力的法人，提供营业执照副本复印件、税务登记证复印件、组织机构代码证复印件[如已办以上三证合一的企业仅需提供统一社会信用代码的营业执照即可；</w:t>
      </w:r>
    </w:p>
    <w:p>
      <w:pPr>
        <w:ind w:firstLine="240" w:firstLineChars="100"/>
        <w:rPr>
          <w:rFonts w:hint="eastAsia" w:ascii="宋体" w:hAnsi="宋体"/>
          <w:szCs w:val="24"/>
        </w:rPr>
      </w:pPr>
      <w:r>
        <w:rPr>
          <w:rFonts w:hint="eastAsia" w:ascii="宋体" w:hAnsi="宋体"/>
          <w:sz w:val="24"/>
          <w:szCs w:val="24"/>
          <w:lang w:bidi="ar"/>
        </w:rPr>
        <w:t>2、</w:t>
      </w:r>
      <w:r>
        <w:rPr>
          <w:rFonts w:ascii="宋体" w:hAnsi="宋体" w:cs="宋体"/>
          <w:sz w:val="24"/>
          <w:szCs w:val="24"/>
          <w:lang w:bidi="ar"/>
        </w:rPr>
        <w:t>提供201</w:t>
      </w:r>
      <w:r>
        <w:rPr>
          <w:rFonts w:hint="eastAsia" w:ascii="宋体" w:hAnsi="宋体" w:cs="宋体"/>
          <w:sz w:val="24"/>
          <w:szCs w:val="24"/>
          <w:lang w:bidi="ar"/>
        </w:rPr>
        <w:t>8</w:t>
      </w:r>
      <w:r>
        <w:rPr>
          <w:rFonts w:ascii="宋体" w:hAnsi="宋体" w:cs="宋体"/>
          <w:sz w:val="24"/>
          <w:szCs w:val="24"/>
          <w:lang w:bidi="ar"/>
        </w:rPr>
        <w:t>年近期</w:t>
      </w:r>
      <w:r>
        <w:rPr>
          <w:rFonts w:hint="eastAsia" w:ascii="宋体" w:hAnsi="宋体" w:cs="宋体"/>
          <w:sz w:val="24"/>
          <w:szCs w:val="24"/>
          <w:lang w:bidi="ar"/>
        </w:rPr>
        <w:t>任意</w:t>
      </w:r>
      <w:r>
        <w:rPr>
          <w:rFonts w:hint="eastAsia" w:ascii="宋体" w:hAnsi="宋体" w:cs="宋体"/>
          <w:sz w:val="24"/>
          <w:szCs w:val="24"/>
          <w:lang w:val="en-US" w:eastAsia="zh-CN" w:bidi="ar"/>
        </w:rPr>
        <w:t>1</w:t>
      </w:r>
      <w:r>
        <w:rPr>
          <w:rFonts w:hint="eastAsia" w:ascii="宋体" w:hAnsi="宋体" w:cs="宋体"/>
          <w:sz w:val="24"/>
          <w:szCs w:val="24"/>
          <w:lang w:bidi="ar"/>
        </w:rPr>
        <w:t>个月</w:t>
      </w:r>
      <w:r>
        <w:rPr>
          <w:rFonts w:ascii="宋体" w:hAnsi="宋体" w:cs="宋体"/>
          <w:sz w:val="24"/>
          <w:szCs w:val="24"/>
          <w:lang w:bidi="ar"/>
        </w:rPr>
        <w:t>的纳税证明和社会保障记录的复印件</w:t>
      </w:r>
      <w:r>
        <w:rPr>
          <w:rFonts w:hint="eastAsia" w:ascii="宋体" w:hAnsi="宋体"/>
          <w:szCs w:val="24"/>
        </w:rPr>
        <w:t>；</w:t>
      </w:r>
    </w:p>
    <w:p>
      <w:pPr>
        <w:pStyle w:val="25"/>
        <w:shd w:val="clear" w:color="auto" w:fill="FFFFFF"/>
        <w:spacing w:before="0" w:beforeAutospacing="0" w:after="0" w:afterAutospacing="0" w:line="360" w:lineRule="auto"/>
        <w:ind w:firstLine="240" w:firstLineChars="100"/>
        <w:rPr>
          <w:rFonts w:hint="eastAsia" w:ascii="宋体" w:hAnsi="宋体"/>
          <w:szCs w:val="24"/>
        </w:rPr>
      </w:pPr>
      <w:r>
        <w:rPr>
          <w:rFonts w:hint="eastAsia" w:ascii="宋体" w:hAnsi="宋体"/>
          <w:szCs w:val="24"/>
        </w:rPr>
        <w:t>3、参加政府采购活动前三年内，在经营活动中没有重大违法记录；</w:t>
      </w:r>
    </w:p>
    <w:p>
      <w:pPr>
        <w:shd w:val="clear" w:color="auto" w:fill="FFFFFF"/>
        <w:snapToGrid w:val="0"/>
        <w:spacing w:line="360" w:lineRule="auto"/>
        <w:ind w:firstLine="240" w:firstLineChars="100"/>
        <w:rPr>
          <w:rFonts w:ascii="宋体" w:hAnsi="宋体"/>
          <w:kern w:val="28"/>
          <w:sz w:val="24"/>
        </w:rPr>
      </w:pPr>
      <w:r>
        <w:rPr>
          <w:rFonts w:hint="eastAsia" w:ascii="宋体" w:hAnsi="宋体"/>
          <w:kern w:val="28"/>
          <w:sz w:val="24"/>
          <w:lang w:val="en-US" w:eastAsia="zh-CN"/>
        </w:rPr>
        <w:t>4</w:t>
      </w:r>
      <w:r>
        <w:rPr>
          <w:rFonts w:hint="eastAsia" w:ascii="宋体" w:hAnsi="宋体"/>
          <w:kern w:val="28"/>
          <w:sz w:val="24"/>
        </w:rPr>
        <w:t>、购买本招标文件并缴纳投标保证金</w:t>
      </w:r>
      <w:r>
        <w:rPr>
          <w:rFonts w:hint="eastAsia" w:ascii="宋体" w:hAnsi="宋体"/>
        </w:rPr>
        <w:t>；</w:t>
      </w:r>
      <w:r>
        <w:rPr>
          <w:rFonts w:hint="eastAsia" w:ascii="宋体" w:hAnsi="宋体"/>
          <w:kern w:val="28"/>
          <w:sz w:val="24"/>
        </w:rPr>
        <w:t xml:space="preserve"> </w:t>
      </w:r>
    </w:p>
    <w:p>
      <w:pPr>
        <w:adjustRightInd w:val="0"/>
        <w:snapToGrid w:val="0"/>
        <w:spacing w:line="360" w:lineRule="auto"/>
        <w:ind w:firstLine="240" w:firstLineChars="100"/>
        <w:rPr>
          <w:sz w:val="24"/>
        </w:rPr>
      </w:pPr>
      <w:r>
        <w:rPr>
          <w:rFonts w:hint="eastAsia" w:ascii="宋体" w:hAnsi="宋体"/>
          <w:kern w:val="28"/>
          <w:sz w:val="24"/>
          <w:lang w:val="en-US" w:eastAsia="zh-CN"/>
        </w:rPr>
        <w:t>5</w:t>
      </w:r>
      <w:r>
        <w:rPr>
          <w:rFonts w:hint="eastAsia" w:ascii="宋体" w:hAnsi="宋体"/>
          <w:kern w:val="28"/>
          <w:sz w:val="24"/>
        </w:rPr>
        <w:t>、本项目不接受联合体投标。</w:t>
      </w:r>
    </w:p>
    <w:p>
      <w:pPr>
        <w:shd w:val="solid" w:color="FFFFFF" w:fill="auto"/>
        <w:tabs>
          <w:tab w:val="left" w:pos="540"/>
          <w:tab w:val="left" w:pos="3225"/>
        </w:tabs>
        <w:autoSpaceDN w:val="0"/>
        <w:adjustRightInd w:val="0"/>
        <w:snapToGrid w:val="0"/>
        <w:spacing w:line="360" w:lineRule="auto"/>
        <w:rPr>
          <w:b/>
          <w:bCs/>
          <w:kern w:val="0"/>
          <w:sz w:val="28"/>
          <w:szCs w:val="28"/>
          <w:lang w:val="en-GB"/>
        </w:rPr>
      </w:pPr>
      <w:r>
        <w:rPr>
          <w:b/>
          <w:bCs/>
          <w:kern w:val="0"/>
          <w:sz w:val="28"/>
          <w:szCs w:val="28"/>
          <w:lang w:val="en-GB"/>
        </w:rPr>
        <w:t>三、获取招标文件：</w:t>
      </w:r>
      <w:r>
        <w:rPr>
          <w:b/>
          <w:bCs/>
          <w:kern w:val="0"/>
          <w:sz w:val="28"/>
          <w:szCs w:val="28"/>
          <w:lang w:val="en-GB"/>
        </w:rPr>
        <w:tab/>
      </w:r>
    </w:p>
    <w:p>
      <w:pPr>
        <w:adjustRightInd w:val="0"/>
        <w:snapToGrid w:val="0"/>
        <w:spacing w:line="360" w:lineRule="auto"/>
        <w:ind w:firstLine="480" w:firstLineChars="200"/>
        <w:rPr>
          <w:bCs/>
          <w:kern w:val="0"/>
          <w:sz w:val="24"/>
          <w:lang w:val="en-GB"/>
        </w:rPr>
      </w:pPr>
      <w:r>
        <w:rPr>
          <w:bCs/>
          <w:kern w:val="0"/>
          <w:sz w:val="24"/>
          <w:lang w:val="en-GB"/>
        </w:rPr>
        <w:t>1、时间</w:t>
      </w:r>
      <w:r>
        <w:rPr>
          <w:bCs/>
          <w:kern w:val="0"/>
          <w:sz w:val="24"/>
        </w:rPr>
        <w:t>：</w:t>
      </w:r>
      <w:r>
        <w:rPr>
          <w:rFonts w:hint="eastAsia"/>
          <w:bCs/>
          <w:kern w:val="0"/>
          <w:sz w:val="24"/>
          <w:u w:val="single"/>
          <w:lang w:eastAsia="zh-CN"/>
        </w:rPr>
        <w:t>2018</w:t>
      </w:r>
      <w:r>
        <w:rPr>
          <w:bCs/>
          <w:kern w:val="0"/>
          <w:sz w:val="24"/>
          <w:u w:val="single"/>
          <w:lang w:val="en-GB"/>
        </w:rPr>
        <w:t>年</w:t>
      </w:r>
      <w:r>
        <w:rPr>
          <w:rFonts w:hint="eastAsia"/>
          <w:bCs/>
          <w:kern w:val="0"/>
          <w:sz w:val="24"/>
          <w:u w:val="single"/>
          <w:lang w:val="en-US" w:eastAsia="zh-CN"/>
        </w:rPr>
        <w:t>9</w:t>
      </w:r>
      <w:r>
        <w:rPr>
          <w:bCs/>
          <w:kern w:val="0"/>
          <w:sz w:val="24"/>
          <w:u w:val="single"/>
          <w:lang w:val="en-GB"/>
        </w:rPr>
        <w:t>月</w:t>
      </w:r>
      <w:r>
        <w:rPr>
          <w:rFonts w:hint="eastAsia"/>
          <w:bCs/>
          <w:kern w:val="0"/>
          <w:sz w:val="24"/>
          <w:u w:val="single"/>
          <w:lang w:val="en-US" w:eastAsia="zh-CN"/>
        </w:rPr>
        <w:t>20</w:t>
      </w:r>
      <w:r>
        <w:rPr>
          <w:bCs/>
          <w:kern w:val="0"/>
          <w:sz w:val="24"/>
          <w:u w:val="single"/>
          <w:lang w:val="en-GB"/>
        </w:rPr>
        <w:t>日</w:t>
      </w:r>
      <w:r>
        <w:rPr>
          <w:bCs/>
          <w:kern w:val="0"/>
          <w:sz w:val="24"/>
          <w:lang w:val="en-GB"/>
        </w:rPr>
        <w:t>至</w:t>
      </w:r>
      <w:r>
        <w:rPr>
          <w:rFonts w:hint="eastAsia"/>
          <w:bCs/>
          <w:kern w:val="0"/>
          <w:sz w:val="24"/>
          <w:u w:val="single"/>
          <w:lang w:val="en-GB" w:eastAsia="zh-CN"/>
        </w:rPr>
        <w:t>2018</w:t>
      </w:r>
      <w:r>
        <w:rPr>
          <w:bCs/>
          <w:kern w:val="0"/>
          <w:sz w:val="24"/>
          <w:u w:val="single"/>
          <w:lang w:val="en-GB"/>
        </w:rPr>
        <w:t>年</w:t>
      </w:r>
      <w:r>
        <w:rPr>
          <w:rFonts w:hint="eastAsia"/>
          <w:bCs/>
          <w:kern w:val="0"/>
          <w:sz w:val="24"/>
          <w:u w:val="single"/>
          <w:lang w:val="en-US" w:eastAsia="zh-CN"/>
        </w:rPr>
        <w:t>9</w:t>
      </w:r>
      <w:r>
        <w:rPr>
          <w:bCs/>
          <w:kern w:val="0"/>
          <w:sz w:val="24"/>
          <w:u w:val="single"/>
          <w:lang w:val="en-GB"/>
        </w:rPr>
        <w:t>月</w:t>
      </w:r>
      <w:r>
        <w:rPr>
          <w:rFonts w:hint="eastAsia"/>
          <w:bCs/>
          <w:kern w:val="0"/>
          <w:sz w:val="24"/>
          <w:u w:val="single"/>
          <w:lang w:val="en-US" w:eastAsia="zh-CN"/>
        </w:rPr>
        <w:t>28</w:t>
      </w:r>
      <w:r>
        <w:rPr>
          <w:bCs/>
          <w:kern w:val="0"/>
          <w:sz w:val="24"/>
          <w:u w:val="single"/>
          <w:lang w:val="en-GB"/>
        </w:rPr>
        <w:t>日</w:t>
      </w:r>
      <w:r>
        <w:rPr>
          <w:bCs/>
          <w:kern w:val="0"/>
          <w:sz w:val="24"/>
          <w:lang w:val="en-GB"/>
        </w:rPr>
        <w:t>（上午</w:t>
      </w:r>
      <w:r>
        <w:rPr>
          <w:bCs/>
          <w:kern w:val="0"/>
          <w:sz w:val="24"/>
        </w:rPr>
        <w:t>08</w:t>
      </w:r>
      <w:r>
        <w:rPr>
          <w:bCs/>
          <w:kern w:val="0"/>
          <w:sz w:val="24"/>
          <w:lang w:val="en-GB"/>
        </w:rPr>
        <w:t>:</w:t>
      </w:r>
      <w:r>
        <w:rPr>
          <w:bCs/>
          <w:kern w:val="0"/>
          <w:sz w:val="24"/>
        </w:rPr>
        <w:t>3</w:t>
      </w:r>
      <w:r>
        <w:rPr>
          <w:bCs/>
          <w:kern w:val="0"/>
          <w:sz w:val="24"/>
          <w:lang w:val="en-GB"/>
        </w:rPr>
        <w:t>0－12:</w:t>
      </w:r>
      <w:r>
        <w:rPr>
          <w:bCs/>
          <w:kern w:val="0"/>
          <w:sz w:val="24"/>
        </w:rPr>
        <w:t>0</w:t>
      </w:r>
      <w:r>
        <w:rPr>
          <w:bCs/>
          <w:kern w:val="0"/>
          <w:sz w:val="24"/>
          <w:lang w:val="en-GB"/>
        </w:rPr>
        <w:t>0，下午14:30－17:30，北京时间），节假日除外；</w:t>
      </w:r>
    </w:p>
    <w:p>
      <w:pPr>
        <w:adjustRightInd w:val="0"/>
        <w:snapToGrid w:val="0"/>
        <w:spacing w:line="360" w:lineRule="auto"/>
        <w:ind w:firstLine="480" w:firstLineChars="200"/>
        <w:rPr>
          <w:bCs/>
          <w:kern w:val="0"/>
          <w:sz w:val="24"/>
          <w:lang w:val="en-GB"/>
        </w:rPr>
      </w:pPr>
      <w:r>
        <w:rPr>
          <w:bCs/>
          <w:kern w:val="0"/>
          <w:sz w:val="24"/>
          <w:lang w:val="en-GB"/>
        </w:rPr>
        <w:t>2、标书发售地点</w:t>
      </w:r>
      <w:r>
        <w:rPr>
          <w:bCs/>
          <w:kern w:val="0"/>
          <w:sz w:val="24"/>
        </w:rPr>
        <w:t>：</w:t>
      </w:r>
      <w:r>
        <w:rPr>
          <w:bCs/>
          <w:kern w:val="0"/>
          <w:sz w:val="24"/>
          <w:lang w:val="en-GB"/>
        </w:rPr>
        <w:t>http://218.77.183.48/htms；</w:t>
      </w:r>
    </w:p>
    <w:p>
      <w:pPr>
        <w:adjustRightInd w:val="0"/>
        <w:snapToGrid w:val="0"/>
        <w:spacing w:line="360" w:lineRule="auto"/>
        <w:ind w:firstLine="480" w:firstLineChars="200"/>
        <w:rPr>
          <w:bCs/>
          <w:kern w:val="0"/>
          <w:sz w:val="24"/>
          <w:lang w:val="en-GB"/>
        </w:rPr>
      </w:pPr>
      <w:r>
        <w:rPr>
          <w:bCs/>
          <w:kern w:val="0"/>
          <w:sz w:val="24"/>
        </w:rPr>
        <w:t>3</w:t>
      </w:r>
      <w:r>
        <w:rPr>
          <w:bCs/>
          <w:kern w:val="0"/>
          <w:sz w:val="24"/>
          <w:lang w:val="en-GB"/>
        </w:rPr>
        <w:t>、售价</w:t>
      </w:r>
      <w:r>
        <w:rPr>
          <w:bCs/>
          <w:kern w:val="0"/>
          <w:sz w:val="24"/>
        </w:rPr>
        <w:t>：</w:t>
      </w:r>
      <w:r>
        <w:rPr>
          <w:bCs/>
          <w:kern w:val="0"/>
          <w:sz w:val="24"/>
          <w:lang w:val="en-GB"/>
        </w:rPr>
        <w:t>人民币300元/份（文件售后概不退）。</w:t>
      </w:r>
    </w:p>
    <w:p>
      <w:pPr>
        <w:tabs>
          <w:tab w:val="left" w:pos="540"/>
        </w:tabs>
        <w:adjustRightInd w:val="0"/>
        <w:snapToGrid w:val="0"/>
        <w:spacing w:line="360" w:lineRule="auto"/>
        <w:rPr>
          <w:bCs/>
          <w:kern w:val="0"/>
          <w:sz w:val="28"/>
          <w:szCs w:val="28"/>
          <w:lang w:val="en-GB"/>
        </w:rPr>
      </w:pPr>
      <w:r>
        <w:rPr>
          <w:b/>
          <w:kern w:val="0"/>
          <w:sz w:val="28"/>
          <w:szCs w:val="28"/>
          <w:lang w:val="en-GB"/>
        </w:rPr>
        <w:t>四、投标文件递交截止时间、开标时间及地点：</w:t>
      </w:r>
    </w:p>
    <w:p>
      <w:pPr>
        <w:adjustRightInd w:val="0"/>
        <w:snapToGrid w:val="0"/>
        <w:spacing w:line="360" w:lineRule="auto"/>
        <w:ind w:firstLine="480" w:firstLineChars="200"/>
        <w:rPr>
          <w:kern w:val="0"/>
          <w:sz w:val="24"/>
        </w:rPr>
      </w:pPr>
      <w:r>
        <w:rPr>
          <w:bCs/>
          <w:kern w:val="0"/>
          <w:sz w:val="24"/>
          <w:lang w:val="en-GB"/>
        </w:rPr>
        <w:t>1、递交时间</w:t>
      </w:r>
      <w:r>
        <w:rPr>
          <w:bCs/>
          <w:kern w:val="0"/>
          <w:sz w:val="24"/>
        </w:rPr>
        <w:t>：</w:t>
      </w:r>
      <w:r>
        <w:rPr>
          <w:rFonts w:hint="eastAsia"/>
          <w:bCs/>
          <w:kern w:val="0"/>
          <w:sz w:val="24"/>
          <w:u w:val="single"/>
          <w:lang w:val="en-GB" w:eastAsia="zh-CN"/>
        </w:rPr>
        <w:t>2018</w:t>
      </w:r>
      <w:r>
        <w:rPr>
          <w:bCs/>
          <w:kern w:val="0"/>
          <w:sz w:val="24"/>
          <w:u w:val="single"/>
          <w:lang w:val="en-GB"/>
        </w:rPr>
        <w:t>年</w:t>
      </w:r>
      <w:r>
        <w:rPr>
          <w:rFonts w:hint="eastAsia"/>
          <w:bCs/>
          <w:kern w:val="0"/>
          <w:sz w:val="24"/>
          <w:u w:val="single"/>
          <w:lang w:val="en-US" w:eastAsia="zh-CN"/>
        </w:rPr>
        <w:t>10</w:t>
      </w:r>
      <w:r>
        <w:rPr>
          <w:bCs/>
          <w:kern w:val="0"/>
          <w:sz w:val="24"/>
          <w:u w:val="single"/>
          <w:lang w:val="en-GB"/>
        </w:rPr>
        <w:t>月</w:t>
      </w:r>
      <w:r>
        <w:rPr>
          <w:rFonts w:hint="eastAsia"/>
          <w:bCs/>
          <w:kern w:val="0"/>
          <w:sz w:val="24"/>
          <w:u w:val="single"/>
          <w:lang w:val="en-US" w:eastAsia="zh-CN"/>
        </w:rPr>
        <w:t>11</w:t>
      </w:r>
      <w:r>
        <w:rPr>
          <w:bCs/>
          <w:kern w:val="0"/>
          <w:sz w:val="24"/>
          <w:u w:val="single"/>
          <w:lang w:val="en-GB"/>
        </w:rPr>
        <w:t>日</w:t>
      </w:r>
      <w:r>
        <w:rPr>
          <w:rFonts w:hint="eastAsia"/>
          <w:bCs/>
          <w:kern w:val="0"/>
          <w:sz w:val="24"/>
          <w:u w:val="single"/>
          <w:lang w:val="en-US" w:eastAsia="zh-CN"/>
        </w:rPr>
        <w:t>14:40</w:t>
      </w:r>
      <w:r>
        <w:rPr>
          <w:bCs/>
          <w:kern w:val="0"/>
          <w:sz w:val="24"/>
        </w:rPr>
        <w:t>（北京时间）</w:t>
      </w:r>
      <w:r>
        <w:rPr>
          <w:kern w:val="0"/>
          <w:sz w:val="24"/>
        </w:rPr>
        <w:t>，逾期或不符合规定的投标文件恕不接收；</w:t>
      </w:r>
    </w:p>
    <w:p>
      <w:pPr>
        <w:pStyle w:val="59"/>
        <w:adjustRightInd w:val="0"/>
        <w:snapToGrid w:val="0"/>
        <w:ind w:firstLine="480"/>
        <w:rPr>
          <w:rFonts w:hint="eastAsia"/>
          <w:bCs/>
          <w:kern w:val="0"/>
          <w:sz w:val="24"/>
          <w:lang w:val="en-GB"/>
        </w:rPr>
      </w:pPr>
      <w:r>
        <w:rPr>
          <w:rFonts w:hint="eastAsia"/>
          <w:bCs/>
          <w:kern w:val="0"/>
          <w:sz w:val="24"/>
        </w:rPr>
        <w:t>2</w:t>
      </w:r>
      <w:r>
        <w:rPr>
          <w:rFonts w:hint="eastAsia"/>
          <w:bCs/>
          <w:kern w:val="0"/>
          <w:sz w:val="24"/>
          <w:lang w:val="en-GB"/>
        </w:rPr>
        <w:t>、开标时间</w:t>
      </w:r>
      <w:r>
        <w:rPr>
          <w:rFonts w:hint="eastAsia" w:ascii="Times New Roman" w:hAnsi="Times New Roman" w:eastAsia="宋体" w:cs="Times New Roman"/>
          <w:bCs/>
          <w:kern w:val="0"/>
          <w:sz w:val="24"/>
          <w:szCs w:val="24"/>
          <w:u w:val="single"/>
          <w:lang w:val="en-GB" w:eastAsia="zh-CN" w:bidi="ar-SA"/>
        </w:rPr>
        <w:t>：</w:t>
      </w:r>
      <w:r>
        <w:rPr>
          <w:rFonts w:hint="eastAsia"/>
          <w:bCs/>
          <w:kern w:val="0"/>
          <w:sz w:val="24"/>
          <w:u w:val="single"/>
          <w:lang w:val="en-GB" w:eastAsia="zh-CN"/>
        </w:rPr>
        <w:t>2018</w:t>
      </w:r>
      <w:r>
        <w:rPr>
          <w:bCs/>
          <w:kern w:val="0"/>
          <w:sz w:val="24"/>
          <w:u w:val="single"/>
          <w:lang w:val="en-GB"/>
        </w:rPr>
        <w:t>年</w:t>
      </w:r>
      <w:r>
        <w:rPr>
          <w:rFonts w:hint="eastAsia"/>
          <w:bCs/>
          <w:kern w:val="0"/>
          <w:sz w:val="24"/>
          <w:u w:val="single"/>
          <w:lang w:val="en-US" w:eastAsia="zh-CN"/>
        </w:rPr>
        <w:t>10</w:t>
      </w:r>
      <w:r>
        <w:rPr>
          <w:bCs/>
          <w:kern w:val="0"/>
          <w:sz w:val="24"/>
          <w:u w:val="single"/>
          <w:lang w:val="en-GB"/>
        </w:rPr>
        <w:t>月</w:t>
      </w:r>
      <w:r>
        <w:rPr>
          <w:rFonts w:hint="eastAsia"/>
          <w:bCs/>
          <w:kern w:val="0"/>
          <w:sz w:val="24"/>
          <w:u w:val="single"/>
          <w:lang w:val="en-US" w:eastAsia="zh-CN"/>
        </w:rPr>
        <w:t>11</w:t>
      </w:r>
      <w:r>
        <w:rPr>
          <w:bCs/>
          <w:kern w:val="0"/>
          <w:sz w:val="24"/>
          <w:u w:val="single"/>
          <w:lang w:val="en-GB"/>
        </w:rPr>
        <w:t>日</w:t>
      </w:r>
      <w:r>
        <w:rPr>
          <w:rFonts w:hint="eastAsia"/>
          <w:bCs/>
          <w:kern w:val="0"/>
          <w:sz w:val="24"/>
          <w:u w:val="single"/>
          <w:lang w:val="en-US" w:eastAsia="zh-CN"/>
        </w:rPr>
        <w:t>14:40</w:t>
      </w:r>
      <w:r>
        <w:rPr>
          <w:rFonts w:hint="eastAsia"/>
          <w:bCs/>
          <w:kern w:val="0"/>
          <w:sz w:val="24"/>
          <w:lang w:val="en-GB"/>
        </w:rPr>
        <w:t>；</w:t>
      </w:r>
    </w:p>
    <w:p>
      <w:pPr>
        <w:pStyle w:val="59"/>
        <w:adjustRightInd w:val="0"/>
        <w:snapToGrid w:val="0"/>
        <w:ind w:firstLine="480"/>
        <w:rPr>
          <w:rFonts w:hint="eastAsia"/>
          <w:bCs/>
          <w:kern w:val="0"/>
          <w:sz w:val="24"/>
          <w:lang w:val="zh-CN"/>
        </w:rPr>
      </w:pPr>
      <w:r>
        <w:rPr>
          <w:rFonts w:hint="eastAsia"/>
          <w:bCs/>
          <w:kern w:val="0"/>
          <w:sz w:val="24"/>
          <w:lang w:val="zh-CN"/>
        </w:rPr>
        <w:t>3</w:t>
      </w:r>
      <w:r>
        <w:rPr>
          <w:rFonts w:hint="eastAsia"/>
          <w:bCs/>
          <w:kern w:val="0"/>
          <w:sz w:val="24"/>
          <w:lang w:val="en-GB"/>
        </w:rPr>
        <w:t>、开标地点</w:t>
      </w:r>
      <w:r>
        <w:rPr>
          <w:rFonts w:hint="eastAsia"/>
          <w:bCs/>
          <w:kern w:val="0"/>
          <w:sz w:val="24"/>
          <w:lang w:val="zh-CN"/>
        </w:rPr>
        <w:t>：</w:t>
      </w:r>
      <w:r>
        <w:rPr>
          <w:rFonts w:hint="eastAsia" w:ascii="宋体" w:hAnsi="宋体" w:cs="Arial"/>
          <w:color w:val="auto"/>
          <w:sz w:val="24"/>
        </w:rPr>
        <w:t>海口市国兴大道海南省公共资源交易服务中心（省政务中心旁会展楼）二楼</w:t>
      </w:r>
      <w:r>
        <w:rPr>
          <w:rFonts w:hint="eastAsia" w:ascii="宋体" w:hAnsi="宋体" w:cs="Arial"/>
          <w:color w:val="auto"/>
          <w:sz w:val="24"/>
          <w:u w:val="single"/>
          <w:lang w:val="en-US" w:eastAsia="zh-CN"/>
        </w:rPr>
        <w:t>207</w:t>
      </w:r>
      <w:r>
        <w:rPr>
          <w:rFonts w:hint="eastAsia" w:ascii="宋体" w:hAnsi="宋体" w:cs="Arial"/>
          <w:color w:val="auto"/>
          <w:sz w:val="24"/>
        </w:rPr>
        <w:t>开标室</w:t>
      </w:r>
      <w:r>
        <w:rPr>
          <w:rFonts w:hint="eastAsia"/>
          <w:bCs/>
          <w:kern w:val="0"/>
          <w:sz w:val="24"/>
          <w:lang w:val="zh-CN"/>
        </w:rPr>
        <w:t>；</w:t>
      </w:r>
    </w:p>
    <w:p>
      <w:pPr>
        <w:pStyle w:val="59"/>
        <w:adjustRightInd w:val="0"/>
        <w:snapToGrid w:val="0"/>
        <w:ind w:firstLine="480"/>
        <w:rPr>
          <w:rFonts w:hint="eastAsia"/>
          <w:bCs/>
          <w:kern w:val="0"/>
          <w:sz w:val="24"/>
          <w:lang w:val="zh-CN"/>
        </w:rPr>
      </w:pPr>
      <w:r>
        <w:rPr>
          <w:rFonts w:hint="eastAsia"/>
          <w:bCs/>
          <w:kern w:val="0"/>
          <w:sz w:val="24"/>
          <w:lang w:val="zh-CN"/>
        </w:rPr>
        <w:t>4、公告发布媒介：</w:t>
      </w:r>
      <w:r>
        <w:rPr>
          <w:rFonts w:hint="eastAsia" w:ascii="宋体" w:hAnsi="宋体" w:cs="Arial"/>
          <w:color w:val="auto"/>
          <w:sz w:val="24"/>
        </w:rPr>
        <w:t>www.ccgp-hainan.gov.cn和</w:t>
      </w:r>
      <w:r>
        <w:rPr>
          <w:rFonts w:hint="eastAsia" w:ascii="宋体" w:hAnsi="宋体" w:cs="Arial"/>
          <w:color w:val="auto"/>
          <w:sz w:val="24"/>
        </w:rPr>
        <w:fldChar w:fldCharType="begin"/>
      </w:r>
      <w:r>
        <w:rPr>
          <w:rFonts w:hint="eastAsia" w:ascii="宋体" w:hAnsi="宋体" w:cs="Arial"/>
          <w:color w:val="auto"/>
          <w:sz w:val="24"/>
        </w:rPr>
        <w:instrText xml:space="preserve"> HYPERLINK "http://www.hizw.gov.cn" </w:instrText>
      </w:r>
      <w:r>
        <w:rPr>
          <w:rFonts w:hint="eastAsia" w:ascii="宋体" w:hAnsi="宋体" w:cs="Arial"/>
          <w:color w:val="auto"/>
          <w:sz w:val="24"/>
        </w:rPr>
        <w:fldChar w:fldCharType="separate"/>
      </w:r>
      <w:r>
        <w:rPr>
          <w:rFonts w:hint="eastAsia" w:ascii="宋体" w:hAnsi="宋体" w:cs="Arial"/>
          <w:color w:val="auto"/>
          <w:sz w:val="24"/>
        </w:rPr>
        <w:t>www.hizw.gov.cn</w:t>
      </w:r>
      <w:r>
        <w:rPr>
          <w:rFonts w:hint="eastAsia" w:ascii="宋体" w:hAnsi="宋体" w:cs="Arial"/>
          <w:color w:val="auto"/>
          <w:sz w:val="24"/>
        </w:rPr>
        <w:fldChar w:fldCharType="end"/>
      </w:r>
      <w:r>
        <w:rPr>
          <w:rFonts w:hint="eastAsia" w:ascii="宋体" w:hAnsi="宋体" w:cs="Arial"/>
          <w:color w:val="auto"/>
          <w:sz w:val="24"/>
          <w:lang w:val="zh-CN"/>
        </w:rPr>
        <w:t>。</w:t>
      </w:r>
    </w:p>
    <w:p>
      <w:pPr>
        <w:autoSpaceDE w:val="0"/>
        <w:autoSpaceDN w:val="0"/>
        <w:adjustRightInd w:val="0"/>
        <w:snapToGrid w:val="0"/>
        <w:spacing w:line="360" w:lineRule="auto"/>
        <w:rPr>
          <w:b/>
          <w:bCs/>
          <w:sz w:val="28"/>
          <w:szCs w:val="28"/>
        </w:rPr>
      </w:pPr>
      <w:r>
        <w:rPr>
          <w:b/>
          <w:bCs/>
          <w:sz w:val="28"/>
          <w:szCs w:val="28"/>
          <w:lang w:val="zh-CN"/>
        </w:rPr>
        <w:t>五、其他</w:t>
      </w:r>
    </w:p>
    <w:p>
      <w:pPr>
        <w:widowControl/>
        <w:autoSpaceDN w:val="0"/>
        <w:adjustRightInd w:val="0"/>
        <w:snapToGrid w:val="0"/>
        <w:spacing w:line="360" w:lineRule="auto"/>
        <w:ind w:firstLine="484" w:firstLineChars="202"/>
        <w:jc w:val="left"/>
        <w:rPr>
          <w:sz w:val="24"/>
        </w:rPr>
      </w:pPr>
      <w:r>
        <w:rPr>
          <w:sz w:val="24"/>
        </w:rPr>
        <w:t>1、必须在海南省人民政府政务服务中心企业信息管理系统（http://218.77.183.48）中注册并备案通过，然后登陆电子招投标系统（http://218.77.183.48/htms）下载、购买电子版的招标文件；</w:t>
      </w:r>
    </w:p>
    <w:p>
      <w:pPr>
        <w:widowControl/>
        <w:autoSpaceDN w:val="0"/>
        <w:adjustRightInd w:val="0"/>
        <w:snapToGrid w:val="0"/>
        <w:spacing w:line="360" w:lineRule="auto"/>
        <w:ind w:firstLine="484" w:firstLineChars="202"/>
        <w:jc w:val="left"/>
        <w:rPr>
          <w:sz w:val="24"/>
        </w:rPr>
      </w:pPr>
      <w:r>
        <w:rPr>
          <w:sz w:val="24"/>
        </w:rPr>
        <w:t>2、投标截止日期前，必须在网上上传电子投标文件——PDF格式(使用WinRAR加密压缩)。</w:t>
      </w:r>
    </w:p>
    <w:p>
      <w:pPr>
        <w:autoSpaceDE w:val="0"/>
        <w:autoSpaceDN w:val="0"/>
        <w:adjustRightInd w:val="0"/>
        <w:snapToGrid w:val="0"/>
        <w:spacing w:line="360" w:lineRule="auto"/>
        <w:rPr>
          <w:b/>
          <w:bCs/>
          <w:sz w:val="28"/>
          <w:szCs w:val="28"/>
          <w:lang w:val="zh-CN"/>
        </w:rPr>
      </w:pPr>
      <w:r>
        <w:rPr>
          <w:b/>
          <w:bCs/>
          <w:sz w:val="28"/>
          <w:szCs w:val="28"/>
          <w:lang w:val="zh-CN"/>
        </w:rPr>
        <w:t>六、招标人联系方式：</w:t>
      </w:r>
    </w:p>
    <w:p>
      <w:pPr>
        <w:adjustRightInd w:val="0"/>
        <w:snapToGrid w:val="0"/>
        <w:spacing w:line="360" w:lineRule="auto"/>
        <w:ind w:firstLine="480" w:firstLineChars="200"/>
        <w:rPr>
          <w:sz w:val="24"/>
        </w:rPr>
      </w:pPr>
      <w:r>
        <w:rPr>
          <w:sz w:val="24"/>
        </w:rPr>
        <w:t>代理机构:</w:t>
      </w:r>
      <w:r>
        <w:rPr>
          <w:bCs/>
          <w:kern w:val="0"/>
          <w:sz w:val="24"/>
          <w:lang w:val="en-GB"/>
        </w:rPr>
        <w:t>海南泰尚项目投资管理有限公司</w:t>
      </w:r>
    </w:p>
    <w:p>
      <w:pPr>
        <w:adjustRightInd w:val="0"/>
        <w:snapToGrid w:val="0"/>
        <w:spacing w:line="360" w:lineRule="auto"/>
        <w:ind w:firstLine="480" w:firstLineChars="200"/>
        <w:rPr>
          <w:sz w:val="24"/>
        </w:rPr>
      </w:pPr>
      <w:r>
        <w:rPr>
          <w:sz w:val="24"/>
        </w:rPr>
        <w:t>地址: 海口市美兰区蓝天路名门广场北区B座1-5号605室</w:t>
      </w:r>
    </w:p>
    <w:p>
      <w:pPr>
        <w:adjustRightInd w:val="0"/>
        <w:snapToGrid w:val="0"/>
        <w:spacing w:line="360" w:lineRule="auto"/>
        <w:ind w:firstLine="480" w:firstLineChars="200"/>
        <w:rPr>
          <w:sz w:val="24"/>
        </w:rPr>
      </w:pPr>
      <w:r>
        <w:rPr>
          <w:sz w:val="24"/>
        </w:rPr>
        <w:t>项目联系人:</w:t>
      </w:r>
      <w:r>
        <w:rPr>
          <w:rFonts w:hint="eastAsia"/>
          <w:sz w:val="24"/>
          <w:lang w:eastAsia="zh-CN"/>
        </w:rPr>
        <w:t>谷</w:t>
      </w:r>
      <w:r>
        <w:rPr>
          <w:sz w:val="24"/>
        </w:rPr>
        <w:t>先生</w:t>
      </w:r>
    </w:p>
    <w:p>
      <w:pPr>
        <w:adjustRightInd w:val="0"/>
        <w:snapToGrid w:val="0"/>
        <w:spacing w:line="360" w:lineRule="auto"/>
        <w:ind w:firstLine="480" w:firstLineChars="200"/>
        <w:rPr>
          <w:sz w:val="24"/>
        </w:rPr>
      </w:pPr>
      <w:r>
        <w:rPr>
          <w:sz w:val="24"/>
        </w:rPr>
        <w:t>固定电话：0898-65372004</w:t>
      </w:r>
    </w:p>
    <w:p>
      <w:pPr>
        <w:adjustRightInd w:val="0"/>
        <w:snapToGrid w:val="0"/>
        <w:spacing w:line="360" w:lineRule="auto"/>
        <w:ind w:firstLine="480" w:firstLineChars="200"/>
        <w:rPr>
          <w:sz w:val="24"/>
        </w:rPr>
      </w:pPr>
      <w:r>
        <w:rPr>
          <w:sz w:val="24"/>
        </w:rPr>
        <w:t>传真号：0898-65372004</w:t>
      </w:r>
    </w:p>
    <w:p>
      <w:pPr>
        <w:spacing w:line="440" w:lineRule="exact"/>
        <w:rPr>
          <w:bCs/>
          <w:kern w:val="0"/>
          <w:sz w:val="24"/>
          <w:lang w:val="en-GB"/>
        </w:rPr>
      </w:pPr>
    </w:p>
    <w:p>
      <w:pPr>
        <w:spacing w:line="440" w:lineRule="exact"/>
        <w:rPr>
          <w:bCs/>
          <w:kern w:val="0"/>
          <w:sz w:val="24"/>
          <w:lang w:val="en-GB"/>
        </w:rPr>
      </w:pPr>
    </w:p>
    <w:p>
      <w:pPr>
        <w:spacing w:line="440" w:lineRule="exact"/>
        <w:rPr>
          <w:bCs/>
          <w:kern w:val="0"/>
          <w:sz w:val="24"/>
          <w:lang w:val="en-GB"/>
        </w:rPr>
      </w:pPr>
    </w:p>
    <w:p>
      <w:pPr>
        <w:spacing w:line="440" w:lineRule="exact"/>
        <w:rPr>
          <w:bCs/>
          <w:kern w:val="0"/>
          <w:sz w:val="24"/>
          <w:lang w:val="en-GB"/>
        </w:rPr>
      </w:pPr>
    </w:p>
    <w:p>
      <w:pPr>
        <w:spacing w:line="440" w:lineRule="exact"/>
        <w:rPr>
          <w:bCs/>
          <w:kern w:val="0"/>
          <w:sz w:val="24"/>
          <w:lang w:val="en-GB"/>
        </w:rPr>
      </w:pPr>
    </w:p>
    <w:p>
      <w:pPr>
        <w:spacing w:line="440" w:lineRule="exact"/>
        <w:rPr>
          <w:bCs/>
          <w:kern w:val="0"/>
          <w:sz w:val="24"/>
          <w:lang w:val="en-GB"/>
        </w:rPr>
      </w:pPr>
    </w:p>
    <w:p>
      <w:pPr>
        <w:spacing w:beforeLines="50" w:afterLines="50" w:line="360" w:lineRule="auto"/>
        <w:jc w:val="center"/>
        <w:outlineLvl w:val="0"/>
        <w:rPr>
          <w:sz w:val="30"/>
          <w:szCs w:val="30"/>
        </w:rPr>
      </w:pPr>
      <w:r>
        <w:rPr>
          <w:kern w:val="0"/>
          <w:sz w:val="24"/>
          <w:lang w:val="en-GB"/>
        </w:rPr>
        <w:br w:type="page"/>
      </w:r>
      <w:bookmarkStart w:id="24" w:name="_Toc23192"/>
      <w:r>
        <w:rPr>
          <w:rStyle w:val="43"/>
          <w:rFonts w:ascii="Times New Roman" w:hAnsi="Times New Roman"/>
          <w:b/>
          <w:bCs/>
          <w:sz w:val="44"/>
          <w:szCs w:val="44"/>
        </w:rPr>
        <w:t>第二部分投标人须知</w:t>
      </w:r>
      <w:bookmarkEnd w:id="24"/>
    </w:p>
    <w:p>
      <w:pPr>
        <w:autoSpaceDE w:val="0"/>
        <w:autoSpaceDN w:val="0"/>
        <w:adjustRightInd w:val="0"/>
        <w:snapToGrid w:val="0"/>
        <w:spacing w:beforeLines="50" w:afterLines="50" w:line="440" w:lineRule="exact"/>
        <w:rPr>
          <w:b/>
          <w:bCs/>
          <w:sz w:val="28"/>
          <w:szCs w:val="28"/>
          <w:lang w:val="zh-CN"/>
        </w:rPr>
      </w:pPr>
      <w:r>
        <w:rPr>
          <w:b/>
          <w:bCs/>
          <w:sz w:val="28"/>
          <w:szCs w:val="28"/>
        </w:rPr>
        <w:t>一、</w:t>
      </w:r>
      <w:r>
        <w:rPr>
          <w:b/>
          <w:bCs/>
          <w:sz w:val="28"/>
          <w:szCs w:val="28"/>
          <w:lang w:val="zh-CN"/>
        </w:rPr>
        <w:t>总则</w:t>
      </w:r>
    </w:p>
    <w:p>
      <w:pPr>
        <w:adjustRightInd w:val="0"/>
        <w:snapToGrid w:val="0"/>
        <w:spacing w:line="360" w:lineRule="auto"/>
        <w:ind w:firstLine="482" w:firstLineChars="200"/>
        <w:rPr>
          <w:b/>
          <w:bCs/>
          <w:sz w:val="24"/>
        </w:rPr>
      </w:pPr>
      <w:r>
        <w:rPr>
          <w:b/>
          <w:bCs/>
          <w:sz w:val="24"/>
        </w:rPr>
        <w:t>1、适用范围</w:t>
      </w:r>
    </w:p>
    <w:p>
      <w:pPr>
        <w:ind w:firstLine="480" w:firstLineChars="200"/>
        <w:rPr>
          <w:sz w:val="24"/>
        </w:rPr>
      </w:pPr>
      <w:r>
        <w:rPr>
          <w:sz w:val="24"/>
        </w:rPr>
        <w:t>本</w:t>
      </w:r>
      <w:r>
        <w:rPr>
          <w:bCs/>
          <w:kern w:val="0"/>
          <w:sz w:val="24"/>
          <w:lang w:val="en-GB"/>
        </w:rPr>
        <w:t>招标</w:t>
      </w:r>
      <w:r>
        <w:rPr>
          <w:sz w:val="24"/>
        </w:rPr>
        <w:t>文件仅适用于</w:t>
      </w:r>
      <w:r>
        <w:rPr>
          <w:bCs/>
          <w:kern w:val="0"/>
          <w:sz w:val="24"/>
          <w:lang w:val="en-GB"/>
        </w:rPr>
        <w:t>本次投标邀请中所叙述的项目。</w:t>
      </w:r>
    </w:p>
    <w:p>
      <w:pPr>
        <w:tabs>
          <w:tab w:val="left" w:pos="7665"/>
        </w:tabs>
        <w:spacing w:line="440" w:lineRule="exact"/>
        <w:ind w:firstLine="482" w:firstLineChars="200"/>
        <w:rPr>
          <w:b/>
          <w:sz w:val="24"/>
        </w:rPr>
      </w:pPr>
      <w:r>
        <w:rPr>
          <w:b/>
          <w:sz w:val="24"/>
        </w:rPr>
        <w:t>2、有关定义及相应职责</w:t>
      </w:r>
    </w:p>
    <w:p>
      <w:pPr>
        <w:tabs>
          <w:tab w:val="left" w:pos="7665"/>
        </w:tabs>
        <w:spacing w:line="440" w:lineRule="exact"/>
        <w:ind w:firstLine="480" w:firstLineChars="200"/>
        <w:jc w:val="left"/>
        <w:rPr>
          <w:sz w:val="24"/>
        </w:rPr>
      </w:pPr>
      <w:r>
        <w:rPr>
          <w:sz w:val="24"/>
        </w:rPr>
        <w:t>2.1 “采购人”系指依法进行政府采购的国家机关、事业单位、团体组织。本次</w:t>
      </w:r>
      <w:r>
        <w:rPr>
          <w:bCs/>
          <w:kern w:val="0"/>
          <w:sz w:val="24"/>
          <w:lang w:val="en-GB"/>
        </w:rPr>
        <w:t>招标的</w:t>
      </w:r>
      <w:r>
        <w:rPr>
          <w:sz w:val="24"/>
        </w:rPr>
        <w:t>采购人是</w:t>
      </w:r>
      <w:r>
        <w:rPr>
          <w:rFonts w:hint="eastAsia"/>
          <w:b/>
          <w:sz w:val="24"/>
          <w:lang w:eastAsia="zh-CN"/>
        </w:rPr>
        <w:t>东方市职业技术学校</w:t>
      </w:r>
      <w:r>
        <w:rPr>
          <w:sz w:val="24"/>
        </w:rPr>
        <w:t>。</w:t>
      </w:r>
    </w:p>
    <w:p>
      <w:pPr>
        <w:tabs>
          <w:tab w:val="left" w:pos="7665"/>
        </w:tabs>
        <w:spacing w:line="440" w:lineRule="exact"/>
        <w:ind w:firstLine="480" w:firstLineChars="200"/>
        <w:jc w:val="left"/>
        <w:rPr>
          <w:sz w:val="24"/>
        </w:rPr>
      </w:pPr>
      <w:r>
        <w:rPr>
          <w:sz w:val="24"/>
        </w:rPr>
        <w:t>2.2 “招标人”系指受采购人的委托依法办理</w:t>
      </w:r>
      <w:r>
        <w:rPr>
          <w:bCs/>
          <w:kern w:val="0"/>
          <w:sz w:val="24"/>
          <w:lang w:val="en-GB"/>
        </w:rPr>
        <w:t>招标</w:t>
      </w:r>
      <w:r>
        <w:rPr>
          <w:sz w:val="24"/>
        </w:rPr>
        <w:t>事宜的机构。本次</w:t>
      </w:r>
      <w:r>
        <w:rPr>
          <w:bCs/>
          <w:kern w:val="0"/>
          <w:sz w:val="24"/>
          <w:lang w:val="en-GB"/>
        </w:rPr>
        <w:t>招标</w:t>
      </w:r>
      <w:r>
        <w:rPr>
          <w:sz w:val="24"/>
        </w:rPr>
        <w:t>的采购代理机构是</w:t>
      </w:r>
      <w:r>
        <w:rPr>
          <w:b/>
          <w:bCs/>
          <w:kern w:val="0"/>
          <w:sz w:val="24"/>
          <w:lang w:val="en-GB"/>
        </w:rPr>
        <w:t>海南泰尚项目投资管理有限公司</w:t>
      </w:r>
      <w:r>
        <w:rPr>
          <w:sz w:val="24"/>
        </w:rPr>
        <w:t>。</w:t>
      </w:r>
    </w:p>
    <w:p>
      <w:pPr>
        <w:tabs>
          <w:tab w:val="left" w:pos="7665"/>
        </w:tabs>
        <w:spacing w:line="440" w:lineRule="exact"/>
        <w:ind w:firstLine="480" w:firstLineChars="200"/>
        <w:jc w:val="left"/>
        <w:rPr>
          <w:sz w:val="24"/>
        </w:rPr>
      </w:pPr>
      <w:r>
        <w:rPr>
          <w:sz w:val="24"/>
        </w:rPr>
        <w:t>2.3 “投标人”系指实名购买</w:t>
      </w:r>
      <w:r>
        <w:rPr>
          <w:bCs/>
          <w:kern w:val="0"/>
          <w:sz w:val="24"/>
          <w:lang w:val="en-GB"/>
        </w:rPr>
        <w:t>招标</w:t>
      </w:r>
      <w:r>
        <w:rPr>
          <w:sz w:val="24"/>
        </w:rPr>
        <w:t>文件拟参加投标和拟向采购人提供货物及相应服务的投标单位。其职责如下：</w:t>
      </w:r>
    </w:p>
    <w:p>
      <w:pPr>
        <w:tabs>
          <w:tab w:val="left" w:pos="7665"/>
        </w:tabs>
        <w:spacing w:line="440" w:lineRule="exact"/>
        <w:ind w:firstLine="480" w:firstLineChars="200"/>
        <w:jc w:val="left"/>
        <w:rPr>
          <w:sz w:val="24"/>
        </w:rPr>
      </w:pPr>
      <w:r>
        <w:rPr>
          <w:sz w:val="24"/>
        </w:rPr>
        <w:t>2.3.1对</w:t>
      </w:r>
      <w:r>
        <w:rPr>
          <w:bCs/>
          <w:kern w:val="0"/>
          <w:sz w:val="24"/>
          <w:lang w:val="en-GB"/>
        </w:rPr>
        <w:t>招标</w:t>
      </w:r>
      <w:r>
        <w:rPr>
          <w:sz w:val="24"/>
        </w:rPr>
        <w:t>文件错、漏之处提出澄清、说明要求或质疑；</w:t>
      </w:r>
    </w:p>
    <w:p>
      <w:pPr>
        <w:tabs>
          <w:tab w:val="left" w:pos="3060"/>
        </w:tabs>
        <w:spacing w:line="440" w:lineRule="exact"/>
        <w:ind w:firstLine="480" w:firstLineChars="200"/>
        <w:jc w:val="left"/>
        <w:rPr>
          <w:sz w:val="24"/>
        </w:rPr>
      </w:pPr>
      <w:r>
        <w:rPr>
          <w:sz w:val="24"/>
        </w:rPr>
        <w:t>2.3.2按要求交纳投标保证金；</w:t>
      </w:r>
    </w:p>
    <w:p>
      <w:pPr>
        <w:tabs>
          <w:tab w:val="left" w:pos="3060"/>
        </w:tabs>
        <w:spacing w:line="440" w:lineRule="exact"/>
        <w:ind w:firstLine="480" w:firstLineChars="200"/>
        <w:jc w:val="left"/>
        <w:rPr>
          <w:sz w:val="24"/>
        </w:rPr>
      </w:pPr>
      <w:r>
        <w:rPr>
          <w:sz w:val="24"/>
        </w:rPr>
        <w:t>2.3.3按要求编制投标文件；</w:t>
      </w:r>
    </w:p>
    <w:p>
      <w:pPr>
        <w:tabs>
          <w:tab w:val="left" w:pos="3060"/>
        </w:tabs>
        <w:spacing w:line="440" w:lineRule="exact"/>
        <w:ind w:firstLine="480" w:firstLineChars="200"/>
        <w:jc w:val="left"/>
        <w:rPr>
          <w:sz w:val="24"/>
        </w:rPr>
      </w:pPr>
      <w:r>
        <w:rPr>
          <w:sz w:val="24"/>
        </w:rPr>
        <w:t>2.3.4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jc w:val="left"/>
        <w:rPr>
          <w:sz w:val="24"/>
        </w:rPr>
      </w:pPr>
      <w:r>
        <w:rPr>
          <w:sz w:val="24"/>
        </w:rPr>
        <w:t>2.3.5配合相关职能部门就</w:t>
      </w:r>
      <w:r>
        <w:rPr>
          <w:bCs/>
          <w:kern w:val="0"/>
          <w:sz w:val="24"/>
          <w:lang w:val="en-GB"/>
        </w:rPr>
        <w:t>公开招标采购</w:t>
      </w:r>
      <w:r>
        <w:rPr>
          <w:sz w:val="24"/>
        </w:rPr>
        <w:t>项目的质疑、投诉和举报的处理工作；</w:t>
      </w:r>
    </w:p>
    <w:p>
      <w:pPr>
        <w:tabs>
          <w:tab w:val="left" w:pos="3060"/>
        </w:tabs>
        <w:spacing w:line="440" w:lineRule="exact"/>
        <w:ind w:firstLine="480" w:firstLineChars="200"/>
        <w:jc w:val="left"/>
        <w:rPr>
          <w:sz w:val="24"/>
        </w:rPr>
      </w:pPr>
      <w:r>
        <w:rPr>
          <w:sz w:val="24"/>
        </w:rPr>
        <w:t>2.3.6与采购人签订采购合同，按照合同规定向采购人提供货物或服务；</w:t>
      </w:r>
    </w:p>
    <w:p>
      <w:pPr>
        <w:tabs>
          <w:tab w:val="left" w:pos="7665"/>
        </w:tabs>
        <w:spacing w:line="440" w:lineRule="exact"/>
        <w:ind w:firstLine="480" w:firstLineChars="200"/>
        <w:jc w:val="left"/>
        <w:rPr>
          <w:sz w:val="24"/>
        </w:rPr>
      </w:pPr>
      <w:r>
        <w:rPr>
          <w:sz w:val="24"/>
        </w:rPr>
        <w:t>2.3.7政府采购法律法规所规定的其他职责。</w:t>
      </w:r>
      <w:bookmarkStart w:id="25" w:name="_Toc183582207"/>
      <w:bookmarkStart w:id="26" w:name="_Toc217390843"/>
      <w:bookmarkStart w:id="27" w:name="_Toc217446036"/>
      <w:bookmarkStart w:id="28" w:name="_Toc183682344"/>
    </w:p>
    <w:p>
      <w:pPr>
        <w:tabs>
          <w:tab w:val="left" w:pos="7665"/>
        </w:tabs>
        <w:spacing w:line="440" w:lineRule="exact"/>
        <w:ind w:firstLine="480" w:firstLineChars="200"/>
        <w:jc w:val="left"/>
        <w:rPr>
          <w:sz w:val="24"/>
        </w:rPr>
      </w:pPr>
      <w:r>
        <w:rPr>
          <w:sz w:val="24"/>
        </w:rPr>
        <w:t>2.4 合格的投标人</w:t>
      </w:r>
      <w:bookmarkEnd w:id="25"/>
      <w:bookmarkEnd w:id="26"/>
      <w:bookmarkEnd w:id="27"/>
      <w:bookmarkEnd w:id="28"/>
      <w:bookmarkStart w:id="29" w:name="_Toc183682345"/>
      <w:bookmarkStart w:id="30" w:name="_Toc183582208"/>
      <w:bookmarkStart w:id="31" w:name="_Toc217446037"/>
    </w:p>
    <w:p>
      <w:pPr>
        <w:tabs>
          <w:tab w:val="left" w:pos="7665"/>
        </w:tabs>
        <w:spacing w:line="440" w:lineRule="exact"/>
        <w:ind w:firstLine="480" w:firstLineChars="200"/>
        <w:jc w:val="left"/>
        <w:rPr>
          <w:bCs/>
          <w:kern w:val="0"/>
          <w:sz w:val="24"/>
          <w:lang w:val="en-GB"/>
        </w:rPr>
      </w:pPr>
      <w:r>
        <w:rPr>
          <w:bCs/>
          <w:kern w:val="0"/>
          <w:sz w:val="24"/>
        </w:rPr>
        <w:t>2.4.1</w:t>
      </w:r>
      <w:r>
        <w:rPr>
          <w:bCs/>
          <w:kern w:val="0"/>
          <w:sz w:val="24"/>
          <w:lang w:val="en-GB"/>
        </w:rPr>
        <w:t>符合《中华人民共和国政府采购法》第22条规定的供应商。</w:t>
      </w:r>
    </w:p>
    <w:p>
      <w:pPr>
        <w:tabs>
          <w:tab w:val="left" w:pos="7665"/>
        </w:tabs>
        <w:spacing w:line="440" w:lineRule="exact"/>
        <w:ind w:firstLine="480" w:firstLineChars="200"/>
        <w:jc w:val="left"/>
        <w:rPr>
          <w:bCs/>
          <w:kern w:val="0"/>
          <w:sz w:val="24"/>
          <w:lang w:val="en-GB"/>
        </w:rPr>
      </w:pPr>
      <w:r>
        <w:rPr>
          <w:bCs/>
          <w:kern w:val="0"/>
          <w:sz w:val="24"/>
        </w:rPr>
        <w:t>2.4.2</w:t>
      </w:r>
      <w:r>
        <w:rPr>
          <w:bCs/>
          <w:kern w:val="0"/>
          <w:sz w:val="24"/>
          <w:lang w:val="en-GB"/>
        </w:rPr>
        <w:t>符合招标文件规定资质要求，有能力提供满足招标要求的相关货物及服务的法人实体。</w:t>
      </w:r>
    </w:p>
    <w:p>
      <w:pPr>
        <w:tabs>
          <w:tab w:val="left" w:pos="7665"/>
        </w:tabs>
        <w:spacing w:line="440" w:lineRule="exact"/>
        <w:ind w:firstLine="480" w:firstLineChars="200"/>
        <w:jc w:val="left"/>
        <w:rPr>
          <w:bCs/>
          <w:kern w:val="0"/>
          <w:sz w:val="24"/>
          <w:lang w:val="en-GB"/>
        </w:rPr>
      </w:pPr>
      <w:r>
        <w:rPr>
          <w:sz w:val="24"/>
        </w:rPr>
        <w:t xml:space="preserve">2.5 </w:t>
      </w:r>
      <w:r>
        <w:rPr>
          <w:bCs/>
          <w:kern w:val="0"/>
          <w:sz w:val="24"/>
          <w:lang w:val="en-GB"/>
        </w:rPr>
        <w:t>“中标人”系指经评标委员会评审，并授予合同的投标人。</w:t>
      </w:r>
    </w:p>
    <w:p>
      <w:pPr>
        <w:pStyle w:val="13"/>
        <w:adjustRightInd w:val="0"/>
        <w:snapToGrid w:val="0"/>
        <w:spacing w:line="440" w:lineRule="exact"/>
        <w:ind w:firstLine="482" w:firstLineChars="200"/>
        <w:rPr>
          <w:rFonts w:ascii="Times New Roman" w:hAnsi="Times New Roman"/>
          <w:bCs/>
          <w:kern w:val="0"/>
          <w:sz w:val="24"/>
          <w:lang w:val="en-GB"/>
        </w:rPr>
      </w:pPr>
      <w:r>
        <w:rPr>
          <w:rFonts w:ascii="Times New Roman" w:hAnsi="Times New Roman"/>
          <w:b/>
          <w:sz w:val="24"/>
        </w:rPr>
        <w:t>3</w:t>
      </w:r>
      <w:r>
        <w:rPr>
          <w:rFonts w:ascii="Times New Roman" w:hAnsi="Times New Roman"/>
          <w:b/>
          <w:sz w:val="24"/>
          <w:lang w:val="en-GB"/>
        </w:rPr>
        <w:t>、合格的货物和服务</w:t>
      </w:r>
    </w:p>
    <w:p>
      <w:pPr>
        <w:adjustRightInd w:val="0"/>
        <w:snapToGrid w:val="0"/>
        <w:spacing w:line="440" w:lineRule="exact"/>
        <w:ind w:firstLine="480" w:firstLineChars="200"/>
        <w:rPr>
          <w:bCs/>
          <w:kern w:val="0"/>
          <w:sz w:val="24"/>
          <w:lang w:val="en-GB"/>
        </w:rPr>
      </w:pPr>
      <w:r>
        <w:rPr>
          <w:bCs/>
          <w:kern w:val="0"/>
          <w:sz w:val="24"/>
        </w:rPr>
        <w:t>3</w:t>
      </w:r>
      <w:r>
        <w:rPr>
          <w:bCs/>
          <w:kern w:val="0"/>
          <w:sz w:val="24"/>
          <w:lang w:val="en-GB"/>
        </w:rPr>
        <w:t>.1“货物”系指投标人制造或组织符合招标文件要求的货物等。所投货物必须是合法生产的合格货物，并能够按照货物合同规定的品牌、产地、质量、价格和有效期等。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bCs/>
          <w:kern w:val="0"/>
          <w:sz w:val="24"/>
        </w:rPr>
      </w:pPr>
      <w:r>
        <w:rPr>
          <w:bCs/>
          <w:kern w:val="0"/>
          <w:sz w:val="24"/>
        </w:rPr>
        <w:t>3</w:t>
      </w:r>
      <w:r>
        <w:rPr>
          <w:bCs/>
          <w:kern w:val="0"/>
          <w:sz w:val="24"/>
          <w:lang w:val="en-GB"/>
        </w:rPr>
        <w:t>.2 “服务”系指除货物以外的其他政府采购对象，其中包括：卖方须承担的运输、安装、技术支持与升级、培训、验收以及其它类似附加服务的义务。</w:t>
      </w:r>
    </w:p>
    <w:bookmarkEnd w:id="29"/>
    <w:bookmarkEnd w:id="30"/>
    <w:bookmarkEnd w:id="31"/>
    <w:p>
      <w:pPr>
        <w:tabs>
          <w:tab w:val="left" w:pos="7665"/>
        </w:tabs>
        <w:adjustRightInd w:val="0"/>
        <w:snapToGrid w:val="0"/>
        <w:spacing w:line="360" w:lineRule="auto"/>
        <w:ind w:firstLine="482" w:firstLineChars="200"/>
        <w:rPr>
          <w:b/>
          <w:sz w:val="24"/>
        </w:rPr>
      </w:pPr>
      <w:r>
        <w:rPr>
          <w:b/>
          <w:sz w:val="24"/>
        </w:rPr>
        <w:t>4、投标费用</w:t>
      </w:r>
    </w:p>
    <w:p>
      <w:pPr>
        <w:adjustRightInd w:val="0"/>
        <w:snapToGrid w:val="0"/>
        <w:spacing w:line="360" w:lineRule="auto"/>
        <w:rPr>
          <w:sz w:val="24"/>
        </w:rPr>
      </w:pPr>
      <w:bookmarkStart w:id="32" w:name="_Toc183582210"/>
      <w:bookmarkStart w:id="33" w:name="_Toc183682347"/>
      <w:bookmarkStart w:id="34" w:name="_Toc217446039"/>
      <w:r>
        <w:rPr>
          <w:sz w:val="24"/>
        </w:rPr>
        <w:t xml:space="preserve">    4.1 投标人应承担所有与准备和参加投标有关的费用。不论投标的结果如何，招标人和采购人均无义务和责任承担这些费用。</w:t>
      </w:r>
    </w:p>
    <w:p>
      <w:pPr>
        <w:adjustRightInd w:val="0"/>
        <w:snapToGrid w:val="0"/>
        <w:spacing w:line="360" w:lineRule="auto"/>
        <w:rPr>
          <w:sz w:val="24"/>
        </w:rPr>
      </w:pPr>
      <w:r>
        <w:rPr>
          <w:sz w:val="24"/>
        </w:rPr>
        <w:t xml:space="preserve">    4.2 招标人按国家相关部门的规定标准向中标人收取招标代理服务费。</w:t>
      </w:r>
    </w:p>
    <w:p>
      <w:pPr>
        <w:autoSpaceDE w:val="0"/>
        <w:autoSpaceDN w:val="0"/>
        <w:adjustRightInd w:val="0"/>
        <w:snapToGrid w:val="0"/>
        <w:spacing w:beforeLines="50" w:afterLines="50" w:line="360" w:lineRule="auto"/>
        <w:rPr>
          <w:b/>
          <w:bCs/>
          <w:sz w:val="28"/>
          <w:szCs w:val="28"/>
        </w:rPr>
      </w:pPr>
      <w:r>
        <w:rPr>
          <w:b/>
          <w:bCs/>
          <w:sz w:val="28"/>
          <w:szCs w:val="28"/>
        </w:rPr>
        <w:t>二、招标文件</w:t>
      </w:r>
    </w:p>
    <w:p>
      <w:pPr>
        <w:pStyle w:val="13"/>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5、招标文件的构成</w:t>
      </w:r>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5.1 招标文件由下列文件以及在招标过程中发出的修正和补充文件组成，</w:t>
      </w:r>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第一部分：投标邀请函</w:t>
      </w:r>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第二部分：投标人须知</w:t>
      </w:r>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第三部分：用户需求书</w:t>
      </w:r>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第四部分：合同条款及格式</w:t>
      </w:r>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第五部分：投标文件格式</w:t>
      </w:r>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第六部分：</w:t>
      </w:r>
      <w:r>
        <w:rPr>
          <w:rFonts w:ascii="Times New Roman" w:hAnsi="Times New Roman"/>
          <w:color w:val="000000"/>
          <w:sz w:val="24"/>
        </w:rPr>
        <w:t>评审办法和程序</w:t>
      </w:r>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5.2 投标人应认真阅读招标文件中所有的事项、格式、条款和技术规范等。</w:t>
      </w:r>
    </w:p>
    <w:p>
      <w:pPr>
        <w:pStyle w:val="13"/>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6、招标文件的澄清</w:t>
      </w:r>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投标人在收到招标文件后，若有疑问需要澄清，可以书面形式（包括信函、传真、电传，下同）在投标截止时间15天前(逾期不受理)通知招标人，招标人将以书面形式进行答复，同时招标人有权将答复内容（包括所提问题，但不包括问题来源）分发给所有购买了本招标文件的投标人。未对招标人提出书面意见，即视为接受了本招标文件中的所有条款和规定。</w:t>
      </w:r>
    </w:p>
    <w:p>
      <w:pPr>
        <w:pStyle w:val="13"/>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7、招标文件的修改</w:t>
      </w:r>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7.l 在投标截止时间15天以前，无论出于何种原因，招标人和采购人可主动或在解答投标人提出的澄清问题时对招标文件进行修改。</w:t>
      </w:r>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7.2 本</w:t>
      </w:r>
      <w:r>
        <w:rPr>
          <w:rFonts w:ascii="Times New Roman" w:hAnsi="Times New Roman"/>
          <w:bCs/>
          <w:kern w:val="0"/>
          <w:sz w:val="24"/>
          <w:lang w:val="en-GB"/>
        </w:rPr>
        <w:t>招标</w:t>
      </w:r>
      <w:r>
        <w:rPr>
          <w:rFonts w:ascii="Times New Roman" w:hAnsi="Times New Roman"/>
          <w:sz w:val="24"/>
        </w:rPr>
        <w:t>文件的解释权属于招标人和采购人。</w:t>
      </w:r>
      <w:bookmarkEnd w:id="32"/>
      <w:bookmarkEnd w:id="33"/>
      <w:bookmarkEnd w:id="34"/>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7.3 为使投标人准备投标时有充分的时间对招标文件修改部分进行研究，招标人和采购人可适当推迟投标截止时间。</w:t>
      </w:r>
    </w:p>
    <w:p>
      <w:pPr>
        <w:pStyle w:val="13"/>
        <w:adjustRightInd w:val="0"/>
        <w:snapToGrid w:val="0"/>
        <w:spacing w:line="360" w:lineRule="auto"/>
        <w:ind w:firstLine="480" w:firstLineChars="200"/>
        <w:rPr>
          <w:rFonts w:ascii="Times New Roman" w:hAnsi="Times New Roman"/>
          <w:sz w:val="24"/>
        </w:rPr>
      </w:pPr>
    </w:p>
    <w:p>
      <w:pPr>
        <w:autoSpaceDE w:val="0"/>
        <w:autoSpaceDN w:val="0"/>
        <w:adjustRightInd w:val="0"/>
        <w:snapToGrid w:val="0"/>
        <w:spacing w:beforeLines="50" w:afterLines="50" w:line="360" w:lineRule="auto"/>
        <w:rPr>
          <w:b/>
          <w:bCs/>
          <w:sz w:val="28"/>
          <w:szCs w:val="28"/>
        </w:rPr>
      </w:pPr>
      <w:bookmarkStart w:id="35" w:name="_Toc183682352"/>
      <w:bookmarkStart w:id="36" w:name="_Toc217446043"/>
      <w:bookmarkStart w:id="37" w:name="_Toc183582215"/>
      <w:r>
        <w:rPr>
          <w:b/>
          <w:bCs/>
          <w:sz w:val="28"/>
          <w:szCs w:val="28"/>
        </w:rPr>
        <w:t>三、投标文件的编制和数量</w:t>
      </w:r>
    </w:p>
    <w:p>
      <w:pPr>
        <w:pStyle w:val="13"/>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8、投标的语言</w:t>
      </w:r>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投标人提交的投标文件以及投标人与招标人和采购人就有关投标的所有来往函电均应使用中文。投标人提交的支持文件和印刷的文献可以用另一种语言，但相应内容应附有中文翻译本，在解释投标文件时以翻译本为准。</w:t>
      </w:r>
    </w:p>
    <w:p>
      <w:pPr>
        <w:pStyle w:val="13"/>
        <w:adjustRightInd w:val="0"/>
        <w:snapToGrid w:val="0"/>
        <w:spacing w:line="360" w:lineRule="auto"/>
        <w:ind w:firstLine="482" w:firstLineChars="200"/>
        <w:rPr>
          <w:rFonts w:ascii="Times New Roman" w:hAnsi="Times New Roman"/>
          <w:sz w:val="24"/>
        </w:rPr>
      </w:pPr>
      <w:r>
        <w:rPr>
          <w:rFonts w:ascii="Times New Roman" w:hAnsi="Times New Roman"/>
          <w:b/>
          <w:bCs/>
          <w:sz w:val="24"/>
        </w:rPr>
        <w:t>9、投标文件的构成</w:t>
      </w:r>
    </w:p>
    <w:p>
      <w:pPr>
        <w:spacing w:line="360" w:lineRule="auto"/>
        <w:ind w:firstLine="480" w:firstLineChars="200"/>
        <w:rPr>
          <w:sz w:val="24"/>
        </w:rPr>
      </w:pPr>
      <w:r>
        <w:rPr>
          <w:sz w:val="24"/>
        </w:rPr>
        <w:t>投标人应按照招标文件的规定和要求编制投标文件（详见第五部分）。投标人拟在中标后将中标项目的非主体、非关键性工作交由他人完成的，应当在投标文件中载明。投标人编写的投标文件应包括下列部分：</w:t>
      </w:r>
    </w:p>
    <w:p>
      <w:pPr>
        <w:spacing w:line="360" w:lineRule="auto"/>
        <w:ind w:firstLine="480" w:firstLineChars="200"/>
        <w:rPr>
          <w:bCs/>
          <w:sz w:val="24"/>
        </w:rPr>
      </w:pPr>
      <w:r>
        <w:rPr>
          <w:bCs/>
          <w:sz w:val="24"/>
        </w:rPr>
        <w:t>9.1 报价部分。投标人按照招标文件要求填写的“开标一览表”及“报价明细表”。 本次招标报价要求：</w:t>
      </w:r>
    </w:p>
    <w:p>
      <w:pPr>
        <w:spacing w:line="360" w:lineRule="auto"/>
        <w:ind w:firstLine="480" w:firstLineChars="200"/>
        <w:rPr>
          <w:bCs/>
          <w:sz w:val="24"/>
        </w:rPr>
      </w:pPr>
      <w:r>
        <w:rPr>
          <w:bCs/>
          <w:sz w:val="24"/>
        </w:rPr>
        <w:t>（1）投标人的报价是投标人响应招标项目要求的全部工作内容的价格体现，包括投标人完成本项目所需的一切费用。</w:t>
      </w:r>
    </w:p>
    <w:p>
      <w:pPr>
        <w:spacing w:line="360" w:lineRule="auto"/>
        <w:ind w:firstLine="480" w:firstLineChars="200"/>
        <w:rPr>
          <w:bCs/>
          <w:sz w:val="24"/>
        </w:rPr>
      </w:pPr>
      <w:r>
        <w:rPr>
          <w:bCs/>
          <w:sz w:val="24"/>
        </w:rPr>
        <w:t>（2）投标人每种货物（服务）只允许有一个报价，并且在合同履行过程中是固定不变的，任何有选择或可调整的报价将不予接受，并按无效投标处理。</w:t>
      </w:r>
    </w:p>
    <w:p>
      <w:pPr>
        <w:spacing w:line="360" w:lineRule="auto"/>
        <w:ind w:firstLine="480" w:firstLineChars="200"/>
        <w:rPr>
          <w:bCs/>
          <w:sz w:val="24"/>
        </w:rPr>
      </w:pPr>
      <w:r>
        <w:rPr>
          <w:bCs/>
          <w:sz w:val="24"/>
        </w:rPr>
        <w:t>（3）投标人不得低于成本价恶意报价，若中标人的报价过低（低于预算金额的</w:t>
      </w:r>
      <w:r>
        <w:rPr>
          <w:rFonts w:hint="eastAsia"/>
          <w:bCs/>
          <w:sz w:val="24"/>
        </w:rPr>
        <w:t>8</w:t>
      </w:r>
      <w:r>
        <w:rPr>
          <w:bCs/>
          <w:sz w:val="24"/>
        </w:rPr>
        <w:t>0%），明显不符合市场价格，投标人则需要提供详细的成本分析说明，评审委员会经过综合评审认为可行，采购人有权要求中标人在签订合同前提供预算金额的10%作为履约保证金，如中标人在合同履行过程中偷工减料、不按要求完成项目，则采购人有权终止合同，没收履约保证金，并报主管部门严肃处理。</w:t>
      </w:r>
    </w:p>
    <w:p>
      <w:pPr>
        <w:tabs>
          <w:tab w:val="left" w:pos="540"/>
        </w:tabs>
        <w:spacing w:line="360" w:lineRule="auto"/>
        <w:ind w:firstLine="480" w:firstLineChars="200"/>
        <w:rPr>
          <w:bCs/>
          <w:sz w:val="24"/>
        </w:rPr>
      </w:pPr>
      <w:r>
        <w:rPr>
          <w:bCs/>
          <w:sz w:val="24"/>
        </w:rPr>
        <w:t>9.2 技术部分。投标人按照招标文件要求做出的技术应答，主要是针对招标项目的技术指标、参数和技术要求做出的实质性响应和满足。投标人的技术应答应包括下列内容：</w:t>
      </w:r>
    </w:p>
    <w:p>
      <w:pPr>
        <w:spacing w:line="360" w:lineRule="auto"/>
        <w:ind w:firstLine="480" w:firstLineChars="200"/>
        <w:rPr>
          <w:bCs/>
          <w:sz w:val="24"/>
        </w:rPr>
      </w:pPr>
      <w:r>
        <w:rPr>
          <w:bCs/>
          <w:sz w:val="24"/>
        </w:rPr>
        <w:t>（1）技术要求响应情况表</w:t>
      </w:r>
    </w:p>
    <w:p>
      <w:pPr>
        <w:spacing w:line="360" w:lineRule="auto"/>
        <w:ind w:firstLine="480" w:firstLineChars="200"/>
        <w:rPr>
          <w:bCs/>
          <w:sz w:val="24"/>
        </w:rPr>
      </w:pPr>
      <w:r>
        <w:rPr>
          <w:bCs/>
          <w:sz w:val="24"/>
        </w:rPr>
        <w:t>（2）项目工作方案。</w:t>
      </w:r>
    </w:p>
    <w:p>
      <w:pPr>
        <w:spacing w:line="360" w:lineRule="auto"/>
        <w:ind w:firstLine="480" w:firstLineChars="200"/>
        <w:rPr>
          <w:bCs/>
          <w:sz w:val="24"/>
        </w:rPr>
      </w:pPr>
      <w:r>
        <w:rPr>
          <w:bCs/>
          <w:sz w:val="24"/>
        </w:rPr>
        <w:t>9.3 商务部分。投标人按照招标文件要求提供的有关证明材料及优惠承诺。包括以下内容：</w:t>
      </w:r>
    </w:p>
    <w:p>
      <w:pPr>
        <w:numPr>
          <w:ilvl w:val="0"/>
          <w:numId w:val="1"/>
        </w:numPr>
        <w:spacing w:line="360" w:lineRule="auto"/>
        <w:ind w:firstLine="480" w:firstLineChars="200"/>
        <w:rPr>
          <w:bCs/>
          <w:sz w:val="24"/>
        </w:rPr>
      </w:pPr>
      <w:r>
        <w:rPr>
          <w:bCs/>
          <w:sz w:val="24"/>
        </w:rPr>
        <w:t>投标函；</w:t>
      </w:r>
    </w:p>
    <w:p>
      <w:pPr>
        <w:numPr>
          <w:ilvl w:val="0"/>
          <w:numId w:val="1"/>
        </w:numPr>
        <w:spacing w:line="360" w:lineRule="auto"/>
        <w:ind w:firstLine="480" w:firstLineChars="200"/>
        <w:rPr>
          <w:sz w:val="24"/>
        </w:rPr>
      </w:pPr>
      <w:r>
        <w:rPr>
          <w:sz w:val="24"/>
        </w:rPr>
        <w:t>法定代表人授权书原件；</w:t>
      </w:r>
    </w:p>
    <w:p>
      <w:pPr>
        <w:numPr>
          <w:ilvl w:val="0"/>
          <w:numId w:val="1"/>
        </w:numPr>
        <w:spacing w:line="360" w:lineRule="auto"/>
        <w:ind w:firstLine="480" w:firstLineChars="200"/>
        <w:rPr>
          <w:sz w:val="24"/>
        </w:rPr>
      </w:pPr>
      <w:r>
        <w:rPr>
          <w:sz w:val="24"/>
        </w:rPr>
        <w:t>法定代表人和授权代表身份证复印件；</w:t>
      </w:r>
    </w:p>
    <w:p>
      <w:pPr>
        <w:spacing w:line="360" w:lineRule="auto"/>
        <w:ind w:left="439" w:leftChars="209" w:firstLine="7" w:firstLineChars="3"/>
        <w:rPr>
          <w:sz w:val="24"/>
        </w:rPr>
      </w:pPr>
      <w:r>
        <w:rPr>
          <w:sz w:val="24"/>
        </w:rPr>
        <w:t>（4）投标人企业法人营业执照副本、税务登记证副本、组织机构代码证复印件；</w:t>
      </w:r>
    </w:p>
    <w:p>
      <w:pPr>
        <w:spacing w:line="360" w:lineRule="auto"/>
        <w:ind w:firstLine="480" w:firstLineChars="200"/>
        <w:rPr>
          <w:sz w:val="24"/>
        </w:rPr>
      </w:pPr>
      <w:r>
        <w:rPr>
          <w:sz w:val="24"/>
        </w:rPr>
        <w:t>（5）要求投标人具有良好的商业信誉和健全的财务会计制度，须提供近期任意一个月份的纳税或缴纳社保证明复印件并加盖公章；</w:t>
      </w:r>
    </w:p>
    <w:p>
      <w:pPr>
        <w:spacing w:line="360" w:lineRule="auto"/>
        <w:ind w:firstLine="480" w:firstLineChars="200"/>
        <w:rPr>
          <w:bCs/>
          <w:sz w:val="24"/>
        </w:rPr>
      </w:pPr>
      <w:r>
        <w:rPr>
          <w:sz w:val="24"/>
        </w:rPr>
        <w:t>（6）参加政府采购活动前三年内，在经营活动中没有重大违法记录(须提供无违法记录声明函）；</w:t>
      </w:r>
    </w:p>
    <w:p>
      <w:pPr>
        <w:spacing w:line="360" w:lineRule="auto"/>
        <w:ind w:left="439" w:leftChars="209" w:firstLine="7" w:firstLineChars="3"/>
        <w:rPr>
          <w:sz w:val="24"/>
        </w:rPr>
      </w:pPr>
      <w:r>
        <w:rPr>
          <w:bCs/>
          <w:sz w:val="24"/>
        </w:rPr>
        <w:t>（7）</w:t>
      </w:r>
      <w:r>
        <w:rPr>
          <w:sz w:val="24"/>
        </w:rPr>
        <w:t>投标保证金交纳凭证复印件；</w:t>
      </w:r>
    </w:p>
    <w:p>
      <w:pPr>
        <w:spacing w:line="360" w:lineRule="auto"/>
        <w:ind w:left="439" w:leftChars="209" w:firstLine="7" w:firstLineChars="3"/>
        <w:rPr>
          <w:sz w:val="24"/>
        </w:rPr>
      </w:pPr>
      <w:r>
        <w:rPr>
          <w:sz w:val="24"/>
        </w:rPr>
        <w:t>（8）根据综合评分表，投标人需提交的其他有关材料。</w:t>
      </w:r>
    </w:p>
    <w:p>
      <w:pPr>
        <w:pStyle w:val="13"/>
        <w:adjustRightInd w:val="0"/>
        <w:snapToGrid w:val="0"/>
        <w:spacing w:line="360" w:lineRule="auto"/>
        <w:ind w:firstLine="480" w:firstLineChars="200"/>
        <w:rPr>
          <w:rFonts w:ascii="Times New Roman" w:hAnsi="Times New Roman"/>
          <w:sz w:val="24"/>
        </w:rPr>
      </w:pPr>
      <w:r>
        <w:rPr>
          <w:rFonts w:ascii="Times New Roman" w:hAnsi="Times New Roman"/>
          <w:sz w:val="24"/>
        </w:rPr>
        <w:t>9.4其他部分。投标人按照招标文件要求作出的其他应答和承诺。</w:t>
      </w:r>
    </w:p>
    <w:p>
      <w:pPr>
        <w:pStyle w:val="13"/>
        <w:adjustRightInd w:val="0"/>
        <w:snapToGrid w:val="0"/>
        <w:spacing w:line="360" w:lineRule="auto"/>
        <w:ind w:firstLine="482" w:firstLineChars="200"/>
        <w:rPr>
          <w:rFonts w:ascii="Times New Roman" w:hAnsi="Times New Roman"/>
          <w:b/>
          <w:sz w:val="24"/>
          <w:lang w:val="en-GB"/>
        </w:rPr>
      </w:pPr>
      <w:r>
        <w:rPr>
          <w:rFonts w:ascii="Times New Roman" w:hAnsi="Times New Roman"/>
          <w:b/>
          <w:sz w:val="24"/>
          <w:lang w:val="en-GB"/>
        </w:rPr>
        <w:t>10、投标文件编制</w:t>
      </w:r>
    </w:p>
    <w:p>
      <w:pPr>
        <w:spacing w:line="360" w:lineRule="auto"/>
        <w:ind w:firstLine="480" w:firstLineChars="200"/>
        <w:rPr>
          <w:bCs/>
          <w:sz w:val="24"/>
          <w:lang w:val="en-GB"/>
        </w:rPr>
      </w:pPr>
      <w:r>
        <w:rPr>
          <w:bCs/>
          <w:sz w:val="24"/>
          <w:lang w:val="en-GB"/>
        </w:rPr>
        <w:t>10.1投标人对招标文件中多个包进行投标的，其投标文件的编制应按各个包的要求分别装订和封装。</w:t>
      </w:r>
    </w:p>
    <w:p>
      <w:pPr>
        <w:spacing w:line="360" w:lineRule="auto"/>
        <w:ind w:firstLine="480" w:firstLineChars="200"/>
        <w:rPr>
          <w:bCs/>
          <w:sz w:val="24"/>
          <w:lang w:val="en-GB"/>
        </w:rPr>
      </w:pPr>
      <w:r>
        <w:rPr>
          <w:bCs/>
          <w:sz w:val="24"/>
          <w:lang w:val="en-GB"/>
        </w:rPr>
        <w:t>10.2投标人应完整地填写招标文件中提供的《投标承诺函》、《投标一览表》等招标文件中规定的所有内容。</w:t>
      </w:r>
    </w:p>
    <w:p>
      <w:pPr>
        <w:pStyle w:val="13"/>
        <w:adjustRightInd w:val="0"/>
        <w:snapToGrid w:val="0"/>
        <w:spacing w:line="440" w:lineRule="exact"/>
        <w:ind w:firstLine="480" w:firstLineChars="200"/>
        <w:rPr>
          <w:rFonts w:ascii="Times New Roman" w:hAnsi="Times New Roman"/>
          <w:bCs/>
          <w:sz w:val="24"/>
          <w:lang w:val="en-GB"/>
        </w:rPr>
      </w:pPr>
      <w:r>
        <w:rPr>
          <w:rFonts w:ascii="Times New Roman" w:hAnsi="Times New Roman"/>
          <w:bCs/>
          <w:sz w:val="24"/>
          <w:lang w:val="en-GB"/>
        </w:rPr>
        <w:t>10.3投标人必须保证投标文件所提供的全部资料真实可靠，并接受招标人对其中任何资料进一步审查的要求。</w:t>
      </w:r>
    </w:p>
    <w:p>
      <w:pPr>
        <w:pStyle w:val="13"/>
        <w:adjustRightInd w:val="0"/>
        <w:snapToGrid w:val="0"/>
        <w:spacing w:line="440" w:lineRule="exact"/>
        <w:ind w:firstLine="480" w:firstLineChars="200"/>
        <w:rPr>
          <w:rFonts w:ascii="Times New Roman" w:hAnsi="Times New Roman"/>
          <w:bCs/>
          <w:sz w:val="24"/>
          <w:lang w:val="en-GB"/>
        </w:rPr>
      </w:pPr>
      <w:r>
        <w:rPr>
          <w:rFonts w:ascii="Times New Roman" w:hAnsi="Times New Roman"/>
          <w:bCs/>
          <w:sz w:val="24"/>
          <w:lang w:val="en-GB"/>
        </w:rPr>
        <w:t>10.4如果投标文件填报的内容不详，或没有提供招标文件中所要求的全部资料及数据，使评标委员会无法正常评审的，由此产生的结果由投标人承担。</w:t>
      </w:r>
    </w:p>
    <w:p>
      <w:pPr>
        <w:pStyle w:val="60"/>
        <w:spacing w:before="0" w:after="0" w:line="440" w:lineRule="exact"/>
        <w:ind w:firstLine="480" w:firstLineChars="200"/>
        <w:jc w:val="both"/>
        <w:rPr>
          <w:bCs w:val="0"/>
          <w:spacing w:val="0"/>
          <w:szCs w:val="24"/>
          <w:lang w:val="en-GB"/>
        </w:rPr>
      </w:pPr>
      <w:r>
        <w:rPr>
          <w:spacing w:val="0"/>
          <w:kern w:val="2"/>
          <w:szCs w:val="24"/>
          <w:lang w:val="en-GB"/>
        </w:rPr>
        <w:t>10.5投标文件外形尺寸应统一为A4纸规格，</w:t>
      </w:r>
      <w:r>
        <w:rPr>
          <w:bCs w:val="0"/>
          <w:spacing w:val="0"/>
          <w:szCs w:val="24"/>
          <w:lang w:val="en-GB"/>
        </w:rPr>
        <w:t>文件所使用的印章必须为企业公章，且与投标人名称完全一致，不能以其它业务章或附属机构印章代替。需签名之处必须由当事人亲笔签署。</w:t>
      </w:r>
    </w:p>
    <w:p>
      <w:pPr>
        <w:pStyle w:val="60"/>
        <w:spacing w:before="0" w:after="0" w:line="440" w:lineRule="exact"/>
        <w:ind w:firstLine="480" w:firstLineChars="200"/>
        <w:jc w:val="both"/>
        <w:rPr>
          <w:bCs w:val="0"/>
          <w:spacing w:val="0"/>
          <w:szCs w:val="24"/>
          <w:lang w:val="en-GB"/>
        </w:rPr>
      </w:pPr>
      <w:r>
        <w:rPr>
          <w:bCs w:val="0"/>
          <w:spacing w:val="0"/>
          <w:szCs w:val="24"/>
        </w:rPr>
        <w:t>10</w:t>
      </w:r>
      <w:r>
        <w:rPr>
          <w:bCs w:val="0"/>
          <w:spacing w:val="0"/>
          <w:szCs w:val="24"/>
          <w:lang w:val="en-GB"/>
        </w:rPr>
        <w:t>.</w:t>
      </w:r>
      <w:r>
        <w:rPr>
          <w:bCs w:val="0"/>
          <w:spacing w:val="0"/>
          <w:szCs w:val="24"/>
        </w:rPr>
        <w:t xml:space="preserve">6 </w:t>
      </w:r>
      <w:r>
        <w:rPr>
          <w:bCs w:val="0"/>
          <w:spacing w:val="0"/>
          <w:szCs w:val="24"/>
          <w:lang w:val="en-GB"/>
        </w:rPr>
        <w:t>投标文件自制部分必须打印，每页须按顺序加注页码，装订牢固且不会轻易脱落</w:t>
      </w:r>
      <w:r>
        <w:rPr>
          <w:b/>
          <w:spacing w:val="0"/>
          <w:szCs w:val="24"/>
          <w:lang w:val="en-GB"/>
        </w:rPr>
        <w:t>（注：胶装）</w:t>
      </w:r>
      <w:r>
        <w:rPr>
          <w:bCs w:val="0"/>
          <w:spacing w:val="0"/>
          <w:szCs w:val="24"/>
          <w:lang w:val="en-GB"/>
        </w:rPr>
        <w:t>。如因装订问题而出现漏页或缺页，由此产生的一切后果由投标人自行承担。</w:t>
      </w:r>
    </w:p>
    <w:p>
      <w:pPr>
        <w:pStyle w:val="60"/>
        <w:spacing w:before="0" w:after="0" w:line="440" w:lineRule="exact"/>
        <w:ind w:firstLine="480" w:firstLineChars="200"/>
        <w:jc w:val="both"/>
        <w:rPr>
          <w:bCs w:val="0"/>
          <w:spacing w:val="0"/>
          <w:szCs w:val="24"/>
          <w:lang w:val="en-GB"/>
        </w:rPr>
      </w:pPr>
      <w:r>
        <w:rPr>
          <w:bCs w:val="0"/>
          <w:spacing w:val="0"/>
          <w:szCs w:val="24"/>
        </w:rPr>
        <w:t>10</w:t>
      </w:r>
      <w:r>
        <w:rPr>
          <w:bCs w:val="0"/>
          <w:spacing w:val="0"/>
          <w:szCs w:val="24"/>
          <w:lang w:val="en-GB"/>
        </w:rPr>
        <w:t>.</w:t>
      </w:r>
      <w:r>
        <w:rPr>
          <w:bCs w:val="0"/>
          <w:spacing w:val="0"/>
          <w:szCs w:val="24"/>
        </w:rPr>
        <w:t xml:space="preserve">7 </w:t>
      </w:r>
      <w:r>
        <w:rPr>
          <w:bCs w:val="0"/>
          <w:spacing w:val="0"/>
          <w:szCs w:val="24"/>
          <w:lang w:val="en-GB"/>
        </w:rPr>
        <w:t>任何行间插字、涂改和增删，必须由投标人授权代表在旁边签字或盖章后方可有效。</w:t>
      </w:r>
    </w:p>
    <w:p>
      <w:pPr>
        <w:pStyle w:val="60"/>
        <w:spacing w:before="0" w:after="0" w:line="440" w:lineRule="exact"/>
        <w:ind w:firstLine="480" w:firstLineChars="200"/>
        <w:jc w:val="both"/>
        <w:rPr>
          <w:bCs w:val="0"/>
          <w:spacing w:val="0"/>
          <w:szCs w:val="24"/>
          <w:lang w:val="en-GB"/>
        </w:rPr>
      </w:pPr>
      <w:r>
        <w:rPr>
          <w:bCs w:val="0"/>
          <w:spacing w:val="0"/>
          <w:szCs w:val="24"/>
        </w:rPr>
        <w:t>10</w:t>
      </w:r>
      <w:r>
        <w:rPr>
          <w:bCs w:val="0"/>
          <w:spacing w:val="0"/>
          <w:szCs w:val="24"/>
          <w:lang w:val="en-GB"/>
        </w:rPr>
        <w:t>.</w:t>
      </w:r>
      <w:r>
        <w:rPr>
          <w:bCs w:val="0"/>
          <w:spacing w:val="0"/>
          <w:szCs w:val="24"/>
        </w:rPr>
        <w:t xml:space="preserve">8 </w:t>
      </w:r>
      <w:r>
        <w:rPr>
          <w:bCs w:val="0"/>
          <w:spacing w:val="0"/>
          <w:szCs w:val="24"/>
          <w:lang w:val="en-GB"/>
        </w:rPr>
        <w:t>所有密封文件封套正面须按“文件袋封面标贴”格式进行标贴（详见第五部分）。</w:t>
      </w:r>
    </w:p>
    <w:p>
      <w:pPr>
        <w:shd w:val="clear" w:color="auto" w:fill="FFFFFF"/>
        <w:spacing w:line="440" w:lineRule="exact"/>
        <w:ind w:firstLine="482" w:firstLineChars="200"/>
        <w:rPr>
          <w:b/>
          <w:sz w:val="24"/>
        </w:rPr>
      </w:pPr>
      <w:r>
        <w:rPr>
          <w:b/>
          <w:sz w:val="24"/>
          <w:lang w:val="en-GB"/>
        </w:rPr>
        <w:t>11、</w:t>
      </w:r>
      <w:r>
        <w:rPr>
          <w:b/>
          <w:sz w:val="24"/>
        </w:rPr>
        <w:t>投标报价</w:t>
      </w:r>
    </w:p>
    <w:p>
      <w:pPr>
        <w:pStyle w:val="60"/>
        <w:spacing w:before="0" w:after="0" w:line="440" w:lineRule="exact"/>
        <w:ind w:firstLine="480" w:firstLineChars="200"/>
        <w:jc w:val="both"/>
        <w:rPr>
          <w:bCs w:val="0"/>
          <w:spacing w:val="0"/>
          <w:szCs w:val="24"/>
        </w:rPr>
      </w:pPr>
      <w:r>
        <w:rPr>
          <w:bCs w:val="0"/>
          <w:spacing w:val="0"/>
          <w:szCs w:val="24"/>
        </w:rPr>
        <w:t>11.1 报价均须以人民币为计算单位。</w:t>
      </w:r>
    </w:p>
    <w:p>
      <w:pPr>
        <w:shd w:val="clear" w:color="auto" w:fill="FFFFFF"/>
        <w:spacing w:line="440" w:lineRule="exact"/>
        <w:ind w:firstLine="480" w:firstLineChars="200"/>
        <w:rPr>
          <w:sz w:val="24"/>
        </w:rPr>
      </w:pPr>
      <w:r>
        <w:rPr>
          <w:sz w:val="24"/>
        </w:rPr>
        <w:t>11.2 报价应包括全部货物、服务的价格及相关税费、运输到指定地点的装运费用（如有）、安装调试（如有）、培训（如有）、售后服务等其它有关的所有费用。</w:t>
      </w:r>
    </w:p>
    <w:p>
      <w:pPr>
        <w:shd w:val="clear" w:color="auto" w:fill="FFFFFF"/>
        <w:spacing w:line="440" w:lineRule="exact"/>
        <w:ind w:firstLine="480" w:firstLineChars="200"/>
        <w:rPr>
          <w:sz w:val="24"/>
        </w:rPr>
      </w:pPr>
      <w:r>
        <w:rPr>
          <w:sz w:val="24"/>
        </w:rPr>
        <w:t>11.3 投标人应按投标一览表的要求报价，不能提供有选择的报价。</w:t>
      </w:r>
    </w:p>
    <w:p>
      <w:pPr>
        <w:pStyle w:val="13"/>
        <w:adjustRightInd w:val="0"/>
        <w:snapToGrid w:val="0"/>
        <w:spacing w:line="440" w:lineRule="exact"/>
        <w:ind w:firstLine="480" w:firstLineChars="200"/>
        <w:rPr>
          <w:rFonts w:ascii="Times New Roman" w:hAnsi="Times New Roman"/>
          <w:sz w:val="24"/>
        </w:rPr>
      </w:pPr>
      <w:r>
        <w:rPr>
          <w:rFonts w:ascii="Times New Roman" w:hAnsi="Times New Roman"/>
          <w:sz w:val="24"/>
        </w:rPr>
        <w:t>11.4 中标候选投标人的报价如超过预算且采购人不能支付的，采购人有权拒绝而递选下一个顺位的候选投标人。</w:t>
      </w:r>
    </w:p>
    <w:p>
      <w:pPr>
        <w:pStyle w:val="13"/>
        <w:adjustRightInd w:val="0"/>
        <w:snapToGrid w:val="0"/>
        <w:spacing w:line="440" w:lineRule="exact"/>
        <w:ind w:firstLine="482" w:firstLineChars="200"/>
        <w:rPr>
          <w:rFonts w:ascii="Times New Roman" w:hAnsi="Times New Roman"/>
          <w:b/>
          <w:sz w:val="24"/>
          <w:lang w:val="en-GB"/>
        </w:rPr>
      </w:pPr>
      <w:r>
        <w:rPr>
          <w:rFonts w:ascii="Times New Roman" w:hAnsi="Times New Roman"/>
          <w:b/>
          <w:sz w:val="24"/>
          <w:lang w:val="en-GB"/>
        </w:rPr>
        <w:t>12、备选方案</w:t>
      </w:r>
    </w:p>
    <w:p>
      <w:pPr>
        <w:pStyle w:val="13"/>
        <w:adjustRightInd w:val="0"/>
        <w:snapToGrid w:val="0"/>
        <w:spacing w:line="440" w:lineRule="exact"/>
        <w:ind w:firstLine="480" w:firstLineChars="200"/>
        <w:rPr>
          <w:rFonts w:ascii="Times New Roman" w:hAnsi="Times New Roman"/>
          <w:bCs/>
          <w:sz w:val="24"/>
          <w:lang w:val="en-GB"/>
        </w:rPr>
      </w:pPr>
      <w:r>
        <w:rPr>
          <w:rFonts w:ascii="Times New Roman" w:hAnsi="Times New Roman"/>
          <w:bCs/>
          <w:sz w:val="24"/>
          <w:lang w:val="en-GB"/>
        </w:rPr>
        <w:t>本次招标只允许投标人有一个投标方案，否则，其投标文件无效。</w:t>
      </w:r>
      <w:bookmarkStart w:id="38" w:name="_Toc238907016"/>
    </w:p>
    <w:p>
      <w:pPr>
        <w:pStyle w:val="13"/>
        <w:adjustRightInd w:val="0"/>
        <w:snapToGrid w:val="0"/>
        <w:spacing w:line="440" w:lineRule="exact"/>
        <w:ind w:firstLine="482" w:firstLineChars="200"/>
        <w:rPr>
          <w:rFonts w:ascii="Times New Roman" w:hAnsi="Times New Roman"/>
          <w:b/>
          <w:sz w:val="24"/>
          <w:lang w:val="en-GB"/>
        </w:rPr>
      </w:pPr>
      <w:r>
        <w:rPr>
          <w:rFonts w:ascii="Times New Roman" w:hAnsi="Times New Roman"/>
          <w:b/>
          <w:sz w:val="24"/>
          <w:lang w:val="en-GB"/>
        </w:rPr>
        <w:t>13</w:t>
      </w:r>
      <w:r>
        <w:rPr>
          <w:rFonts w:hint="eastAsia" w:ascii="Times New Roman" w:hAnsi="Times New Roman"/>
          <w:b/>
          <w:sz w:val="24"/>
          <w:lang w:val="en-GB"/>
        </w:rPr>
        <w:t>、</w:t>
      </w:r>
      <w:r>
        <w:rPr>
          <w:rFonts w:ascii="Times New Roman" w:hAnsi="Times New Roman"/>
          <w:b/>
          <w:sz w:val="24"/>
          <w:lang w:val="en-GB"/>
        </w:rPr>
        <w:t>投标保证金</w:t>
      </w:r>
      <w:bookmarkEnd w:id="38"/>
    </w:p>
    <w:p>
      <w:pPr>
        <w:spacing w:line="500" w:lineRule="exact"/>
        <w:ind w:left="29" w:right="-512" w:rightChars="-244" w:firstLine="480" w:firstLineChars="200"/>
        <w:rPr>
          <w:b/>
          <w:sz w:val="24"/>
          <w:u w:val="single"/>
        </w:rPr>
      </w:pPr>
      <w:r>
        <w:rPr>
          <w:sz w:val="24"/>
        </w:rPr>
        <w:t>13.1 投标保证金是参加本项目投标的必要条件，</w:t>
      </w:r>
      <w:r>
        <w:rPr>
          <w:b/>
          <w:sz w:val="24"/>
        </w:rPr>
        <w:t>保证金金额：</w:t>
      </w:r>
      <w:r>
        <w:rPr>
          <w:b/>
          <w:sz w:val="24"/>
          <w:u w:val="single"/>
        </w:rPr>
        <w:t>￥</w:t>
      </w:r>
      <w:r>
        <w:rPr>
          <w:rFonts w:hint="eastAsia"/>
          <w:b/>
          <w:sz w:val="24"/>
          <w:u w:val="single"/>
        </w:rPr>
        <w:t>10</w:t>
      </w:r>
      <w:r>
        <w:rPr>
          <w:b/>
          <w:sz w:val="24"/>
          <w:u w:val="single"/>
        </w:rPr>
        <w:t>000.00</w:t>
      </w:r>
      <w:r>
        <w:rPr>
          <w:b/>
          <w:sz w:val="24"/>
        </w:rPr>
        <w:t>元（大写：</w:t>
      </w:r>
      <w:r>
        <w:rPr>
          <w:rFonts w:hint="eastAsia"/>
          <w:b/>
          <w:sz w:val="24"/>
        </w:rPr>
        <w:t>壹万元整</w:t>
      </w:r>
      <w:r>
        <w:rPr>
          <w:b/>
          <w:sz w:val="24"/>
        </w:rPr>
        <w:t>）。</w:t>
      </w:r>
    </w:p>
    <w:p>
      <w:pPr>
        <w:spacing w:line="500" w:lineRule="exact"/>
        <w:ind w:left="-718" w:leftChars="-342" w:right="-178" w:rightChars="-85" w:firstLine="1200" w:firstLineChars="500"/>
        <w:rPr>
          <w:sz w:val="24"/>
        </w:rPr>
      </w:pPr>
      <w:r>
        <w:rPr>
          <w:sz w:val="24"/>
        </w:rPr>
        <w:t>13.2投标保证金可采用下列形式，并符合下列规定：</w:t>
      </w:r>
    </w:p>
    <w:p>
      <w:pPr>
        <w:spacing w:line="500" w:lineRule="exact"/>
        <w:ind w:firstLine="480" w:firstLineChars="200"/>
        <w:rPr>
          <w:sz w:val="24"/>
        </w:rPr>
      </w:pPr>
      <w:r>
        <w:rPr>
          <w:sz w:val="24"/>
        </w:rPr>
        <w:t>13.2.1在投标截止时间前由投标单位基本账户划入海南省人民政府政务服务中心指定账户。</w:t>
      </w:r>
    </w:p>
    <w:p>
      <w:pPr>
        <w:spacing w:line="500" w:lineRule="exact"/>
        <w:ind w:firstLine="480" w:firstLineChars="200"/>
        <w:rPr>
          <w:sz w:val="24"/>
        </w:rPr>
      </w:pPr>
      <w:r>
        <w:rPr>
          <w:sz w:val="24"/>
        </w:rPr>
        <w:t>投标保证金的形式</w:t>
      </w:r>
      <w:r>
        <w:rPr>
          <w:b/>
          <w:sz w:val="24"/>
          <w:u w:val="single"/>
        </w:rPr>
        <w:t>：网上支付，支付地址为：</w:t>
      </w:r>
      <w:r>
        <w:fldChar w:fldCharType="begin"/>
      </w:r>
      <w:r>
        <w:instrText xml:space="preserve"> HYPERLINK "http://218.77.183.48/htms" \t "_blank" </w:instrText>
      </w:r>
      <w:r>
        <w:fldChar w:fldCharType="separate"/>
      </w:r>
      <w:r>
        <w:rPr>
          <w:b/>
          <w:sz w:val="24"/>
          <w:u w:val="single"/>
        </w:rPr>
        <w:t>http://218.77.183.48/htms</w:t>
      </w:r>
      <w:r>
        <w:rPr>
          <w:b/>
          <w:sz w:val="24"/>
          <w:u w:val="single"/>
        </w:rPr>
        <w:fldChar w:fldCharType="end"/>
      </w:r>
      <w:r>
        <w:rPr>
          <w:sz w:val="24"/>
        </w:rPr>
        <w:t>。</w:t>
      </w:r>
    </w:p>
    <w:p>
      <w:pPr>
        <w:spacing w:line="500" w:lineRule="exact"/>
        <w:ind w:left="-840" w:leftChars="-400" w:right="-913" w:rightChars="-435" w:firstLine="1320" w:firstLineChars="550"/>
        <w:rPr>
          <w:sz w:val="24"/>
        </w:rPr>
      </w:pPr>
      <w:r>
        <w:rPr>
          <w:sz w:val="24"/>
        </w:rPr>
        <w:t>13.3 若投标人不按第 13.l和 13.2条的规定提交投标保证金，其投标文件将被拒绝接受。</w:t>
      </w:r>
    </w:p>
    <w:p>
      <w:pPr>
        <w:spacing w:line="500" w:lineRule="exact"/>
        <w:ind w:left="-840" w:leftChars="-400" w:right="-512" w:rightChars="-244" w:firstLine="1320" w:firstLineChars="550"/>
        <w:rPr>
          <w:sz w:val="24"/>
        </w:rPr>
      </w:pPr>
      <w:r>
        <w:rPr>
          <w:sz w:val="24"/>
        </w:rPr>
        <w:t>13.4 投标保证金的退还</w:t>
      </w:r>
    </w:p>
    <w:p>
      <w:pPr>
        <w:spacing w:line="500" w:lineRule="exact"/>
        <w:ind w:left="-840" w:leftChars="-400" w:right="-913" w:rightChars="-435" w:firstLine="1320" w:firstLineChars="550"/>
        <w:rPr>
          <w:sz w:val="24"/>
        </w:rPr>
      </w:pPr>
      <w:r>
        <w:rPr>
          <w:sz w:val="24"/>
        </w:rPr>
        <w:t>13.4.l 中标人的投标保证金在其与采购人签订了采购合同后5个工作日内办理退还手续。</w:t>
      </w:r>
    </w:p>
    <w:p>
      <w:pPr>
        <w:spacing w:line="500" w:lineRule="exact"/>
        <w:ind w:firstLine="480" w:firstLineChars="200"/>
        <w:rPr>
          <w:sz w:val="24"/>
        </w:rPr>
      </w:pPr>
      <w:r>
        <w:rPr>
          <w:sz w:val="24"/>
        </w:rPr>
        <w:t>13.4.2落标的投标人的投标保证金将在采购代理机构发出中标通知书5个工作日内办理退还手续。</w:t>
      </w:r>
    </w:p>
    <w:p>
      <w:pPr>
        <w:spacing w:line="500" w:lineRule="exact"/>
        <w:ind w:firstLine="480" w:firstLineChars="200"/>
        <w:rPr>
          <w:sz w:val="24"/>
        </w:rPr>
      </w:pPr>
      <w:r>
        <w:rPr>
          <w:sz w:val="24"/>
        </w:rPr>
        <w:t>13.5 发生下列情况之一，投标保证金将不予退还：</w:t>
      </w:r>
    </w:p>
    <w:p>
      <w:pPr>
        <w:spacing w:line="500" w:lineRule="exact"/>
        <w:ind w:firstLine="480" w:firstLineChars="200"/>
        <w:rPr>
          <w:sz w:val="24"/>
        </w:rPr>
      </w:pPr>
      <w:r>
        <w:rPr>
          <w:sz w:val="24"/>
        </w:rPr>
        <w:t>（1）投标人在投标有效期内撤回投标；</w:t>
      </w:r>
    </w:p>
    <w:p>
      <w:pPr>
        <w:spacing w:line="500" w:lineRule="exact"/>
        <w:ind w:firstLine="480" w:firstLineChars="200"/>
        <w:rPr>
          <w:sz w:val="24"/>
        </w:rPr>
      </w:pPr>
      <w:r>
        <w:rPr>
          <w:sz w:val="24"/>
        </w:rPr>
        <w:t>（2）中标人不按规定签订合同；</w:t>
      </w:r>
    </w:p>
    <w:p>
      <w:pPr>
        <w:spacing w:line="500" w:lineRule="exact"/>
        <w:ind w:firstLine="480" w:firstLineChars="200"/>
        <w:rPr>
          <w:sz w:val="24"/>
        </w:rPr>
      </w:pPr>
      <w:r>
        <w:rPr>
          <w:sz w:val="24"/>
        </w:rPr>
        <w:t>（3）采取不正当手段诋毁、排挤其他供应商的；</w:t>
      </w:r>
    </w:p>
    <w:p>
      <w:pPr>
        <w:spacing w:line="500" w:lineRule="exact"/>
        <w:ind w:firstLine="480" w:firstLineChars="200"/>
        <w:rPr>
          <w:sz w:val="24"/>
        </w:rPr>
      </w:pPr>
      <w:r>
        <w:rPr>
          <w:sz w:val="24"/>
        </w:rPr>
        <w:t>（4）与采购人、其他供应商或者采购代理机构恶意串通的；</w:t>
      </w:r>
    </w:p>
    <w:p>
      <w:pPr>
        <w:spacing w:line="500" w:lineRule="exact"/>
        <w:ind w:firstLine="480" w:firstLineChars="200"/>
        <w:rPr>
          <w:sz w:val="24"/>
        </w:rPr>
      </w:pPr>
      <w:r>
        <w:rPr>
          <w:sz w:val="24"/>
        </w:rPr>
        <w:t>（5）向采购人、采购代理机构行贿或者提供其他不正当利益的。</w:t>
      </w:r>
    </w:p>
    <w:p>
      <w:pPr>
        <w:spacing w:line="500" w:lineRule="exact"/>
        <w:ind w:firstLine="482" w:firstLineChars="200"/>
        <w:rPr>
          <w:b/>
          <w:sz w:val="24"/>
          <w:lang w:val="en-GB"/>
        </w:rPr>
      </w:pPr>
      <w:r>
        <w:rPr>
          <w:b/>
          <w:sz w:val="24"/>
          <w:lang w:val="en-GB"/>
        </w:rPr>
        <w:t>1</w:t>
      </w:r>
      <w:r>
        <w:rPr>
          <w:b/>
          <w:sz w:val="24"/>
        </w:rPr>
        <w:t>4</w:t>
      </w:r>
      <w:r>
        <w:rPr>
          <w:b/>
          <w:sz w:val="24"/>
          <w:lang w:val="en-GB"/>
        </w:rPr>
        <w:t>、投标文件的有效期</w:t>
      </w:r>
    </w:p>
    <w:p>
      <w:pPr>
        <w:spacing w:line="440" w:lineRule="exact"/>
        <w:ind w:firstLine="480" w:firstLineChars="200"/>
        <w:rPr>
          <w:bCs/>
          <w:sz w:val="24"/>
          <w:lang w:val="en-GB"/>
        </w:rPr>
      </w:pPr>
      <w:r>
        <w:rPr>
          <w:bCs/>
          <w:sz w:val="24"/>
        </w:rPr>
        <w:t>14</w:t>
      </w:r>
      <w:r>
        <w:rPr>
          <w:bCs/>
          <w:sz w:val="24"/>
          <w:lang w:val="en-GB"/>
        </w:rPr>
        <w:t>.1 投标文件应自开标日起</w:t>
      </w:r>
      <w:r>
        <w:rPr>
          <w:b/>
          <w:sz w:val="24"/>
          <w:u w:val="single"/>
        </w:rPr>
        <w:t>6</w:t>
      </w:r>
      <w:r>
        <w:rPr>
          <w:b/>
          <w:sz w:val="24"/>
          <w:u w:val="single"/>
          <w:lang w:val="en-GB"/>
        </w:rPr>
        <w:t>0</w:t>
      </w:r>
      <w:r>
        <w:rPr>
          <w:bCs/>
          <w:sz w:val="24"/>
          <w:lang w:val="en-GB"/>
        </w:rPr>
        <w:t>个日历日内保持有效。投标有效期不足的投标，将被视为无效投标。</w:t>
      </w:r>
    </w:p>
    <w:p>
      <w:pPr>
        <w:spacing w:line="440" w:lineRule="exact"/>
        <w:ind w:firstLine="480" w:firstLineChars="200"/>
        <w:rPr>
          <w:bCs/>
          <w:sz w:val="24"/>
          <w:lang w:val="en-GB"/>
        </w:rPr>
      </w:pPr>
      <w:r>
        <w:rPr>
          <w:bCs/>
          <w:sz w:val="24"/>
          <w:lang w:val="en-GB"/>
        </w:rPr>
        <w:t>1</w:t>
      </w:r>
      <w:r>
        <w:rPr>
          <w:bCs/>
          <w:sz w:val="24"/>
        </w:rPr>
        <w:t>4</w:t>
      </w:r>
      <w:r>
        <w:rPr>
          <w:bCs/>
          <w:sz w:val="24"/>
          <w:lang w:val="en-GB"/>
        </w:rPr>
        <w:t>.2特殊情况下，在原投标有效期截止之前，招标人和采购人可要求投标人延长投标有效期。这种要求与答复均应以书面形式提交。投标人可拒绝招标人和采购人的这种要求，但其投标在原投标有效期满后将不再有效。同意延长投标有效期的投标人将不会被要求和允许修正其投标。</w:t>
      </w:r>
    </w:p>
    <w:p>
      <w:pPr>
        <w:spacing w:line="440" w:lineRule="exact"/>
        <w:ind w:firstLine="482" w:firstLineChars="200"/>
        <w:rPr>
          <w:bCs/>
          <w:sz w:val="24"/>
          <w:lang w:val="en-GB"/>
        </w:rPr>
      </w:pPr>
      <w:r>
        <w:rPr>
          <w:b/>
          <w:sz w:val="24"/>
        </w:rPr>
        <w:t>15、</w:t>
      </w:r>
      <w:r>
        <w:rPr>
          <w:b/>
          <w:sz w:val="24"/>
          <w:lang w:val="en-GB"/>
        </w:rPr>
        <w:t>投标文件的数量和签署</w:t>
      </w:r>
    </w:p>
    <w:p>
      <w:pPr>
        <w:spacing w:line="500" w:lineRule="exact"/>
        <w:ind w:firstLine="480" w:firstLineChars="200"/>
        <w:rPr>
          <w:sz w:val="24"/>
        </w:rPr>
      </w:pPr>
      <w:r>
        <w:rPr>
          <w:sz w:val="24"/>
        </w:rPr>
        <w:t>15.1 投标文件一式伍份，固定装订。其中正本壹份，副本肆份。</w:t>
      </w:r>
    </w:p>
    <w:p>
      <w:pPr>
        <w:spacing w:line="500" w:lineRule="exact"/>
        <w:ind w:firstLine="480" w:firstLineChars="200"/>
        <w:rPr>
          <w:sz w:val="24"/>
        </w:rPr>
      </w:pPr>
      <w:r>
        <w:rPr>
          <w:sz w:val="24"/>
        </w:rPr>
        <w:t>15.2提供与正本一致的电子文件（PDF格式）1份，刻录成光盘（光盘上请标明公司名称）密封在“唱标信封”中，电子介质的投标文件与纸质投标文件具有同等的法律效力。</w:t>
      </w:r>
    </w:p>
    <w:p>
      <w:pPr>
        <w:spacing w:line="500" w:lineRule="exact"/>
        <w:ind w:firstLine="480" w:firstLineChars="200"/>
        <w:rPr>
          <w:sz w:val="24"/>
        </w:rPr>
      </w:pPr>
      <w:r>
        <w:rPr>
          <w:sz w:val="24"/>
        </w:rPr>
        <w:t>15.3 投标文件须按投标文件的要求执行，每份投标文件均须在封面上清楚标明“正本”或“副本”字样，“正本”和“副本”具有同等的法律效力；“正本”和“副本”之间如有差异，以正本为准。封面上应注明项目名称、项目编号、包号（如有）、投标单位名称、联系人和电话。</w:t>
      </w:r>
    </w:p>
    <w:p>
      <w:pPr>
        <w:spacing w:line="360" w:lineRule="auto"/>
        <w:ind w:firstLine="480" w:firstLineChars="200"/>
        <w:rPr>
          <w:sz w:val="24"/>
        </w:rPr>
      </w:pPr>
      <w:r>
        <w:rPr>
          <w:sz w:val="24"/>
        </w:rPr>
        <w:t>15.4</w:t>
      </w:r>
      <w:r>
        <w:rPr>
          <w:rFonts w:hint="eastAsia" w:ascii="宋体" w:hAnsi="宋体"/>
          <w:sz w:val="24"/>
        </w:rPr>
        <w:t>投标文件应用不退色的墨水书写或打印，字迹应易于辨认，并应由投标人的法定代表人或其委托代理人，在投标文件正本每页右下角必须签字和加盖投标人公司公章，副本可以复印正本，没有签字和盖章的文件将无法通过资格审查</w:t>
      </w:r>
      <w:r>
        <w:rPr>
          <w:sz w:val="24"/>
        </w:rPr>
        <w:t>。</w:t>
      </w:r>
    </w:p>
    <w:p>
      <w:pPr>
        <w:spacing w:line="360" w:lineRule="auto"/>
        <w:ind w:firstLine="480" w:firstLineChars="200"/>
        <w:rPr>
          <w:sz w:val="24"/>
        </w:rPr>
      </w:pPr>
      <w:r>
        <w:rPr>
          <w:sz w:val="24"/>
        </w:rPr>
        <w:t>15.5 投标文件不得涂改和增删，如要修改错漏处，修改处必须由法人代表或授权代表签名、或盖公章。</w:t>
      </w:r>
    </w:p>
    <w:p>
      <w:pPr>
        <w:numPr>
          <w:ilvl w:val="0"/>
          <w:numId w:val="2"/>
        </w:numPr>
        <w:spacing w:line="360" w:lineRule="auto"/>
        <w:ind w:firstLine="562" w:firstLineChars="200"/>
        <w:rPr>
          <w:b/>
          <w:bCs/>
          <w:sz w:val="28"/>
          <w:szCs w:val="28"/>
        </w:rPr>
      </w:pPr>
      <w:r>
        <w:rPr>
          <w:b/>
          <w:bCs/>
          <w:sz w:val="28"/>
          <w:szCs w:val="28"/>
        </w:rPr>
        <w:t>投标文件的递交</w:t>
      </w:r>
    </w:p>
    <w:p>
      <w:pPr>
        <w:spacing w:line="360" w:lineRule="auto"/>
        <w:ind w:firstLine="482" w:firstLineChars="200"/>
        <w:rPr>
          <w:b/>
          <w:bCs/>
          <w:sz w:val="24"/>
        </w:rPr>
      </w:pPr>
      <w:r>
        <w:rPr>
          <w:b/>
          <w:bCs/>
          <w:sz w:val="24"/>
        </w:rPr>
        <w:t>16、投标文件的密封及标记</w:t>
      </w:r>
    </w:p>
    <w:p>
      <w:pPr>
        <w:shd w:val="clear" w:color="auto" w:fill="FFFFFF"/>
        <w:spacing w:line="360" w:lineRule="auto"/>
        <w:ind w:firstLine="480" w:firstLineChars="200"/>
        <w:rPr>
          <w:sz w:val="24"/>
        </w:rPr>
      </w:pPr>
      <w:r>
        <w:rPr>
          <w:sz w:val="24"/>
        </w:rPr>
        <w:t>16.1投标人应将投标文件正本和所有副本分别密封在两个投标专用袋</w:t>
      </w:r>
      <w:r>
        <w:rPr>
          <w:kern w:val="0"/>
          <w:sz w:val="24"/>
        </w:rPr>
        <w:t>（箱）中（正本一包，副本一包），并在投标专用袋（箱）上标明“正本”、“副本”字样，封口处应加盖骑缝章。</w:t>
      </w:r>
    </w:p>
    <w:p>
      <w:pPr>
        <w:tabs>
          <w:tab w:val="left" w:pos="1080"/>
        </w:tabs>
        <w:spacing w:line="360" w:lineRule="auto"/>
        <w:ind w:firstLine="480" w:firstLineChars="200"/>
        <w:rPr>
          <w:kern w:val="0"/>
          <w:sz w:val="24"/>
        </w:rPr>
      </w:pPr>
      <w:r>
        <w:rPr>
          <w:sz w:val="24"/>
        </w:rPr>
        <w:t>16.2</w:t>
      </w:r>
      <w:r>
        <w:rPr>
          <w:kern w:val="0"/>
          <w:sz w:val="24"/>
        </w:rPr>
        <w:t>投标专用袋（箱）上须按招标人提供的格式注明：</w:t>
      </w:r>
    </w:p>
    <w:p>
      <w:pPr>
        <w:widowControl/>
        <w:spacing w:line="360" w:lineRule="auto"/>
        <w:ind w:firstLine="480" w:firstLineChars="200"/>
        <w:rPr>
          <w:kern w:val="0"/>
          <w:sz w:val="24"/>
        </w:rPr>
      </w:pPr>
      <w:r>
        <w:rPr>
          <w:kern w:val="0"/>
          <w:sz w:val="24"/>
        </w:rPr>
        <w:t>（l）采购编号及项目名称：</w:t>
      </w:r>
    </w:p>
    <w:p>
      <w:pPr>
        <w:widowControl/>
        <w:spacing w:line="360" w:lineRule="auto"/>
        <w:ind w:firstLine="480" w:firstLineChars="200"/>
        <w:rPr>
          <w:kern w:val="0"/>
          <w:sz w:val="24"/>
        </w:rPr>
      </w:pPr>
      <w:r>
        <w:rPr>
          <w:kern w:val="0"/>
          <w:sz w:val="24"/>
        </w:rPr>
        <w:t>（2）分包号（如有的话）：</w:t>
      </w:r>
    </w:p>
    <w:p>
      <w:pPr>
        <w:widowControl/>
        <w:spacing w:line="360" w:lineRule="auto"/>
        <w:ind w:firstLine="480" w:firstLineChars="200"/>
        <w:rPr>
          <w:kern w:val="0"/>
          <w:sz w:val="24"/>
        </w:rPr>
      </w:pPr>
      <w:r>
        <w:rPr>
          <w:kern w:val="0"/>
          <w:sz w:val="24"/>
        </w:rPr>
        <w:t>（3）投标人的名称、地址、联系人、电话和传真：</w:t>
      </w:r>
    </w:p>
    <w:p>
      <w:pPr>
        <w:widowControl/>
        <w:spacing w:line="360" w:lineRule="auto"/>
        <w:ind w:firstLine="480" w:firstLineChars="200"/>
        <w:rPr>
          <w:kern w:val="0"/>
          <w:sz w:val="24"/>
        </w:rPr>
      </w:pPr>
      <w:r>
        <w:rPr>
          <w:kern w:val="0"/>
          <w:sz w:val="24"/>
        </w:rPr>
        <w:t>16.3投标人提交投标文件时应备有一个“唱标信封”，并将下列内容单独密封入该信封，再将其封装于投标文件正本封套内：</w:t>
      </w:r>
    </w:p>
    <w:p>
      <w:pPr>
        <w:widowControl/>
        <w:spacing w:line="360" w:lineRule="auto"/>
        <w:ind w:firstLine="480" w:firstLineChars="200"/>
        <w:rPr>
          <w:kern w:val="0"/>
          <w:sz w:val="24"/>
        </w:rPr>
      </w:pPr>
      <w:r>
        <w:rPr>
          <w:kern w:val="0"/>
          <w:sz w:val="24"/>
        </w:rPr>
        <w:t>（1）从投标文件正本中复印的开标一览表；</w:t>
      </w:r>
    </w:p>
    <w:p>
      <w:pPr>
        <w:widowControl/>
        <w:spacing w:line="360" w:lineRule="auto"/>
        <w:ind w:firstLine="480" w:firstLineChars="200"/>
        <w:rPr>
          <w:kern w:val="0"/>
          <w:sz w:val="24"/>
        </w:rPr>
      </w:pPr>
      <w:r>
        <w:rPr>
          <w:kern w:val="0"/>
          <w:sz w:val="24"/>
        </w:rPr>
        <w:t>（2）交纳投标保证金证明文件的复印件；</w:t>
      </w:r>
    </w:p>
    <w:p>
      <w:pPr>
        <w:widowControl/>
        <w:spacing w:line="360" w:lineRule="auto"/>
        <w:ind w:firstLine="480" w:firstLineChars="200"/>
        <w:rPr>
          <w:kern w:val="0"/>
          <w:sz w:val="24"/>
        </w:rPr>
      </w:pPr>
      <w:r>
        <w:rPr>
          <w:kern w:val="0"/>
          <w:sz w:val="24"/>
        </w:rPr>
        <w:t>（3）投标函；</w:t>
      </w:r>
    </w:p>
    <w:p>
      <w:pPr>
        <w:widowControl/>
        <w:spacing w:line="360" w:lineRule="auto"/>
        <w:ind w:firstLine="480" w:firstLineChars="200"/>
        <w:rPr>
          <w:kern w:val="0"/>
          <w:sz w:val="24"/>
        </w:rPr>
      </w:pPr>
      <w:r>
        <w:rPr>
          <w:kern w:val="0"/>
          <w:sz w:val="24"/>
        </w:rPr>
        <w:t>（4）电子文件。</w:t>
      </w:r>
    </w:p>
    <w:p>
      <w:pPr>
        <w:spacing w:line="360" w:lineRule="auto"/>
        <w:ind w:firstLine="480" w:firstLineChars="200"/>
        <w:rPr>
          <w:color w:val="000000"/>
          <w:sz w:val="24"/>
        </w:rPr>
      </w:pPr>
      <w:r>
        <w:rPr>
          <w:color w:val="000000"/>
          <w:sz w:val="24"/>
        </w:rPr>
        <w:t>注明：“请勿在开标时间之前启封”</w:t>
      </w:r>
    </w:p>
    <w:p>
      <w:pPr>
        <w:tabs>
          <w:tab w:val="left" w:pos="1080"/>
        </w:tabs>
        <w:spacing w:line="360" w:lineRule="auto"/>
        <w:ind w:firstLine="460" w:firstLineChars="192"/>
        <w:rPr>
          <w:sz w:val="24"/>
        </w:rPr>
      </w:pPr>
      <w:r>
        <w:rPr>
          <w:sz w:val="24"/>
        </w:rPr>
        <w:t>16.4 所有外层密封袋的封口处应粘贴牢固，并加盖密封章（投标人印章）。</w:t>
      </w:r>
    </w:p>
    <w:p>
      <w:pPr>
        <w:numPr>
          <w:ilvl w:val="0"/>
          <w:numId w:val="3"/>
        </w:numPr>
        <w:tabs>
          <w:tab w:val="left" w:pos="1080"/>
        </w:tabs>
        <w:spacing w:line="360" w:lineRule="auto"/>
        <w:ind w:firstLine="463" w:firstLineChars="192"/>
        <w:rPr>
          <w:b/>
          <w:bCs/>
          <w:sz w:val="24"/>
        </w:rPr>
      </w:pPr>
      <w:r>
        <w:rPr>
          <w:b/>
          <w:bCs/>
          <w:sz w:val="24"/>
        </w:rPr>
        <w:t>投标截止时间</w:t>
      </w:r>
      <w:bookmarkEnd w:id="35"/>
      <w:bookmarkEnd w:id="36"/>
      <w:bookmarkEnd w:id="37"/>
    </w:p>
    <w:p>
      <w:pPr>
        <w:tabs>
          <w:tab w:val="left" w:pos="1080"/>
        </w:tabs>
        <w:spacing w:line="360" w:lineRule="auto"/>
        <w:ind w:firstLine="480" w:firstLineChars="200"/>
        <w:rPr>
          <w:sz w:val="24"/>
        </w:rPr>
      </w:pPr>
      <w:r>
        <w:rPr>
          <w:sz w:val="24"/>
        </w:rPr>
        <w:t>17.l 投标人须在投标截止时间前将投标文件及成品送达招标人规定的地点。</w:t>
      </w:r>
    </w:p>
    <w:p>
      <w:pPr>
        <w:shd w:val="clear" w:color="auto" w:fill="FFFFFF"/>
        <w:spacing w:line="360" w:lineRule="auto"/>
        <w:ind w:firstLine="480" w:firstLineChars="200"/>
        <w:rPr>
          <w:b/>
          <w:bCs/>
          <w:sz w:val="24"/>
        </w:rPr>
      </w:pPr>
      <w:r>
        <w:rPr>
          <w:sz w:val="24"/>
        </w:rPr>
        <w:t>17.2</w:t>
      </w:r>
      <w:r>
        <w:rPr>
          <w:b/>
          <w:bCs/>
          <w:sz w:val="24"/>
        </w:rPr>
        <w:t>投标人的授权代表须携带《法定代表人授权书》及《保证金转帐、汇款的银行回单或现金缴纳方式的收据》（均要求复印件加盖公章），并递交个人身份证原件以开标现场招标人查验。如不按以上材料递交招标人有权拒绝接收其投标文件，后果自负。其现场所签署确认的文件均代表投标人的决定，并作为投标文件的补充内容，具有同等法律效力。</w:t>
      </w:r>
    </w:p>
    <w:p>
      <w:pPr>
        <w:shd w:val="clear" w:color="auto" w:fill="FFFFFF"/>
        <w:spacing w:line="360" w:lineRule="auto"/>
        <w:ind w:firstLine="480" w:firstLineChars="200"/>
        <w:rPr>
          <w:sz w:val="24"/>
        </w:rPr>
      </w:pPr>
      <w:r>
        <w:rPr>
          <w:sz w:val="24"/>
        </w:rPr>
        <w:t>17.3 若招标人推迟了投标截止时间，应以公告的形式通知所有投标人。在这种情况下，招标人、采购人和投标人的权利和义务均应以新的投标截止时间为准。</w:t>
      </w:r>
    </w:p>
    <w:p>
      <w:pPr>
        <w:shd w:val="clear" w:color="auto" w:fill="FFFFFF"/>
        <w:spacing w:line="360" w:lineRule="auto"/>
        <w:ind w:firstLine="480" w:firstLineChars="200"/>
        <w:rPr>
          <w:sz w:val="24"/>
          <w:lang w:val="en-GB"/>
        </w:rPr>
      </w:pPr>
      <w:r>
        <w:rPr>
          <w:sz w:val="24"/>
        </w:rPr>
        <w:t>17.4 在投标截止时间后递交的投标文件，招标人将拒绝接收。</w:t>
      </w:r>
    </w:p>
    <w:p>
      <w:pPr>
        <w:numPr>
          <w:ilvl w:val="0"/>
          <w:numId w:val="2"/>
        </w:numPr>
        <w:spacing w:line="360" w:lineRule="auto"/>
        <w:ind w:firstLine="562" w:firstLineChars="200"/>
        <w:rPr>
          <w:b/>
          <w:bCs/>
          <w:sz w:val="28"/>
          <w:szCs w:val="28"/>
          <w:lang w:val="en-GB"/>
        </w:rPr>
      </w:pPr>
      <w:r>
        <w:rPr>
          <w:b/>
          <w:bCs/>
          <w:sz w:val="28"/>
          <w:szCs w:val="28"/>
          <w:lang w:val="en-GB"/>
        </w:rPr>
        <w:t>开标及</w:t>
      </w:r>
      <w:r>
        <w:rPr>
          <w:b/>
          <w:bCs/>
          <w:sz w:val="28"/>
          <w:szCs w:val="28"/>
        </w:rPr>
        <w:t>评标</w:t>
      </w:r>
    </w:p>
    <w:p>
      <w:pPr>
        <w:spacing w:line="360" w:lineRule="auto"/>
        <w:ind w:firstLine="480" w:firstLineChars="200"/>
        <w:rPr>
          <w:color w:val="000000"/>
          <w:sz w:val="24"/>
        </w:rPr>
      </w:pPr>
      <w:r>
        <w:rPr>
          <w:color w:val="000000"/>
          <w:sz w:val="24"/>
        </w:rPr>
        <w:t>18．开标</w:t>
      </w:r>
    </w:p>
    <w:p>
      <w:pPr>
        <w:spacing w:line="360" w:lineRule="auto"/>
        <w:ind w:firstLine="480" w:firstLineChars="200"/>
        <w:rPr>
          <w:color w:val="000000"/>
          <w:sz w:val="24"/>
        </w:rPr>
      </w:pPr>
      <w:r>
        <w:rPr>
          <w:color w:val="000000"/>
          <w:sz w:val="24"/>
        </w:rPr>
        <w:t>18.l 招标代理人按投标文件第一章规定的时间和地点进行开标，采购人代表、招标代理人有关工作人员参加。投标人应委派授权代表参加开标活动，参加开标的代表须持本人身份证件签名报到以证明其出席。未派授权代表或不能证明其授权代表身份的，招标代理人对投标文件的处理不承担责任。</w:t>
      </w:r>
    </w:p>
    <w:p>
      <w:pPr>
        <w:spacing w:line="360" w:lineRule="auto"/>
        <w:ind w:firstLine="480" w:firstLineChars="200"/>
        <w:rPr>
          <w:color w:val="000000"/>
          <w:sz w:val="24"/>
        </w:rPr>
      </w:pPr>
      <w:r>
        <w:rPr>
          <w:color w:val="000000"/>
          <w:sz w:val="24"/>
        </w:rPr>
        <w:t>18.2政府采购主管部门、监督部门、国家公证机关公证员由其视情况决定是否派代表到现场进行监督。</w:t>
      </w:r>
    </w:p>
    <w:p>
      <w:pPr>
        <w:spacing w:line="360" w:lineRule="auto"/>
        <w:ind w:firstLine="480" w:firstLineChars="200"/>
        <w:rPr>
          <w:color w:val="000000"/>
          <w:sz w:val="24"/>
        </w:rPr>
      </w:pPr>
      <w:r>
        <w:rPr>
          <w:color w:val="000000"/>
          <w:sz w:val="24"/>
        </w:rPr>
        <w:t>18.3 开标时，投标人代表将查验投标文件密封情况，确认无误后拆封唱标，公布每份投标文件中“开标一览表”的内容，以及招标代理人认为合适的其他内容，招标代理人将作开标记录。</w:t>
      </w:r>
    </w:p>
    <w:p>
      <w:pPr>
        <w:spacing w:line="360" w:lineRule="auto"/>
        <w:ind w:firstLine="480" w:firstLineChars="200"/>
        <w:rPr>
          <w:color w:val="000000"/>
          <w:sz w:val="24"/>
        </w:rPr>
      </w:pPr>
      <w:r>
        <w:rPr>
          <w:color w:val="000000"/>
          <w:sz w:val="24"/>
        </w:rPr>
        <w:t>18.4 若投标文件未密封，招标代理人将拒绝接受该投标人的投标文件。</w:t>
      </w:r>
    </w:p>
    <w:p>
      <w:pPr>
        <w:spacing w:line="360" w:lineRule="auto"/>
        <w:ind w:firstLine="480" w:firstLineChars="200"/>
        <w:rPr>
          <w:color w:val="000000"/>
          <w:sz w:val="24"/>
        </w:rPr>
      </w:pPr>
      <w:r>
        <w:rPr>
          <w:color w:val="000000"/>
          <w:sz w:val="24"/>
        </w:rPr>
        <w:t>19．评标委员会</w:t>
      </w:r>
    </w:p>
    <w:p>
      <w:pPr>
        <w:spacing w:line="360" w:lineRule="auto"/>
        <w:ind w:firstLine="480" w:firstLineChars="200"/>
        <w:rPr>
          <w:color w:val="000000"/>
          <w:sz w:val="24"/>
        </w:rPr>
      </w:pPr>
      <w:r>
        <w:rPr>
          <w:color w:val="000000"/>
          <w:sz w:val="24"/>
        </w:rPr>
        <w:t>受采购人的委托，招标代理人从</w:t>
      </w:r>
      <w:r>
        <w:rPr>
          <w:color w:val="000000"/>
          <w:sz w:val="24"/>
          <w:u w:val="single"/>
        </w:rPr>
        <w:t>海南省综合评标专家库</w:t>
      </w:r>
      <w:r>
        <w:rPr>
          <w:color w:val="000000"/>
          <w:sz w:val="24"/>
        </w:rPr>
        <w:t>中随机抽取</w:t>
      </w:r>
      <w:r>
        <w:rPr>
          <w:rFonts w:hint="eastAsia"/>
          <w:color w:val="000000"/>
          <w:sz w:val="24"/>
          <w:u w:val="single"/>
        </w:rPr>
        <w:t>4名</w:t>
      </w:r>
      <w:r>
        <w:rPr>
          <w:color w:val="000000"/>
          <w:sz w:val="24"/>
        </w:rPr>
        <w:t>相关专家</w:t>
      </w:r>
      <w:r>
        <w:rPr>
          <w:rFonts w:hint="eastAsia"/>
          <w:color w:val="000000"/>
          <w:sz w:val="24"/>
        </w:rPr>
        <w:t>和</w:t>
      </w:r>
      <w:r>
        <w:rPr>
          <w:rFonts w:hint="eastAsia"/>
          <w:color w:val="000000"/>
          <w:sz w:val="24"/>
          <w:u w:val="single"/>
        </w:rPr>
        <w:t>1名</w:t>
      </w:r>
      <w:r>
        <w:rPr>
          <w:rFonts w:hint="eastAsia"/>
          <w:color w:val="000000"/>
          <w:sz w:val="24"/>
        </w:rPr>
        <w:t>业主代表</w:t>
      </w:r>
      <w:r>
        <w:rPr>
          <w:color w:val="000000"/>
          <w:sz w:val="24"/>
        </w:rPr>
        <w:t>组成评标委员会，其中技术、经济等方面的专家不得少于成员总数的2/3。该评标委员会独立工作，负责评审所有投标文件并确定中标侯选人。</w:t>
      </w:r>
    </w:p>
    <w:p>
      <w:pPr>
        <w:spacing w:line="360" w:lineRule="auto"/>
        <w:ind w:firstLine="480" w:firstLineChars="200"/>
        <w:rPr>
          <w:color w:val="000000"/>
          <w:sz w:val="24"/>
        </w:rPr>
      </w:pPr>
      <w:r>
        <w:rPr>
          <w:color w:val="000000"/>
          <w:sz w:val="24"/>
        </w:rPr>
        <w:t>20.评标</w:t>
      </w:r>
    </w:p>
    <w:p>
      <w:pPr>
        <w:spacing w:line="360" w:lineRule="auto"/>
        <w:ind w:firstLine="465"/>
        <w:rPr>
          <w:color w:val="000000"/>
          <w:sz w:val="24"/>
        </w:rPr>
      </w:pPr>
      <w:r>
        <w:rPr>
          <w:color w:val="000000"/>
          <w:sz w:val="24"/>
        </w:rPr>
        <w:t>20.1 见“第六部分评审办法和程序”。</w:t>
      </w:r>
    </w:p>
    <w:p>
      <w:pPr>
        <w:spacing w:line="360" w:lineRule="auto"/>
        <w:ind w:firstLine="468"/>
        <w:rPr>
          <w:color w:val="000000"/>
          <w:sz w:val="24"/>
        </w:rPr>
      </w:pPr>
      <w:r>
        <w:rPr>
          <w:color w:val="000000"/>
          <w:sz w:val="24"/>
        </w:rPr>
        <w:t>20.2关于政策性加分</w:t>
      </w:r>
    </w:p>
    <w:p>
      <w:pPr>
        <w:snapToGrid w:val="0"/>
        <w:spacing w:line="360" w:lineRule="auto"/>
        <w:ind w:firstLine="465"/>
        <w:rPr>
          <w:color w:val="000000"/>
          <w:sz w:val="24"/>
        </w:rPr>
      </w:pPr>
      <w:r>
        <w:rPr>
          <w:color w:val="000000"/>
          <w:sz w:val="24"/>
        </w:rPr>
        <w:t xml:space="preserve">20.2.1所投分包(如不分包则指本项目)的所有投标产品进入当期节能清单的，其评标价=投标报价*（1-2%）；投标人所投产品满足此规定的，必须提供声明函并提供相关证明文件。 </w:t>
      </w:r>
    </w:p>
    <w:p>
      <w:pPr>
        <w:snapToGrid w:val="0"/>
        <w:spacing w:line="360" w:lineRule="auto"/>
        <w:ind w:firstLine="465"/>
        <w:rPr>
          <w:color w:val="000000"/>
          <w:sz w:val="24"/>
        </w:rPr>
      </w:pPr>
      <w:r>
        <w:rPr>
          <w:color w:val="000000"/>
          <w:sz w:val="24"/>
        </w:rPr>
        <w:t>20.2.2所投分包(如不分包则指本项目)的所有投标产品进入当期环保清单的，其评标价=投标报价*（1-1%）；投标人所投产品满足此规定的，必须提供声明函并提供相关证明文件。</w:t>
      </w:r>
    </w:p>
    <w:p>
      <w:pPr>
        <w:snapToGrid w:val="0"/>
        <w:spacing w:line="360" w:lineRule="auto"/>
        <w:ind w:firstLine="465"/>
        <w:rPr>
          <w:color w:val="000000"/>
          <w:sz w:val="24"/>
        </w:rPr>
      </w:pPr>
      <w:r>
        <w:rPr>
          <w:color w:val="000000"/>
          <w:sz w:val="24"/>
        </w:rPr>
        <w:t>20.2.3投标人为小型和微型企业的情况：</w:t>
      </w:r>
    </w:p>
    <w:p>
      <w:pPr>
        <w:snapToGrid w:val="0"/>
        <w:spacing w:line="360" w:lineRule="auto"/>
        <w:ind w:firstLine="465"/>
        <w:rPr>
          <w:color w:val="000000"/>
          <w:sz w:val="24"/>
        </w:rPr>
      </w:pPr>
      <w:r>
        <w:rPr>
          <w:color w:val="000000"/>
          <w:sz w:val="24"/>
        </w:rPr>
        <w:t>20.2.3.1中小企业的认定标准：</w:t>
      </w:r>
    </w:p>
    <w:p>
      <w:pPr>
        <w:snapToGrid w:val="0"/>
        <w:spacing w:line="360" w:lineRule="auto"/>
        <w:ind w:firstLine="465"/>
        <w:rPr>
          <w:color w:val="000000"/>
          <w:sz w:val="24"/>
        </w:rPr>
      </w:pPr>
      <w:r>
        <w:rPr>
          <w:color w:val="000000"/>
          <w:sz w:val="24"/>
        </w:rPr>
        <w:t>1）提供本企业制造的货物、承担的工程或者服务，或者提供其他中小企业制造的货物，不包括提供或使用大型企业注册商标的货物；</w:t>
      </w:r>
    </w:p>
    <w:p>
      <w:pPr>
        <w:snapToGrid w:val="0"/>
        <w:spacing w:line="360" w:lineRule="auto"/>
        <w:ind w:firstLine="465"/>
        <w:rPr>
          <w:color w:val="000000"/>
          <w:sz w:val="24"/>
        </w:rPr>
      </w:pPr>
      <w:r>
        <w:rPr>
          <w:color w:val="000000"/>
          <w:sz w:val="24"/>
        </w:rPr>
        <w:t>2）本规定所称中小企业划分标准，是指国务院有关部门根据企业从业人员、营业收入、资产总额等指标制定的中小企业划型标准（工信部联企业〔2011〕300号）；</w:t>
      </w:r>
    </w:p>
    <w:p>
      <w:pPr>
        <w:snapToGrid w:val="0"/>
        <w:spacing w:line="360" w:lineRule="auto"/>
        <w:ind w:firstLine="465"/>
        <w:rPr>
          <w:color w:val="000000"/>
          <w:sz w:val="24"/>
        </w:rPr>
      </w:pPr>
      <w:r>
        <w:rPr>
          <w:color w:val="000000"/>
          <w:sz w:val="24"/>
        </w:rPr>
        <w:t>3）小型、微型企业提供有中型企业制造的货物的，视同为中型企业；小型、微型、中型企业提供有大型企业制造的货物的，视同为大型企业。</w:t>
      </w:r>
    </w:p>
    <w:p>
      <w:pPr>
        <w:snapToGrid w:val="0"/>
        <w:spacing w:line="360" w:lineRule="auto"/>
        <w:ind w:firstLine="465"/>
        <w:rPr>
          <w:color w:val="000000"/>
          <w:sz w:val="24"/>
        </w:rPr>
      </w:pPr>
      <w:r>
        <w:rPr>
          <w:color w:val="000000"/>
          <w:sz w:val="24"/>
        </w:rPr>
        <w:t>20.2.3.2具体评审价说明：</w:t>
      </w:r>
    </w:p>
    <w:p>
      <w:pPr>
        <w:snapToGrid w:val="0"/>
        <w:spacing w:line="360" w:lineRule="auto"/>
        <w:ind w:firstLine="465"/>
        <w:rPr>
          <w:color w:val="000000"/>
          <w:sz w:val="24"/>
        </w:rPr>
      </w:pPr>
      <w:r>
        <w:rPr>
          <w:color w:val="000000"/>
          <w:sz w:val="24"/>
        </w:rPr>
        <w:t>1）投标人为小型或微型企业，其评审价=投标报价*（1-6%）；</w:t>
      </w:r>
    </w:p>
    <w:p>
      <w:pPr>
        <w:shd w:val="clear" w:color="auto" w:fill="FFFFFF"/>
        <w:snapToGrid w:val="0"/>
        <w:spacing w:line="360" w:lineRule="auto"/>
        <w:ind w:firstLine="480"/>
        <w:rPr>
          <w:color w:val="000000"/>
          <w:sz w:val="24"/>
        </w:rPr>
      </w:pPr>
      <w:r>
        <w:rPr>
          <w:color w:val="000000"/>
          <w:sz w:val="24"/>
        </w:rPr>
        <w:t>2）投标人为联合体投标，联合体各方均为小型、微型企业的，联合体视同为小型、微型企业；联合体中有小型或微型企业且联合协议中约定小型、微型企业的协议合同金额占到联合体协议合同总金额30％以上的，其评审价=投标报价*（1-2%）。</w:t>
      </w:r>
    </w:p>
    <w:p>
      <w:pPr>
        <w:shd w:val="clear" w:color="auto" w:fill="FFFFFF"/>
        <w:snapToGrid w:val="0"/>
        <w:spacing w:line="360" w:lineRule="auto"/>
        <w:ind w:firstLine="480"/>
        <w:rPr>
          <w:color w:val="000000"/>
          <w:sz w:val="24"/>
        </w:rPr>
      </w:pPr>
      <w:r>
        <w:rPr>
          <w:color w:val="000000"/>
          <w:sz w:val="24"/>
        </w:rPr>
        <w:t>20.2.3.3 投标人为工信部联企业〔2011〕300号文规定的小型和微型企业的，必须</w:t>
      </w:r>
      <w:bookmarkStart w:id="39" w:name="_Toc320093686"/>
      <w:r>
        <w:rPr>
          <w:color w:val="000000"/>
          <w:sz w:val="24"/>
        </w:rPr>
        <w:t>如实填写“中小企业声明函”（内容、格式见财库〔2011〕181号）</w:t>
      </w:r>
      <w:bookmarkEnd w:id="39"/>
      <w:r>
        <w:rPr>
          <w:color w:val="000000"/>
          <w:sz w:val="24"/>
        </w:rPr>
        <w:t>，否则无效。</w:t>
      </w:r>
    </w:p>
    <w:p>
      <w:pPr>
        <w:spacing w:line="360" w:lineRule="auto"/>
        <w:ind w:firstLine="480" w:firstLineChars="200"/>
        <w:rPr>
          <w:color w:val="000000"/>
          <w:sz w:val="24"/>
        </w:rPr>
      </w:pPr>
      <w:r>
        <w:rPr>
          <w:color w:val="000000"/>
          <w:sz w:val="24"/>
        </w:rPr>
        <w:t>21.评标过程保密</w:t>
      </w:r>
    </w:p>
    <w:p>
      <w:pPr>
        <w:spacing w:line="360" w:lineRule="auto"/>
        <w:ind w:firstLine="480" w:firstLineChars="200"/>
        <w:rPr>
          <w:color w:val="000000"/>
          <w:sz w:val="24"/>
        </w:rPr>
      </w:pPr>
      <w:r>
        <w:rPr>
          <w:color w:val="000000"/>
          <w:sz w:val="24"/>
        </w:rPr>
        <w:t>21.l 在宣布中标结果之前，凡属于审查、澄清、评价、比较投标文件和中标意向等有关信息，相关当事人均不得泄露给任何投标人或与评标工作无关的人员。</w:t>
      </w:r>
    </w:p>
    <w:p>
      <w:pPr>
        <w:spacing w:line="360" w:lineRule="auto"/>
        <w:ind w:firstLine="480" w:firstLineChars="200"/>
        <w:rPr>
          <w:color w:val="000000"/>
          <w:sz w:val="24"/>
        </w:rPr>
      </w:pPr>
      <w:r>
        <w:rPr>
          <w:color w:val="000000"/>
          <w:sz w:val="24"/>
        </w:rPr>
        <w:t>21.2 投标人不得探听上述信息，不得以任何行为影响评标过程，否则其投标文件将被作为无效投标文件。</w:t>
      </w:r>
    </w:p>
    <w:p>
      <w:pPr>
        <w:spacing w:line="360" w:lineRule="auto"/>
        <w:ind w:firstLine="480" w:firstLineChars="200"/>
        <w:rPr>
          <w:color w:val="000000"/>
          <w:sz w:val="24"/>
        </w:rPr>
      </w:pPr>
      <w:r>
        <w:rPr>
          <w:color w:val="000000"/>
          <w:sz w:val="24"/>
        </w:rPr>
        <w:t>21.3 在评标期间，招标代理人将有专门人员与投标人进行联络。</w:t>
      </w:r>
    </w:p>
    <w:p>
      <w:pPr>
        <w:spacing w:line="360" w:lineRule="auto"/>
        <w:ind w:firstLine="480" w:firstLineChars="200"/>
        <w:rPr>
          <w:color w:val="000000"/>
          <w:sz w:val="24"/>
        </w:rPr>
      </w:pPr>
      <w:r>
        <w:rPr>
          <w:color w:val="000000"/>
          <w:sz w:val="24"/>
        </w:rPr>
        <w:t>21.4 招标代理人和评标委员会不向落标的投标人解释落标原因，也不对评标过程中的细节问题进行公布。</w:t>
      </w:r>
    </w:p>
    <w:p>
      <w:pPr>
        <w:numPr>
          <w:ilvl w:val="0"/>
          <w:numId w:val="2"/>
        </w:numPr>
        <w:spacing w:line="360" w:lineRule="auto"/>
        <w:ind w:firstLine="562" w:firstLineChars="200"/>
        <w:rPr>
          <w:b/>
          <w:bCs/>
          <w:sz w:val="28"/>
          <w:szCs w:val="28"/>
          <w:lang w:val="en-GB"/>
        </w:rPr>
      </w:pPr>
      <w:r>
        <w:rPr>
          <w:b/>
          <w:bCs/>
          <w:sz w:val="28"/>
          <w:szCs w:val="28"/>
          <w:lang w:val="en-GB"/>
        </w:rPr>
        <w:t>授标及签约</w:t>
      </w:r>
    </w:p>
    <w:p>
      <w:pPr>
        <w:spacing w:line="360" w:lineRule="auto"/>
        <w:ind w:firstLine="480" w:firstLineChars="200"/>
        <w:rPr>
          <w:color w:val="000000"/>
          <w:sz w:val="24"/>
        </w:rPr>
      </w:pPr>
      <w:r>
        <w:rPr>
          <w:color w:val="000000"/>
          <w:sz w:val="24"/>
        </w:rPr>
        <w:t>22．定标原则</w:t>
      </w:r>
    </w:p>
    <w:p>
      <w:pPr>
        <w:spacing w:line="360" w:lineRule="auto"/>
        <w:ind w:firstLine="480" w:firstLineChars="200"/>
        <w:rPr>
          <w:color w:val="000000"/>
          <w:sz w:val="24"/>
        </w:rPr>
      </w:pPr>
      <w:r>
        <w:rPr>
          <w:color w:val="000000"/>
          <w:sz w:val="24"/>
        </w:rPr>
        <w:t>22.1评标委员会将严格按照招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有权将把合同授予排名第二的中标候选人。排名第二的中标候选人因前款规定的同样原因不能签订合同的，采购人将把合同授予排名第三的中标候选人。</w:t>
      </w:r>
    </w:p>
    <w:p>
      <w:pPr>
        <w:spacing w:line="360" w:lineRule="auto"/>
        <w:ind w:firstLine="480" w:firstLineChars="200"/>
        <w:rPr>
          <w:color w:val="000000"/>
          <w:sz w:val="24"/>
        </w:rPr>
      </w:pPr>
      <w:r>
        <w:rPr>
          <w:color w:val="000000"/>
          <w:sz w:val="24"/>
        </w:rPr>
        <w:t>22.2 招标代理人将在指定的网站（</w:t>
      </w:r>
      <w:r>
        <w:rPr>
          <w:rFonts w:hint="eastAsia"/>
          <w:color w:val="000000"/>
          <w:sz w:val="24"/>
        </w:rPr>
        <w:t>www.ccgp-hainan.gov.cn和</w:t>
      </w:r>
      <w:r>
        <w:rPr>
          <w:rFonts w:hint="eastAsia"/>
          <w:color w:val="000000"/>
          <w:sz w:val="24"/>
        </w:rPr>
        <w:fldChar w:fldCharType="begin"/>
      </w:r>
      <w:r>
        <w:rPr>
          <w:rFonts w:hint="eastAsia"/>
          <w:color w:val="000000"/>
          <w:sz w:val="24"/>
        </w:rPr>
        <w:instrText xml:space="preserve"> HYPERLINK "http://www.hizw.gov.cn" </w:instrText>
      </w:r>
      <w:r>
        <w:rPr>
          <w:rFonts w:hint="eastAsia"/>
          <w:color w:val="000000"/>
          <w:sz w:val="24"/>
        </w:rPr>
        <w:fldChar w:fldCharType="separate"/>
      </w:r>
      <w:r>
        <w:rPr>
          <w:rFonts w:hint="eastAsia"/>
          <w:color w:val="000000"/>
          <w:sz w:val="24"/>
        </w:rPr>
        <w:t>www.hizw.gov.cn</w:t>
      </w:r>
      <w:r>
        <w:rPr>
          <w:rFonts w:hint="eastAsia"/>
          <w:color w:val="000000"/>
          <w:sz w:val="24"/>
        </w:rPr>
        <w:fldChar w:fldCharType="end"/>
      </w:r>
      <w:r>
        <w:rPr>
          <w:color w:val="000000"/>
          <w:sz w:val="24"/>
        </w:rPr>
        <w:t>）上公示投标结果。</w:t>
      </w:r>
    </w:p>
    <w:p>
      <w:pPr>
        <w:spacing w:line="360" w:lineRule="auto"/>
        <w:ind w:firstLine="480" w:firstLineChars="200"/>
        <w:rPr>
          <w:color w:val="000000"/>
          <w:sz w:val="24"/>
        </w:rPr>
      </w:pPr>
      <w:r>
        <w:rPr>
          <w:color w:val="000000"/>
          <w:sz w:val="24"/>
        </w:rPr>
        <w:t>23. 质疑处理</w:t>
      </w:r>
    </w:p>
    <w:p>
      <w:pPr>
        <w:spacing w:line="360" w:lineRule="auto"/>
        <w:rPr>
          <w:color w:val="000000"/>
          <w:sz w:val="24"/>
        </w:rPr>
      </w:pPr>
      <w:r>
        <w:rPr>
          <w:color w:val="000000"/>
          <w:sz w:val="24"/>
        </w:rPr>
        <w:t xml:space="preserve">    23.1 投标人如认为采购文件、采购过程和中标结果使自己的权益收到损害的，应在知道或应知道其权益受到损害之日起7个工作日内以书面形式向招标代理人提出质疑。匿名、非书面形式、7个工作日之外的质疑均不予受理。</w:t>
      </w:r>
    </w:p>
    <w:p>
      <w:pPr>
        <w:spacing w:line="360" w:lineRule="auto"/>
        <w:ind w:firstLine="480" w:firstLineChars="200"/>
        <w:rPr>
          <w:color w:val="000000"/>
          <w:sz w:val="24"/>
        </w:rPr>
      </w:pPr>
      <w:r>
        <w:rPr>
          <w:color w:val="000000"/>
          <w:sz w:val="24"/>
        </w:rPr>
        <w:t>24．中标通知</w:t>
      </w:r>
    </w:p>
    <w:p>
      <w:pPr>
        <w:spacing w:line="360" w:lineRule="auto"/>
        <w:ind w:firstLine="480" w:firstLineChars="200"/>
        <w:rPr>
          <w:color w:val="000000"/>
          <w:sz w:val="24"/>
        </w:rPr>
      </w:pPr>
      <w:r>
        <w:rPr>
          <w:color w:val="000000"/>
          <w:sz w:val="24"/>
        </w:rPr>
        <w:t>24.l定标后,招标代理人应将定标结果通知所有的投标人。</w:t>
      </w:r>
    </w:p>
    <w:p>
      <w:pPr>
        <w:spacing w:line="360" w:lineRule="auto"/>
        <w:ind w:firstLine="480" w:firstLineChars="200"/>
        <w:rPr>
          <w:color w:val="000000"/>
          <w:sz w:val="24"/>
        </w:rPr>
      </w:pPr>
      <w:r>
        <w:rPr>
          <w:color w:val="000000"/>
          <w:sz w:val="24"/>
        </w:rPr>
        <w:t>24.2中标人收到中标通知后，应在规定时间内到招标代理人处领取中标通知书，并办理相关手续。</w:t>
      </w:r>
    </w:p>
    <w:p>
      <w:pPr>
        <w:spacing w:line="360" w:lineRule="auto"/>
        <w:ind w:firstLine="480" w:firstLineChars="200"/>
        <w:rPr>
          <w:color w:val="000000"/>
          <w:sz w:val="24"/>
        </w:rPr>
      </w:pPr>
      <w:r>
        <w:rPr>
          <w:color w:val="000000"/>
          <w:sz w:val="24"/>
        </w:rPr>
        <w:t>24.3 中标通知书将是合同的一个组成部分。</w:t>
      </w:r>
    </w:p>
    <w:p>
      <w:pPr>
        <w:spacing w:line="360" w:lineRule="auto"/>
        <w:rPr>
          <w:color w:val="000000"/>
          <w:sz w:val="24"/>
        </w:rPr>
      </w:pPr>
      <w:r>
        <w:rPr>
          <w:color w:val="000000"/>
          <w:sz w:val="24"/>
        </w:rPr>
        <w:t>25．签订合同</w:t>
      </w:r>
    </w:p>
    <w:p>
      <w:pPr>
        <w:spacing w:line="360" w:lineRule="auto"/>
        <w:ind w:firstLine="480" w:firstLineChars="200"/>
        <w:rPr>
          <w:color w:val="000000"/>
          <w:sz w:val="24"/>
        </w:rPr>
      </w:pPr>
      <w:r>
        <w:rPr>
          <w:color w:val="000000"/>
          <w:sz w:val="24"/>
        </w:rPr>
        <w:t>25.l 中标人应按中标通知书规定的时间、地点与采购人签订中标合同,否则投标保证金将不予退还，给采购人和招标代理人造成损失的，投标人还应承担赔偿责任。</w:t>
      </w:r>
    </w:p>
    <w:p>
      <w:pPr>
        <w:spacing w:line="360" w:lineRule="auto"/>
        <w:ind w:firstLine="480" w:firstLineChars="200"/>
        <w:rPr>
          <w:color w:val="000000"/>
          <w:sz w:val="24"/>
        </w:rPr>
      </w:pPr>
      <w:r>
        <w:rPr>
          <w:color w:val="000000"/>
          <w:sz w:val="24"/>
        </w:rPr>
        <w:t>25.2 投标文件、中标人的投标文件及评标过程中有关澄清文件均应作为合同附件。</w:t>
      </w:r>
    </w:p>
    <w:p>
      <w:pPr>
        <w:spacing w:line="360" w:lineRule="auto"/>
        <w:ind w:firstLine="480" w:firstLineChars="200"/>
        <w:rPr>
          <w:color w:val="000000"/>
          <w:sz w:val="24"/>
        </w:rPr>
      </w:pPr>
      <w:r>
        <w:rPr>
          <w:color w:val="000000"/>
          <w:sz w:val="24"/>
        </w:rPr>
        <w:t>26．招标代理服务费</w:t>
      </w:r>
    </w:p>
    <w:p>
      <w:pPr>
        <w:spacing w:line="360" w:lineRule="auto"/>
        <w:ind w:firstLine="540" w:firstLineChars="225"/>
        <w:rPr>
          <w:color w:val="000000"/>
          <w:sz w:val="24"/>
        </w:rPr>
      </w:pPr>
      <w:r>
        <w:rPr>
          <w:color w:val="000000"/>
          <w:sz w:val="24"/>
        </w:rPr>
        <w:t>本次采购活动采购代理服务费按相关规定收取，由中标人向招标代理机构支付。</w:t>
      </w:r>
    </w:p>
    <w:p>
      <w:pPr>
        <w:spacing w:line="360" w:lineRule="auto"/>
        <w:ind w:firstLine="480" w:firstLineChars="200"/>
        <w:rPr>
          <w:color w:val="000000"/>
          <w:sz w:val="24"/>
        </w:rPr>
      </w:pPr>
      <w:r>
        <w:rPr>
          <w:color w:val="000000"/>
          <w:sz w:val="24"/>
        </w:rPr>
        <w:t>27.其它</w:t>
      </w:r>
    </w:p>
    <w:p>
      <w:pPr>
        <w:spacing w:line="360" w:lineRule="auto"/>
        <w:ind w:firstLine="480" w:firstLineChars="200"/>
        <w:rPr>
          <w:color w:val="000000"/>
          <w:sz w:val="24"/>
        </w:rPr>
      </w:pPr>
      <w:r>
        <w:rPr>
          <w:color w:val="000000"/>
          <w:sz w:val="24"/>
        </w:rPr>
        <w:t>本项目不召开答疑会。</w:t>
      </w:r>
    </w:p>
    <w:p/>
    <w:p/>
    <w:p/>
    <w:p/>
    <w:p/>
    <w:p/>
    <w:p/>
    <w:p>
      <w:pPr>
        <w:pStyle w:val="4"/>
        <w:adjustRightInd w:val="0"/>
        <w:snapToGrid w:val="0"/>
        <w:spacing w:before="0" w:after="0" w:line="360" w:lineRule="auto"/>
        <w:jc w:val="center"/>
        <w:rPr>
          <w:rFonts w:ascii="Times New Roman" w:hAnsi="Times New Roman" w:cs="Times New Roman"/>
          <w:b/>
          <w:sz w:val="44"/>
          <w:szCs w:val="44"/>
        </w:rPr>
      </w:pPr>
      <w:bookmarkStart w:id="40" w:name="_Toc9796"/>
      <w:bookmarkStart w:id="41" w:name="_Toc25206"/>
      <w:bookmarkStart w:id="42" w:name="_Toc212454786"/>
      <w:bookmarkStart w:id="43" w:name="_Toc275871428"/>
      <w:bookmarkStart w:id="44" w:name="_Toc212526115"/>
      <w:bookmarkStart w:id="45" w:name="_Toc236480760"/>
      <w:bookmarkStart w:id="46" w:name="_Toc236480817"/>
      <w:bookmarkStart w:id="47" w:name="_Toc236131359"/>
      <w:bookmarkStart w:id="48" w:name="_Toc236131294"/>
      <w:bookmarkStart w:id="49" w:name="_Toc275871493"/>
      <w:bookmarkStart w:id="50" w:name="_Toc275770740"/>
      <w:bookmarkStart w:id="51" w:name="_Toc212530287"/>
      <w:bookmarkStart w:id="52" w:name="_Toc216833740"/>
      <w:bookmarkStart w:id="53" w:name="_Toc217720612"/>
      <w:bookmarkStart w:id="54" w:name="_Toc217720115"/>
      <w:bookmarkStart w:id="55" w:name="_Toc275954507"/>
      <w:bookmarkStart w:id="56" w:name="_Toc212456179"/>
      <w:bookmarkStart w:id="57" w:name="_Toc87515263"/>
      <w:r>
        <w:rPr>
          <w:rFonts w:ascii="Times New Roman" w:hAnsi="Times New Roman" w:cs="Times New Roman"/>
          <w:b/>
          <w:sz w:val="44"/>
          <w:szCs w:val="44"/>
        </w:rPr>
        <w:t>第三部分用户需求书</w:t>
      </w:r>
      <w:bookmarkEnd w:id="40"/>
      <w:bookmarkEnd w:id="41"/>
    </w:p>
    <w:p>
      <w:pPr>
        <w:adjustRightInd w:val="0"/>
        <w:snapToGrid w:val="0"/>
        <w:spacing w:line="360" w:lineRule="auto"/>
        <w:rPr>
          <w:b/>
          <w:sz w:val="28"/>
          <w:szCs w:val="28"/>
        </w:rPr>
      </w:pPr>
    </w:p>
    <w:p>
      <w:pPr>
        <w:adjustRightInd w:val="0"/>
        <w:snapToGrid w:val="0"/>
        <w:spacing w:line="360" w:lineRule="auto"/>
        <w:rPr>
          <w:rFonts w:hint="eastAsia" w:eastAsia="宋体"/>
          <w:b/>
          <w:sz w:val="28"/>
          <w:szCs w:val="28"/>
          <w:lang w:eastAsia="zh-CN"/>
        </w:rPr>
      </w:pPr>
      <w:r>
        <w:rPr>
          <w:b/>
          <w:sz w:val="28"/>
          <w:szCs w:val="28"/>
        </w:rPr>
        <w:t>采购单位：</w:t>
      </w:r>
      <w:r>
        <w:rPr>
          <w:rFonts w:hint="eastAsia"/>
          <w:b/>
          <w:sz w:val="28"/>
          <w:szCs w:val="28"/>
          <w:lang w:eastAsia="zh-CN"/>
        </w:rPr>
        <w:t>东方市职业技术学校</w:t>
      </w:r>
    </w:p>
    <w:p>
      <w:pPr>
        <w:snapToGrid w:val="0"/>
        <w:spacing w:beforeLines="50" w:afterLines="50"/>
        <w:rPr>
          <w:rFonts w:ascii="宋体" w:hAnsi="宋体"/>
          <w:b/>
          <w:bCs/>
          <w:color w:val="000000"/>
          <w:sz w:val="32"/>
          <w:szCs w:val="32"/>
        </w:rPr>
      </w:pPr>
      <w:r>
        <w:rPr>
          <w:rFonts w:hint="eastAsia" w:ascii="宋体" w:hAnsi="宋体"/>
          <w:b/>
          <w:bCs/>
          <w:color w:val="000000"/>
          <w:sz w:val="32"/>
          <w:szCs w:val="32"/>
        </w:rPr>
        <w:t>一、项目名称</w:t>
      </w:r>
    </w:p>
    <w:p>
      <w:pPr>
        <w:tabs>
          <w:tab w:val="left" w:pos="3960"/>
        </w:tabs>
        <w:spacing w:line="360" w:lineRule="auto"/>
        <w:rPr>
          <w:rFonts w:hint="eastAsia" w:ascii="宋体" w:hAnsi="宋体"/>
          <w:color w:val="000000"/>
          <w:sz w:val="24"/>
          <w:lang w:eastAsia="zh-CN"/>
        </w:rPr>
      </w:pPr>
      <w:r>
        <w:rPr>
          <w:rFonts w:hint="eastAsia" w:ascii="宋体" w:hAnsi="宋体"/>
          <w:color w:val="000000"/>
          <w:sz w:val="24"/>
          <w:lang w:eastAsia="zh-CN"/>
        </w:rPr>
        <w:t>音乐舞蹈专业实训设备购置（二次招标）</w:t>
      </w:r>
    </w:p>
    <w:p>
      <w:pPr>
        <w:tabs>
          <w:tab w:val="left" w:pos="3960"/>
        </w:tabs>
        <w:spacing w:line="360" w:lineRule="auto"/>
        <w:rPr>
          <w:rFonts w:ascii="宋体" w:hAnsi="宋体"/>
          <w:b/>
          <w:bCs/>
          <w:color w:val="000000"/>
          <w:sz w:val="32"/>
          <w:szCs w:val="32"/>
        </w:rPr>
      </w:pPr>
      <w:r>
        <w:rPr>
          <w:rFonts w:hint="eastAsia" w:ascii="宋体" w:hAnsi="宋体"/>
          <w:b/>
          <w:bCs/>
          <w:color w:val="000000"/>
          <w:sz w:val="32"/>
          <w:szCs w:val="32"/>
        </w:rPr>
        <w:t>二、详细参数需求</w:t>
      </w:r>
    </w:p>
    <w:p>
      <w:pPr>
        <w:spacing w:line="400" w:lineRule="exact"/>
        <w:jc w:val="left"/>
        <w:rPr>
          <w:rFonts w:hint="eastAsia"/>
          <w:b/>
          <w:sz w:val="28"/>
          <w:szCs w:val="28"/>
        </w:rPr>
      </w:pPr>
      <w:r>
        <w:rPr>
          <w:rFonts w:hint="eastAsia"/>
          <w:b/>
          <w:sz w:val="28"/>
          <w:szCs w:val="28"/>
        </w:rPr>
        <w:t>音乐器材教室</w:t>
      </w:r>
    </w:p>
    <w:tbl>
      <w:tblPr>
        <w:tblStyle w:val="31"/>
        <w:tblW w:w="10668" w:type="dxa"/>
        <w:tblInd w:w="-9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9"/>
        <w:gridCol w:w="556"/>
        <w:gridCol w:w="8612"/>
        <w:gridCol w:w="489"/>
        <w:gridCol w:w="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产品名称</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参数</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48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数字音乐教学仪（交互式电子白板）</w:t>
            </w:r>
          </w:p>
        </w:tc>
        <w:tc>
          <w:tcPr>
            <w:tcW w:w="8612"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 ★支持简谱乐谱教学，可对简谱进行单音播放，跨小节线播放、跨段落歌词播放。支持目录索引，多页面速览。</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★在同一界面内对简谱乐谱进行范唱播放、伴唱播放、谱曲播放、节奏播放、唱名播放、五种播放模式均可与简谱乐谱同步播放。简谱谱曲播放模式下谱曲课件的音符、歌词、虚拟钢琴键盘同步高亮显示。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简谱教学模式下，可以改变唱名的速度和调式.支持电子白板讲解标注，笔记与课件同步缩放，曲谱与笔迹标注内容完整导出为DOC、PDF、JPG、PNG格式的文件。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支持五线谱乐谱教学，可对五线谱进行单音播放，跨小节线播放、跨段落歌词播放。支持段落、反复、跳转、省略等播放顺序标记。可通过电子琴（电钢琴）音色按钮进行音色切换，可通过电子琴（电钢琴）喇叭发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★在同一界面内对五线谱乐谱进行范唱播放、伴唱播放、谱曲播放、节奏播放和唱名播放，五种播放模式均可与五线谱乐谱同步播放并对照显示。谱曲播放时课件的音符、歌词、虚拟钢琴键盘同步高亮显示。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一、 乐理教学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 ★MIDI键盘、虚拟钢琴键盘与五线谱表相互映射。教师在进行MIDI键盘演奏示范过程中，虚拟钢琴键盘同时显示乐符在键盘上的弹奏位置。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虚拟钢琴键盘可一键显隐音名、唱名，包含等音显示，并可随调式同步转换。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★支持15种调式讲解，14组音程尺，32组和弦同时对照讲解。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虚拟钢琴键盘上的等音，可以根据键盘触摸区域输入升音和降音，并在五线谱表上显示有升音符和降音符的变音音符。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支持乐理知识课件讲解，包括：记谱法、音、音律、乐音体系等。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★可在五线谱表上直接弹奏发声，并在五线谱表的相应位置进行标记。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二、 演奏示范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 ★与音乐教学仪演示终端硬件无缝连接，MIDI键盘琴键影像与虚拟键盘琴键一一对应。</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★虚拟钢琴键盘可一键显隐音名、唱名，包含等音显示，并可随调式同步转换。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★可直接操作电子琴或电钢琴的音色按钮改变音色进行播放，可任意调用电子琴或电钢琴的音色通过电子琴或电钢琴的扬声器发声。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通过音乐教学仪演示终端硬件教师可进行演奏示范，在电子白板/触控一体机等设备上显示。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三、 五线谱与简谱混合教学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 同一页面内满足五线谱乐谱与简谱乐谱的混合编写与讲解。支持五线谱与简谱所有音乐元素的编写。其中简谱至少包含十六分音符、三十二分音符、连音线、延音线、高音、低音、变音标记等。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★支持五线谱乐谱的关联、移动、组合与拆分。支持可播放的五线谱、与文本、表格混合编辑，可将谱表中的乐符和乐符组直接拖动至文本或表格中，可设置文本或表格中乐符的大小、颜色、行间距、基线。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支持简谱乐谱的关联、移动、组合与拆分。支持可播放的简谱乐谱与文本、表格混合编辑，可将谱表中的乐符和乐符组直接拖动至文本或表格中，可设置文本或表格中乐符的大小、颜色、行间距、基线。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可在五线谱与简谱混合编辑页面内直接插入文本框，并可设置四种边框类型：矩形、圆角矩形、菱形、圆形。可对文本框进行旋转。</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★支持五线谱与简谱混合编辑页面内，直接播放课件中的音频、视频、动画等多媒体对象。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五线谱与简谱混合编辑页面内具有完备的电子白板讲解标注功能，标注内容与课件同步移动、缩放、保存。笔迹类型包括：铅笔、荧光笔、虚线笔、直线虚线笔、箭头虚线笔、直线笔、毛笔。其中毛笔具有智能笔锋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 同一个课件文件中可包含多个五线谱、简谱乐谱与音乐知识等课件页面。一键呈现多页面课件导览图，并可快速定位课件页面。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 ★窗口录制、全屏录制两种录制方式，实时将教学内容录制成高品质FLV、MP4、SWF、AVI等格式的视频文件。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 含独立的音乐教学备课软件与教材配套的音乐教学资源，内容不低于4G。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音乐教学仪演示终端</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 音乐教学仪演示终端为便携式视频设备，支持电脑USB供电或外接电源，视频幅面完全覆盖音乐琴键，完整展示教师演奏示范。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★音乐教学仪演示终端支持教学控制私有协议。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音乐教学仪演示终端支持 500万像素（2592×1944），支持10倍数码放大，500万高清像素下，动态速度在15帧/秒以上。</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音乐教学仪演示终端支持免驱系统，包括Windows 10/Windows8/8.1/ Windows 7/ Windows VISTA/Windows XP sp2。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输出格式  MJPG  YUY2 , 图像色彩RGB24位真彩，拍摄速度≤1秒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光源：自然光、内置6颗LED灯辅助光源，无极调控开关控制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四、 产品的软件功能必须在同一套软件环境下实现。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提供相关软件产品著作权证书、注明真伪查询网址。</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提供相关软件产品测试报告，注明真伪查询网址。</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提供相关硬件产品检测报告。</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注：以上参数为指导参数，各投标人需尽量满足或优于。</w:t>
            </w:r>
            <w:r>
              <w:rPr>
                <w:rFonts w:hint="eastAsia" w:ascii="宋体" w:hAnsi="宋体" w:eastAsia="宋体" w:cs="宋体"/>
                <w:i w:val="0"/>
                <w:color w:val="auto"/>
                <w:kern w:val="0"/>
                <w:sz w:val="24"/>
                <w:szCs w:val="24"/>
                <w:u w:val="none"/>
                <w:lang w:val="en-US" w:eastAsia="zh-CN" w:bidi="ar"/>
              </w:rPr>
              <w:br w:type="textWrapping"/>
            </w:r>
          </w:p>
        </w:tc>
        <w:tc>
          <w:tcPr>
            <w:tcW w:w="489"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22"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58" w:hRule="atLeast"/>
        </w:trPr>
        <w:tc>
          <w:tcPr>
            <w:tcW w:w="489" w:type="dxa"/>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6" w:type="dxa"/>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612"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4"/>
                <w:szCs w:val="24"/>
                <w:u w:val="none"/>
              </w:rPr>
            </w:pPr>
          </w:p>
        </w:tc>
        <w:tc>
          <w:tcPr>
            <w:tcW w:w="489" w:type="dxa"/>
            <w:tcBorders>
              <w:left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24"/>
                <w:szCs w:val="24"/>
                <w:u w:val="none"/>
              </w:rPr>
            </w:pPr>
          </w:p>
        </w:tc>
        <w:tc>
          <w:tcPr>
            <w:tcW w:w="522" w:type="dxa"/>
            <w:tcBorders>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计算机</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英特尔酷睿i3-7100/4G/1TB/集显/无驱/WIN10/15L小机箱/19.5寸LED/带WIFI</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1"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钢琴（立式）</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Style w:val="73"/>
                <w:color w:val="auto"/>
                <w:sz w:val="24"/>
                <w:szCs w:val="24"/>
                <w:lang w:val="en-US" w:eastAsia="zh-CN" w:bidi="ar"/>
              </w:rPr>
              <w:t>1.工作条件： 成品应放在室内保管。相对湿度为40％－70的条件下应能正常工作。</w:t>
            </w:r>
            <w:r>
              <w:rPr>
                <w:rStyle w:val="73"/>
                <w:color w:val="auto"/>
                <w:sz w:val="24"/>
                <w:szCs w:val="24"/>
                <w:lang w:val="en-US" w:eastAsia="zh-CN" w:bidi="ar"/>
              </w:rPr>
              <w:br w:type="textWrapping"/>
            </w:r>
            <w:r>
              <w:rPr>
                <w:rStyle w:val="73"/>
                <w:color w:val="auto"/>
                <w:sz w:val="24"/>
                <w:szCs w:val="24"/>
                <w:lang w:val="en-US" w:eastAsia="zh-CN" w:bidi="ar"/>
              </w:rPr>
              <w:t>2.技术性能指标</w:t>
            </w:r>
            <w:r>
              <w:rPr>
                <w:rStyle w:val="73"/>
                <w:color w:val="auto"/>
                <w:sz w:val="24"/>
                <w:szCs w:val="24"/>
                <w:lang w:val="en-US" w:eastAsia="zh-CN" w:bidi="ar"/>
              </w:rPr>
              <w:br w:type="textWrapping"/>
            </w:r>
            <w:r>
              <w:rPr>
                <w:rStyle w:val="73"/>
                <w:color w:val="auto"/>
                <w:sz w:val="24"/>
                <w:szCs w:val="24"/>
                <w:lang w:val="en-US" w:eastAsia="zh-CN" w:bidi="ar"/>
              </w:rPr>
              <w:t>尺寸和重量。高度:：1182mm，长度：1506mm，宽度：596mm，</w:t>
            </w:r>
            <w:r>
              <w:rPr>
                <w:rStyle w:val="73"/>
                <w:color w:val="auto"/>
                <w:sz w:val="24"/>
                <w:szCs w:val="24"/>
                <w:lang w:val="en-US" w:eastAsia="zh-CN" w:bidi="ar"/>
              </w:rPr>
              <w:br w:type="textWrapping"/>
            </w:r>
            <w:r>
              <w:rPr>
                <w:rStyle w:val="73"/>
                <w:color w:val="auto"/>
                <w:sz w:val="24"/>
                <w:szCs w:val="24"/>
                <w:lang w:val="en-US" w:eastAsia="zh-CN" w:bidi="ar"/>
              </w:rPr>
              <w:t>琴弦：采用进口原装 琴钢丝，1#低音弦长度：1143mm</w:t>
            </w:r>
            <w:r>
              <w:rPr>
                <w:rStyle w:val="73"/>
                <w:color w:val="auto"/>
                <w:sz w:val="24"/>
                <w:szCs w:val="24"/>
                <w:lang w:val="en-US" w:eastAsia="zh-CN" w:bidi="ar"/>
              </w:rPr>
              <w:br w:type="textWrapping"/>
            </w:r>
            <w:r>
              <w:rPr>
                <w:rStyle w:val="73"/>
                <w:color w:val="auto"/>
                <w:sz w:val="24"/>
                <w:szCs w:val="24"/>
                <w:lang w:val="en-US" w:eastAsia="zh-CN" w:bidi="ar"/>
              </w:rPr>
              <w:t>弦槌：采用 进口呢毡，重量：约6－10克。</w:t>
            </w:r>
            <w:r>
              <w:rPr>
                <w:rStyle w:val="73"/>
                <w:color w:val="auto"/>
                <w:sz w:val="24"/>
                <w:szCs w:val="24"/>
                <w:lang w:val="en-US" w:eastAsia="zh-CN" w:bidi="ar"/>
              </w:rPr>
              <w:br w:type="textWrapping"/>
            </w:r>
            <w:r>
              <w:rPr>
                <w:rStyle w:val="73"/>
                <w:color w:val="auto"/>
                <w:sz w:val="24"/>
                <w:szCs w:val="24"/>
                <w:lang w:val="en-US" w:eastAsia="zh-CN" w:bidi="ar"/>
              </w:rPr>
              <w:t>音板：采用复合音板，上下两层白松实木木皮加强音板的抗拉张力，使音板在任何环      境下都能保持稳定状态，不会变形和开裂。为了保证音源系统的稳定性和良好的共振性，采用了世界上最先进的五轴联动设备加工音板框，音板尺寸：1435×888mm</w:t>
            </w:r>
            <w:r>
              <w:rPr>
                <w:rStyle w:val="73"/>
                <w:color w:val="auto"/>
                <w:sz w:val="24"/>
                <w:szCs w:val="24"/>
                <w:lang w:val="en-US" w:eastAsia="zh-CN" w:bidi="ar"/>
              </w:rPr>
              <w:br w:type="textWrapping"/>
            </w:r>
            <w:r>
              <w:rPr>
                <w:rStyle w:val="73"/>
                <w:color w:val="auto"/>
                <w:sz w:val="24"/>
                <w:szCs w:val="24"/>
                <w:lang w:val="en-US" w:eastAsia="zh-CN" w:bidi="ar"/>
              </w:rPr>
              <w:t>材料：弦轴板：：采用钢琴专用色木多层板，使音的稳定性和持久性更有保证。</w:t>
            </w:r>
            <w:r>
              <w:rPr>
                <w:rStyle w:val="73"/>
                <w:color w:val="auto"/>
                <w:sz w:val="24"/>
                <w:szCs w:val="24"/>
                <w:lang w:val="en-US" w:eastAsia="zh-CN" w:bidi="ar"/>
              </w:rPr>
              <w:br w:type="textWrapping"/>
            </w:r>
            <w:r>
              <w:rPr>
                <w:rStyle w:val="73"/>
                <w:color w:val="auto"/>
                <w:sz w:val="24"/>
                <w:szCs w:val="24"/>
                <w:lang w:val="en-US" w:eastAsia="zh-CN" w:bidi="ar"/>
              </w:rPr>
              <w:t xml:space="preserve">弦码：采用钢琴专用色木多层板，上面贴色木实板，硬度高、不开裂、音波阻抗小，具有良好的导音性能。 </w:t>
            </w:r>
            <w:r>
              <w:rPr>
                <w:rStyle w:val="73"/>
                <w:color w:val="auto"/>
                <w:sz w:val="24"/>
                <w:szCs w:val="24"/>
                <w:lang w:val="en-US" w:eastAsia="zh-CN" w:bidi="ar"/>
              </w:rPr>
              <w:br w:type="textWrapping"/>
            </w:r>
            <w:r>
              <w:rPr>
                <w:rStyle w:val="73"/>
                <w:color w:val="auto"/>
                <w:sz w:val="24"/>
                <w:szCs w:val="24"/>
                <w:lang w:val="en-US" w:eastAsia="zh-CN" w:bidi="ar"/>
              </w:rPr>
              <w:t>弦轴：45＃钢（调质处理），中踏瓣：专用钢丝拉线，活动杆：特种金属</w:t>
            </w:r>
            <w:r>
              <w:rPr>
                <w:rStyle w:val="73"/>
                <w:color w:val="auto"/>
                <w:sz w:val="24"/>
                <w:szCs w:val="24"/>
                <w:lang w:val="en-US" w:eastAsia="zh-CN" w:bidi="ar"/>
              </w:rPr>
              <w:br w:type="textWrapping"/>
            </w:r>
            <w:r>
              <w:rPr>
                <w:rStyle w:val="73"/>
                <w:color w:val="auto"/>
                <w:sz w:val="24"/>
                <w:szCs w:val="24"/>
                <w:lang w:val="en-US" w:eastAsia="zh-CN" w:bidi="ar"/>
              </w:rPr>
              <w:t>干燥处理：木制件经过两年以上的自然风干，再根据不同的部件采用不同的烘干方式释放木材的内应力，呢毡经过防潮、防蛀、防霉处理。</w:t>
            </w:r>
            <w:r>
              <w:rPr>
                <w:rStyle w:val="73"/>
                <w:color w:val="auto"/>
                <w:sz w:val="24"/>
                <w:szCs w:val="24"/>
                <w:lang w:val="en-US" w:eastAsia="zh-CN" w:bidi="ar"/>
              </w:rPr>
              <w:br w:type="textWrapping"/>
            </w:r>
            <w:r>
              <w:rPr>
                <w:rStyle w:val="73"/>
                <w:color w:val="auto"/>
                <w:sz w:val="24"/>
                <w:szCs w:val="24"/>
                <w:lang w:val="en-US" w:eastAsia="zh-CN" w:bidi="ar"/>
              </w:rPr>
              <w:t xml:space="preserve"> 键盘盖：不带缓降装置。， 键盘： 88键，采用优质红松，踏板：全功能三瓣式。</w:t>
            </w:r>
            <w:r>
              <w:rPr>
                <w:rStyle w:val="73"/>
                <w:color w:val="auto"/>
                <w:sz w:val="24"/>
                <w:szCs w:val="24"/>
                <w:lang w:val="en-US" w:eastAsia="zh-CN" w:bidi="ar"/>
              </w:rPr>
              <w:br w:type="textWrapping"/>
            </w:r>
            <w:r>
              <w:rPr>
                <w:rStyle w:val="73"/>
                <w:color w:val="auto"/>
                <w:sz w:val="24"/>
                <w:szCs w:val="24"/>
                <w:lang w:val="en-US" w:eastAsia="zh-CN" w:bidi="ar"/>
              </w:rPr>
              <w:t xml:space="preserve">外观涂装：：底层为高密度聚脂板，再涂饰底漆及高硬度防裂亮光面漆 </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8"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音响系统</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功放：CLASS-D数字功率放大器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话筒输入：2路，话筒输入口具有幻象电源：+48V功能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线路输入和输出：各2组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中控接口：RS232接口，具有USB音源播放功能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额定功率：≧2×50W/8Ω（RMS）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失真度：≤0.5%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线路频率响应：20Hz-20KHz  -3dB,+1dB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线路输出：0dB±1dB，                                                                                                                                 话筒灵敏度：15mv±2mv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电源适应范围：AC175V—260V/50HZ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音箱采用两分频设计；重放效果平衡，细腻柔和、人声饱满。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音箱配有吊挂系统，既可以壁挂，也可选用三脚架支撑方式使用。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额定功率：50 W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额定阻抗：8Ω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特性灵敏度：92dB/W/m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输出声压级：110dB/W/m(Continues)116dB/W/m(Peak)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额定频率范围:48~ 20KHz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覆盖角度H×V：90º×60º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扬声器单元：LF:8英寸  HF:1英寸（丝膜高音）</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采用独特导频技术，可满足多套同时使用；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频率控制：石英锁定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接收频率范围：VHF频段90MHz-270MHz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最佳有效使用距离：50m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S/N信噪比：＞100dB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T.H.D总谐波失真：&lt;0.5%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频响范围：80Hz-16KHz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灵敏度：输入10-15dBuv时,S/N:＞70dB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谐波干扰比：＞80dB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发射器：具备</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立麦架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（合唱用的）</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金属钢管，高强度ABS塑料胶（环保料）</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话筒</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频率响应</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50HZ-15KHZ+-3DB 尺寸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260*40*40mm</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监听音箱</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单6.5寸　二分频全频音箱功放输出最大功率：80W</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指挥台</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1260*1000*260mm，乐谱架800-1200mm</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合唱台</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三聚氰胺板制，三阶，120*120*90cm,  两个为一组</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节拍器</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材质：纯铜机芯，速度：40-208分/拍，节拍：02346，重量650g。</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6"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乐器储藏柜</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规格：宽、深、高为1000×500×2000mm.柜体：柜四周采用E1级16mm优质三聚氰胺双贴面高密度中纤板；截面由优质PVC 封边，粘力强，密封性好，经久耐用，外型美观。上部框式对开门，内设二层隔板，隔板采用E1级16mm优质三聚氰胺双贴面高密度中纤板；下部储物柜，对开门，内设二层可隔板，隔板采用E1级16mm优质三聚氰胺双贴面高密度中纤板。拉手：圆形拉手。脚垫：进口工程塑料注塑一次成型，耐腐蚀，高低可调。 </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6"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电教器材柜</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规格：宽、深、高为1000×500×2000mm.柜体：柜四周采用E1级16mm优质三聚氰胺双贴面高密度中纤板；截面由优质PVC 封边，粘力强，密封性好，经久耐用，外型美观。上部框式对开门，内设二层隔板，隔板采用E1级16mm优质三聚氰胺双贴面高密度中纤板；下部储物柜，对开门，内设二层可隔板，隔板采用E1级16mm优质三聚氰胺双贴面高密度中纤板。拉手：圆形拉手。脚垫：进口工程塑料注塑一次成型，耐腐蚀，高低可调。 </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音筒</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8音，木制</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沙锤</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木制.产品用优质木材制作/每付由2个沙锤组成/产品直径不小于70mm /制作精美，光洁，手柄与锤体连接牢固不脱落。</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摇铃（串铃）</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7铃.木柄.皮圈 精制</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摇铃（串铃）</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塑料.5铃</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棒铃</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13铃，木手柄</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双响筒</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木制，42*190mm</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响板</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木质三片响板</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三角铁</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6寸</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扁鼓</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6寸配棒</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堂鼓</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26cm.1. 供中小学音乐教学用，由鼓及击槌组成。2. 鼓面用牛皮蒙制，无破损、皱折，鼓面坚韧有弹性、平整，气密性好，有足够的疲劳强度。3. 鼓体直径不小于260mm，高度不小于170mm，用杉木板制作，卷曲成圆柱形，表面无疤痕、裂缝，不变形，并喷红漆。4. 击槌用硬杂木制成，尺寸约φ12×300mm，前端呈球状。表面无疤痕、裂纹。5. 堂鼓的鼓身上下口径相同，中部略大，漆面光洁。6. 演奏时，发出“咚、咚”声，不得有杂音</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竖笛</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采用食品级ABS树脂制作,整体乳白色,8孔。</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陶笛</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12孔，AC调，基础款</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1"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口琴</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名称：24孔小博士复音C调口琴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规格：约178mm*280mm*23mm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净重：约200g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调性：c调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包装：塑筒</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使用年龄：4岁及4岁以上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附赠原厂配件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擦琴布*1</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说明书*1</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琴盒*1</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采用进口磷青铜音簧，具有抗腐蚀，耐疲劳，音色明亮等特点。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采用不锈钢加厚盖板，精美的印花设计。有足够的硬度，以保证长时间演奏也不易变形。</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非洲手鼓（12寸）</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非洲鼓.12寸，鼓面27cm,高60cm</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口风琴</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37键，带琴包</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葫芦丝</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树脂吹嘴，优质葫芦，带推拉式副管开关，带低音副管，c调。</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吉他</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40寸</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把</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多音鼓</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三联多音鼓</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音乐凳</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26.5CM*31CM*41cm    红、黄、蓝、绿...采用9mm纳米细密板六面体结构，采用模具成型软塑料边条经机械封饰，配有龄合型软防滑八角，既可以用于学生坐箱又可以利用龄合角组合成合唱阶梯、舞台等等，具有重量轻，坚固耐用。</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大谱架</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中平板，尺寸：可调节50-165cm</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668"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选配部分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笛子</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南音牛角二节笛.F调</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古筝</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硬木材质</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萨克斯</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Bb直管</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小提琴</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面板：云杉木，材料自然风干10年以上，配件为高端枣木。</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4"/>
                <w:szCs w:val="24"/>
                <w:u w:val="none"/>
              </w:rPr>
            </w:pP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中提琴</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原版5年实木风干亮光16寸面板材质: 云杉木背侧板材质: 枫木</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把</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大提琴</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颜色分类: 4/4面板材质: 云杉木背侧板材质: 枫木拉弦</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把</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定音鼓</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58cm铜腔</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C7EDCC"/>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56" w:type="dxa"/>
            <w:tcBorders>
              <w:top w:val="single" w:color="000000" w:sz="4" w:space="0"/>
              <w:left w:val="single" w:color="000000" w:sz="4" w:space="0"/>
              <w:bottom w:val="single" w:color="000000" w:sz="4" w:space="0"/>
              <w:right w:val="single" w:color="000000" w:sz="4" w:space="0"/>
            </w:tcBorders>
            <w:shd w:val="clear" w:color="FFFFFF" w:fill="C7EDCC"/>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爵士鼓</w:t>
            </w:r>
          </w:p>
        </w:tc>
        <w:tc>
          <w:tcPr>
            <w:tcW w:w="8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5鼓</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外罩声卡</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录音：16bit/48KHZ，90dbｘ信噪比　回放：16bit/48KHZ，100dbｘ信噪比　　输出功率：600MW　整机功耗：5W　　尺寸：230MMｘ158MMｘ59.5MM</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耳机</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专业键盘耳机，立体声。</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耳机</w:t>
            </w:r>
          </w:p>
        </w:tc>
        <w:tc>
          <w:tcPr>
            <w:tcW w:w="8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专业键盘耳机，立体声。</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489"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556"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耳放</w:t>
            </w:r>
          </w:p>
        </w:tc>
        <w:tc>
          <w:tcPr>
            <w:tcW w:w="8612"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输出功率：75MW</w:t>
            </w:r>
          </w:p>
        </w:tc>
        <w:tc>
          <w:tcPr>
            <w:tcW w:w="489"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22" w:type="dxa"/>
            <w:tcBorders>
              <w:top w:val="single" w:color="000000" w:sz="4"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bl>
    <w:p>
      <w:pPr>
        <w:spacing w:line="400" w:lineRule="exact"/>
        <w:jc w:val="left"/>
        <w:rPr>
          <w:rFonts w:hint="eastAsia"/>
          <w:b/>
          <w:sz w:val="28"/>
          <w:szCs w:val="28"/>
        </w:rPr>
      </w:pPr>
    </w:p>
    <w:p>
      <w:pPr>
        <w:spacing w:line="400" w:lineRule="exact"/>
        <w:jc w:val="left"/>
        <w:rPr>
          <w:rFonts w:hint="eastAsia"/>
          <w:b/>
          <w:sz w:val="28"/>
          <w:szCs w:val="28"/>
        </w:rPr>
      </w:pPr>
    </w:p>
    <w:p>
      <w:pPr>
        <w:spacing w:line="400" w:lineRule="exact"/>
        <w:jc w:val="left"/>
        <w:rPr>
          <w:rFonts w:hint="eastAsia"/>
          <w:b/>
          <w:sz w:val="28"/>
          <w:szCs w:val="28"/>
        </w:rPr>
      </w:pPr>
    </w:p>
    <w:p>
      <w:pPr>
        <w:spacing w:line="400" w:lineRule="exact"/>
        <w:jc w:val="left"/>
        <w:rPr>
          <w:rFonts w:hint="eastAsia"/>
          <w:b/>
          <w:sz w:val="28"/>
          <w:szCs w:val="28"/>
        </w:rPr>
      </w:pPr>
    </w:p>
    <w:p>
      <w:pPr>
        <w:spacing w:line="400" w:lineRule="exact"/>
        <w:jc w:val="left"/>
        <w:rPr>
          <w:rFonts w:hint="eastAsia"/>
          <w:b/>
          <w:sz w:val="28"/>
          <w:szCs w:val="28"/>
        </w:rPr>
      </w:pPr>
    </w:p>
    <w:p>
      <w:pPr>
        <w:spacing w:line="400" w:lineRule="exact"/>
        <w:jc w:val="left"/>
        <w:rPr>
          <w:rFonts w:hint="eastAsia"/>
          <w:b/>
          <w:sz w:val="28"/>
          <w:szCs w:val="28"/>
        </w:rPr>
      </w:pPr>
    </w:p>
    <w:p>
      <w:pPr>
        <w:spacing w:line="400" w:lineRule="exact"/>
        <w:jc w:val="left"/>
        <w:rPr>
          <w:rFonts w:hint="eastAsia"/>
          <w:b/>
          <w:sz w:val="28"/>
          <w:szCs w:val="28"/>
        </w:rPr>
      </w:pPr>
    </w:p>
    <w:p>
      <w:pPr>
        <w:spacing w:line="400" w:lineRule="exact"/>
        <w:jc w:val="left"/>
        <w:rPr>
          <w:rFonts w:hint="eastAsia"/>
          <w:b/>
          <w:sz w:val="28"/>
          <w:szCs w:val="28"/>
        </w:rPr>
      </w:pPr>
    </w:p>
    <w:p>
      <w:pPr>
        <w:spacing w:line="400" w:lineRule="exact"/>
        <w:jc w:val="left"/>
        <w:rPr>
          <w:rFonts w:hint="eastAsia"/>
          <w:b/>
          <w:sz w:val="28"/>
          <w:szCs w:val="28"/>
        </w:rPr>
      </w:pPr>
    </w:p>
    <w:p>
      <w:pPr>
        <w:spacing w:line="400" w:lineRule="exact"/>
        <w:jc w:val="left"/>
        <w:rPr>
          <w:rFonts w:hint="eastAsia"/>
          <w:b/>
          <w:sz w:val="28"/>
          <w:szCs w:val="28"/>
        </w:rPr>
      </w:pPr>
    </w:p>
    <w:p>
      <w:pPr>
        <w:spacing w:line="400" w:lineRule="exact"/>
        <w:jc w:val="left"/>
        <w:rPr>
          <w:rFonts w:hint="eastAsia"/>
          <w:b/>
          <w:sz w:val="28"/>
          <w:szCs w:val="28"/>
        </w:rPr>
      </w:pPr>
    </w:p>
    <w:p>
      <w:pPr>
        <w:numPr>
          <w:ilvl w:val="0"/>
          <w:numId w:val="4"/>
        </w:numPr>
        <w:spacing w:line="360" w:lineRule="auto"/>
        <w:rPr>
          <w:rFonts w:hint="eastAsia" w:ascii="宋体" w:hAnsi="宋体"/>
          <w:b/>
          <w:sz w:val="32"/>
          <w:szCs w:val="32"/>
          <w:lang w:val="en-US" w:eastAsia="zh-CN"/>
        </w:rPr>
      </w:pPr>
      <w:r>
        <w:rPr>
          <w:rFonts w:hint="eastAsia" w:ascii="宋体" w:hAnsi="宋体"/>
          <w:b/>
          <w:sz w:val="32"/>
          <w:szCs w:val="32"/>
          <w:lang w:val="en-US" w:eastAsia="zh-CN"/>
        </w:rPr>
        <w:t>电钢琴教室和教师部分</w:t>
      </w:r>
    </w:p>
    <w:tbl>
      <w:tblPr>
        <w:tblStyle w:val="31"/>
        <w:tblW w:w="10685" w:type="dxa"/>
        <w:tblInd w:w="-9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5"/>
        <w:gridCol w:w="540"/>
        <w:gridCol w:w="8629"/>
        <w:gridCol w:w="472"/>
        <w:gridCol w:w="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名称</w:t>
            </w:r>
          </w:p>
        </w:tc>
        <w:tc>
          <w:tcPr>
            <w:tcW w:w="8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参数</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6" w:hRule="atLeast"/>
        </w:trPr>
        <w:tc>
          <w:tcPr>
            <w:tcW w:w="50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4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数字音频控制器</w:t>
            </w:r>
          </w:p>
        </w:tc>
        <w:tc>
          <w:tcPr>
            <w:tcW w:w="862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Style w:val="74"/>
                <w:color w:val="auto"/>
                <w:sz w:val="24"/>
                <w:szCs w:val="24"/>
                <w:lang w:val="en-US" w:eastAsia="zh-CN" w:bidi="ar"/>
              </w:rPr>
              <w:t>自主知识产权的专用芯片；USB直连计算机；水晶头网线并行连接；可使用笔记本电脑操作；支持WINDOWS\XP\vista\TAL操作系统；采用USB2.0接口；最多可连接64终端；通过计算机（单招）软件操作；授课功能：示范、通话；自习功能：监听、通话；编辑教室：任意两个以上单元分为一组（分组授课、分组自习）、可任意编辑学生姓名（导入、导出，各个班级学生名单独立存储）、教室布局变换调整；下发广播；终端录音；满载64座时，功耗仅100瓦；尺寸规格：320mm*170mm*200mm</w:t>
            </w:r>
            <w:r>
              <w:rPr>
                <w:rStyle w:val="75"/>
                <w:color w:val="auto"/>
                <w:sz w:val="24"/>
                <w:szCs w:val="24"/>
                <w:lang w:val="en-US" w:eastAsia="zh-CN" w:bidi="ar"/>
              </w:rPr>
              <w:t>提供产品检测报告、复印件加盖公章。</w:t>
            </w:r>
          </w:p>
        </w:tc>
        <w:tc>
          <w:tcPr>
            <w:tcW w:w="47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3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96" w:hRule="atLeast"/>
        </w:trPr>
        <w:tc>
          <w:tcPr>
            <w:tcW w:w="50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54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数字音频控制器主控箱</w:t>
            </w:r>
          </w:p>
        </w:tc>
        <w:tc>
          <w:tcPr>
            <w:tcW w:w="862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软件结合了基于.NET framework的先进人机界面与基于标准C++的高性能内核。人机界面提供给用户简单方便的操作体验，实用丰富的功能；内核对数据进行实时处理，并通过USB高速串行总线与主机无缝连接；软件自动处理与硬件的复杂交互，将强大的性能与简单的操作融为一体。</w:t>
            </w:r>
          </w:p>
        </w:tc>
        <w:tc>
          <w:tcPr>
            <w:tcW w:w="47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3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1" w:hRule="atLeast"/>
        </w:trPr>
        <w:tc>
          <w:tcPr>
            <w:tcW w:w="50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54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数字音频配套</w:t>
            </w:r>
          </w:p>
        </w:tc>
        <w:tc>
          <w:tcPr>
            <w:tcW w:w="862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软件结合了基于.NET framework的先进人机界面与基于标准C++的高性能内核。人机界面提供给用户简单方便的操作体验，实用丰富的功能；内核对数据进行实时处理，并通过USB高速串行总线与主机无缝连接；软件自动处理与硬件的复杂交互，将强大的性能与简单的操作融为一体。</w:t>
            </w:r>
          </w:p>
        </w:tc>
        <w:tc>
          <w:tcPr>
            <w:tcW w:w="47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3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计算机</w:t>
            </w:r>
          </w:p>
        </w:tc>
        <w:tc>
          <w:tcPr>
            <w:tcW w:w="8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英特尔酷睿i3-7100/4G/1TB/集显/无驱/WIN10/15L小机箱/19.5寸LED/带WIFI</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96"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音乐挂图</w:t>
            </w:r>
          </w:p>
        </w:tc>
        <w:tc>
          <w:tcPr>
            <w:tcW w:w="8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Style w:val="74"/>
                <w:color w:val="auto"/>
                <w:sz w:val="24"/>
                <w:szCs w:val="24"/>
                <w:lang w:val="en-US" w:eastAsia="zh-CN" w:bidi="ar"/>
              </w:rPr>
              <w:t>2015全新改版，175g铜版纸彩色印刷，规格：740×520mm，全对开。音乐挂图含音乐家挂图40张，乐器挂图38张，识谱知识挂图7张，教育部教育装备研究与发展中心研发（监制）。含中国音乐家：李叔同、萧友梅、赵元任、刘天华、杨荫浏、黄 自、冼星海、吕骥、聂耳、马思聪、李焕之外国音乐家：约翰•塞巴斯蒂安•巴赫、乔治•弗里德里希•亨德尔、约瑟夫•海顿、沃尔夫冈•阿玛多伊斯•莫扎特、路德维希•冯•貝多芬、阿基诺•罗西尼弗朗兹•彼得•舒伯特、、赫克特•柏辽兹、米哈伊尔•伊凡诺维奇•格林卡、费利克斯•门德尔松、弗雷德里克•弗朗西斯克•肖邦、罗伯特•舒曼、弗朗兹•李斯特、朱塞佩•威尔第、贝德叶赫•斯美塔纳、约翰•施特劳斯、约翰内斯•勃拉姆斯、夏尔•卡米尔•圣桑、乔治•比才、穆捷斯特•彼得洛维奇•穆索尔斯基、彼得•伊里奇•柴科夫斯基安东尼•德沃夏克、爱德华•格里格、里姆斯基•科萨科夫、谢尔盖•谢尔盖耶维奇•普罗科菲耶夫、克罗德•德彪西、简•西贝柳斯、谢尔盖•拉赫马尼诺夫、德米特里•肖斯塔科维奇.乐器部分:民族乐器：二胡、京胡、板胡、笛、唢呐、笙、琵琶、柳琴、阮、三弦、扬琴、筝、古琴、埙．云锣,我国少数民族乐器：马头琴、艾捷克、冬不拉、芦笙、巴乌、札木聂、伽倻琴,西洋乐器：小提琴、中提琴、大提琴、低音提琴、长笛、单簧管、双簧管、大管、小号、长号、圆号大号、萨克斯管 电贝司、民族管弦乐队、西洋管弦乐队乐理部分：五线谱、音阶与调式、音程、三和弦、大小调的调号与音阶、常用记号、常见的歌曲基本结构。</w:t>
            </w:r>
            <w:r>
              <w:rPr>
                <w:rStyle w:val="75"/>
                <w:color w:val="auto"/>
                <w:sz w:val="24"/>
                <w:szCs w:val="24"/>
                <w:lang w:val="en-US" w:eastAsia="zh-CN" w:bidi="ar"/>
              </w:rPr>
              <w:t>投标人需提供挂图发行协议与挂图出版合同。</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58"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触摸一体机</w:t>
            </w:r>
          </w:p>
        </w:tc>
        <w:tc>
          <w:tcPr>
            <w:tcW w:w="8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一、整体设计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1.全金属外观，一体化设计，外部无任何可见内部功能模块连接线。2.整机屏幕采用65英寸 LED 液晶屏，显示比例16:9，具备防眩光效果。3.电源要求：AC 100V～240V4.整机支持一键黑屏节能70%，且整机符合GB21520-2008的能源效率等级1级限值要求（分别提供国家广播电视产品质量监督检验中心所出具的检测报告）。5.自动节能功能：当设备在四分钟内处于无信号接收状态且无人操作时，将会自动关机，节省能耗（提供国家广播电视产品质量监督检验中心所出具的检测报告）。6.整机支持温度监控功能，可实时监测整机温度值，并可根据温度变化显示不同颜色进行提示（提供国家广播电视产品质量监督检验中心所出具的检测报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二、主要功能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 ★整机电视开关、电脑开关和节能待机键三合一，操作便捷（提供国家广播电视产品质量监督检验中心所出具的检测报告）。2. ★一键调整分辨率：可通过实体按键以及触摸按键对内置电脑画面实现一键切换屏幕分辨率，调整画面显示比例（提供国家广播电视产品质量监督检验中心所出具的检测报告）。3. ★整机具备至少3路前置双通道USB接口,同一个USB接口可支持同时在Windows及Android系统下被读取，无需区分。其中至少有1路为USB3.0。4.内置触摸中控菜单，将信号源通道切换、亮度对比度调节、声音图像调节等整合到同一菜单下，无须实体按键，在任意显示通道下均可通过手势在屏幕上调取该触摸菜单，方便快捷。5.触摸中控菜单上的通道信号源名称支持自定义，方便老师识别。6.当外接电脑设备时，如整机处于关机上电状态，则接上外接电脑后自动开机。如整机处于正常使用状态，则设备能自动识别并切换到对应的信号源通道，且断开后能回到上一通道。自动跳转前支持选择确认，待确认后再跳转。7. ★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提供国家广播电视产品质量监督检验中心所出具的检测报告）。8.设备可通过遥控器一键锁定/解锁触摸、按键，也可通过前置组合按键的形式锁定/解锁触摸和按键，防止课间学生操作（提供国家广播电视产品质量监督检验中心所出具的检测报告）。9.支持屏幕密码锁功能，可锁定屏幕、按键及遥控器，可自定义解锁密码。10. ★支持智能U盘锁功能，整机可设置触摸及按键自动锁定，保证无关人士无法自由操作，需要使用时只需插入USB key即可解锁（提供国家广播电视产品质量监督检验中心所出具的检测报告）。11.整机处于任意通道下，在屏幕侧边可快速调出触摸便捷菜单，实现十笔批注、手势擦除、截图、快捷白板、任意通道放大、快捷小工具等功能，方便配合实物展台等外接设备进行辅助教学。12.整机支持任意通道下通过手势识别调出板擦工具进行擦除，且能够根据手与屏幕的接触面积自动调整板擦工具的大小。13. ★整机支持任意通道画面放大功能，可在整机任意通道下将画面冻结并双击画面任一部分进行放大，也可以通过按键将整个画面自由缩放，放大后的屏幕画面可进行任意拖拽。14.支持在任意通道下调取板中板、聚光灯、秒表、倒计时、倒计日等小工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三、电视系统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屏幕图像分辨率达1920*1080，显示性能满足UD超高清点对点要求。2.屏幕显示灰度分辨等级达到128灰阶以上，保证画面显示效果细腻（提供国家广播电视产品质量监督检验中心所出具的权威检测报告）。3.输入端子:≥2路VGA；≥2路Audio；≥1路AV；≥1路YPbPr；≥3路HDMI（至少1路HDMI2.0）；≥1路TV RF；≥2路AndroidUSB；≥1路Linein；≥1路RS232接口；≥1路RJ45。4.输出端子：≥1路耳机；≥1路HDMI；≥1路同轴输出。5.整机具备HDMIout输出端子，可将设备任意通道的音视频信号输出到外部显示设备。6.图像制式：PAL/SECAM 7.喇叭输出功率：10瓦x2　8.显示屏寿命不低于50000小时。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四、触摸系统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采用非接触式红外触控技术，支持在Windows与安卓系统中进行十点触控及书写（提供国家广播电视产品质量监督检验中心所出具的检测报告）。2.书写方式：手指或笔触摸3.触摸响应时间＜15毫秒4.触摸有效识别≥6毫米5.定位精度：±2mm 6.定位分辨率：32767*32767 7.红外触摸屏系统通讯端口：USB 8.触摸精准性：整机屏幕触摸有效识别高度小于4.5mm,，即触摸物体距离玻璃外表面高度低于4.5mm时，触摸屏识别为点击操作，保证触摸精准。 9.触摸屏具有防遮挡功能，触摸接收器在单点或多点遮挡后仍能正常书写，确保老师课堂操作的流畅性。 10.触摸屏具有防光干扰功能，能在照度80K LUX（勒克司）环境下仍能正常工作。 11.为保证触摸书写流畅度，书写延迟时间需控制在90ms以内。 12.触摸框内部通道切换速度小于1秒，外部通道切换小于4秒，切换后即达到可触摸状态。 13.触摸框免驱：支持Windows XP、Windows VISTA、Win7、Win8、Mac OSX、Linux外置电脑操作系统接入时，无需安装触摸框驱动。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五、嵌入式系统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1.无PC状态下，嵌入式安卓操作系统可实现windows系统中常用的教学应用功能，如白板书写、Office软件使用、网页浏览等。 2.在嵌入式安卓操作系统下，能对TV多媒体USB所读取到的课件文件进行自动归类，可快速分类查找office文档、音乐、视频、图片等文件，检索后可直接在界面中打开。 3.无PC状态下，嵌入式互动白板支持十笔或以上书写及手势擦除（手势擦除识别面积根据手势大小自动调整），支持十种以上图形工具，白板书写内容可导出PDF格式。 4.无PC状态下，支持在嵌入式系统下直接启动视频展台，可进行批注、旋转及截图，且支持二分屏或四分屏同时展示展台内容，可任意更换分屏幕画面内容。 5.智能护眼系统：老师在嵌入式系统上使用白板软件时，屏幕会自动降低亮度，停止书写后亮度自动恢复，在保护老师视力健康的同时保证显示效果。 6. ★无需借助PC，整机可一键进行硬件自检，包括对系统硬盘、系统内存、触摸框、PC模块、光感系统等模块进行检测，并针对不同模块给出问题原因提示，支持直接扫描系统提供的二维码进行在线客服问题保修（提供国家广播电视产品质量监督检验中心所出具的检测报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六、内置电脑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1.采用模块化电脑方案，抽拉内置式，实现无单独接线的插拔，低噪音热管传导散热设计。2.采用按压式开关，无需工具即可快速拆卸电脑模块。3.采用双WiFi天线，增强无线网络信号。4.处理器：Intel Core i3,主频为双核四线程3.0GHz或以上 5.内存：4G DDR3笔记本内存或以上配置 6.硬盘： 128G或以上SSD固态硬盘 7.内置WiFi：IEEE 802.11n标准 8.内置网卡：10M/100M/1000M 9.具有独立非外扩展的电脑USB接口：电脑上至少6个USB接口，其中至少4个为USB3.0接口。 10. ★具有独立非外扩展输出接口：≥1路VGA ；≥1路HDMI ；≥1路DP 11.具有标准PC防盗锁孔，确保电脑模块安全防盗。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七、白板教学软件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书写：提供硬笔、荧光笔、毛笔、排刷笔、激光笔、印章笔、纹理笔。根据笔使用场景不同，其默认笔划粗细也不同。2.板擦：支持点擦除、选择擦除及滑动清页,并可支持在选择笔工具状态下直接通过手势识别动作实现擦除。3.多点支持：支持对图片、图形对象进行多点缩放与旋转，支持六点或以上同时书写操作。4.边写边擦：支持多个学生同时在白板上操作，当一个人书写的同时，另一个人可使用手势擦除，互不影响。5.文本输入及手写识别：提供键盘文本输入及中英文手写识别输入两种方式。6.内置智能键盘：提供常用的符号键，可一键切换多种输入法，同时支持在智能键盘书写区域上直接手写输入文本（识别过程中提供不少于十个相近字供选择）。7.颜色填充：支持在屏幕任意位置点击取色，可对整页或封闭区域进行颜色填充。8.页面无限漫游：支持页面书写区域无限延伸，可一键页面复位，或通过页面缩略图导航进行快速定位，同时也支持对整个页面或局部进行放大和缩小。9.页面切换：支持多种页面浏览及切换方式，满足不同老师的教学习惯，包括PPT式切换、动态滑动切换及3D球状图片廊等。10.页面翻页效果：支持设置页面翻页效果，包括设置各种音效（如风铃、钟声、相机、鼓掌等）和动画特效（如百叶窗、向右滑动、涟漪、涡流等）。11.对象动作特效：支持对白板中的素材对象设置进入或退出的特效动画，包括渐变、棋盘、擦除、火焰等。所有动画可设置触发时机和播放速度。12.PPT演示：支持导入PPT文件并打开，可在PPT播放状态下实现批注、擦除、局部内容放大、板中板、滑动翻页、页面浏览、二维码分享等功能。此功能在白板软件关闭的情况下单独打开PPT也可实现。 13.学科及教学背景：提供丰富的学科背景和教学背景模板供老师使用，包括五线谱、田字格、米字格、日字格、作文纸、篮球场、足球场、网球场、中国象棋盘、国际象棋盘等不少于15种学科背景及符合不同教学场景风格的不少于25种教学背景（支持自定义添加本地教学背景）。14.语文模式和工具：1)提供横线格、田字格、米字格、拼音格等汉字教学工具，并支持自行设置行数、列数；2)可直接在田字格或米字格上书写汉字并自动识别为印刷体，点击该汉字可调出字典工具，展示汉字的读音、笔画顺序、笔顺分步等；3)可直接在拼音格上书写拼音并自动识别为印刷体，并可展示笔顺，支持键盘输入及手写识别两种方式；4)提供拼音教学工具，具备声母、韵母及整体认读音节的内容，支持朗读。15.数学模式和工具：1)提供直尺、三角板、圆规、量角器绘制直线、圆、角、弧线、扇形等图形，使用圆规绘制弧线和扇形时可显示绘制的半径及角度；2)支持圆、矩形、三角形、多边形等图形的绘制，圆形绘制后可设置显示半径和圆心，三角形绘制后可设置内切圆、外接圆，矩形绘制后可设置外接圆，及短边相切圆。3)支持绘制复杂不规则图形及辅助线。绘制时笔端附近细节可自动放大，便于准确画出辅助线；4)支持手写自动识别图形，包括三角形、四边形、五边形、六边形等；5)可对绘制的图形对象进行颜色及透明度设置；6)支持立方体、长方体、锥体、圆柱、圆台、球体等立体图形的绘制；7)提供函数绘制、平面坐标系、三维坐标系、数学公式识别、计算器等工具。16.英语模式和工具：1)提供英语四线格背景模板，支持手写识别英语单词并自动填充到四线格中；2)提供英汉词典工具，可查询英文单词的音标、释义，并可将英文单词单独输出到白板软件中进行编辑，单词对象自带音标、中文注释及朗读；3)提供汉英词典工具，可查询中文单词的拼音、英文释义，并可将中文单词单独输出到白板软件中进行编辑，单词对象自带拼音、英文注释及朗读；4)提供英语元音辅音教学小工具。17.化学模式和工具：1)提供可查询的化学元素周期表及化学原子结构图；2)提供化学公式编辑器，可快速生成原子及离子方程式；3)具备烧杯、试管、漏斗、酒精灯、启普发生器等不少于25种常用化学课虚拟实验器材，且可自由组合进行实验演示。虚拟实验器材达到仿真效果，可添加不同颜色的液体并可自由调节液面，而且能够将实验容器中的液体倒入另外的容器中。18.物理模式和工具：1)提供合力小工具，可自动计算生成合力示意图；2)具备常用物理课虚拟实验工具，包括灯泡、电流表、电压表、滑动电阻器等，可自由组合进行实验演示。虚拟实验工具达到仿真效果，如灯泡可设置不同状态下的亮度、滑动变阻器可调节阻值、电源开关可调节开关状态等。19.图片裁切功能：导入的图片对象自带裁切功能，无需借助截图工具，即可直接图片进行裁切，方便去除边角水印。20. ★快捷抠图功能：导入的图片对象自带抠图功能，无需借助专业图片处理软件，即可在白板软件中对图片进行快捷抠图、去背景，处理后的图片主体边缘没有明显毛边，可导出保存成PNG格式。21.网页浏览器：白板软件自带浏览器，具备批注、截图功能，并且支持将浏览器网页里的图片、文字直接拖拽到白板中使用。22.板中板：支持调出板中板进行书写，板书可单独保存，不影响白板主界面的内容。23.实物展台：支持实时调取视频展台画面，可直接在屏幕上对画面进行缩放、旋转、批注、锁定、截图等操作。具备多屏对比模式，最多支持四分屏，可将任意画面截图放大，并在截图上添加奖章标记，支持多张画面截图同时导出白板中。24.微课工具：支持全屏录制及任意区域截屏录制，且支持与双摄像头展台配合进行双路摄像画面录制，录制后的微课视频可进行自由裁剪、编辑、添加水印等操作，并可一键导出至教学白板软件或另存到本地，也可以上传到资源分享平台。25. ★思维轴工具：提供思维轴教学工具，教师可以在横轴上自由设置内容节点，并在节点中添加文本、图片、视频及超链接，添加后的内容支持缩放、批注和擦除，且横轴可左右拖拽，超链接可跳转到本地白板工具。26.百科工具：支持在白板软件中进网络资源搜索，搜索途径包括百度百科、维基百科、必应图片等，搜索到的文字、图片可直接拖拽到白板软件中使用。27.提供遮幕、日历、时钟、聚光灯、放大镜、计时器、屏幕截图等教学辅助工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八、授课助手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1.支持Android 4.0及IOS 7.0以上版本系统。2.可与交互智能平板实现无线连接，可对连接的设备进行密码的权限管理。3.支持横屏及竖屏双模式，满足不同用户的使用习惯。4.具备客户端生成热点功能，在没有路由器的情况下，可通过客户端生成局域网热点供外部终端进行无线连接，并持二维码扫描连接，无需手动设置。5.支持对移动终端设备进行接入锁定，防止学生随意接入影响老师使用。6.可实现交互智能平板与手持终端屏幕同步显示，支持多种手持终端的手势识别，包括单指点击、单指漫游、双指缩放，支持远程文本输入。7.大小屏同步显示时支持同步放大功能，可使用小屏远程同步放大大屏画面，突出重点和细节内容。8. ★支持Office、WPS及白板软件课件远程同步，可通过移动端对智能平板上的课件实现页面预览、远程翻页、双向批注、激光笔、聚光灯、一键黑屏等功。9. ★支持模拟电脑触摸板功能，能够对智能平板进行远程控制，支持鼠标左键/右键、双指滚轮，并有常用快捷键按键集成，如一键关闭窗口、一键切换窗口、一键回桌面、一键打开键盘等。10.支持移动展台功能，可一键对试卷、课本等实物进行拍摄，将实物照片一键上传至智能平板的白板教学软件里打开，进行批注、缩放、旋转操作。11. ★支持多图对比展示功能，可将多位学生的作业、试卷或实验结果进行拍摄，并上传至智能平板的互动教学软件里进行对比展示，支持点评功能，可给每位同的作品以不同的奖章。12.具备本地文件智能管理功能，可对移动终端上的文档、图片、音频、视频自动分类，方便快速找到相应文件，并支持一键上传到交互智能平板并打开。13.支持操作指引教学，在老师第一次使用软件时，提供箭头指引，让老师逐步熟悉软件使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九、PPT分享功能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无需打开其他任何软件，播放PPT时即可实现书写、擦除功能。2.无需打开其他任何软件，播放PPT时即可支持课件页面预览、页面跳转及上下翻页。3.无需打开其他任何软件，播放PPT时即可支持板中板功能：支持调用板中板辅助教学，可直接批注及加页，不影响课件主画面。4.★无需打开其他任何软件，播放PPT时即可支持将课件及板书内容直接生成二维码分享，且扫码后支持在手机端生成二维码进行再次分享，支持点赞。支持发送课件链接至邮箱，方便教师下载保存课件板书内容。5.无需打开其他任何软件，播放PPT时即可调用放大镜、聚光灯小工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2.2 壁挂式展台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1、结构：箱体采用冷轧钢材质,面板采用两个金属气压杆支撑，内置机箱锁安全防盗，壁挂式安装。集成化：展台软件功能均在液晶一体机中的白板软件中实现，便于老师教学操作减少学习多款软件的复杂性。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2、展台采用模块化设计，展台模块与箱体的连接采用手拧螺丝设计，方便设备维修。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展台采用1/2.5英寸专业CMOS感光镜头，500万像素， 500万动态视频预达到15帧/秒，1080P动态视频预览达到25帧/秒。</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4、最大拍摄尺寸：A4，支持坚拍；自动光圈，自动白平衡；输出格式：MJPG、YUY2。</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5、带透镜式补光灯，内置LED进行补光，有效消除被展示物体的反光问题；带面板中心十字架激光定位，方便定位展示物品。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6、灯光调节、对焦控制及激光定位开关皆采用触摸按键设计。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7、带自动对焦，物体无论高低都可清晰可见。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8、板书功能：具备实时批注书写、拖动缩放、手势缩放、一键全屏、一键原始分辨率、顺时针旋转、逆时针旋转、画面冻结等教学常用功能。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9、★画面对比：具有同屏多画面对比教学功能，支持4分屏同屏展示并且一键转入交互智能平板的白板软件中不接受两款软件之间的复杂切换。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2.3 智能翻页笔</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采用笔型设计，外观使用防滑材料，带四个遥控按键，既可以用于触摸书写，也可用于远程操控。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采用2.4G无线连接技术，无线接收距离最大可达15米。</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无线接收器采用微型nano设计，并能收纳在笔上，整洁美观。</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使用单节7号电池驱动，并带自动休眠节电设计。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★单接收器设计，android、windows双系统同时响应。只需安装一个接收器，双系统都能响应智能笔的操作指令。</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 支持白板课件、PPT、PDF等多种格式的课件进行远程无线翻页。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 无需任何软件界面内点击操作，即可通过笔上按键实现白板软件选择、书写功能一键切换，提高课堂操作效率。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 支持一键启动任意通道放大镜功能，通过双击屏幕放大对应画面内容，方便细节呈现。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 ★支持扩展自定义按键功能，可选功能包括：一键启动任意通道批注、一键启动/退出PPT播放、一键启动PPT批注等功能。</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2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五线谱电声示教板</w:t>
            </w:r>
          </w:p>
        </w:tc>
        <w:tc>
          <w:tcPr>
            <w:tcW w:w="8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Style w:val="74"/>
                <w:color w:val="auto"/>
                <w:sz w:val="24"/>
                <w:szCs w:val="24"/>
                <w:lang w:val="en-US" w:eastAsia="zh-CN" w:bidi="ar"/>
              </w:rPr>
              <w:t>1、键盘：88键电钢琴键盘，体验真正的电钢琴力度。</w:t>
            </w:r>
            <w:r>
              <w:rPr>
                <w:rStyle w:val="74"/>
                <w:color w:val="auto"/>
                <w:sz w:val="24"/>
                <w:szCs w:val="24"/>
                <w:lang w:val="en-US" w:eastAsia="zh-CN" w:bidi="ar"/>
              </w:rPr>
              <w:br w:type="textWrapping"/>
            </w:r>
            <w:r>
              <w:rPr>
                <w:rStyle w:val="74"/>
                <w:color w:val="auto"/>
                <w:sz w:val="24"/>
                <w:szCs w:val="24"/>
                <w:lang w:val="en-US" w:eastAsia="zh-CN" w:bidi="ar"/>
              </w:rPr>
              <w:t>2、双拉尺演示、包括两组音阶推拉尺。和弦演示尺，具有调名调号七升七降对照演示表。直观的让学生了解调名、调号、键盘、谱表之间的关系。了解调名调号与音程音阶之间的对照关系。了解不同和线之间的关系。能够完成全部乐理知识的对照讲解。</w:t>
            </w:r>
            <w:r>
              <w:rPr>
                <w:rStyle w:val="74"/>
                <w:color w:val="auto"/>
                <w:sz w:val="24"/>
                <w:szCs w:val="24"/>
                <w:lang w:val="en-US" w:eastAsia="zh-CN" w:bidi="ar"/>
              </w:rPr>
              <w:br w:type="textWrapping"/>
            </w:r>
            <w:r>
              <w:rPr>
                <w:rStyle w:val="74"/>
                <w:color w:val="auto"/>
                <w:sz w:val="24"/>
                <w:szCs w:val="24"/>
                <w:lang w:val="en-US" w:eastAsia="zh-CN" w:bidi="ar"/>
              </w:rPr>
              <w:t xml:space="preserve">3、五线谱表：一组可书写的大谱表,采用白色书写面板（采用紫外线光固化生产工艺有效保证板面的书写擦拭）。 </w:t>
            </w:r>
            <w:r>
              <w:rPr>
                <w:rStyle w:val="74"/>
                <w:color w:val="auto"/>
                <w:sz w:val="24"/>
                <w:szCs w:val="24"/>
                <w:lang w:val="en-US" w:eastAsia="zh-CN" w:bidi="ar"/>
              </w:rPr>
              <w:br w:type="textWrapping"/>
            </w:r>
            <w:r>
              <w:rPr>
                <w:rStyle w:val="74"/>
                <w:color w:val="auto"/>
                <w:sz w:val="24"/>
                <w:szCs w:val="24"/>
                <w:lang w:val="en-US" w:eastAsia="zh-CN" w:bidi="ar"/>
              </w:rPr>
              <w:t>4、音色：128种GM音色+61种打击乐器音色。</w:t>
            </w:r>
            <w:r>
              <w:rPr>
                <w:rStyle w:val="74"/>
                <w:color w:val="auto"/>
                <w:sz w:val="24"/>
                <w:szCs w:val="24"/>
                <w:lang w:val="en-US" w:eastAsia="zh-CN" w:bidi="ar"/>
              </w:rPr>
              <w:br w:type="textWrapping"/>
            </w:r>
            <w:r>
              <w:rPr>
                <w:rStyle w:val="74"/>
                <w:color w:val="auto"/>
                <w:sz w:val="24"/>
                <w:szCs w:val="24"/>
                <w:lang w:val="en-US" w:eastAsia="zh-CN" w:bidi="ar"/>
              </w:rPr>
              <w:t>5、节奏：内置节奏100种。</w:t>
            </w:r>
            <w:r>
              <w:rPr>
                <w:rStyle w:val="74"/>
                <w:color w:val="auto"/>
                <w:sz w:val="24"/>
                <w:szCs w:val="24"/>
                <w:lang w:val="en-US" w:eastAsia="zh-CN" w:bidi="ar"/>
              </w:rPr>
              <w:br w:type="textWrapping"/>
            </w:r>
            <w:r>
              <w:rPr>
                <w:rStyle w:val="74"/>
                <w:color w:val="auto"/>
                <w:sz w:val="24"/>
                <w:szCs w:val="24"/>
                <w:lang w:val="en-US" w:eastAsia="zh-CN" w:bidi="ar"/>
              </w:rPr>
              <w:t>6、示范曲：内置歌曲608首。</w:t>
            </w:r>
            <w:r>
              <w:rPr>
                <w:rStyle w:val="74"/>
                <w:color w:val="auto"/>
                <w:sz w:val="24"/>
                <w:szCs w:val="24"/>
                <w:lang w:val="en-US" w:eastAsia="zh-CN" w:bidi="ar"/>
              </w:rPr>
              <w:br w:type="textWrapping"/>
            </w:r>
            <w:r>
              <w:rPr>
                <w:rStyle w:val="74"/>
                <w:color w:val="auto"/>
                <w:sz w:val="24"/>
                <w:szCs w:val="24"/>
                <w:lang w:val="en-US" w:eastAsia="zh-CN" w:bidi="ar"/>
              </w:rPr>
              <w:t>7、变调：五线谱12种变调。</w:t>
            </w:r>
            <w:r>
              <w:rPr>
                <w:rStyle w:val="74"/>
                <w:color w:val="auto"/>
                <w:sz w:val="24"/>
                <w:szCs w:val="24"/>
                <w:lang w:val="en-US" w:eastAsia="zh-CN" w:bidi="ar"/>
              </w:rPr>
              <w:br w:type="textWrapping"/>
            </w:r>
            <w:r>
              <w:rPr>
                <w:rStyle w:val="74"/>
                <w:color w:val="auto"/>
                <w:sz w:val="24"/>
                <w:szCs w:val="24"/>
                <w:lang w:val="en-US" w:eastAsia="zh-CN" w:bidi="ar"/>
              </w:rPr>
              <w:t>8、调号转换：电教鞭上具有升调“#”、降调“b”转换功能键。</w:t>
            </w:r>
            <w:r>
              <w:rPr>
                <w:rStyle w:val="74"/>
                <w:color w:val="auto"/>
                <w:sz w:val="24"/>
                <w:szCs w:val="24"/>
                <w:lang w:val="en-US" w:eastAsia="zh-CN" w:bidi="ar"/>
              </w:rPr>
              <w:br w:type="textWrapping"/>
            </w:r>
            <w:r>
              <w:rPr>
                <w:rStyle w:val="74"/>
                <w:color w:val="auto"/>
                <w:sz w:val="24"/>
                <w:szCs w:val="24"/>
                <w:lang w:val="en-US" w:eastAsia="zh-CN" w:bidi="ar"/>
              </w:rPr>
              <w:t>9、和弦方式：可演示任意和旋，两组和弦记忆，进行和弦对照演示。</w:t>
            </w:r>
            <w:r>
              <w:rPr>
                <w:rStyle w:val="74"/>
                <w:color w:val="auto"/>
                <w:sz w:val="24"/>
                <w:szCs w:val="24"/>
                <w:lang w:val="en-US" w:eastAsia="zh-CN" w:bidi="ar"/>
              </w:rPr>
              <w:br w:type="textWrapping"/>
            </w:r>
            <w:r>
              <w:rPr>
                <w:rStyle w:val="74"/>
                <w:color w:val="auto"/>
                <w:sz w:val="24"/>
                <w:szCs w:val="24"/>
                <w:lang w:val="en-US" w:eastAsia="zh-CN" w:bidi="ar"/>
              </w:rPr>
              <w:t>10、伴奏：具单指和弦、多指和弦伴奏。</w:t>
            </w:r>
            <w:r>
              <w:rPr>
                <w:rStyle w:val="74"/>
                <w:color w:val="auto"/>
                <w:sz w:val="24"/>
                <w:szCs w:val="24"/>
                <w:lang w:val="en-US" w:eastAsia="zh-CN" w:bidi="ar"/>
              </w:rPr>
              <w:br w:type="textWrapping"/>
            </w:r>
            <w:r>
              <w:rPr>
                <w:rStyle w:val="74"/>
                <w:color w:val="auto"/>
                <w:sz w:val="24"/>
                <w:szCs w:val="24"/>
                <w:lang w:val="en-US" w:eastAsia="zh-CN" w:bidi="ar"/>
              </w:rPr>
              <w:t>11、录音：具有录音功能。12、节拍速度：可在40－280/每分钟范围可调。</w:t>
            </w:r>
            <w:r>
              <w:rPr>
                <w:rStyle w:val="74"/>
                <w:color w:val="auto"/>
                <w:sz w:val="24"/>
                <w:szCs w:val="24"/>
                <w:lang w:val="en-US" w:eastAsia="zh-CN" w:bidi="ar"/>
              </w:rPr>
              <w:br w:type="textWrapping"/>
            </w:r>
            <w:r>
              <w:rPr>
                <w:rStyle w:val="74"/>
                <w:color w:val="auto"/>
                <w:sz w:val="24"/>
                <w:szCs w:val="24"/>
                <w:lang w:val="en-US" w:eastAsia="zh-CN" w:bidi="ar"/>
              </w:rPr>
              <w:t xml:space="preserve">13、显示：控制面板上采用4.3寸彩色液晶屏显示。 </w:t>
            </w:r>
            <w:r>
              <w:rPr>
                <w:rStyle w:val="74"/>
                <w:color w:val="auto"/>
                <w:sz w:val="24"/>
                <w:szCs w:val="24"/>
                <w:lang w:val="en-US" w:eastAsia="zh-CN" w:bidi="ar"/>
              </w:rPr>
              <w:br w:type="textWrapping"/>
            </w:r>
            <w:r>
              <w:rPr>
                <w:rStyle w:val="74"/>
                <w:color w:val="auto"/>
                <w:sz w:val="24"/>
                <w:szCs w:val="24"/>
                <w:lang w:val="en-US" w:eastAsia="zh-CN" w:bidi="ar"/>
              </w:rPr>
              <w:t>14、接口：MIDI输入、输出接口，音频输入、输出接口。</w:t>
            </w:r>
            <w:r>
              <w:rPr>
                <w:rStyle w:val="74"/>
                <w:color w:val="auto"/>
                <w:sz w:val="24"/>
                <w:szCs w:val="24"/>
                <w:lang w:val="en-US" w:eastAsia="zh-CN" w:bidi="ar"/>
              </w:rPr>
              <w:br w:type="textWrapping"/>
            </w:r>
            <w:r>
              <w:rPr>
                <w:rStyle w:val="74"/>
                <w:color w:val="auto"/>
                <w:sz w:val="24"/>
                <w:szCs w:val="24"/>
                <w:lang w:val="en-US" w:eastAsia="zh-CN" w:bidi="ar"/>
              </w:rPr>
              <w:t xml:space="preserve">15、音量控制：电子电位器控制、分主音量和伴奏音量控制。16、拓展功能：具有USB2.0接口，支持用户U盘，可读取u盘中的MP3文件和MIDI乐曲文件。 </w:t>
            </w:r>
            <w:r>
              <w:rPr>
                <w:rStyle w:val="74"/>
                <w:color w:val="auto"/>
                <w:sz w:val="24"/>
                <w:szCs w:val="24"/>
                <w:lang w:val="en-US" w:eastAsia="zh-CN" w:bidi="ar"/>
              </w:rPr>
              <w:br w:type="textWrapping"/>
            </w:r>
            <w:r>
              <w:rPr>
                <w:rStyle w:val="74"/>
                <w:color w:val="auto"/>
                <w:sz w:val="24"/>
                <w:szCs w:val="24"/>
                <w:lang w:val="en-US" w:eastAsia="zh-CN" w:bidi="ar"/>
              </w:rPr>
              <w:t>17、外接接口：通用USB2.0输入；线路输入输出。</w:t>
            </w:r>
            <w:r>
              <w:rPr>
                <w:rStyle w:val="74"/>
                <w:color w:val="auto"/>
                <w:sz w:val="24"/>
                <w:szCs w:val="24"/>
                <w:lang w:val="en-US" w:eastAsia="zh-CN" w:bidi="ar"/>
              </w:rPr>
              <w:br w:type="textWrapping"/>
            </w:r>
            <w:r>
              <w:rPr>
                <w:rStyle w:val="74"/>
                <w:color w:val="auto"/>
                <w:sz w:val="24"/>
                <w:szCs w:val="24"/>
                <w:lang w:val="en-US" w:eastAsia="zh-CN" w:bidi="ar"/>
              </w:rPr>
              <w:t>18、该示教板以键盘为核心，配合乐理符号丝网印刷，方便乐理知识的教学，将键盘、谱表、调名、调号巧妙的联系到一起，乐理演示简捷直观，乐理解析清晰易懂。</w:t>
            </w:r>
            <w:r>
              <w:rPr>
                <w:rStyle w:val="74"/>
                <w:color w:val="auto"/>
                <w:sz w:val="24"/>
                <w:szCs w:val="24"/>
                <w:lang w:val="en-US" w:eastAsia="zh-CN" w:bidi="ar"/>
              </w:rPr>
              <w:br w:type="textWrapping"/>
            </w:r>
            <w:r>
              <w:rPr>
                <w:rStyle w:val="74"/>
                <w:color w:val="auto"/>
                <w:sz w:val="24"/>
                <w:szCs w:val="24"/>
                <w:lang w:val="en-US" w:eastAsia="zh-CN" w:bidi="ar"/>
              </w:rPr>
              <w:t>19、具有键位与五线谱对应的双色LED指示灯，可对照键盘与五线谱相应的位置。</w:t>
            </w:r>
            <w:r>
              <w:rPr>
                <w:rStyle w:val="74"/>
                <w:color w:val="auto"/>
                <w:sz w:val="24"/>
                <w:szCs w:val="24"/>
                <w:lang w:val="en-US" w:eastAsia="zh-CN" w:bidi="ar"/>
              </w:rPr>
              <w:br w:type="textWrapping"/>
            </w:r>
            <w:r>
              <w:rPr>
                <w:rStyle w:val="74"/>
                <w:color w:val="auto"/>
                <w:sz w:val="24"/>
                <w:szCs w:val="24"/>
                <w:lang w:val="en-US" w:eastAsia="zh-CN" w:bidi="ar"/>
              </w:rPr>
              <w:t>20、具有7寸超大简谱显示窗口，在电子教鞭演示五线谱过程中可直接显示相对应的简谱、升降号及唱名显示</w:t>
            </w:r>
            <w:r>
              <w:rPr>
                <w:rStyle w:val="74"/>
                <w:color w:val="auto"/>
                <w:sz w:val="24"/>
                <w:szCs w:val="24"/>
                <w:lang w:val="en-US" w:eastAsia="zh-CN" w:bidi="ar"/>
              </w:rPr>
              <w:br w:type="textWrapping"/>
            </w:r>
            <w:r>
              <w:rPr>
                <w:rStyle w:val="75"/>
                <w:color w:val="auto"/>
                <w:sz w:val="24"/>
                <w:szCs w:val="24"/>
                <w:lang w:val="en-US" w:eastAsia="zh-CN" w:bidi="ar"/>
              </w:rPr>
              <w:t>产品提供2017年以后的省级以上检测报告复印件加盖厂家公章</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26"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推拉绿板</w:t>
            </w:r>
          </w:p>
        </w:tc>
        <w:tc>
          <w:tcPr>
            <w:tcW w:w="8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1、尺寸结构：1314mm*4000mm左右推拉结构，两块或四块组合设计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面板：墨绿色；光泽：不大于5%，降低视疲劳，保护学生视力，书写表面粗糙度Ra1.6-3.2，采用厚度为0.25以上进口镀锌钢板，涂层硬度≥6H，喷涂黑板专用面漆，经高温固化而成。适用于普通粉笔和普通板擦，字迹清晰，易写易擦；抗撞击、磨损、刮擦、不褪色，使用寿命5年以上。</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3、内芯材料：采用七层瓦楞纸板，技术指标根据国标GB5034-85执行；或高密度泡沫板夹层，密度28kg/m3，泡沫板经过双面双砂处理，防潮不变形，面层平整，无折痕，不变形，吸音强且环保。</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4、背板材料：采用优质防锈热镀锌钢板，厚度≥0.2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5、胶合剂：采用防腐、防锈、防潮、环保的黑板专用胶漆，胶合牢固、经久耐用，永不脱壳，各项指标均达到国际环保要求。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6、边框材料：采用90×50mm特制双轨道（内轨道、外滑轨）高档仿不锈钢铝型材；耐腐蚀、耐磨性达到GB/T5237-2000标准。轨道与灰槽一体化设计，更便于清洁。  </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1"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无线话筒</w:t>
            </w:r>
          </w:p>
        </w:tc>
        <w:tc>
          <w:tcPr>
            <w:tcW w:w="8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采用独特导频技术，可满足多套同时使用；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频率控制：石英锁定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接收频率范围：VHF频段90MHz-270MHz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最佳有效使用距离：50m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S/N信噪比：＞100dB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T.H.D总谐波失真：&lt;0.5%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频响范围：80Hz-16KHz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灵敏度：输入10-15dBuv时,S/N:＞70dB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谐波干扰比：＞80dB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发射器：具备</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96"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音箱</w:t>
            </w:r>
          </w:p>
        </w:tc>
        <w:tc>
          <w:tcPr>
            <w:tcW w:w="8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音箱采用两分频设计；重放效果平衡，细腻柔和、人声饱满。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音箱配有吊挂系统，既可以壁挂，也可选用三脚架支撑方式使用。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额定功率：50 W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额定阻抗：8Ω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特性灵敏度：92dB/W/m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输出声压级：110dB/W/m(Continues)116dB/W/m(Peak)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额定频率范围:48~ 20KHz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覆盖角度H×V：90º×60º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扬声器单元：LF:8英寸 </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26"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功放</w:t>
            </w:r>
          </w:p>
        </w:tc>
        <w:tc>
          <w:tcPr>
            <w:tcW w:w="8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话筒输入：2路，话筒输入口具有幻象电源：+48V功能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线路输入和输出：各2组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中控接口：RS232接口，具有USB音源播放功能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额定功率：≧2×50W/8Ω（RMS）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失真度：≤0.5%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线路频率响应：20Hz-20KHz  -3dB,+1dB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线路输出：0dB±1dB，                                                                                                                                 话筒灵敏度：15mv±2mv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电源适应范围：AC175V—260V/50HZ</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bl>
    <w:p>
      <w:pPr>
        <w:numPr>
          <w:ilvl w:val="0"/>
          <w:numId w:val="0"/>
        </w:numPr>
        <w:spacing w:line="360" w:lineRule="auto"/>
        <w:rPr>
          <w:rFonts w:hint="eastAsia" w:ascii="宋体" w:hAnsi="宋体"/>
          <w:b/>
          <w:sz w:val="32"/>
          <w:szCs w:val="32"/>
          <w:lang w:val="en-US" w:eastAsia="zh-CN"/>
        </w:rPr>
      </w:pPr>
    </w:p>
    <w:p>
      <w:pPr>
        <w:numPr>
          <w:ilvl w:val="0"/>
          <w:numId w:val="0"/>
        </w:numPr>
        <w:spacing w:line="360" w:lineRule="auto"/>
        <w:rPr>
          <w:rFonts w:hint="eastAsia" w:ascii="宋体" w:hAnsi="宋体"/>
          <w:b/>
          <w:sz w:val="32"/>
          <w:szCs w:val="32"/>
          <w:lang w:val="en-US" w:eastAsia="zh-CN"/>
        </w:rPr>
      </w:pPr>
      <w:r>
        <w:rPr>
          <w:rFonts w:hint="eastAsia" w:ascii="宋体" w:hAnsi="宋体"/>
          <w:b/>
          <w:sz w:val="32"/>
          <w:szCs w:val="32"/>
          <w:lang w:val="en-US" w:eastAsia="zh-CN"/>
        </w:rPr>
        <w:t>2、教师部分</w:t>
      </w:r>
    </w:p>
    <w:tbl>
      <w:tblPr>
        <w:tblStyle w:val="31"/>
        <w:tblW w:w="10685" w:type="dxa"/>
        <w:tblInd w:w="-8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5"/>
        <w:gridCol w:w="489"/>
        <w:gridCol w:w="8680"/>
        <w:gridCol w:w="472"/>
        <w:gridCol w:w="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41"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教师用琴</w:t>
            </w:r>
          </w:p>
        </w:tc>
        <w:tc>
          <w:tcPr>
            <w:tcW w:w="8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带有亚光黑键的GHS（渐层式标准配重）键盘；</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纯音CF钢琴音色采样；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复音数192；</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10种逼真实用的音色；</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双音色与双人演奏功能；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录音/回放功能；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立体声优化；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制音回响；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智能声学控制；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标准立体声耳机接口x2；</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6W x 2 功率扬声器；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尺寸：宽1357mm；高：815mm；深：422mm。</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教师用琴凳</w:t>
            </w:r>
          </w:p>
        </w:tc>
        <w:tc>
          <w:tcPr>
            <w:tcW w:w="8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X型，PU面，可折叠</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主控桌</w:t>
            </w:r>
          </w:p>
        </w:tc>
        <w:tc>
          <w:tcPr>
            <w:tcW w:w="8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嵌入式设计，放置电钢琴主控箱电脑，教室用琴等。</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6"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教师转换器</w:t>
            </w:r>
          </w:p>
        </w:tc>
        <w:tc>
          <w:tcPr>
            <w:tcW w:w="8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教师控制终端：自主知识产权的专用芯片；差动全数字信号，抗干扰力强；44.1K /16位双声道立体声CD音质；信噪比&gt;80dB；失真度&lt;1%；终端延时：小于千分之一秒，绝无延迟感觉；终端功能：音量调节，终端呼叫，麦克控制、状态指示；终端接口：麦克风+电子琴+耳机；终端连线：使用网线，安装简便、性能稳定；尺寸规格：（120mm*90mm*30mm）</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6"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教师耳麦</w:t>
            </w:r>
          </w:p>
        </w:tc>
        <w:tc>
          <w:tcPr>
            <w:tcW w:w="8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带式全罩耳麦，具有良好的隔音性，音质还原出色，佩戴舒适耳麦佩戴方式头戴式产品定位音乐教室专用耳机，频率响应20-20000Hz功率额定输出功率：15mw最大输出功率：30mw阻抗32欧姆灵敏度105±3dB喇叭直径40mm麦克风尺寸：6.0X5.0mm方向性：全指向麦克风灵敏度-45±3dB麦克风阻抗2200欧姆线缆长度约2.2meters外形设计外观大方时尚，佩戴舒适单边线设计，避免缠绕;产品重量参数纠错约180g产品特性1喇叭音质清晰透彻，完美还原音乐;独特的耳壳音量调节旋钮设计，达到完美cd音质</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1"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8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音乐教学欣赏曲库</w:t>
            </w:r>
          </w:p>
        </w:tc>
        <w:tc>
          <w:tcPr>
            <w:tcW w:w="8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正规出版社出版。经教育部全国中小学教材审定委员会审查通过，包含音乐启蒙、场景音乐、可爱的动物、美丽的大自然、多彩的四季、优美的旋律、充满活力的舞曲和进行曲、温馨的家庭、奇妙的幻想天地、有趣的童话、伟大的祖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丰富的民间音乐 民歌、丰富的民间音乐 曲艺与民间器乐、丰富的民间音乐 戏曲音乐、丰富的民间音乐 外国民歌、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丰富的民间音乐 外国民间乐曲</w:t>
            </w:r>
            <w:r>
              <w:rPr>
                <w:rFonts w:hint="eastAsia" w:ascii="宋体" w:hAnsi="宋体" w:eastAsia="宋体" w:cs="宋体"/>
                <w:i w:val="0"/>
                <w:color w:val="auto"/>
                <w:kern w:val="0"/>
                <w:sz w:val="24"/>
                <w:szCs w:val="24"/>
                <w:u w:val="none"/>
                <w:lang w:val="en-US" w:eastAsia="zh-CN" w:bidi="ar"/>
              </w:rPr>
              <w:t>。</w:t>
            </w:r>
            <w:r>
              <w:rPr>
                <w:rStyle w:val="76"/>
                <w:color w:val="auto"/>
                <w:sz w:val="24"/>
                <w:szCs w:val="24"/>
                <w:lang w:val="en-US" w:eastAsia="zh-CN" w:bidi="ar"/>
              </w:rPr>
              <w:t>投标人须提供正版来源文件</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bl>
    <w:p>
      <w:pPr>
        <w:numPr>
          <w:ilvl w:val="0"/>
          <w:numId w:val="0"/>
        </w:numPr>
        <w:spacing w:line="360" w:lineRule="auto"/>
        <w:rPr>
          <w:rFonts w:hint="eastAsia" w:ascii="宋体" w:hAnsi="宋体"/>
          <w:b/>
          <w:sz w:val="32"/>
          <w:szCs w:val="32"/>
          <w:lang w:val="en-US" w:eastAsia="zh-CN"/>
        </w:rPr>
      </w:pPr>
    </w:p>
    <w:p>
      <w:pPr>
        <w:numPr>
          <w:ilvl w:val="0"/>
          <w:numId w:val="4"/>
        </w:numPr>
        <w:spacing w:line="360" w:lineRule="auto"/>
        <w:ind w:left="0" w:leftChars="0" w:firstLine="0" w:firstLineChars="0"/>
        <w:rPr>
          <w:rFonts w:hint="eastAsia" w:ascii="宋体" w:hAnsi="宋体"/>
          <w:b/>
          <w:sz w:val="32"/>
          <w:szCs w:val="32"/>
          <w:lang w:val="en-US" w:eastAsia="zh-CN"/>
        </w:rPr>
      </w:pPr>
      <w:r>
        <w:rPr>
          <w:rFonts w:hint="eastAsia" w:ascii="宋体" w:hAnsi="宋体"/>
          <w:b/>
          <w:sz w:val="32"/>
          <w:szCs w:val="32"/>
          <w:lang w:val="en-US" w:eastAsia="zh-CN"/>
        </w:rPr>
        <w:t>学生部分</w:t>
      </w:r>
    </w:p>
    <w:tbl>
      <w:tblPr>
        <w:tblStyle w:val="31"/>
        <w:tblW w:w="10669" w:type="dxa"/>
        <w:tblInd w:w="-8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
        <w:gridCol w:w="522"/>
        <w:gridCol w:w="8680"/>
        <w:gridCol w:w="438"/>
        <w:gridCol w:w="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61"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学生用琴</w:t>
            </w:r>
          </w:p>
        </w:tc>
        <w:tc>
          <w:tcPr>
            <w:tcW w:w="8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带有亚光黑键的GHS（渐层式标准配重）键盘；</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纯音CF钢琴音色采样；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复音数192；</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10种逼真实用的音色；</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双音色与双人演奏功能；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录音/回放功能；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立体声优化；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制音回响；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智能声学控制；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标准立体声耳机接口x2；</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6W x 2 功率扬声器；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尺寸：宽1357mm；高：815mm；深：422mm。</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学生用琴凳</w:t>
            </w:r>
          </w:p>
        </w:tc>
        <w:tc>
          <w:tcPr>
            <w:tcW w:w="8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X型，PU面，可折叠</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学生终端</w:t>
            </w:r>
          </w:p>
        </w:tc>
        <w:tc>
          <w:tcPr>
            <w:tcW w:w="8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学生控制终端：自主知识产权的专用芯片；差动全数字信号，抗干扰力强；44.1K /16位双声道立体声CD音质；信噪比&gt;80dB；失真度&lt;1%；终端延时：小于千分之一秒，绝无延迟感觉；终端功能：音量调节，终端呼叫、麦克控制，状态指示；终端接口：麦克风+电子琴+耳机；终端连线：使用以太网线，安装简便、性能稳定；尺寸规格：（120mm*90mm*30mm）</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15"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学生耳麦</w:t>
            </w:r>
          </w:p>
        </w:tc>
        <w:tc>
          <w:tcPr>
            <w:tcW w:w="8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带式全罩耳麦，具有良好的隔音性，音质还原出色，佩戴舒适耳麦佩戴方式头戴式产品定位音乐教室专用耳机，频率响应20-20000Hz功率额定输出功率：15mw最大输出功率：30mw阻抗32欧姆灵敏度105±3dB喇叭直径40mm麦克风尺寸：6.0X5.0mm方向性：全指向麦克风灵敏度-45±3dB麦克风阻抗2200欧姆线缆长度约2.2metersDES外形设计外观大方时尚，佩戴舒适单边线设计，避免缠绕;产品重量参数纠错约180g产品特性1喇叭音质清晰透彻，完美还原音乐;独特的耳壳音量调节旋钮设计，达到完美cd音质</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31" w:hRule="atLeast"/>
        </w:trPr>
        <w:tc>
          <w:tcPr>
            <w:tcW w:w="47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数字音乐教学系统授课模块</w:t>
            </w:r>
          </w:p>
        </w:tc>
        <w:tc>
          <w:tcPr>
            <w:tcW w:w="86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 ★支持简谱乐谱教学，可对简谱进行单音播放，跨小节线播放、跨段落歌词播放。支持目录索引，多页面速览。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★在同一界面内对简谱乐谱进行范唱播放、伴唱播放、谱曲播放、节奏播放、唱名播放、五种播放模式均可与简谱乐谱同步播放。简谱谱曲播放模式下谱曲课件的音符、歌词、虚拟钢琴键盘同步高亮显示。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简谱教学模式下，可以改变唱名的速度和调式.支持电子白板讲解标注，笔记与课件同步缩放，曲谱与笔迹标注内容完整导出为DOC、PDF、JPG、PNG格式的文件。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支持五线谱乐谱教学，可对五线谱进行单音播放，跨小节线播放、跨段落歌词播放。支持段落、反复、跳转、省略等播放顺序标记。可通过电子琴（电钢琴）音色按钮进行音色切换，可通过电子琴（电钢琴）喇叭发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★在同一界面内对五线谱乐谱进行范唱播放、伴唱播放、谱曲播放、节奏播放和唱名播放，五种播放模式均可与五线谱乐谱同步播放并对照显示。谱曲播放时课件的音符、歌词、虚拟钢琴键盘同步高亮显示。</w:t>
            </w:r>
          </w:p>
        </w:tc>
        <w:tc>
          <w:tcPr>
            <w:tcW w:w="4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5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14"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数字音乐教学系统数字音乐备课软件</w:t>
            </w:r>
          </w:p>
        </w:tc>
        <w:tc>
          <w:tcPr>
            <w:tcW w:w="8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 乐理教学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★MIDI键盘、虚拟钢琴键盘与五线谱表相互映射。教师在进行MIDI键盘演奏示范过程中，虚拟钢琴键盘同时显示乐符在键盘上的弹奏位置。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虚拟钢琴键盘可一键显隐音名、唱名，包含等音显示，并可随调式同步转换。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★支持15种调式讲解，14组音程尺，32组和弦同时对照讲解。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虚拟钢琴键盘上的等音，可以根据键盘触摸区域输入升音和降音，并在五线谱表上显示有升音符和降音符的变音音符。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支持乐理知识课件讲解，包括：记谱法、音、音律、乐音体系等。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 ★可在五线谱表上直接弹奏发声，并在五线谱表的相应位置进行标记。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二、 演奏示范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★与音乐教学仪演示终端硬件无缝连接，MIDI键盘琴键影像与虚拟键盘琴键一一对应。</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★虚拟钢琴键盘可一键显隐音名、唱名，包含等音显示，并可随调式同步转换。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★可直接操作电子琴或电钢琴的音色按钮改变音色进行播放，可任意调用电子琴或电钢琴的音色通过电子琴或电钢琴的扬声器发声。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通过音乐教学仪演示终端硬件教师可进行演奏示范，在电子白板/触控一体机等设备上显示。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三、 五线谱与简谱混合教学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同一页面内满足五线谱乐谱与简谱乐谱的混合编写与讲解。支持五线谱与简谱所有音乐元素的编写。其中简谱至少包含十六分音符、三十二分音符、连音线、延音线、高音、低音、变音标记等。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★支持五线谱乐谱的关联、移动、组合与拆分。支持可播放的五线谱、与文本、表格混合编辑，可将谱表中的乐符和乐符组直接拖动至文本或表格中，可设置文本或表格中乐符的大小、颜色、行间距、基线。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支持简谱乐谱的关联、移动、组合与拆分。支持可播放的简谱乐谱与文本、表格混合编辑，可将谱表中的乐符和乐符组直接拖动至文本或表格中，可设置文本或表格中乐符的大小、颜色、行间距、基线。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可在五线谱与简谱混合编辑页面内直接插入文本框，并可设置四种边框类型：矩形、圆角矩形、菱形、圆形。可对文本框进行旋转。</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★支持五线谱与简谱混合编辑页面内，直接播放课件中的音频、视频、动画等多媒体对象。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 ★五线谱与简谱混合编辑页面内具有完备的电子白板讲解标注功能，标注内容与课件同步移动、缩放、保存。笔迹类型包括：铅笔、荧光笔、虚线笔、直线虚线笔、箭头虚线笔、直线笔、毛笔。其中毛笔具有智能笔锋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 同一个课件文件中可包含多个五线谱、简谱乐谱与音乐知识等课件页面。一键呈现多页面课件导览图，并可快速定位课件页面。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 ★窗口录制、全屏录制两种录制方式，实时将教学内容录制成高品质FLV、MP4、SWF、AVI等格式的视频文件。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 含独立的音乐教学备课软件与教材配套的音乐教学资源，内容不低于4G。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音乐教学仪演示终端</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1"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数字音乐教学仪演示终端</w:t>
            </w:r>
          </w:p>
        </w:tc>
        <w:tc>
          <w:tcPr>
            <w:tcW w:w="8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 音乐教学仪演示终端为便携式视频设备，支持电脑USB供电或外接电源，视频幅面完全覆盖音乐琴键，完整展示教师演奏示范。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★音乐教学仪演示终端支持教学控制私有协议。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音乐教学仪演示终端支持 500万像素（2592×1944），支持10倍数码放大，500万高清像素下，动态速度在15帧/秒以上。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音乐教学仪演示终端支持免驱系统，包括Windows 10/Windows8/8.1/ Windows 7/ Windows VISTA/Windows XP sp2。</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输出格式  MJPG  YUY2 , 图像色彩RGB24位真彩，拍摄速度≤1秒</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光源：自然光、内置6颗LED灯辅助光源，无极调控开关控制                                                                                                              </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bl>
    <w:p>
      <w:pPr>
        <w:numPr>
          <w:ilvl w:val="0"/>
          <w:numId w:val="0"/>
        </w:numPr>
        <w:spacing w:line="360" w:lineRule="auto"/>
        <w:ind w:leftChars="0"/>
        <w:rPr>
          <w:rFonts w:hint="eastAsia" w:ascii="宋体" w:hAnsi="宋体"/>
          <w:b/>
          <w:sz w:val="32"/>
          <w:szCs w:val="32"/>
          <w:lang w:val="en-US" w:eastAsia="zh-CN"/>
        </w:rPr>
      </w:pPr>
    </w:p>
    <w:p>
      <w:pPr>
        <w:numPr>
          <w:ilvl w:val="0"/>
          <w:numId w:val="0"/>
        </w:numPr>
        <w:spacing w:line="360" w:lineRule="auto"/>
        <w:ind w:leftChars="0"/>
        <w:rPr>
          <w:rFonts w:hint="eastAsia" w:ascii="宋体" w:hAnsi="宋体"/>
          <w:b/>
          <w:sz w:val="32"/>
          <w:szCs w:val="32"/>
          <w:lang w:val="en-US" w:eastAsia="zh-CN"/>
        </w:rPr>
      </w:pPr>
    </w:p>
    <w:p>
      <w:pPr>
        <w:numPr>
          <w:ilvl w:val="0"/>
          <w:numId w:val="0"/>
        </w:numPr>
        <w:spacing w:line="360" w:lineRule="auto"/>
        <w:ind w:leftChars="0"/>
        <w:rPr>
          <w:rFonts w:hint="eastAsia" w:ascii="宋体" w:hAnsi="宋体"/>
          <w:b/>
          <w:sz w:val="32"/>
          <w:szCs w:val="32"/>
          <w:lang w:val="en-US" w:eastAsia="zh-CN"/>
        </w:rPr>
      </w:pPr>
    </w:p>
    <w:p>
      <w:pPr>
        <w:numPr>
          <w:ilvl w:val="0"/>
          <w:numId w:val="0"/>
        </w:numPr>
        <w:spacing w:line="360" w:lineRule="auto"/>
        <w:ind w:leftChars="0"/>
        <w:rPr>
          <w:rFonts w:hint="eastAsia" w:ascii="宋体" w:hAnsi="宋体"/>
          <w:b/>
          <w:sz w:val="32"/>
          <w:szCs w:val="32"/>
          <w:lang w:val="en-US" w:eastAsia="zh-CN"/>
        </w:rPr>
      </w:pPr>
    </w:p>
    <w:p>
      <w:pPr>
        <w:numPr>
          <w:ilvl w:val="0"/>
          <w:numId w:val="0"/>
        </w:numPr>
        <w:spacing w:line="360" w:lineRule="auto"/>
        <w:ind w:leftChars="0"/>
        <w:rPr>
          <w:rFonts w:hint="eastAsia" w:ascii="宋体" w:hAnsi="宋体"/>
          <w:b/>
          <w:sz w:val="32"/>
          <w:szCs w:val="32"/>
          <w:lang w:val="en-US" w:eastAsia="zh-CN"/>
        </w:rPr>
      </w:pPr>
    </w:p>
    <w:p>
      <w:pPr>
        <w:numPr>
          <w:ilvl w:val="0"/>
          <w:numId w:val="0"/>
        </w:numPr>
        <w:spacing w:line="360" w:lineRule="auto"/>
        <w:ind w:leftChars="0"/>
        <w:rPr>
          <w:rFonts w:hint="eastAsia" w:ascii="宋体" w:hAnsi="宋体"/>
          <w:b/>
          <w:sz w:val="32"/>
          <w:szCs w:val="32"/>
          <w:lang w:val="en-US" w:eastAsia="zh-CN"/>
        </w:rPr>
      </w:pPr>
    </w:p>
    <w:p>
      <w:pPr>
        <w:numPr>
          <w:ilvl w:val="0"/>
          <w:numId w:val="0"/>
        </w:numPr>
        <w:spacing w:line="360" w:lineRule="auto"/>
        <w:ind w:leftChars="0"/>
        <w:rPr>
          <w:rFonts w:hint="eastAsia" w:ascii="宋体" w:hAnsi="宋体"/>
          <w:b/>
          <w:sz w:val="32"/>
          <w:szCs w:val="32"/>
          <w:lang w:val="en-US" w:eastAsia="zh-CN"/>
        </w:rPr>
      </w:pPr>
    </w:p>
    <w:p>
      <w:pPr>
        <w:numPr>
          <w:ilvl w:val="0"/>
          <w:numId w:val="0"/>
        </w:numPr>
        <w:spacing w:line="360" w:lineRule="auto"/>
        <w:ind w:leftChars="0"/>
        <w:rPr>
          <w:rFonts w:hint="eastAsia" w:ascii="宋体" w:hAnsi="宋体"/>
          <w:b/>
          <w:sz w:val="32"/>
          <w:szCs w:val="32"/>
          <w:lang w:val="en-US" w:eastAsia="zh-CN"/>
        </w:rPr>
      </w:pPr>
    </w:p>
    <w:p>
      <w:pPr>
        <w:numPr>
          <w:ilvl w:val="0"/>
          <w:numId w:val="4"/>
        </w:numPr>
        <w:spacing w:line="360" w:lineRule="auto"/>
        <w:ind w:left="0" w:leftChars="0" w:firstLine="0" w:firstLineChars="0"/>
        <w:rPr>
          <w:rFonts w:hint="eastAsia" w:ascii="宋体" w:hAnsi="宋体"/>
          <w:b/>
          <w:sz w:val="32"/>
          <w:szCs w:val="32"/>
          <w:lang w:val="en-US" w:eastAsia="zh-CN"/>
        </w:rPr>
      </w:pPr>
      <w:r>
        <w:rPr>
          <w:rFonts w:hint="eastAsia" w:ascii="宋体" w:hAnsi="宋体"/>
          <w:b/>
          <w:sz w:val="32"/>
          <w:szCs w:val="32"/>
          <w:lang w:val="en-US" w:eastAsia="zh-CN"/>
        </w:rPr>
        <w:t>工程配件</w:t>
      </w:r>
    </w:p>
    <w:tbl>
      <w:tblPr>
        <w:tblStyle w:val="31"/>
        <w:tblW w:w="10686"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9"/>
        <w:gridCol w:w="506"/>
        <w:gridCol w:w="8713"/>
        <w:gridCol w:w="438"/>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数据线</w:t>
            </w:r>
          </w:p>
        </w:tc>
        <w:tc>
          <w:tcPr>
            <w:tcW w:w="8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品牌以太网线</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米</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C00000"/>
                <w:sz w:val="24"/>
                <w:szCs w:val="24"/>
                <w:u w:val="none"/>
              </w:rPr>
            </w:pPr>
            <w:r>
              <w:rPr>
                <w:rFonts w:hint="eastAsia" w:ascii="宋体" w:hAnsi="宋体" w:eastAsia="宋体" w:cs="宋体"/>
                <w:i w:val="0"/>
                <w:color w:val="C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水晶头</w:t>
            </w:r>
          </w:p>
        </w:tc>
        <w:tc>
          <w:tcPr>
            <w:tcW w:w="8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优质水晶头</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C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200V电源线</w:t>
            </w:r>
          </w:p>
        </w:tc>
        <w:tc>
          <w:tcPr>
            <w:tcW w:w="8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国标优质电源线</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米</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C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电源插座</w:t>
            </w:r>
          </w:p>
        </w:tc>
        <w:tc>
          <w:tcPr>
            <w:tcW w:w="8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“公牛”优质插座</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C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音频线</w:t>
            </w:r>
          </w:p>
        </w:tc>
        <w:tc>
          <w:tcPr>
            <w:tcW w:w="8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控制终端至乐器的连接</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条</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C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外置开关</w:t>
            </w:r>
          </w:p>
        </w:tc>
        <w:tc>
          <w:tcPr>
            <w:tcW w:w="8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专业开关</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副</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C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漏电保护器</w:t>
            </w:r>
          </w:p>
        </w:tc>
        <w:tc>
          <w:tcPr>
            <w:tcW w:w="8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漏电保护，保证师生使用及教学安全</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C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终端托架</w:t>
            </w:r>
          </w:p>
        </w:tc>
        <w:tc>
          <w:tcPr>
            <w:tcW w:w="8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学生琴终端托架</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C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线槽</w:t>
            </w:r>
          </w:p>
        </w:tc>
        <w:tc>
          <w:tcPr>
            <w:tcW w:w="8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专业铁线槽，每根1米。</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根</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C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其它辅料</w:t>
            </w:r>
          </w:p>
        </w:tc>
        <w:tc>
          <w:tcPr>
            <w:tcW w:w="8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安装用螺丝钉、涨塞、固定件、线路护套、绑扎带、绝缘胶布等</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间</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C00000"/>
                <w:sz w:val="24"/>
                <w:szCs w:val="24"/>
                <w:u w:val="none"/>
              </w:rPr>
            </w:pPr>
          </w:p>
        </w:tc>
      </w:tr>
    </w:tbl>
    <w:p>
      <w:pPr>
        <w:numPr>
          <w:ilvl w:val="0"/>
          <w:numId w:val="0"/>
        </w:numPr>
        <w:spacing w:line="360" w:lineRule="auto"/>
        <w:ind w:leftChars="0"/>
        <w:rPr>
          <w:rFonts w:hint="eastAsia" w:ascii="宋体" w:hAnsi="宋体"/>
          <w:b/>
          <w:color w:val="C00000"/>
          <w:sz w:val="32"/>
          <w:szCs w:val="32"/>
          <w:lang w:val="en-US" w:eastAsia="zh-CN"/>
        </w:rPr>
      </w:pPr>
    </w:p>
    <w:p>
      <w:pPr>
        <w:numPr>
          <w:ilvl w:val="0"/>
          <w:numId w:val="0"/>
        </w:numPr>
        <w:spacing w:line="360" w:lineRule="auto"/>
        <w:ind w:leftChars="0"/>
        <w:rPr>
          <w:rFonts w:hint="eastAsia" w:ascii="宋体" w:hAnsi="宋体"/>
          <w:b/>
          <w:color w:val="C00000"/>
          <w:sz w:val="32"/>
          <w:szCs w:val="32"/>
          <w:lang w:val="en-US" w:eastAsia="zh-CN"/>
        </w:rPr>
      </w:pPr>
    </w:p>
    <w:p>
      <w:pPr>
        <w:pStyle w:val="8"/>
        <w:rPr>
          <w:rFonts w:hint="eastAsia"/>
          <w:lang w:val="en-US" w:eastAsia="zh-CN"/>
        </w:rPr>
      </w:pPr>
    </w:p>
    <w:p>
      <w:pPr>
        <w:spacing w:line="360" w:lineRule="auto"/>
        <w:rPr>
          <w:rFonts w:hint="eastAsia" w:ascii="宋体" w:hAnsi="宋体"/>
          <w:b/>
          <w:sz w:val="32"/>
          <w:szCs w:val="32"/>
          <w:lang w:val="en-US" w:eastAsia="zh-CN"/>
        </w:rPr>
      </w:pPr>
      <w:r>
        <w:rPr>
          <w:rFonts w:hint="eastAsia" w:ascii="宋体" w:hAnsi="宋体"/>
          <w:b/>
          <w:sz w:val="32"/>
          <w:szCs w:val="32"/>
          <w:lang w:val="en-US" w:eastAsia="zh-CN"/>
        </w:rPr>
        <w:t>5舞蹈教室</w:t>
      </w:r>
    </w:p>
    <w:tbl>
      <w:tblPr>
        <w:tblStyle w:val="31"/>
        <w:tblW w:w="10686" w:type="dxa"/>
        <w:tblInd w:w="-770" w:type="dxa"/>
        <w:tblLayout w:type="fixed"/>
        <w:tblCellMar>
          <w:top w:w="15" w:type="dxa"/>
          <w:left w:w="108" w:type="dxa"/>
          <w:bottom w:w="15" w:type="dxa"/>
          <w:right w:w="108" w:type="dxa"/>
        </w:tblCellMar>
      </w:tblPr>
      <w:tblGrid>
        <w:gridCol w:w="472"/>
        <w:gridCol w:w="860"/>
        <w:gridCol w:w="8343"/>
        <w:gridCol w:w="438"/>
        <w:gridCol w:w="573"/>
      </w:tblGrid>
      <w:tr>
        <w:tblPrEx>
          <w:tblLayout w:type="fixed"/>
          <w:tblCellMar>
            <w:top w:w="15" w:type="dxa"/>
            <w:left w:w="108" w:type="dxa"/>
            <w:bottom w:w="15" w:type="dxa"/>
            <w:right w:w="108" w:type="dxa"/>
          </w:tblCellMar>
        </w:tblPrEx>
        <w:trPr>
          <w:trHeight w:val="385" w:hRule="atLeast"/>
        </w:trPr>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序号</w:t>
            </w:r>
          </w:p>
        </w:tc>
        <w:tc>
          <w:tcPr>
            <w:tcW w:w="8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产品</w:t>
            </w:r>
          </w:p>
        </w:tc>
        <w:tc>
          <w:tcPr>
            <w:tcW w:w="8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参数</w:t>
            </w:r>
          </w:p>
        </w:tc>
        <w:tc>
          <w:tcPr>
            <w:tcW w:w="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单位</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数量</w:t>
            </w:r>
          </w:p>
        </w:tc>
      </w:tr>
      <w:tr>
        <w:tblPrEx>
          <w:tblLayout w:type="fixed"/>
          <w:tblCellMar>
            <w:top w:w="15" w:type="dxa"/>
            <w:left w:w="108" w:type="dxa"/>
            <w:bottom w:w="15" w:type="dxa"/>
            <w:right w:w="108" w:type="dxa"/>
          </w:tblCellMar>
        </w:tblPrEx>
        <w:trPr>
          <w:trHeight w:val="3487" w:hRule="atLeast"/>
        </w:trPr>
        <w:tc>
          <w:tcPr>
            <w:tcW w:w="472"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6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钢琴</w:t>
            </w:r>
          </w:p>
        </w:tc>
        <w:tc>
          <w:tcPr>
            <w:tcW w:w="8343" w:type="dxa"/>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ascii="宋体" w:hAnsi="宋体" w:cs="宋体"/>
                <w:color w:val="000000"/>
                <w:kern w:val="0"/>
                <w:sz w:val="20"/>
              </w:rPr>
              <w:t>1.工作条件： 成品应放在室内保管。相对湿度为40％－70的条件下应能正常工作。</w:t>
            </w:r>
            <w:r>
              <w:rPr>
                <w:rFonts w:hint="eastAsia" w:ascii="宋体" w:hAnsi="宋体" w:cs="宋体"/>
                <w:color w:val="000000"/>
                <w:kern w:val="0"/>
                <w:sz w:val="20"/>
                <w:szCs w:val="20"/>
              </w:rPr>
              <w:br w:type="textWrapping"/>
            </w:r>
            <w:r>
              <w:rPr>
                <w:rFonts w:ascii="宋体" w:hAnsi="宋体" w:cs="宋体"/>
                <w:color w:val="000000"/>
                <w:kern w:val="0"/>
                <w:sz w:val="20"/>
              </w:rPr>
              <w:t>2.技术性能指标</w:t>
            </w:r>
            <w:r>
              <w:rPr>
                <w:rFonts w:hint="eastAsia" w:ascii="宋体" w:hAnsi="宋体" w:cs="宋体"/>
                <w:color w:val="000000"/>
                <w:kern w:val="0"/>
                <w:sz w:val="20"/>
                <w:szCs w:val="20"/>
              </w:rPr>
              <w:br w:type="textWrapping"/>
            </w:r>
            <w:r>
              <w:rPr>
                <w:rFonts w:ascii="宋体" w:hAnsi="宋体" w:cs="宋体"/>
                <w:color w:val="000000"/>
                <w:kern w:val="0"/>
                <w:sz w:val="20"/>
              </w:rPr>
              <w:t>尺寸和重量。高度:：1200mm，长度：1506mm，宽度：596mm，</w:t>
            </w:r>
            <w:r>
              <w:rPr>
                <w:rFonts w:hint="eastAsia" w:ascii="宋体" w:hAnsi="宋体" w:cs="宋体"/>
                <w:color w:val="000000"/>
                <w:kern w:val="0"/>
                <w:sz w:val="20"/>
                <w:szCs w:val="20"/>
              </w:rPr>
              <w:br w:type="textWrapping"/>
            </w:r>
            <w:r>
              <w:rPr>
                <w:rFonts w:ascii="宋体" w:hAnsi="宋体" w:cs="宋体"/>
                <w:color w:val="000000"/>
                <w:kern w:val="0"/>
                <w:sz w:val="20"/>
              </w:rPr>
              <w:t>琴弦：采用进口原装</w:t>
            </w:r>
            <w:r>
              <w:rPr>
                <w:rFonts w:hint="eastAsia" w:ascii="宋体" w:hAnsi="宋体" w:cs="宋体"/>
                <w:color w:val="000000"/>
                <w:kern w:val="0"/>
                <w:sz w:val="20"/>
                <w:lang w:val="en-US" w:eastAsia="zh-CN"/>
              </w:rPr>
              <w:t xml:space="preserve"> </w:t>
            </w:r>
            <w:r>
              <w:rPr>
                <w:rFonts w:ascii="宋体" w:hAnsi="宋体" w:cs="宋体"/>
                <w:color w:val="000000"/>
                <w:kern w:val="0"/>
                <w:sz w:val="20"/>
              </w:rPr>
              <w:t>琴钢丝，1#低音弦长度：1143mm</w:t>
            </w:r>
            <w:r>
              <w:rPr>
                <w:rFonts w:hint="eastAsia" w:ascii="宋体" w:hAnsi="宋体" w:cs="宋体"/>
                <w:color w:val="000000"/>
                <w:kern w:val="0"/>
                <w:sz w:val="20"/>
                <w:szCs w:val="20"/>
              </w:rPr>
              <w:br w:type="textWrapping"/>
            </w:r>
            <w:r>
              <w:rPr>
                <w:rFonts w:ascii="宋体" w:hAnsi="宋体" w:cs="宋体"/>
                <w:color w:val="000000"/>
                <w:kern w:val="0"/>
                <w:sz w:val="20"/>
              </w:rPr>
              <w:t>弦槌：采用</w:t>
            </w:r>
            <w:r>
              <w:rPr>
                <w:rFonts w:hint="eastAsia" w:ascii="宋体" w:hAnsi="宋体" w:cs="宋体"/>
                <w:color w:val="000000"/>
                <w:kern w:val="0"/>
                <w:sz w:val="20"/>
                <w:lang w:val="en-US" w:eastAsia="zh-CN"/>
              </w:rPr>
              <w:t xml:space="preserve"> </w:t>
            </w:r>
            <w:r>
              <w:rPr>
                <w:rFonts w:ascii="宋体" w:hAnsi="宋体" w:cs="宋体"/>
                <w:color w:val="000000"/>
                <w:kern w:val="0"/>
                <w:sz w:val="20"/>
              </w:rPr>
              <w:t>进口呢毡，重量：约6－10克。</w:t>
            </w:r>
            <w:r>
              <w:rPr>
                <w:rFonts w:hint="eastAsia" w:ascii="宋体" w:hAnsi="宋体" w:cs="宋体"/>
                <w:color w:val="000000"/>
                <w:kern w:val="0"/>
                <w:sz w:val="20"/>
                <w:szCs w:val="20"/>
              </w:rPr>
              <w:br w:type="textWrapping"/>
            </w:r>
            <w:r>
              <w:rPr>
                <w:rFonts w:ascii="宋体" w:hAnsi="宋体" w:cs="宋体"/>
                <w:color w:val="000000"/>
                <w:kern w:val="0"/>
                <w:sz w:val="20"/>
              </w:rPr>
              <w:t>音板：采用复合音板，上下两层白松实木木皮加强音板的抗拉张力，使音板在任何环      境下都能保持稳定状态，不会变形和开裂。为了保证音源系统的稳定性和良好的共振性，采用了世界上最先进的五轴联动设备加工音板框，音板尺寸：1435×888mm</w:t>
            </w:r>
            <w:r>
              <w:rPr>
                <w:rFonts w:hint="eastAsia" w:ascii="宋体" w:hAnsi="宋体" w:cs="宋体"/>
                <w:color w:val="000000"/>
                <w:kern w:val="0"/>
                <w:sz w:val="20"/>
                <w:szCs w:val="20"/>
              </w:rPr>
              <w:br w:type="textWrapping"/>
            </w:r>
            <w:r>
              <w:rPr>
                <w:rFonts w:ascii="宋体" w:hAnsi="宋体" w:cs="宋体"/>
                <w:color w:val="000000"/>
                <w:kern w:val="0"/>
                <w:sz w:val="20"/>
              </w:rPr>
              <w:t>材料：弦轴板：：采用钢琴专用色木多层板，使音的稳定性和持久性更有保证。</w:t>
            </w:r>
            <w:r>
              <w:rPr>
                <w:rFonts w:hint="eastAsia" w:ascii="宋体" w:hAnsi="宋体" w:cs="宋体"/>
                <w:color w:val="000000"/>
                <w:kern w:val="0"/>
                <w:sz w:val="20"/>
                <w:szCs w:val="20"/>
              </w:rPr>
              <w:br w:type="textWrapping"/>
            </w:r>
            <w:r>
              <w:rPr>
                <w:rFonts w:ascii="宋体" w:hAnsi="宋体" w:cs="宋体"/>
                <w:color w:val="000000"/>
                <w:kern w:val="0"/>
                <w:sz w:val="20"/>
              </w:rPr>
              <w:t xml:space="preserve">弦码：采用钢琴专用色木多层板，上面贴色木实板，硬度高、不开裂、音波阻抗小，具有良好的导音性能。 </w:t>
            </w:r>
            <w:r>
              <w:rPr>
                <w:rFonts w:hint="eastAsia" w:ascii="宋体" w:hAnsi="宋体" w:cs="宋体"/>
                <w:color w:val="000000"/>
                <w:kern w:val="0"/>
                <w:sz w:val="20"/>
                <w:szCs w:val="20"/>
              </w:rPr>
              <w:br w:type="textWrapping"/>
            </w:r>
            <w:r>
              <w:rPr>
                <w:rFonts w:ascii="宋体" w:hAnsi="宋体" w:cs="宋体"/>
                <w:color w:val="000000"/>
                <w:kern w:val="0"/>
                <w:sz w:val="20"/>
              </w:rPr>
              <w:t>弦轴：45＃钢（调质处理），中踏瓣：专用钢丝拉线，活动杆：特种金属</w:t>
            </w:r>
            <w:r>
              <w:rPr>
                <w:rFonts w:hint="eastAsia" w:ascii="宋体" w:hAnsi="宋体" w:cs="宋体"/>
                <w:color w:val="000000"/>
                <w:kern w:val="0"/>
                <w:sz w:val="20"/>
                <w:szCs w:val="20"/>
              </w:rPr>
              <w:br w:type="textWrapping"/>
            </w:r>
            <w:r>
              <w:rPr>
                <w:rFonts w:ascii="宋体" w:hAnsi="宋体" w:cs="宋体"/>
                <w:color w:val="000000"/>
                <w:kern w:val="0"/>
                <w:sz w:val="20"/>
              </w:rPr>
              <w:t>干燥处理：木制件经过两年以上的自然风干，再根据不同的部件采用不同的烘干方式释放木材的内应力，呢毡经过防潮、防蛀、防霉处理。</w:t>
            </w:r>
            <w:r>
              <w:rPr>
                <w:rFonts w:hint="eastAsia" w:ascii="宋体" w:hAnsi="宋体" w:cs="宋体"/>
                <w:color w:val="000000"/>
                <w:kern w:val="0"/>
                <w:sz w:val="20"/>
                <w:szCs w:val="20"/>
              </w:rPr>
              <w:br w:type="textWrapping"/>
            </w:r>
            <w:r>
              <w:rPr>
                <w:rFonts w:ascii="宋体" w:hAnsi="宋体" w:cs="宋体"/>
                <w:color w:val="000000"/>
                <w:kern w:val="0"/>
                <w:sz w:val="20"/>
              </w:rPr>
              <w:t xml:space="preserve"> 键盘盖：不带缓降装置。， 键盘： 88键，采用优质红松，踏板：全功能三瓣式。</w:t>
            </w:r>
            <w:r>
              <w:rPr>
                <w:rFonts w:hint="eastAsia" w:ascii="宋体" w:hAnsi="宋体" w:cs="宋体"/>
                <w:color w:val="000000"/>
                <w:kern w:val="0"/>
                <w:sz w:val="20"/>
                <w:szCs w:val="20"/>
              </w:rPr>
              <w:br w:type="textWrapping"/>
            </w:r>
            <w:r>
              <w:rPr>
                <w:rFonts w:ascii="宋体" w:hAnsi="宋体" w:cs="宋体"/>
                <w:color w:val="000000"/>
                <w:kern w:val="0"/>
                <w:sz w:val="20"/>
              </w:rPr>
              <w:t xml:space="preserve">外观涂装：：底层为高密度聚脂板，再涂饰底漆及高硬度防裂亮光面漆 </w:t>
            </w:r>
          </w:p>
        </w:tc>
        <w:tc>
          <w:tcPr>
            <w:tcW w:w="438" w:type="dxa"/>
            <w:tcBorders>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架</w:t>
            </w:r>
          </w:p>
        </w:tc>
        <w:tc>
          <w:tcPr>
            <w:tcW w:w="573" w:type="dxa"/>
            <w:tcBorders>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15" w:type="dxa"/>
            <w:left w:w="108" w:type="dxa"/>
            <w:bottom w:w="15" w:type="dxa"/>
            <w:right w:w="108" w:type="dxa"/>
          </w:tblCellMar>
        </w:tblPrEx>
        <w:trPr>
          <w:trHeight w:val="457" w:hRule="atLeast"/>
        </w:trPr>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把杆</w:t>
            </w:r>
          </w:p>
        </w:tc>
        <w:tc>
          <w:tcPr>
            <w:tcW w:w="834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移动式.长4m，把杆直径54mm 高度可调，高度80-120cm</w:t>
            </w:r>
          </w:p>
        </w:tc>
        <w:tc>
          <w:tcPr>
            <w:tcW w:w="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r>
      <w:tr>
        <w:tblPrEx>
          <w:tblLayout w:type="fixed"/>
          <w:tblCellMar>
            <w:top w:w="15" w:type="dxa"/>
            <w:left w:w="108" w:type="dxa"/>
            <w:bottom w:w="15" w:type="dxa"/>
            <w:right w:w="108" w:type="dxa"/>
          </w:tblCellMar>
        </w:tblPrEx>
        <w:trPr>
          <w:trHeight w:val="362" w:hRule="atLeast"/>
        </w:trPr>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落地镜</w:t>
            </w:r>
          </w:p>
        </w:tc>
        <w:tc>
          <w:tcPr>
            <w:tcW w:w="8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1.性质：舞蹈房专用平面镜，无缝安装，包括地角线和边框。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2.面积：总50m²，单块规格约2.44*1.80m3.厚度：5mm</w:t>
            </w:r>
          </w:p>
        </w:tc>
        <w:tc>
          <w:tcPr>
            <w:tcW w:w="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r>
      <w:tr>
        <w:tblPrEx>
          <w:tblLayout w:type="fixed"/>
          <w:tblCellMar>
            <w:top w:w="15" w:type="dxa"/>
            <w:left w:w="108" w:type="dxa"/>
            <w:bottom w:w="15" w:type="dxa"/>
            <w:right w:w="108" w:type="dxa"/>
          </w:tblCellMar>
        </w:tblPrEx>
        <w:trPr>
          <w:trHeight w:val="631" w:hRule="atLeast"/>
        </w:trPr>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橡胶地垫</w:t>
            </w:r>
          </w:p>
        </w:tc>
        <w:tc>
          <w:tcPr>
            <w:tcW w:w="8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1.产品名称：深蓝色舞蹈专用垫2.材质：软质聚氯乙烯PVC地垫</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3.厚度：5mm  4.面积：50m²  说明：表面光滑，符合GB/T11982标准。</w:t>
            </w:r>
          </w:p>
        </w:tc>
        <w:tc>
          <w:tcPr>
            <w:tcW w:w="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r>
      <w:tr>
        <w:tblPrEx>
          <w:tblLayout w:type="fixed"/>
          <w:tblCellMar>
            <w:top w:w="15" w:type="dxa"/>
            <w:left w:w="108" w:type="dxa"/>
            <w:bottom w:w="15" w:type="dxa"/>
            <w:right w:w="108" w:type="dxa"/>
          </w:tblCellMar>
        </w:tblPrEx>
        <w:trPr>
          <w:trHeight w:val="1022" w:hRule="atLeast"/>
        </w:trPr>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六面体凳</w:t>
            </w:r>
          </w:p>
        </w:tc>
        <w:tc>
          <w:tcPr>
            <w:tcW w:w="834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26.5CM*31CM*41cm    红、黄、蓝、绿...采用9mm纳米细密板六面体结构，采用模具成型软塑料边条经机械封饰，配有龄合型软防滑八角，既可以用于学生坐箱又可以利用龄合角组合成合唱阶梯、舞台等等，具有重量轻，坚固耐用。</w:t>
            </w:r>
          </w:p>
        </w:tc>
        <w:tc>
          <w:tcPr>
            <w:tcW w:w="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r>
      <w:tr>
        <w:tblPrEx>
          <w:tblLayout w:type="fixed"/>
          <w:tblCellMar>
            <w:top w:w="15" w:type="dxa"/>
            <w:left w:w="108" w:type="dxa"/>
            <w:bottom w:w="15" w:type="dxa"/>
            <w:right w:w="108" w:type="dxa"/>
          </w:tblCellMar>
        </w:tblPrEx>
        <w:trPr>
          <w:trHeight w:val="1419" w:hRule="atLeast"/>
        </w:trPr>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磁性黑板</w:t>
            </w:r>
          </w:p>
        </w:tc>
        <w:tc>
          <w:tcPr>
            <w:tcW w:w="83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100*200cm.1.中小学美术教学用金属白（绿）板；2.金属白（绿）板分为白、绿两种颜色；3.金属白（绿）板面板用铝合金板制造；.背板用镀锌冷板制造， 边框包角用铝合金材料（或塑料）制造；5.金属白（绿）板结合部位应牢固，临边无毛剌、飞边、断裂等缺陷；6.金属白（绿）板的板面应平整，漆层清洁，厚薄均匀，附着力强，不应有流痕、针孔、气泡等缺陷。</w:t>
            </w:r>
          </w:p>
        </w:tc>
        <w:tc>
          <w:tcPr>
            <w:tcW w:w="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15" w:type="dxa"/>
            <w:left w:w="108" w:type="dxa"/>
            <w:bottom w:w="15" w:type="dxa"/>
            <w:right w:w="108" w:type="dxa"/>
          </w:tblCellMar>
        </w:tblPrEx>
        <w:trPr>
          <w:trHeight w:val="1128" w:hRule="atLeast"/>
        </w:trPr>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8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音箱系统</w:t>
            </w:r>
          </w:p>
        </w:tc>
        <w:tc>
          <w:tcPr>
            <w:tcW w:w="834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功放：CLASS-D数字功率放大器，话筒输入：2路，话筒输入口具有幻象电源：+48V功能，</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线路输入和输出：各2组，中控接口：RS232接口，具有USB音源播放功能，</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额定功率：≧2×50W/8Ω（RMS），失真度：≤0.5%，线路频率响应：20Hz-20KHz  -3dB,+1dB，</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线路输出：0dB±1dB， ，                                                                                                                             话筒灵敏度：15mv±2mv，电源适应范围：AC175V—260V/50HZ，</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音箱采用两分频设计；重放效果平衡，细腻柔和、人声饱满。</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音箱配有吊挂系统，既可以壁挂，也可选用三脚架支撑方式使用。</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额定功率：50 W   额定阻抗：8Ω，特性灵敏度：92dB/W/m 输出声压级：110dB/W/m(Continues)116dB/W/m(Peak) ，额定频率范围:48~ 20KHz，</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覆盖角度H×V：90º×60º ，扬声器单元：LF:8英寸  HF:1英寸（丝膜高音），</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采用独特导频技术，可满足多套同时使用；频率控制：石英锁定，</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接收频率范围：VHF频段90MHz-270MHz，最佳有效使用距离：50m，</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S/N信噪比：＞100dB，T.H.D总谐波失真：&lt;0.5%，频响范围：80Hz-16KHz，</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灵敏度：输入10-15dBuv时,S/N:＞70dB，谐波干扰比：＞80dB，发射器：具备，</w:t>
            </w:r>
          </w:p>
        </w:tc>
        <w:tc>
          <w:tcPr>
            <w:tcW w:w="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15" w:type="dxa"/>
            <w:left w:w="108" w:type="dxa"/>
            <w:bottom w:w="15" w:type="dxa"/>
            <w:right w:w="108" w:type="dxa"/>
          </w:tblCellMar>
        </w:tblPrEx>
        <w:trPr>
          <w:trHeight w:val="565" w:hRule="atLeast"/>
        </w:trPr>
        <w:tc>
          <w:tcPr>
            <w:tcW w:w="4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舞蹈压腿专用砖</w:t>
            </w:r>
          </w:p>
        </w:tc>
        <w:tc>
          <w:tcPr>
            <w:tcW w:w="83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高密度eva，23cm*15cm*7.5cm</w:t>
            </w:r>
          </w:p>
        </w:tc>
        <w:tc>
          <w:tcPr>
            <w:tcW w:w="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w:t>
            </w:r>
          </w:p>
        </w:tc>
      </w:tr>
      <w:tr>
        <w:tblPrEx>
          <w:tblLayout w:type="fixed"/>
          <w:tblCellMar>
            <w:top w:w="15" w:type="dxa"/>
            <w:left w:w="108" w:type="dxa"/>
            <w:bottom w:w="15" w:type="dxa"/>
            <w:right w:w="108" w:type="dxa"/>
          </w:tblCellMar>
        </w:tblPrEx>
        <w:trPr>
          <w:trHeight w:val="565" w:hRule="atLeast"/>
        </w:trPr>
        <w:tc>
          <w:tcPr>
            <w:tcW w:w="472" w:type="dxa"/>
            <w:tcBorders>
              <w:top w:val="single" w:color="000000" w:sz="4" w:space="0"/>
              <w:left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860" w:type="dxa"/>
            <w:tcBorders>
              <w:top w:val="single" w:color="000000" w:sz="4" w:space="0"/>
              <w:left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舞蹈专用垫</w:t>
            </w:r>
          </w:p>
        </w:tc>
        <w:tc>
          <w:tcPr>
            <w:tcW w:w="8343" w:type="dxa"/>
            <w:tcBorders>
              <w:top w:val="single" w:color="000000" w:sz="4" w:space="0"/>
              <w:left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150*60，厚10mm</w:t>
            </w:r>
          </w:p>
        </w:tc>
        <w:tc>
          <w:tcPr>
            <w:tcW w:w="438" w:type="dxa"/>
            <w:tcBorders>
              <w:top w:val="single" w:color="000000" w:sz="4" w:space="0"/>
              <w:left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73" w:type="dxa"/>
            <w:tcBorders>
              <w:top w:val="single" w:color="000000" w:sz="4" w:space="0"/>
              <w:left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r>
      <w:tr>
        <w:tblPrEx>
          <w:tblLayout w:type="fixed"/>
          <w:tblCellMar>
            <w:top w:w="15" w:type="dxa"/>
            <w:left w:w="108" w:type="dxa"/>
            <w:bottom w:w="15" w:type="dxa"/>
            <w:right w:w="108" w:type="dxa"/>
          </w:tblCellMar>
        </w:tblPrEx>
        <w:trPr>
          <w:trHeight w:val="745" w:hRule="atLeast"/>
        </w:trPr>
        <w:tc>
          <w:tcPr>
            <w:tcW w:w="472" w:type="dxa"/>
            <w:tcBorders>
              <w:top w:val="single" w:color="000000" w:sz="4" w:space="0"/>
              <w:left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60" w:type="dxa"/>
            <w:tcBorders>
              <w:top w:val="single" w:color="000000" w:sz="4" w:space="0"/>
              <w:left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成人移动式升降式压腿把杆</w:t>
            </w:r>
          </w:p>
        </w:tc>
        <w:tc>
          <w:tcPr>
            <w:tcW w:w="8343" w:type="dxa"/>
            <w:tcBorders>
              <w:top w:val="single" w:color="000000" w:sz="4" w:space="0"/>
              <w:left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尺寸：4m</w:t>
            </w:r>
          </w:p>
        </w:tc>
        <w:tc>
          <w:tcPr>
            <w:tcW w:w="438" w:type="dxa"/>
            <w:tcBorders>
              <w:top w:val="single" w:color="000000" w:sz="4" w:space="0"/>
              <w:left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73" w:type="dxa"/>
            <w:tcBorders>
              <w:top w:val="single" w:color="000000" w:sz="4" w:space="0"/>
              <w:left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15" w:type="dxa"/>
            <w:left w:w="108" w:type="dxa"/>
            <w:bottom w:w="15" w:type="dxa"/>
            <w:right w:w="108" w:type="dxa"/>
          </w:tblCellMar>
        </w:tblPrEx>
        <w:trPr>
          <w:trHeight w:val="733" w:hRule="atLeast"/>
        </w:trPr>
        <w:tc>
          <w:tcPr>
            <w:tcW w:w="472" w:type="dxa"/>
            <w:tcBorders>
              <w:top w:val="single" w:color="000000" w:sz="4" w:space="0"/>
              <w:left w:val="single" w:color="000000" w:sz="4" w:space="0"/>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860" w:type="dxa"/>
            <w:tcBorders>
              <w:top w:val="single" w:color="000000" w:sz="4" w:space="0"/>
              <w:left w:val="single" w:color="000000" w:sz="4" w:space="0"/>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成人移动式升降式压腿把杆</w:t>
            </w:r>
          </w:p>
        </w:tc>
        <w:tc>
          <w:tcPr>
            <w:tcW w:w="8343" w:type="dxa"/>
            <w:tcBorders>
              <w:top w:val="single" w:color="000000" w:sz="4" w:space="0"/>
              <w:left w:val="single" w:color="000000" w:sz="4" w:space="0"/>
              <w:bottom w:val="single" w:color="auto" w:sz="4" w:space="0"/>
              <w:right w:val="single" w:color="000000" w:sz="4" w:space="0"/>
            </w:tcBorders>
            <w:shd w:val="clear" w:color="FFFFFF"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尺寸：3m</w:t>
            </w:r>
          </w:p>
        </w:tc>
        <w:tc>
          <w:tcPr>
            <w:tcW w:w="438" w:type="dxa"/>
            <w:tcBorders>
              <w:top w:val="single" w:color="000000" w:sz="4" w:space="0"/>
              <w:left w:val="single" w:color="000000" w:sz="4" w:space="0"/>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573" w:type="dxa"/>
            <w:tcBorders>
              <w:top w:val="single" w:color="000000" w:sz="4" w:space="0"/>
              <w:left w:val="single" w:color="000000" w:sz="4" w:space="0"/>
              <w:bottom w:val="single" w:color="auto" w:sz="4" w:space="0"/>
              <w:right w:val="single" w:color="000000"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bl>
    <w:p>
      <w:pPr>
        <w:spacing w:line="360" w:lineRule="auto"/>
        <w:rPr>
          <w:rFonts w:ascii="宋体" w:hAnsi="宋体"/>
          <w:b/>
          <w:sz w:val="32"/>
          <w:szCs w:val="32"/>
        </w:rPr>
      </w:pPr>
      <w:r>
        <w:rPr>
          <w:rFonts w:hint="eastAsia" w:ascii="宋体" w:hAnsi="宋体"/>
          <w:b/>
          <w:sz w:val="32"/>
          <w:szCs w:val="32"/>
        </w:rPr>
        <w:t>三、其它要求</w:t>
      </w:r>
    </w:p>
    <w:p>
      <w:pPr>
        <w:spacing w:line="360" w:lineRule="auto"/>
        <w:ind w:firstLine="480" w:firstLineChars="200"/>
        <w:rPr>
          <w:rFonts w:ascii="宋体" w:hAnsi="宋体"/>
          <w:sz w:val="24"/>
        </w:rPr>
      </w:pPr>
      <w:r>
        <w:rPr>
          <w:rFonts w:hint="eastAsia" w:ascii="宋体" w:hAnsi="宋体"/>
          <w:sz w:val="24"/>
        </w:rPr>
        <w:t>1、</w:t>
      </w:r>
      <w:r>
        <w:rPr>
          <w:sz w:val="24"/>
        </w:rPr>
        <w:t>本项目采购预算价为¥</w:t>
      </w:r>
      <w:r>
        <w:rPr>
          <w:rFonts w:hint="eastAsia"/>
          <w:sz w:val="24"/>
          <w:lang w:val="en-US" w:eastAsia="zh-CN"/>
        </w:rPr>
        <w:t>200.00</w:t>
      </w:r>
      <w:r>
        <w:rPr>
          <w:sz w:val="24"/>
        </w:rPr>
        <w:t>万元。</w:t>
      </w:r>
    </w:p>
    <w:p>
      <w:pPr>
        <w:spacing w:line="360" w:lineRule="auto"/>
        <w:ind w:firstLine="480" w:firstLineChars="200"/>
        <w:rPr>
          <w:rFonts w:ascii="宋体" w:hAnsi="宋体"/>
          <w:sz w:val="24"/>
        </w:rPr>
      </w:pPr>
      <w:r>
        <w:rPr>
          <w:rFonts w:hint="eastAsia" w:ascii="宋体" w:hAnsi="宋体"/>
          <w:sz w:val="24"/>
        </w:rPr>
        <w:t>2、交货期：合同签订之日起30天内。</w:t>
      </w:r>
    </w:p>
    <w:p>
      <w:pPr>
        <w:spacing w:line="360" w:lineRule="auto"/>
        <w:ind w:firstLine="480" w:firstLineChars="200"/>
        <w:rPr>
          <w:rFonts w:ascii="宋体" w:hAnsi="宋体"/>
          <w:sz w:val="24"/>
        </w:rPr>
      </w:pPr>
      <w:r>
        <w:rPr>
          <w:rFonts w:hint="eastAsia" w:ascii="宋体" w:hAnsi="宋体"/>
          <w:sz w:val="24"/>
        </w:rPr>
        <w:t>3、投标人报价时需包括运输、安装等一切费用。提供不少于半年的免费维护，按原厂商标准提供维护。</w:t>
      </w:r>
    </w:p>
    <w:p>
      <w:pPr>
        <w:spacing w:line="360" w:lineRule="auto"/>
        <w:ind w:firstLine="480" w:firstLineChars="200"/>
        <w:rPr>
          <w:rFonts w:ascii="宋体" w:hAnsi="宋体" w:cs="Tahoma"/>
          <w:sz w:val="24"/>
        </w:rPr>
      </w:pPr>
      <w:r>
        <w:rPr>
          <w:rFonts w:hint="eastAsia" w:ascii="宋体" w:hAnsi="宋体"/>
          <w:sz w:val="24"/>
        </w:rPr>
        <w:t>4、</w:t>
      </w:r>
      <w:r>
        <w:rPr>
          <w:rFonts w:hint="eastAsia" w:ascii="宋体" w:hAnsi="宋体" w:cs="Tahoma"/>
          <w:sz w:val="24"/>
        </w:rPr>
        <w:t>投标人必须根据所投产品的技术参数、资质资料编写投标文件。在中标结果公示期间，采购人有权对中标候选人所投货物的技术指标、资质证书资料等进行核查，如发现与其投标文件中的描述不一，采购人有权取消其中标资格，并报政府采购主管部门严肃处理。</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p>
    <w:p>
      <w:pPr>
        <w:spacing w:line="440" w:lineRule="exact"/>
        <w:rPr>
          <w:sz w:val="24"/>
        </w:rPr>
      </w:pPr>
    </w:p>
    <w:p>
      <w:pPr>
        <w:pStyle w:val="4"/>
        <w:jc w:val="center"/>
        <w:rPr>
          <w:rFonts w:ascii="Times New Roman" w:hAnsi="Times New Roman" w:cs="Times New Roman"/>
          <w:b/>
          <w:sz w:val="44"/>
          <w:szCs w:val="44"/>
        </w:rPr>
      </w:pPr>
      <w:bookmarkStart w:id="58" w:name="_Toc6757"/>
      <w:r>
        <w:rPr>
          <w:rFonts w:ascii="Times New Roman" w:hAnsi="Times New Roman" w:cs="Times New Roman"/>
          <w:b/>
          <w:sz w:val="44"/>
          <w:szCs w:val="44"/>
        </w:rPr>
        <w:t>第四部分合同条款及格式</w:t>
      </w:r>
      <w:bookmarkEnd w:id="58"/>
    </w:p>
    <w:p>
      <w:pPr>
        <w:spacing w:before="100" w:beforeAutospacing="1" w:after="100" w:afterAutospacing="1" w:line="360" w:lineRule="auto"/>
        <w:jc w:val="center"/>
        <w:rPr>
          <w:b/>
          <w:color w:val="000000"/>
          <w:sz w:val="36"/>
          <w:szCs w:val="36"/>
        </w:rPr>
      </w:pPr>
      <w:r>
        <w:rPr>
          <w:b/>
          <w:color w:val="000000"/>
          <w:sz w:val="36"/>
          <w:szCs w:val="36"/>
        </w:rPr>
        <w:t>合同通用条款部分</w:t>
      </w:r>
    </w:p>
    <w:p>
      <w:pPr>
        <w:jc w:val="center"/>
        <w:rPr>
          <w:b/>
          <w:color w:val="000000"/>
          <w:sz w:val="36"/>
          <w:szCs w:val="36"/>
        </w:rPr>
      </w:pPr>
      <w:r>
        <w:rPr>
          <w:b/>
          <w:color w:val="000000"/>
          <w:sz w:val="36"/>
          <w:szCs w:val="36"/>
        </w:rPr>
        <w:t>（略）</w:t>
      </w:r>
    </w:p>
    <w:p>
      <w:pPr>
        <w:jc w:val="center"/>
        <w:rPr>
          <w:b/>
          <w:color w:val="000000"/>
          <w:sz w:val="36"/>
          <w:szCs w:val="36"/>
        </w:rPr>
      </w:pPr>
      <w:r>
        <w:rPr>
          <w:b/>
          <w:color w:val="000000"/>
          <w:sz w:val="36"/>
          <w:szCs w:val="36"/>
        </w:rPr>
        <w:t>合同专用条款部分</w:t>
      </w:r>
    </w:p>
    <w:p>
      <w:pPr>
        <w:snapToGrid w:val="0"/>
        <w:spacing w:before="19" w:line="500" w:lineRule="exact"/>
        <w:rPr>
          <w:b/>
          <w:color w:val="000000"/>
          <w:sz w:val="24"/>
          <w:u w:val="single"/>
        </w:rPr>
      </w:pPr>
      <w:r>
        <w:rPr>
          <w:color w:val="000000"/>
          <w:sz w:val="24"/>
        </w:rPr>
        <w:t>甲方:</w:t>
      </w:r>
    </w:p>
    <w:p>
      <w:pPr>
        <w:snapToGrid w:val="0"/>
        <w:spacing w:before="19" w:line="500" w:lineRule="exact"/>
        <w:rPr>
          <w:color w:val="000000"/>
          <w:sz w:val="24"/>
          <w:u w:val="single"/>
        </w:rPr>
      </w:pPr>
      <w:r>
        <w:rPr>
          <w:color w:val="000000"/>
          <w:sz w:val="24"/>
        </w:rPr>
        <w:t>乙方:</w:t>
      </w:r>
    </w:p>
    <w:p>
      <w:pPr>
        <w:snapToGrid w:val="0"/>
        <w:spacing w:line="360" w:lineRule="auto"/>
        <w:ind w:firstLine="480" w:firstLineChars="200"/>
        <w:rPr>
          <w:b/>
          <w:color w:val="000000"/>
          <w:sz w:val="36"/>
          <w:szCs w:val="36"/>
        </w:rPr>
      </w:pPr>
      <w:r>
        <w:rPr>
          <w:color w:val="000000"/>
          <w:sz w:val="24"/>
        </w:rPr>
        <w:t>甲乙双方根据  年  月  日（项目编号:       ）公开招标结果《中标通知书》及招标文件的要求,经协商一致,同意以下专用条款作为本项目合同条款的补充。当合同条款与专用条款不一致时，以专用条款为准。</w:t>
      </w:r>
    </w:p>
    <w:p>
      <w:pPr>
        <w:snapToGrid w:val="0"/>
        <w:spacing w:line="360" w:lineRule="auto"/>
        <w:rPr>
          <w:b/>
          <w:color w:val="000000"/>
          <w:sz w:val="24"/>
        </w:rPr>
      </w:pPr>
      <w:r>
        <w:rPr>
          <w:b/>
          <w:color w:val="000000"/>
          <w:sz w:val="24"/>
        </w:rPr>
        <w:t>一、合同标的及金额等</w:t>
      </w:r>
    </w:p>
    <w:tbl>
      <w:tblPr>
        <w:tblStyle w:val="31"/>
        <w:tblW w:w="8642" w:type="dxa"/>
        <w:jc w:val="center"/>
        <w:tblInd w:w="-150" w:type="dxa"/>
        <w:tblLayout w:type="fixed"/>
        <w:tblCellMar>
          <w:top w:w="0" w:type="dxa"/>
          <w:left w:w="30" w:type="dxa"/>
          <w:bottom w:w="0" w:type="dxa"/>
          <w:right w:w="30" w:type="dxa"/>
        </w:tblCellMar>
      </w:tblPr>
      <w:tblGrid>
        <w:gridCol w:w="720"/>
        <w:gridCol w:w="2058"/>
        <w:gridCol w:w="1722"/>
        <w:gridCol w:w="902"/>
        <w:gridCol w:w="720"/>
        <w:gridCol w:w="1260"/>
        <w:gridCol w:w="1260"/>
      </w:tblGrid>
      <w:tr>
        <w:tblPrEx>
          <w:tblLayout w:type="fixed"/>
          <w:tblCellMar>
            <w:top w:w="0" w:type="dxa"/>
            <w:left w:w="30" w:type="dxa"/>
            <w:bottom w:w="0" w:type="dxa"/>
            <w:right w:w="30" w:type="dxa"/>
          </w:tblCellMar>
        </w:tblPrEx>
        <w:trPr>
          <w:trHeight w:val="593"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b/>
                <w:color w:val="000000"/>
                <w:sz w:val="24"/>
                <w:szCs w:val="21"/>
              </w:rPr>
            </w:pPr>
            <w:r>
              <w:rPr>
                <w:b/>
                <w:color w:val="000000"/>
                <w:sz w:val="24"/>
                <w:szCs w:val="21"/>
              </w:rPr>
              <w:t>序号</w:t>
            </w:r>
          </w:p>
        </w:tc>
        <w:tc>
          <w:tcPr>
            <w:tcW w:w="205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b/>
                <w:color w:val="000000"/>
                <w:sz w:val="24"/>
                <w:szCs w:val="21"/>
              </w:rPr>
            </w:pPr>
            <w:r>
              <w:rPr>
                <w:rFonts w:hint="eastAsia"/>
                <w:b/>
                <w:color w:val="000000"/>
                <w:sz w:val="24"/>
                <w:szCs w:val="21"/>
              </w:rPr>
              <w:t>名称</w:t>
            </w:r>
          </w:p>
        </w:tc>
        <w:tc>
          <w:tcPr>
            <w:tcW w:w="17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b/>
                <w:color w:val="000000"/>
                <w:sz w:val="24"/>
                <w:szCs w:val="21"/>
              </w:rPr>
            </w:pPr>
            <w:r>
              <w:rPr>
                <w:rFonts w:hint="eastAsia"/>
                <w:b/>
                <w:color w:val="000000"/>
                <w:sz w:val="24"/>
                <w:szCs w:val="21"/>
              </w:rPr>
              <w:t>规格</w:t>
            </w:r>
          </w:p>
        </w:tc>
        <w:tc>
          <w:tcPr>
            <w:tcW w:w="90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b/>
                <w:color w:val="000000"/>
                <w:sz w:val="24"/>
                <w:szCs w:val="21"/>
              </w:rPr>
            </w:pPr>
            <w:r>
              <w:rPr>
                <w:b/>
                <w:color w:val="000000"/>
                <w:sz w:val="24"/>
                <w:szCs w:val="21"/>
              </w:rPr>
              <w:t>单价</w:t>
            </w:r>
          </w:p>
        </w:tc>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b/>
                <w:color w:val="000000"/>
                <w:sz w:val="24"/>
                <w:szCs w:val="21"/>
              </w:rPr>
            </w:pPr>
            <w:r>
              <w:rPr>
                <w:b/>
                <w:color w:val="000000"/>
                <w:sz w:val="24"/>
                <w:szCs w:val="21"/>
              </w:rPr>
              <w:t>数量</w:t>
            </w:r>
          </w:p>
        </w:tc>
        <w:tc>
          <w:tcPr>
            <w:tcW w:w="12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b/>
                <w:color w:val="000000"/>
                <w:sz w:val="24"/>
                <w:szCs w:val="21"/>
              </w:rPr>
            </w:pPr>
            <w:r>
              <w:rPr>
                <w:b/>
                <w:color w:val="000000"/>
                <w:sz w:val="24"/>
                <w:szCs w:val="21"/>
              </w:rPr>
              <w:t>合计</w:t>
            </w:r>
          </w:p>
        </w:tc>
        <w:tc>
          <w:tcPr>
            <w:tcW w:w="12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b/>
                <w:color w:val="000000"/>
                <w:sz w:val="24"/>
                <w:szCs w:val="21"/>
              </w:rPr>
            </w:pPr>
            <w:r>
              <w:rPr>
                <w:b/>
                <w:color w:val="000000"/>
                <w:sz w:val="24"/>
                <w:szCs w:val="21"/>
              </w:rPr>
              <w:t>备注</w:t>
            </w:r>
          </w:p>
        </w:tc>
      </w:tr>
      <w:tr>
        <w:tblPrEx>
          <w:tblLayout w:type="fixed"/>
          <w:tblCellMar>
            <w:top w:w="0" w:type="dxa"/>
            <w:left w:w="30" w:type="dxa"/>
            <w:bottom w:w="0" w:type="dxa"/>
            <w:right w:w="30" w:type="dxa"/>
          </w:tblCellMar>
        </w:tblPrEx>
        <w:trPr>
          <w:trHeight w:val="770"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r>
              <w:rPr>
                <w:color w:val="000000"/>
                <w:sz w:val="24"/>
                <w:szCs w:val="21"/>
              </w:rPr>
              <w:t>1</w:t>
            </w:r>
          </w:p>
        </w:tc>
        <w:tc>
          <w:tcPr>
            <w:tcW w:w="2058" w:type="dxa"/>
            <w:tcBorders>
              <w:top w:val="single" w:color="auto" w:sz="8" w:space="0"/>
              <w:left w:val="single" w:color="auto" w:sz="8" w:space="0"/>
              <w:bottom w:val="single" w:color="auto" w:sz="8" w:space="0"/>
              <w:right w:val="single" w:color="auto" w:sz="8" w:space="0"/>
            </w:tcBorders>
            <w:vAlign w:val="center"/>
          </w:tcPr>
          <w:p>
            <w:pPr>
              <w:jc w:val="center"/>
              <w:rPr>
                <w:color w:val="000000"/>
                <w:sz w:val="24"/>
              </w:rPr>
            </w:pPr>
          </w:p>
          <w:p>
            <w:pPr>
              <w:jc w:val="center"/>
              <w:rPr>
                <w:color w:val="000000"/>
                <w:sz w:val="24"/>
              </w:rPr>
            </w:pPr>
          </w:p>
        </w:tc>
        <w:tc>
          <w:tcPr>
            <w:tcW w:w="17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color w:val="000000"/>
                <w:sz w:val="24"/>
                <w:szCs w:val="21"/>
              </w:rPr>
            </w:pPr>
          </w:p>
        </w:tc>
      </w:tr>
      <w:tr>
        <w:tblPrEx>
          <w:tblLayout w:type="fixed"/>
          <w:tblCellMar>
            <w:top w:w="0" w:type="dxa"/>
            <w:left w:w="30" w:type="dxa"/>
            <w:bottom w:w="0" w:type="dxa"/>
            <w:right w:w="30" w:type="dxa"/>
          </w:tblCellMar>
        </w:tblPrEx>
        <w:trPr>
          <w:trHeight w:val="734"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r>
              <w:rPr>
                <w:color w:val="000000"/>
                <w:sz w:val="24"/>
                <w:szCs w:val="21"/>
              </w:rPr>
              <w:t>2</w:t>
            </w:r>
          </w:p>
        </w:tc>
        <w:tc>
          <w:tcPr>
            <w:tcW w:w="2058" w:type="dxa"/>
            <w:tcBorders>
              <w:top w:val="single" w:color="auto" w:sz="8" w:space="0"/>
              <w:left w:val="single" w:color="auto" w:sz="8" w:space="0"/>
              <w:bottom w:val="single" w:color="auto" w:sz="8" w:space="0"/>
              <w:right w:val="single" w:color="auto" w:sz="8" w:space="0"/>
            </w:tcBorders>
            <w:vAlign w:val="center"/>
          </w:tcPr>
          <w:p>
            <w:pPr>
              <w:jc w:val="center"/>
              <w:rPr>
                <w:color w:val="000000"/>
                <w:sz w:val="24"/>
              </w:rPr>
            </w:pPr>
          </w:p>
          <w:p>
            <w:pPr>
              <w:jc w:val="center"/>
              <w:rPr>
                <w:color w:val="000000"/>
                <w:sz w:val="24"/>
              </w:rPr>
            </w:pPr>
          </w:p>
        </w:tc>
        <w:tc>
          <w:tcPr>
            <w:tcW w:w="17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color w:val="000000"/>
                <w:sz w:val="24"/>
                <w:szCs w:val="21"/>
              </w:rPr>
            </w:pPr>
          </w:p>
        </w:tc>
      </w:tr>
      <w:tr>
        <w:tblPrEx>
          <w:tblLayout w:type="fixed"/>
          <w:tblCellMar>
            <w:top w:w="0" w:type="dxa"/>
            <w:left w:w="30" w:type="dxa"/>
            <w:bottom w:w="0" w:type="dxa"/>
            <w:right w:w="30" w:type="dxa"/>
          </w:tblCellMar>
        </w:tblPrEx>
        <w:trPr>
          <w:trHeight w:val="676"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r>
              <w:rPr>
                <w:color w:val="000000"/>
                <w:sz w:val="24"/>
                <w:szCs w:val="21"/>
              </w:rPr>
              <w:t>3</w:t>
            </w:r>
          </w:p>
        </w:tc>
        <w:tc>
          <w:tcPr>
            <w:tcW w:w="2058" w:type="dxa"/>
            <w:tcBorders>
              <w:top w:val="single" w:color="auto" w:sz="8" w:space="0"/>
              <w:left w:val="single" w:color="auto" w:sz="8" w:space="0"/>
              <w:bottom w:val="single" w:color="auto" w:sz="8" w:space="0"/>
              <w:right w:val="single" w:color="auto" w:sz="8" w:space="0"/>
            </w:tcBorders>
            <w:vAlign w:val="center"/>
          </w:tcPr>
          <w:p>
            <w:pPr>
              <w:jc w:val="center"/>
              <w:rPr>
                <w:color w:val="000000"/>
                <w:sz w:val="24"/>
              </w:rPr>
            </w:pPr>
          </w:p>
          <w:p>
            <w:pPr>
              <w:jc w:val="center"/>
              <w:rPr>
                <w:color w:val="000000"/>
                <w:sz w:val="24"/>
              </w:rPr>
            </w:pPr>
          </w:p>
        </w:tc>
        <w:tc>
          <w:tcPr>
            <w:tcW w:w="17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color w:val="000000"/>
                <w:sz w:val="24"/>
                <w:szCs w:val="21"/>
              </w:rPr>
            </w:pPr>
          </w:p>
        </w:tc>
      </w:tr>
      <w:tr>
        <w:tblPrEx>
          <w:tblLayout w:type="fixed"/>
          <w:tblCellMar>
            <w:top w:w="0" w:type="dxa"/>
            <w:left w:w="30" w:type="dxa"/>
            <w:bottom w:w="0" w:type="dxa"/>
            <w:right w:w="30" w:type="dxa"/>
          </w:tblCellMar>
        </w:tblPrEx>
        <w:trPr>
          <w:trHeight w:val="676"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r>
              <w:rPr>
                <w:color w:val="000000"/>
                <w:sz w:val="24"/>
                <w:szCs w:val="21"/>
              </w:rPr>
              <w:t>…</w:t>
            </w:r>
          </w:p>
        </w:tc>
        <w:tc>
          <w:tcPr>
            <w:tcW w:w="2058" w:type="dxa"/>
            <w:tcBorders>
              <w:top w:val="single" w:color="auto" w:sz="8" w:space="0"/>
              <w:left w:val="single" w:color="auto" w:sz="8" w:space="0"/>
              <w:bottom w:val="single" w:color="auto" w:sz="8" w:space="0"/>
              <w:right w:val="single" w:color="auto" w:sz="8" w:space="0"/>
            </w:tcBorders>
            <w:vAlign w:val="center"/>
          </w:tcPr>
          <w:p>
            <w:pPr>
              <w:jc w:val="center"/>
              <w:rPr>
                <w:color w:val="000000"/>
                <w:sz w:val="24"/>
              </w:rPr>
            </w:pPr>
          </w:p>
        </w:tc>
        <w:tc>
          <w:tcPr>
            <w:tcW w:w="17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color w:val="000000"/>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color w:val="000000"/>
                <w:sz w:val="24"/>
                <w:szCs w:val="21"/>
              </w:rPr>
            </w:pPr>
          </w:p>
        </w:tc>
      </w:tr>
      <w:tr>
        <w:tblPrEx>
          <w:tblLayout w:type="fixed"/>
          <w:tblCellMar>
            <w:top w:w="0" w:type="dxa"/>
            <w:left w:w="30" w:type="dxa"/>
            <w:bottom w:w="0" w:type="dxa"/>
            <w:right w:w="30" w:type="dxa"/>
          </w:tblCellMar>
        </w:tblPrEx>
        <w:trPr>
          <w:trHeight w:val="579" w:hRule="exact"/>
          <w:jc w:val="center"/>
        </w:trPr>
        <w:tc>
          <w:tcPr>
            <w:tcW w:w="2778" w:type="dxa"/>
            <w:gridSpan w:val="2"/>
            <w:vMerge w:val="restart"/>
            <w:tcBorders>
              <w:top w:val="single" w:color="auto" w:sz="8" w:space="0"/>
              <w:left w:val="single" w:color="auto" w:sz="8" w:space="0"/>
              <w:right w:val="single" w:color="auto" w:sz="8" w:space="0"/>
            </w:tcBorders>
            <w:vAlign w:val="center"/>
          </w:tcPr>
          <w:p>
            <w:pPr>
              <w:autoSpaceDE w:val="0"/>
              <w:autoSpaceDN w:val="0"/>
              <w:adjustRightInd w:val="0"/>
              <w:jc w:val="center"/>
              <w:rPr>
                <w:color w:val="000000"/>
                <w:sz w:val="24"/>
                <w:szCs w:val="21"/>
              </w:rPr>
            </w:pPr>
            <w:r>
              <w:rPr>
                <w:b/>
                <w:color w:val="000000"/>
                <w:sz w:val="24"/>
                <w:szCs w:val="21"/>
              </w:rPr>
              <w:t>合同总额</w:t>
            </w:r>
          </w:p>
        </w:tc>
        <w:tc>
          <w:tcPr>
            <w:tcW w:w="5864" w:type="dxa"/>
            <w:gridSpan w:val="5"/>
            <w:tcBorders>
              <w:top w:val="single" w:color="auto" w:sz="8" w:space="0"/>
              <w:left w:val="single" w:color="auto" w:sz="8" w:space="0"/>
              <w:bottom w:val="single" w:color="auto" w:sz="8" w:space="0"/>
              <w:right w:val="single" w:color="auto" w:sz="8" w:space="0"/>
            </w:tcBorders>
            <w:vAlign w:val="center"/>
          </w:tcPr>
          <w:p>
            <w:pPr>
              <w:jc w:val="center"/>
              <w:rPr>
                <w:color w:val="000000"/>
                <w:sz w:val="24"/>
                <w:szCs w:val="21"/>
              </w:rPr>
            </w:pPr>
            <w:r>
              <w:rPr>
                <w:b/>
                <w:color w:val="000000"/>
                <w:sz w:val="24"/>
                <w:szCs w:val="21"/>
              </w:rPr>
              <w:t>（小写）</w:t>
            </w:r>
          </w:p>
        </w:tc>
      </w:tr>
      <w:tr>
        <w:tblPrEx>
          <w:tblLayout w:type="fixed"/>
          <w:tblCellMar>
            <w:top w:w="0" w:type="dxa"/>
            <w:left w:w="30" w:type="dxa"/>
            <w:bottom w:w="0" w:type="dxa"/>
            <w:right w:w="30" w:type="dxa"/>
          </w:tblCellMar>
        </w:tblPrEx>
        <w:trPr>
          <w:trHeight w:val="579" w:hRule="exact"/>
          <w:jc w:val="center"/>
        </w:trPr>
        <w:tc>
          <w:tcPr>
            <w:tcW w:w="2778" w:type="dxa"/>
            <w:gridSpan w:val="2"/>
            <w:vMerge w:val="continue"/>
            <w:tcBorders>
              <w:left w:val="single" w:color="auto" w:sz="8" w:space="0"/>
              <w:bottom w:val="single" w:color="auto" w:sz="8" w:space="0"/>
              <w:right w:val="single" w:color="auto" w:sz="8" w:space="0"/>
            </w:tcBorders>
            <w:vAlign w:val="center"/>
          </w:tcPr>
          <w:p>
            <w:pPr>
              <w:autoSpaceDE w:val="0"/>
              <w:autoSpaceDN w:val="0"/>
              <w:adjustRightInd w:val="0"/>
              <w:jc w:val="center"/>
              <w:rPr>
                <w:color w:val="000000"/>
                <w:sz w:val="24"/>
                <w:szCs w:val="21"/>
              </w:rPr>
            </w:pPr>
          </w:p>
        </w:tc>
        <w:tc>
          <w:tcPr>
            <w:tcW w:w="5864" w:type="dxa"/>
            <w:gridSpan w:val="5"/>
            <w:tcBorders>
              <w:top w:val="single" w:color="auto" w:sz="8" w:space="0"/>
              <w:left w:val="single" w:color="auto" w:sz="8" w:space="0"/>
              <w:bottom w:val="single" w:color="auto" w:sz="8" w:space="0"/>
              <w:right w:val="single" w:color="auto" w:sz="8" w:space="0"/>
            </w:tcBorders>
            <w:vAlign w:val="center"/>
          </w:tcPr>
          <w:p>
            <w:pPr>
              <w:jc w:val="center"/>
              <w:rPr>
                <w:color w:val="000000"/>
                <w:sz w:val="24"/>
                <w:szCs w:val="21"/>
              </w:rPr>
            </w:pPr>
            <w:r>
              <w:rPr>
                <w:b/>
                <w:color w:val="000000"/>
                <w:sz w:val="24"/>
                <w:szCs w:val="21"/>
              </w:rPr>
              <w:t>（大写）</w:t>
            </w:r>
          </w:p>
        </w:tc>
      </w:tr>
    </w:tbl>
    <w:p>
      <w:pPr>
        <w:snapToGrid w:val="0"/>
        <w:spacing w:line="360" w:lineRule="auto"/>
        <w:rPr>
          <w:b/>
          <w:color w:val="000000"/>
          <w:sz w:val="24"/>
        </w:rPr>
      </w:pPr>
    </w:p>
    <w:p>
      <w:pPr>
        <w:snapToGrid w:val="0"/>
        <w:spacing w:line="360" w:lineRule="auto"/>
        <w:rPr>
          <w:b/>
          <w:color w:val="000000"/>
          <w:sz w:val="24"/>
        </w:rPr>
      </w:pPr>
    </w:p>
    <w:p>
      <w:pPr>
        <w:spacing w:line="360" w:lineRule="auto"/>
        <w:rPr>
          <w:b/>
          <w:color w:val="000000"/>
          <w:sz w:val="24"/>
        </w:rPr>
      </w:pPr>
      <w:r>
        <w:rPr>
          <w:b/>
          <w:color w:val="000000"/>
          <w:sz w:val="24"/>
        </w:rPr>
        <w:t>二、项目建设进度及地点：</w:t>
      </w:r>
    </w:p>
    <w:p>
      <w:pPr>
        <w:spacing w:line="360" w:lineRule="auto"/>
        <w:rPr>
          <w:color w:val="000000"/>
          <w:sz w:val="24"/>
        </w:rPr>
      </w:pPr>
      <w:r>
        <w:rPr>
          <w:color w:val="000000"/>
          <w:sz w:val="24"/>
        </w:rPr>
        <w:t>1、项目建设进度：</w:t>
      </w:r>
    </w:p>
    <w:p>
      <w:pPr>
        <w:spacing w:line="360" w:lineRule="auto"/>
        <w:rPr>
          <w:color w:val="000000"/>
          <w:sz w:val="24"/>
        </w:rPr>
      </w:pPr>
      <w:r>
        <w:rPr>
          <w:color w:val="000000"/>
          <w:sz w:val="24"/>
        </w:rPr>
        <w:t>2、地点：采购人指定地点</w:t>
      </w:r>
    </w:p>
    <w:p>
      <w:pPr>
        <w:snapToGrid w:val="0"/>
        <w:spacing w:line="360" w:lineRule="auto"/>
        <w:rPr>
          <w:b/>
          <w:color w:val="000000"/>
          <w:sz w:val="24"/>
        </w:rPr>
      </w:pPr>
      <w:r>
        <w:rPr>
          <w:b/>
          <w:color w:val="000000"/>
          <w:sz w:val="24"/>
        </w:rPr>
        <w:t>三、付款方式</w:t>
      </w:r>
    </w:p>
    <w:p>
      <w:pPr>
        <w:tabs>
          <w:tab w:val="left" w:pos="1980"/>
        </w:tabs>
        <w:snapToGrid w:val="0"/>
        <w:spacing w:line="360" w:lineRule="auto"/>
        <w:rPr>
          <w:color w:val="000000"/>
          <w:sz w:val="24"/>
        </w:rPr>
      </w:pPr>
      <w:r>
        <w:rPr>
          <w:color w:val="000000"/>
          <w:sz w:val="24"/>
        </w:rPr>
        <w:t>按合同执行。</w:t>
      </w:r>
    </w:p>
    <w:p>
      <w:pPr>
        <w:tabs>
          <w:tab w:val="left" w:pos="1980"/>
        </w:tabs>
        <w:snapToGrid w:val="0"/>
        <w:spacing w:line="360" w:lineRule="auto"/>
        <w:rPr>
          <w:b/>
          <w:color w:val="000000"/>
          <w:sz w:val="24"/>
        </w:rPr>
      </w:pPr>
      <w:r>
        <w:rPr>
          <w:b/>
          <w:color w:val="000000"/>
          <w:sz w:val="24"/>
        </w:rPr>
        <w:t>四、违约赔偿</w:t>
      </w:r>
    </w:p>
    <w:p>
      <w:pPr>
        <w:snapToGrid w:val="0"/>
        <w:spacing w:line="360" w:lineRule="auto"/>
        <w:rPr>
          <w:color w:val="000000"/>
          <w:sz w:val="24"/>
        </w:rPr>
      </w:pPr>
      <w:r>
        <w:rPr>
          <w:color w:val="000000"/>
          <w:sz w:val="24"/>
        </w:rPr>
        <w:t>按《中华人民共和国合同法》执行。</w:t>
      </w:r>
    </w:p>
    <w:p>
      <w:pPr>
        <w:snapToGrid w:val="0"/>
        <w:spacing w:line="360" w:lineRule="auto"/>
        <w:rPr>
          <w:b/>
          <w:color w:val="000000"/>
          <w:sz w:val="24"/>
        </w:rPr>
      </w:pPr>
      <w:r>
        <w:rPr>
          <w:b/>
          <w:color w:val="000000"/>
          <w:sz w:val="24"/>
        </w:rPr>
        <w:t>五、合同纠纷处理</w:t>
      </w:r>
    </w:p>
    <w:p>
      <w:pPr>
        <w:tabs>
          <w:tab w:val="left" w:pos="1980"/>
        </w:tabs>
        <w:snapToGrid w:val="0"/>
        <w:spacing w:line="360" w:lineRule="auto"/>
        <w:ind w:firstLine="470" w:firstLineChars="196"/>
        <w:rPr>
          <w:color w:val="000000"/>
          <w:sz w:val="24"/>
        </w:rPr>
      </w:pPr>
      <w:r>
        <w:rPr>
          <w:color w:val="000000"/>
          <w:sz w:val="24"/>
        </w:rPr>
        <w:t>本合同执行过程中发生纠纷，作如下第种方式处理：</w:t>
      </w:r>
    </w:p>
    <w:p>
      <w:pPr>
        <w:tabs>
          <w:tab w:val="left" w:pos="1980"/>
        </w:tabs>
        <w:snapToGrid w:val="0"/>
        <w:spacing w:line="360" w:lineRule="auto"/>
        <w:ind w:firstLine="470" w:firstLineChars="196"/>
        <w:rPr>
          <w:color w:val="000000"/>
          <w:sz w:val="24"/>
        </w:rPr>
      </w:pPr>
      <w:r>
        <w:rPr>
          <w:color w:val="000000"/>
          <w:sz w:val="24"/>
        </w:rPr>
        <w:t>1、申请仲裁。仲裁机构为海南仲裁委员会。</w:t>
      </w:r>
    </w:p>
    <w:p>
      <w:pPr>
        <w:tabs>
          <w:tab w:val="left" w:pos="1980"/>
        </w:tabs>
        <w:snapToGrid w:val="0"/>
        <w:spacing w:line="360" w:lineRule="auto"/>
        <w:ind w:firstLine="470" w:firstLineChars="196"/>
        <w:rPr>
          <w:color w:val="000000"/>
          <w:sz w:val="24"/>
        </w:rPr>
      </w:pPr>
      <w:r>
        <w:rPr>
          <w:color w:val="000000"/>
          <w:sz w:val="24"/>
        </w:rPr>
        <w:t>2、提起诉讼。诉讼地点为采购人所在地。</w:t>
      </w:r>
    </w:p>
    <w:p>
      <w:pPr>
        <w:snapToGrid w:val="0"/>
        <w:spacing w:line="360" w:lineRule="auto"/>
        <w:rPr>
          <w:b/>
          <w:color w:val="000000"/>
          <w:sz w:val="24"/>
        </w:rPr>
      </w:pPr>
      <w:r>
        <w:rPr>
          <w:b/>
          <w:color w:val="000000"/>
          <w:sz w:val="24"/>
        </w:rPr>
        <w:t>六、合同生效</w:t>
      </w:r>
    </w:p>
    <w:p>
      <w:pPr>
        <w:snapToGrid w:val="0"/>
        <w:spacing w:line="360" w:lineRule="auto"/>
        <w:ind w:left="555"/>
        <w:rPr>
          <w:color w:val="000000"/>
          <w:sz w:val="24"/>
        </w:rPr>
      </w:pPr>
      <w:r>
        <w:rPr>
          <w:color w:val="000000"/>
          <w:sz w:val="24"/>
        </w:rPr>
        <w:t>本合同由甲乙双方签字盖章后生效。</w:t>
      </w:r>
    </w:p>
    <w:p>
      <w:pPr>
        <w:snapToGrid w:val="0"/>
        <w:spacing w:line="360" w:lineRule="auto"/>
        <w:rPr>
          <w:b/>
          <w:color w:val="000000"/>
          <w:sz w:val="24"/>
        </w:rPr>
      </w:pPr>
      <w:r>
        <w:rPr>
          <w:b/>
          <w:color w:val="000000"/>
          <w:sz w:val="24"/>
        </w:rPr>
        <w:t>七、合同鉴证</w:t>
      </w:r>
    </w:p>
    <w:p>
      <w:pPr>
        <w:snapToGrid w:val="0"/>
        <w:spacing w:line="360" w:lineRule="auto"/>
        <w:ind w:firstLine="480" w:firstLineChars="200"/>
        <w:rPr>
          <w:b/>
          <w:color w:val="000000"/>
          <w:sz w:val="24"/>
        </w:rPr>
      </w:pPr>
      <w:r>
        <w:rPr>
          <w:color w:val="000000"/>
          <w:sz w:val="24"/>
        </w:rPr>
        <w:t>招标代理人应当在本合同上签章，以证明本合同条款与采购（招标）文件、投标文件的相关要求相符并且未对采购货物和技术参数进行实质性修改。</w:t>
      </w:r>
    </w:p>
    <w:p>
      <w:pPr>
        <w:snapToGrid w:val="0"/>
        <w:spacing w:line="360" w:lineRule="auto"/>
        <w:rPr>
          <w:b/>
          <w:color w:val="000000"/>
          <w:sz w:val="24"/>
        </w:rPr>
      </w:pPr>
      <w:r>
        <w:rPr>
          <w:b/>
          <w:color w:val="000000"/>
          <w:sz w:val="24"/>
        </w:rPr>
        <w:t>八、组成本合同的文件包括：</w:t>
      </w:r>
    </w:p>
    <w:p>
      <w:pPr>
        <w:snapToGrid w:val="0"/>
        <w:spacing w:line="360" w:lineRule="auto"/>
        <w:ind w:left="555"/>
        <w:rPr>
          <w:color w:val="000000"/>
          <w:sz w:val="24"/>
        </w:rPr>
      </w:pPr>
      <w:r>
        <w:rPr>
          <w:color w:val="000000"/>
          <w:sz w:val="24"/>
        </w:rPr>
        <w:t>1.合同通用条款和专用条款；</w:t>
      </w:r>
    </w:p>
    <w:p>
      <w:pPr>
        <w:snapToGrid w:val="0"/>
        <w:spacing w:line="360" w:lineRule="auto"/>
        <w:ind w:left="555"/>
        <w:rPr>
          <w:color w:val="000000"/>
          <w:sz w:val="24"/>
        </w:rPr>
      </w:pPr>
      <w:r>
        <w:rPr>
          <w:color w:val="000000"/>
          <w:sz w:val="24"/>
        </w:rPr>
        <w:t>2.招标文件、乙方的投标文件和评标时的澄清函（如有）；</w:t>
      </w:r>
    </w:p>
    <w:p>
      <w:pPr>
        <w:snapToGrid w:val="0"/>
        <w:spacing w:line="360" w:lineRule="auto"/>
        <w:ind w:left="555"/>
        <w:rPr>
          <w:color w:val="000000"/>
          <w:sz w:val="24"/>
        </w:rPr>
      </w:pPr>
      <w:r>
        <w:rPr>
          <w:color w:val="000000"/>
          <w:sz w:val="24"/>
        </w:rPr>
        <w:t>3.中标通知书；</w:t>
      </w:r>
    </w:p>
    <w:p>
      <w:pPr>
        <w:snapToGrid w:val="0"/>
        <w:spacing w:line="360" w:lineRule="auto"/>
        <w:ind w:left="555"/>
        <w:rPr>
          <w:color w:val="000000"/>
          <w:sz w:val="24"/>
        </w:rPr>
      </w:pPr>
      <w:r>
        <w:rPr>
          <w:color w:val="000000"/>
          <w:sz w:val="24"/>
        </w:rPr>
        <w:t>4.甲乙双方商定的其他必要文件。</w:t>
      </w:r>
    </w:p>
    <w:p>
      <w:pPr>
        <w:snapToGrid w:val="0"/>
        <w:spacing w:line="360" w:lineRule="auto"/>
        <w:ind w:firstLine="480" w:firstLineChars="200"/>
        <w:rPr>
          <w:bCs/>
          <w:color w:val="000000"/>
          <w:sz w:val="24"/>
        </w:rPr>
      </w:pPr>
      <w:r>
        <w:rPr>
          <w:bCs/>
          <w:color w:val="000000"/>
          <w:sz w:val="24"/>
        </w:rPr>
        <w:t>上述合同文件内容互为补充，如有不明确，由甲方负责解释。</w:t>
      </w:r>
    </w:p>
    <w:p>
      <w:pPr>
        <w:snapToGrid w:val="0"/>
        <w:spacing w:line="360" w:lineRule="auto"/>
        <w:rPr>
          <w:b/>
          <w:color w:val="000000"/>
          <w:sz w:val="24"/>
        </w:rPr>
      </w:pPr>
      <w:r>
        <w:rPr>
          <w:b/>
          <w:color w:val="000000"/>
          <w:sz w:val="24"/>
        </w:rPr>
        <w:t>九、合同备案</w:t>
      </w:r>
    </w:p>
    <w:p>
      <w:pPr>
        <w:snapToGrid w:val="0"/>
        <w:spacing w:line="360" w:lineRule="auto"/>
        <w:ind w:firstLine="480" w:firstLineChars="200"/>
        <w:rPr>
          <w:bCs/>
          <w:color w:val="000000"/>
          <w:sz w:val="24"/>
        </w:rPr>
      </w:pPr>
      <w:r>
        <w:rPr>
          <w:bCs/>
          <w:color w:val="000000"/>
          <w:sz w:val="24"/>
        </w:rPr>
        <w:t>本合同一式六份，中文书写。甲方三份，乙方、招标代理人各执一份，另外一份由招标代理人报政府采购主管部门备案。</w:t>
      </w:r>
    </w:p>
    <w:p>
      <w:pPr>
        <w:snapToGrid w:val="0"/>
        <w:spacing w:before="19" w:line="500" w:lineRule="exact"/>
        <w:rPr>
          <w:color w:val="000000"/>
          <w:sz w:val="24"/>
        </w:rPr>
      </w:pPr>
      <w:r>
        <w:rPr>
          <w:b/>
          <w:color w:val="000000"/>
          <w:sz w:val="24"/>
        </w:rPr>
        <w:t>甲方：</w:t>
      </w:r>
      <w:r>
        <w:rPr>
          <w:b/>
          <w:color w:val="000000"/>
          <w:sz w:val="24"/>
          <w:u w:val="single"/>
        </w:rPr>
        <w:t xml:space="preserve">                   （盖章）</w:t>
      </w:r>
      <w:r>
        <w:rPr>
          <w:b/>
          <w:color w:val="000000"/>
          <w:sz w:val="24"/>
        </w:rPr>
        <w:t xml:space="preserve">     乙方：</w:t>
      </w:r>
      <w:r>
        <w:rPr>
          <w:b/>
          <w:color w:val="000000"/>
          <w:sz w:val="24"/>
          <w:u w:val="single"/>
        </w:rPr>
        <w:t xml:space="preserve">                  （盖章）</w:t>
      </w:r>
    </w:p>
    <w:p>
      <w:pPr>
        <w:snapToGrid w:val="0"/>
        <w:spacing w:before="19" w:line="500" w:lineRule="exact"/>
        <w:rPr>
          <w:b/>
          <w:color w:val="000000"/>
          <w:sz w:val="24"/>
          <w:u w:val="single"/>
        </w:rPr>
      </w:pPr>
    </w:p>
    <w:p>
      <w:pPr>
        <w:snapToGrid w:val="0"/>
        <w:spacing w:before="19" w:line="500" w:lineRule="exact"/>
        <w:rPr>
          <w:color w:val="000000"/>
          <w:sz w:val="24"/>
          <w:u w:val="single"/>
        </w:rPr>
      </w:pPr>
      <w:r>
        <w:rPr>
          <w:color w:val="000000"/>
          <w:sz w:val="24"/>
        </w:rPr>
        <w:t>地址：      地址：</w:t>
      </w:r>
    </w:p>
    <w:p>
      <w:pPr>
        <w:snapToGrid w:val="0"/>
        <w:spacing w:before="19" w:line="500" w:lineRule="exact"/>
        <w:rPr>
          <w:color w:val="000000"/>
          <w:sz w:val="24"/>
        </w:rPr>
      </w:pPr>
      <w:r>
        <w:rPr>
          <w:color w:val="000000"/>
          <w:sz w:val="24"/>
        </w:rPr>
        <w:t>法定（或授权）代表人：                     法定（或授权）代表人：</w:t>
      </w:r>
    </w:p>
    <w:p>
      <w:pPr>
        <w:snapToGrid w:val="0"/>
        <w:spacing w:before="19" w:line="500" w:lineRule="exact"/>
        <w:rPr>
          <w:b/>
          <w:color w:val="000000"/>
          <w:sz w:val="24"/>
        </w:rPr>
      </w:pPr>
      <w:r>
        <w:rPr>
          <w:color w:val="000000"/>
          <w:sz w:val="24"/>
        </w:rPr>
        <w:t>年月日                                      年月日</w:t>
      </w:r>
    </w:p>
    <w:p>
      <w:pPr>
        <w:snapToGrid w:val="0"/>
        <w:spacing w:before="19" w:line="500" w:lineRule="exact"/>
        <w:ind w:firstLine="551" w:firstLineChars="196"/>
        <w:rPr>
          <w:b/>
          <w:color w:val="000000"/>
          <w:sz w:val="28"/>
        </w:rPr>
      </w:pPr>
      <w:r>
        <w:rPr>
          <w:b/>
          <w:color w:val="000000"/>
          <w:sz w:val="28"/>
        </w:rPr>
        <w:t>招标代理人声明：本合同标的经招标代理人依法定程序采购，合同主要条款内容与招投标文件的内容一致。</w:t>
      </w:r>
    </w:p>
    <w:p>
      <w:pPr>
        <w:snapToGrid w:val="0"/>
        <w:spacing w:before="19" w:line="500" w:lineRule="exact"/>
        <w:rPr>
          <w:b/>
          <w:color w:val="000000"/>
          <w:sz w:val="28"/>
          <w:u w:val="single"/>
        </w:rPr>
      </w:pPr>
      <w:r>
        <w:rPr>
          <w:b/>
          <w:color w:val="000000"/>
          <w:sz w:val="28"/>
        </w:rPr>
        <w:t>招标代理人：</w:t>
      </w:r>
      <w:r>
        <w:rPr>
          <w:b/>
          <w:color w:val="000000"/>
          <w:sz w:val="28"/>
          <w:u w:val="single"/>
        </w:rPr>
        <w:t xml:space="preserve">                      （盖章）</w:t>
      </w:r>
    </w:p>
    <w:p>
      <w:pPr>
        <w:snapToGrid w:val="0"/>
        <w:spacing w:before="19" w:line="500" w:lineRule="exact"/>
        <w:rPr>
          <w:color w:val="000000"/>
          <w:sz w:val="28"/>
        </w:rPr>
      </w:pPr>
      <w:r>
        <w:rPr>
          <w:color w:val="000000"/>
          <w:sz w:val="28"/>
        </w:rPr>
        <w:t>经办人：</w:t>
      </w:r>
    </w:p>
    <w:p>
      <w:pPr>
        <w:rPr>
          <w:color w:val="000000"/>
          <w:sz w:val="28"/>
        </w:rPr>
      </w:pPr>
      <w:r>
        <w:rPr>
          <w:color w:val="000000"/>
          <w:sz w:val="28"/>
        </w:rPr>
        <w:t>年月日</w:t>
      </w:r>
    </w:p>
    <w:p>
      <w:pPr>
        <w:rPr>
          <w:b/>
          <w:sz w:val="44"/>
          <w:szCs w:val="44"/>
        </w:rPr>
      </w:pPr>
    </w:p>
    <w:p>
      <w:pPr>
        <w:spacing w:beforeLines="50" w:afterLines="50" w:line="360" w:lineRule="auto"/>
        <w:jc w:val="both"/>
        <w:outlineLvl w:val="0"/>
        <w:rPr>
          <w:b/>
          <w:sz w:val="44"/>
          <w:szCs w:val="44"/>
        </w:rPr>
      </w:pPr>
      <w:bookmarkStart w:id="59" w:name="_Toc8578"/>
      <w:r>
        <w:rPr>
          <w:b/>
          <w:sz w:val="44"/>
          <w:szCs w:val="44"/>
        </w:rPr>
        <w:t>第五部分投标文件内容及格式</w:t>
      </w:r>
      <w:bookmarkEnd w:id="59"/>
    </w:p>
    <w:p>
      <w:pPr>
        <w:spacing w:line="500" w:lineRule="exact"/>
        <w:ind w:firstLine="480" w:firstLineChars="200"/>
        <w:rPr>
          <w:rFonts w:eastAsia="华文中宋"/>
          <w:sz w:val="24"/>
        </w:rPr>
      </w:pPr>
      <w:r>
        <w:rPr>
          <w:rFonts w:eastAsia="华文中宋"/>
          <w:sz w:val="24"/>
        </w:rPr>
        <w:t>请投标人按照以下文件的要求格式、内容，顺序制作投标文件，并编制目录及页码，否则可能将影响对投标文件的评价：</w:t>
      </w:r>
    </w:p>
    <w:p>
      <w:pPr>
        <w:spacing w:line="500" w:lineRule="exact"/>
        <w:ind w:firstLine="480" w:firstLineChars="200"/>
        <w:rPr>
          <w:rFonts w:eastAsia="华文中宋"/>
          <w:b/>
          <w:sz w:val="24"/>
        </w:rPr>
      </w:pPr>
      <w:r>
        <w:rPr>
          <w:rFonts w:eastAsia="华文中宋"/>
          <w:b/>
          <w:sz w:val="24"/>
        </w:rPr>
        <w:t>初步评审表（第六部分 附表1）</w:t>
      </w:r>
    </w:p>
    <w:p>
      <w:pPr>
        <w:spacing w:line="500" w:lineRule="exact"/>
        <w:ind w:firstLine="480" w:firstLineChars="200"/>
        <w:rPr>
          <w:rFonts w:eastAsia="华文中宋"/>
          <w:b/>
          <w:sz w:val="24"/>
        </w:rPr>
      </w:pPr>
      <w:r>
        <w:rPr>
          <w:rFonts w:eastAsia="华文中宋"/>
          <w:b/>
          <w:sz w:val="24"/>
        </w:rPr>
        <w:t>综合评分表（第六部分 附表2）</w:t>
      </w:r>
    </w:p>
    <w:p>
      <w:pPr>
        <w:snapToGrid w:val="0"/>
        <w:spacing w:line="500" w:lineRule="exact"/>
        <w:ind w:firstLine="480" w:firstLineChars="200"/>
        <w:rPr>
          <w:rFonts w:eastAsia="华文中宋"/>
          <w:sz w:val="24"/>
        </w:rPr>
      </w:pPr>
      <w:r>
        <w:rPr>
          <w:rFonts w:eastAsia="华文中宋"/>
          <w:sz w:val="24"/>
        </w:rPr>
        <w:t>1、投标函</w:t>
      </w:r>
    </w:p>
    <w:p>
      <w:pPr>
        <w:snapToGrid w:val="0"/>
        <w:spacing w:line="500" w:lineRule="exact"/>
        <w:ind w:firstLine="480" w:firstLineChars="200"/>
        <w:rPr>
          <w:rFonts w:eastAsia="华文中宋"/>
          <w:sz w:val="24"/>
        </w:rPr>
      </w:pPr>
      <w:r>
        <w:rPr>
          <w:rFonts w:eastAsia="华文中宋"/>
          <w:sz w:val="24"/>
        </w:rPr>
        <w:t>2、开标一览表</w:t>
      </w:r>
    </w:p>
    <w:p>
      <w:pPr>
        <w:snapToGrid w:val="0"/>
        <w:spacing w:line="500" w:lineRule="exact"/>
        <w:ind w:firstLine="480" w:firstLineChars="200"/>
        <w:rPr>
          <w:rFonts w:eastAsia="华文中宋"/>
          <w:sz w:val="24"/>
        </w:rPr>
      </w:pPr>
      <w:r>
        <w:rPr>
          <w:rFonts w:eastAsia="华文中宋"/>
          <w:sz w:val="24"/>
        </w:rPr>
        <w:t>3、</w:t>
      </w:r>
      <w:r>
        <w:rPr>
          <w:rFonts w:hint="eastAsia" w:eastAsia="华文中宋"/>
          <w:sz w:val="24"/>
        </w:rPr>
        <w:t>投标报价明细表</w:t>
      </w:r>
    </w:p>
    <w:p>
      <w:pPr>
        <w:snapToGrid w:val="0"/>
        <w:spacing w:line="500" w:lineRule="exact"/>
        <w:ind w:firstLine="480" w:firstLineChars="200"/>
        <w:rPr>
          <w:rFonts w:eastAsia="华文中宋"/>
          <w:sz w:val="24"/>
        </w:rPr>
      </w:pPr>
      <w:r>
        <w:rPr>
          <w:rFonts w:hint="eastAsia" w:eastAsia="华文中宋"/>
          <w:sz w:val="24"/>
        </w:rPr>
        <w:t>4、</w:t>
      </w:r>
      <w:r>
        <w:rPr>
          <w:rFonts w:eastAsia="华文中宋"/>
          <w:sz w:val="24"/>
        </w:rPr>
        <w:t>响应表</w:t>
      </w:r>
    </w:p>
    <w:p>
      <w:pPr>
        <w:snapToGrid w:val="0"/>
        <w:spacing w:line="500" w:lineRule="exact"/>
        <w:ind w:firstLine="480" w:firstLineChars="200"/>
        <w:rPr>
          <w:rFonts w:eastAsia="华文中宋"/>
          <w:sz w:val="24"/>
        </w:rPr>
      </w:pPr>
      <w:r>
        <w:rPr>
          <w:rFonts w:hint="eastAsia" w:eastAsia="华文中宋"/>
          <w:sz w:val="24"/>
        </w:rPr>
        <w:t>5</w:t>
      </w:r>
      <w:r>
        <w:rPr>
          <w:rFonts w:eastAsia="华文中宋"/>
          <w:sz w:val="24"/>
        </w:rPr>
        <w:t>、投标人简介</w:t>
      </w:r>
    </w:p>
    <w:p>
      <w:pPr>
        <w:snapToGrid w:val="0"/>
        <w:spacing w:line="500" w:lineRule="exact"/>
        <w:ind w:firstLine="480" w:firstLineChars="200"/>
        <w:rPr>
          <w:rFonts w:eastAsia="华文中宋"/>
          <w:sz w:val="24"/>
        </w:rPr>
      </w:pPr>
      <w:r>
        <w:rPr>
          <w:rFonts w:hint="eastAsia" w:eastAsia="华文中宋"/>
          <w:sz w:val="24"/>
        </w:rPr>
        <w:t>6</w:t>
      </w:r>
      <w:r>
        <w:rPr>
          <w:rFonts w:eastAsia="华文中宋"/>
          <w:sz w:val="24"/>
        </w:rPr>
        <w:t>、营业执照副本、组织机构代码证、税务登记证复印件或“一照三号”或“一照一码”营业执照副本复印件。</w:t>
      </w:r>
    </w:p>
    <w:p>
      <w:pPr>
        <w:snapToGrid w:val="0"/>
        <w:spacing w:line="500" w:lineRule="exact"/>
        <w:ind w:firstLine="480" w:firstLineChars="200"/>
        <w:rPr>
          <w:rFonts w:eastAsia="华文中宋"/>
          <w:sz w:val="24"/>
        </w:rPr>
      </w:pPr>
      <w:r>
        <w:rPr>
          <w:rFonts w:hint="eastAsia" w:eastAsia="华文中宋"/>
          <w:sz w:val="24"/>
        </w:rPr>
        <w:t>7</w:t>
      </w:r>
      <w:r>
        <w:rPr>
          <w:rFonts w:eastAsia="华文中宋"/>
          <w:sz w:val="24"/>
        </w:rPr>
        <w:t>、法定代表人授权委托书</w:t>
      </w:r>
    </w:p>
    <w:p>
      <w:pPr>
        <w:snapToGrid w:val="0"/>
        <w:spacing w:line="500" w:lineRule="exact"/>
        <w:ind w:firstLine="480" w:firstLineChars="200"/>
        <w:rPr>
          <w:rFonts w:eastAsia="华文中宋"/>
          <w:sz w:val="24"/>
        </w:rPr>
      </w:pPr>
      <w:r>
        <w:rPr>
          <w:rFonts w:hint="eastAsia" w:eastAsia="华文中宋"/>
          <w:sz w:val="24"/>
        </w:rPr>
        <w:t>8</w:t>
      </w:r>
      <w:r>
        <w:rPr>
          <w:rFonts w:eastAsia="华文中宋"/>
          <w:sz w:val="24"/>
        </w:rPr>
        <w:t>、</w:t>
      </w:r>
      <w:r>
        <w:rPr>
          <w:rFonts w:hint="eastAsia" w:eastAsia="华文中宋"/>
          <w:sz w:val="24"/>
          <w:lang w:val="en-US" w:eastAsia="zh-CN"/>
        </w:rPr>
        <w:t>1</w:t>
      </w:r>
      <w:r>
        <w:rPr>
          <w:rFonts w:hint="eastAsia" w:eastAsia="华文中宋"/>
          <w:sz w:val="24"/>
        </w:rPr>
        <w:t>个月企业纳税证明和</w:t>
      </w:r>
      <w:r>
        <w:rPr>
          <w:rFonts w:hint="eastAsia" w:eastAsia="华文中宋"/>
          <w:sz w:val="24"/>
          <w:lang w:val="en-US" w:eastAsia="zh-CN"/>
        </w:rPr>
        <w:t>1</w:t>
      </w:r>
      <w:r>
        <w:rPr>
          <w:rFonts w:hint="eastAsia" w:eastAsia="华文中宋"/>
          <w:sz w:val="24"/>
        </w:rPr>
        <w:t>个月企业社保缴费记录</w:t>
      </w:r>
    </w:p>
    <w:p>
      <w:pPr>
        <w:widowControl/>
        <w:tabs>
          <w:tab w:val="left" w:pos="900"/>
        </w:tabs>
        <w:snapToGrid w:val="0"/>
        <w:spacing w:line="500" w:lineRule="exact"/>
        <w:ind w:firstLine="480" w:firstLineChars="200"/>
        <w:jc w:val="left"/>
        <w:rPr>
          <w:rFonts w:eastAsia="华文中宋"/>
          <w:sz w:val="24"/>
        </w:rPr>
      </w:pPr>
      <w:r>
        <w:rPr>
          <w:rFonts w:hint="eastAsia" w:eastAsia="华文中宋"/>
          <w:sz w:val="24"/>
        </w:rPr>
        <w:t>9</w:t>
      </w:r>
      <w:r>
        <w:rPr>
          <w:rFonts w:eastAsia="华文中宋"/>
          <w:sz w:val="24"/>
        </w:rPr>
        <w:t>、投标人基本情况表</w:t>
      </w:r>
    </w:p>
    <w:p>
      <w:pPr>
        <w:snapToGrid w:val="0"/>
        <w:spacing w:line="500" w:lineRule="exact"/>
        <w:ind w:firstLine="480" w:firstLineChars="200"/>
        <w:rPr>
          <w:rFonts w:eastAsia="华文中宋"/>
          <w:bCs/>
          <w:sz w:val="24"/>
        </w:rPr>
      </w:pPr>
      <w:r>
        <w:rPr>
          <w:rFonts w:eastAsia="华文中宋"/>
          <w:sz w:val="24"/>
        </w:rPr>
        <w:t>1</w:t>
      </w:r>
      <w:r>
        <w:rPr>
          <w:rFonts w:hint="eastAsia" w:eastAsia="华文中宋"/>
          <w:sz w:val="24"/>
          <w:lang w:val="en-US" w:eastAsia="zh-CN"/>
        </w:rPr>
        <w:t>0</w:t>
      </w:r>
      <w:r>
        <w:rPr>
          <w:rFonts w:eastAsia="华文中宋"/>
          <w:sz w:val="24"/>
        </w:rPr>
        <w:t>、</w:t>
      </w:r>
      <w:r>
        <w:rPr>
          <w:rFonts w:eastAsia="华文中宋"/>
          <w:bCs/>
          <w:sz w:val="24"/>
        </w:rPr>
        <w:t>投标保证金缴纳证明（在保证金单据上必须注明项目名称）</w:t>
      </w:r>
    </w:p>
    <w:p>
      <w:pPr>
        <w:snapToGrid w:val="0"/>
        <w:spacing w:line="500" w:lineRule="exact"/>
        <w:ind w:firstLine="480" w:firstLineChars="200"/>
        <w:rPr>
          <w:rFonts w:eastAsia="华文中宋"/>
          <w:bCs/>
          <w:sz w:val="24"/>
        </w:rPr>
      </w:pPr>
      <w:r>
        <w:rPr>
          <w:rFonts w:eastAsia="华文中宋"/>
          <w:bCs/>
          <w:sz w:val="24"/>
        </w:rPr>
        <w:t>1</w:t>
      </w:r>
      <w:r>
        <w:rPr>
          <w:rFonts w:hint="eastAsia" w:eastAsia="华文中宋"/>
          <w:bCs/>
          <w:sz w:val="24"/>
          <w:lang w:val="en-US" w:eastAsia="zh-CN"/>
        </w:rPr>
        <w:t>1</w:t>
      </w:r>
      <w:r>
        <w:rPr>
          <w:rFonts w:eastAsia="华文中宋"/>
          <w:bCs/>
          <w:sz w:val="24"/>
        </w:rPr>
        <w:t>、近三年无重大违法记录申明函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00" w:lineRule="exact"/>
        <w:ind w:firstLine="480" w:firstLineChars="200"/>
        <w:rPr>
          <w:rFonts w:eastAsia="华文中宋"/>
          <w:sz w:val="24"/>
        </w:rPr>
      </w:pPr>
      <w:r>
        <w:rPr>
          <w:rFonts w:eastAsia="华文中宋"/>
          <w:sz w:val="24"/>
        </w:rPr>
        <w:t>1</w:t>
      </w:r>
      <w:r>
        <w:rPr>
          <w:rFonts w:hint="eastAsia" w:eastAsia="华文中宋"/>
          <w:sz w:val="24"/>
          <w:lang w:val="en-US" w:eastAsia="zh-CN"/>
        </w:rPr>
        <w:t>2</w:t>
      </w:r>
      <w:r>
        <w:rPr>
          <w:rFonts w:eastAsia="华文中宋"/>
          <w:sz w:val="24"/>
        </w:rPr>
        <w:t>、投标人认为需要的其它材料</w:t>
      </w:r>
    </w:p>
    <w:p>
      <w:pPr>
        <w:spacing w:line="500" w:lineRule="exact"/>
        <w:ind w:firstLine="480" w:firstLineChars="200"/>
        <w:rPr>
          <w:rFonts w:eastAsia="华文中宋"/>
          <w:sz w:val="24"/>
        </w:rPr>
      </w:pPr>
      <w:r>
        <w:rPr>
          <w:rFonts w:eastAsia="华文中宋"/>
          <w:sz w:val="24"/>
        </w:rPr>
        <w:t>为了便于评委对投标文件内容的审核，要求投标人针对本投标文件的“</w:t>
      </w:r>
      <w:r>
        <w:rPr>
          <w:rFonts w:eastAsia="华文中宋"/>
          <w:b/>
          <w:sz w:val="24"/>
        </w:rPr>
        <w:t>初步评审表</w:t>
      </w:r>
      <w:r>
        <w:rPr>
          <w:rFonts w:eastAsia="华文中宋"/>
          <w:sz w:val="24"/>
        </w:rPr>
        <w:t>”、“</w:t>
      </w:r>
      <w:r>
        <w:rPr>
          <w:rFonts w:eastAsia="华文中宋"/>
          <w:b/>
          <w:sz w:val="24"/>
        </w:rPr>
        <w:t>综合评分表</w:t>
      </w:r>
      <w:r>
        <w:rPr>
          <w:rFonts w:eastAsia="华文中宋"/>
          <w:sz w:val="24"/>
        </w:rPr>
        <w:t>”项目编制页面索引，即该评分项目内容在投标文件中的页码。</w:t>
      </w:r>
    </w:p>
    <w:p>
      <w:pPr>
        <w:pStyle w:val="5"/>
        <w:spacing w:before="0" w:after="0" w:line="360" w:lineRule="auto"/>
        <w:jc w:val="center"/>
        <w:rPr>
          <w:rFonts w:ascii="Times New Roman" w:hAnsi="Times New Roman"/>
          <w:szCs w:val="21"/>
        </w:rPr>
      </w:pPr>
      <w:r>
        <w:rPr>
          <w:rFonts w:ascii="Times New Roman" w:hAnsi="Times New Roman"/>
          <w:szCs w:val="28"/>
        </w:rPr>
        <w:br w:type="page"/>
      </w:r>
      <w:bookmarkStart w:id="60" w:name="_Toc457307500"/>
      <w:bookmarkStart w:id="61" w:name="_Toc26333"/>
      <w:r>
        <w:rPr>
          <w:rFonts w:ascii="Times New Roman" w:hAnsi="Times New Roman"/>
          <w:szCs w:val="28"/>
        </w:rPr>
        <w:t>表1</w:t>
      </w:r>
      <w:r>
        <w:rPr>
          <w:rFonts w:hint="eastAsia" w:ascii="Times New Roman" w:hAnsi="Times New Roman"/>
          <w:szCs w:val="28"/>
        </w:rPr>
        <w:t>、</w:t>
      </w:r>
      <w:r>
        <w:rPr>
          <w:rFonts w:ascii="Times New Roman" w:hAnsi="Times New Roman"/>
          <w:szCs w:val="28"/>
        </w:rPr>
        <w:t>投标函</w:t>
      </w:r>
      <w:bookmarkEnd w:id="60"/>
      <w:bookmarkEnd w:id="61"/>
    </w:p>
    <w:p>
      <w:pPr>
        <w:pStyle w:val="15"/>
        <w:spacing w:line="360" w:lineRule="auto"/>
        <w:ind w:left="0" w:leftChars="0" w:firstLine="0" w:firstLineChars="0"/>
        <w:rPr>
          <w:bCs/>
          <w:sz w:val="24"/>
        </w:rPr>
      </w:pPr>
      <w:r>
        <w:rPr>
          <w:kern w:val="0"/>
          <w:sz w:val="24"/>
          <w:u w:val="single"/>
        </w:rPr>
        <w:t>海南泰尚项目投资管理有限公司</w:t>
      </w:r>
      <w:r>
        <w:rPr>
          <w:bCs/>
          <w:sz w:val="24"/>
        </w:rPr>
        <w:t>：</w:t>
      </w:r>
    </w:p>
    <w:p>
      <w:pPr>
        <w:pStyle w:val="15"/>
        <w:spacing w:line="360" w:lineRule="auto"/>
        <w:ind w:firstLine="480"/>
        <w:rPr>
          <w:bCs/>
          <w:sz w:val="24"/>
        </w:rPr>
      </w:pPr>
      <w:r>
        <w:rPr>
          <w:bCs/>
          <w:sz w:val="24"/>
        </w:rPr>
        <w:t>我方全面研究了“</w:t>
      </w:r>
      <w:r>
        <w:rPr>
          <w:rFonts w:hint="eastAsia"/>
          <w:bCs/>
          <w:sz w:val="24"/>
          <w:lang w:eastAsia="zh-CN"/>
        </w:rPr>
        <w:t>音乐舞蹈专业实训设备购置</w:t>
      </w:r>
      <w:r>
        <w:rPr>
          <w:rFonts w:hint="eastAsia"/>
          <w:bCs/>
          <w:kern w:val="0"/>
          <w:sz w:val="24"/>
          <w:lang w:eastAsia="zh-CN"/>
        </w:rPr>
        <w:t>（二次招标）</w:t>
      </w:r>
      <w:r>
        <w:rPr>
          <w:bCs/>
          <w:sz w:val="24"/>
        </w:rPr>
        <w:t>”（招标编号：</w:t>
      </w:r>
      <w:r>
        <w:rPr>
          <w:rFonts w:hint="eastAsia"/>
          <w:bCs/>
          <w:sz w:val="24"/>
          <w:lang w:eastAsia="zh-CN"/>
        </w:rPr>
        <w:t>TSC2018-93</w:t>
      </w:r>
      <w:r>
        <w:rPr>
          <w:bCs/>
          <w:sz w:val="24"/>
        </w:rPr>
        <w:t>），决定参加贵单位组织的本项目投标。我方授权（姓名、职务）代表我方（投标单位的名称）全权处理本项目投标的有关事宜。</w:t>
      </w:r>
    </w:p>
    <w:p>
      <w:pPr>
        <w:pStyle w:val="15"/>
        <w:spacing w:line="360" w:lineRule="auto"/>
        <w:ind w:firstLine="480"/>
        <w:rPr>
          <w:bCs/>
          <w:sz w:val="24"/>
        </w:rPr>
      </w:pPr>
      <w:r>
        <w:rPr>
          <w:bCs/>
          <w:sz w:val="24"/>
        </w:rPr>
        <w:t>1、我方自愿按照招标文件规定的各项要求向采购人提供所需货物/服务，总投标价为人民币万元（大写：）。</w:t>
      </w:r>
    </w:p>
    <w:p>
      <w:pPr>
        <w:pStyle w:val="15"/>
        <w:spacing w:line="360" w:lineRule="auto"/>
        <w:ind w:firstLine="480"/>
        <w:rPr>
          <w:bCs/>
          <w:sz w:val="24"/>
        </w:rPr>
      </w:pPr>
      <w:r>
        <w:rPr>
          <w:bCs/>
          <w:sz w:val="24"/>
        </w:rPr>
        <w:t>2、一旦我方中标，我方将严格履行合同规定的责任和义务。</w:t>
      </w:r>
    </w:p>
    <w:p>
      <w:pPr>
        <w:pStyle w:val="15"/>
        <w:spacing w:line="360" w:lineRule="auto"/>
        <w:ind w:firstLine="480"/>
        <w:rPr>
          <w:bCs/>
          <w:sz w:val="24"/>
        </w:rPr>
      </w:pPr>
      <w:r>
        <w:rPr>
          <w:bCs/>
          <w:sz w:val="24"/>
        </w:rPr>
        <w:t>3、我方同意按照招标文件的要求，向贵单位交纳人民币：</w:t>
      </w:r>
      <w:r>
        <w:rPr>
          <w:rFonts w:hint="eastAsia"/>
          <w:bCs/>
          <w:sz w:val="24"/>
        </w:rPr>
        <w:t>10</w:t>
      </w:r>
      <w:r>
        <w:rPr>
          <w:bCs/>
          <w:sz w:val="24"/>
        </w:rPr>
        <w:t>000.0元（大写：</w:t>
      </w:r>
      <w:r>
        <w:rPr>
          <w:rFonts w:hint="eastAsia"/>
          <w:bCs/>
          <w:sz w:val="24"/>
        </w:rPr>
        <w:t>壹万</w:t>
      </w:r>
      <w:r>
        <w:rPr>
          <w:bCs/>
          <w:sz w:val="24"/>
        </w:rPr>
        <w:t>元整）的投标保证金。并承诺：下列任何情况发生时，我方将不要求退还投标保证金：</w:t>
      </w:r>
    </w:p>
    <w:p>
      <w:pPr>
        <w:pStyle w:val="15"/>
        <w:spacing w:line="360" w:lineRule="auto"/>
        <w:ind w:firstLine="480"/>
        <w:rPr>
          <w:bCs/>
          <w:sz w:val="24"/>
        </w:rPr>
      </w:pPr>
      <w:r>
        <w:rPr>
          <w:bCs/>
          <w:sz w:val="24"/>
        </w:rPr>
        <w:t>（1）如果我方在投标有效期内撤回投标；</w:t>
      </w:r>
    </w:p>
    <w:p>
      <w:pPr>
        <w:pStyle w:val="15"/>
        <w:spacing w:line="360" w:lineRule="auto"/>
        <w:ind w:firstLine="480"/>
        <w:rPr>
          <w:bCs/>
          <w:sz w:val="24"/>
        </w:rPr>
      </w:pPr>
      <w:r>
        <w:rPr>
          <w:bCs/>
          <w:sz w:val="24"/>
        </w:rPr>
        <w:t>（2）我方提供了虚假响应招标文件的投标文件；</w:t>
      </w:r>
    </w:p>
    <w:p>
      <w:pPr>
        <w:pStyle w:val="15"/>
        <w:spacing w:line="360" w:lineRule="auto"/>
        <w:ind w:firstLine="480"/>
        <w:rPr>
          <w:bCs/>
          <w:sz w:val="24"/>
        </w:rPr>
      </w:pPr>
      <w:r>
        <w:rPr>
          <w:bCs/>
          <w:sz w:val="24"/>
        </w:rPr>
        <w:t>（3）在投标过程中有违规违纪行为；</w:t>
      </w:r>
    </w:p>
    <w:p>
      <w:pPr>
        <w:pStyle w:val="15"/>
        <w:spacing w:line="360" w:lineRule="auto"/>
        <w:ind w:firstLine="480"/>
        <w:rPr>
          <w:bCs/>
          <w:sz w:val="24"/>
        </w:rPr>
      </w:pPr>
      <w:r>
        <w:rPr>
          <w:bCs/>
          <w:sz w:val="24"/>
        </w:rPr>
        <w:t>（4）我方在投标有效期内收到中标通知书后，由于我方原因未能按照招标文件要求提交履约保证金或与采购人签订并履行合同。</w:t>
      </w:r>
    </w:p>
    <w:p>
      <w:pPr>
        <w:pStyle w:val="15"/>
        <w:spacing w:line="360" w:lineRule="auto"/>
        <w:ind w:firstLine="480"/>
        <w:rPr>
          <w:bCs/>
          <w:sz w:val="24"/>
        </w:rPr>
      </w:pPr>
      <w:r>
        <w:rPr>
          <w:bCs/>
          <w:sz w:val="24"/>
        </w:rPr>
        <w:t>4、我方为本项目提交的投标文件正本1份，副本4份，电子文档（光盘或U盘）1份，用于开标唱标的“开标一览表”壹份。</w:t>
      </w:r>
    </w:p>
    <w:p>
      <w:pPr>
        <w:pStyle w:val="15"/>
        <w:spacing w:line="360" w:lineRule="auto"/>
        <w:ind w:firstLine="480"/>
        <w:rPr>
          <w:bCs/>
          <w:sz w:val="24"/>
        </w:rPr>
      </w:pPr>
      <w:r>
        <w:rPr>
          <w:bCs/>
          <w:sz w:val="24"/>
        </w:rPr>
        <w:t>5、我方承诺投标有效期为开标后</w:t>
      </w:r>
      <w:r>
        <w:rPr>
          <w:bCs/>
          <w:sz w:val="24"/>
          <w:u w:val="single"/>
        </w:rPr>
        <w:t xml:space="preserve"> 60 </w:t>
      </w:r>
      <w:r>
        <w:rPr>
          <w:bCs/>
          <w:sz w:val="24"/>
        </w:rPr>
        <w:t>天（日历日）。</w:t>
      </w:r>
    </w:p>
    <w:p>
      <w:pPr>
        <w:pStyle w:val="15"/>
        <w:spacing w:line="360" w:lineRule="auto"/>
        <w:ind w:firstLine="480"/>
        <w:rPr>
          <w:bCs/>
          <w:sz w:val="24"/>
        </w:rPr>
      </w:pPr>
      <w:r>
        <w:rPr>
          <w:bCs/>
          <w:sz w:val="24"/>
        </w:rPr>
        <w:t>6、我方愿意提供贵公司可能另外要求的，与投标有关的文件资料，并保证我方已提供和将要提供的文件资料是真实、准确的。</w:t>
      </w:r>
    </w:p>
    <w:p>
      <w:pPr>
        <w:pStyle w:val="15"/>
        <w:spacing w:line="360" w:lineRule="auto"/>
        <w:ind w:firstLine="480"/>
        <w:rPr>
          <w:bCs/>
          <w:sz w:val="24"/>
        </w:rPr>
      </w:pPr>
      <w:r>
        <w:rPr>
          <w:bCs/>
          <w:sz w:val="24"/>
        </w:rPr>
        <w:t>7、我方完全理解采购人不一定将合同授予最低报价的投标人的行为。</w:t>
      </w:r>
    </w:p>
    <w:p>
      <w:pPr>
        <w:pStyle w:val="15"/>
        <w:spacing w:line="360" w:lineRule="auto"/>
        <w:ind w:firstLine="480"/>
        <w:rPr>
          <w:bCs/>
          <w:sz w:val="24"/>
        </w:rPr>
      </w:pPr>
      <w:r>
        <w:rPr>
          <w:bCs/>
          <w:sz w:val="24"/>
        </w:rPr>
        <w:t>投标人名称：（盖章）</w:t>
      </w:r>
    </w:p>
    <w:p>
      <w:pPr>
        <w:pStyle w:val="15"/>
        <w:spacing w:line="360" w:lineRule="auto"/>
        <w:ind w:firstLine="480"/>
        <w:rPr>
          <w:bCs/>
          <w:sz w:val="24"/>
        </w:rPr>
      </w:pPr>
      <w:r>
        <w:rPr>
          <w:bCs/>
          <w:sz w:val="24"/>
        </w:rPr>
        <w:t>法定代表人或授权代表（签字）：</w:t>
      </w:r>
    </w:p>
    <w:p>
      <w:pPr>
        <w:pStyle w:val="15"/>
        <w:spacing w:line="360" w:lineRule="auto"/>
        <w:ind w:firstLine="480"/>
        <w:rPr>
          <w:bCs/>
          <w:sz w:val="24"/>
        </w:rPr>
      </w:pPr>
      <w:r>
        <w:rPr>
          <w:bCs/>
          <w:sz w:val="24"/>
        </w:rPr>
        <w:t>通讯地址：</w:t>
      </w:r>
    </w:p>
    <w:p>
      <w:pPr>
        <w:pStyle w:val="15"/>
        <w:spacing w:line="360" w:lineRule="auto"/>
        <w:ind w:firstLine="480"/>
        <w:rPr>
          <w:bCs/>
          <w:sz w:val="24"/>
        </w:rPr>
      </w:pPr>
      <w:r>
        <w:rPr>
          <w:bCs/>
          <w:sz w:val="24"/>
        </w:rPr>
        <w:t>邮政编码：</w:t>
      </w:r>
    </w:p>
    <w:p>
      <w:pPr>
        <w:pStyle w:val="15"/>
        <w:spacing w:line="360" w:lineRule="auto"/>
        <w:ind w:firstLine="480"/>
        <w:rPr>
          <w:bCs/>
          <w:sz w:val="24"/>
        </w:rPr>
      </w:pPr>
      <w:r>
        <w:rPr>
          <w:bCs/>
          <w:sz w:val="24"/>
        </w:rPr>
        <w:t>联系电话：</w:t>
      </w:r>
    </w:p>
    <w:p>
      <w:pPr>
        <w:pStyle w:val="15"/>
        <w:spacing w:line="360" w:lineRule="auto"/>
        <w:ind w:firstLine="480"/>
        <w:rPr>
          <w:bCs/>
          <w:sz w:val="24"/>
        </w:rPr>
      </w:pPr>
      <w:r>
        <w:rPr>
          <w:bCs/>
          <w:sz w:val="24"/>
        </w:rPr>
        <w:t>传真：</w:t>
      </w:r>
    </w:p>
    <w:p>
      <w:pPr>
        <w:pStyle w:val="15"/>
        <w:spacing w:line="360" w:lineRule="auto"/>
        <w:ind w:firstLine="480"/>
        <w:rPr>
          <w:bCs/>
          <w:sz w:val="24"/>
        </w:rPr>
      </w:pPr>
      <w:r>
        <w:rPr>
          <w:bCs/>
          <w:sz w:val="24"/>
        </w:rPr>
        <w:t>日期：</w:t>
      </w:r>
      <w:bookmarkStart w:id="62" w:name="_Toc217446083"/>
    </w:p>
    <w:bookmarkEnd w:id="62"/>
    <w:p>
      <w:pPr>
        <w:spacing w:beforeLines="50" w:line="440" w:lineRule="exact"/>
        <w:rPr>
          <w:bCs/>
          <w:color w:val="000000"/>
          <w:sz w:val="24"/>
        </w:rPr>
      </w:pPr>
    </w:p>
    <w:p>
      <w:pPr>
        <w:spacing w:beforeLines="50" w:line="440" w:lineRule="exact"/>
        <w:rPr>
          <w:rFonts w:ascii="宋体" w:hAnsi="宋体" w:cs="宋体"/>
          <w:b/>
          <w:bCs/>
          <w:sz w:val="24"/>
        </w:rPr>
      </w:pPr>
    </w:p>
    <w:p>
      <w:pPr>
        <w:spacing w:line="440" w:lineRule="exact"/>
        <w:jc w:val="center"/>
        <w:rPr>
          <w:rFonts w:eastAsia="黑体"/>
          <w:b/>
          <w:bCs/>
          <w:sz w:val="32"/>
          <w:szCs w:val="28"/>
        </w:rPr>
      </w:pPr>
      <w:r>
        <w:rPr>
          <w:rFonts w:eastAsia="黑体"/>
          <w:b/>
          <w:bCs/>
          <w:sz w:val="32"/>
          <w:szCs w:val="28"/>
        </w:rPr>
        <w:t>表</w:t>
      </w:r>
      <w:r>
        <w:rPr>
          <w:rFonts w:hint="eastAsia" w:eastAsia="黑体"/>
          <w:b/>
          <w:bCs/>
          <w:sz w:val="32"/>
          <w:szCs w:val="28"/>
        </w:rPr>
        <w:t>2 、投标一览表</w:t>
      </w:r>
    </w:p>
    <w:p>
      <w:pPr>
        <w:spacing w:afterLines="50" w:line="440" w:lineRule="exact"/>
        <w:jc w:val="center"/>
        <w:rPr>
          <w:rFonts w:ascii="宋体" w:hAnsi="宋体" w:cs="宋体"/>
          <w:color w:val="000000"/>
          <w:sz w:val="24"/>
        </w:rPr>
      </w:pPr>
      <w:r>
        <w:rPr>
          <w:rFonts w:hint="eastAsia" w:ascii="宋体" w:hAnsi="宋体" w:cs="宋体"/>
          <w:color w:val="000000"/>
          <w:sz w:val="24"/>
        </w:rPr>
        <w:t>（独立信封另密封一份）</w:t>
      </w:r>
    </w:p>
    <w:tbl>
      <w:tblPr>
        <w:tblStyle w:val="31"/>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7036" w:type="dxa"/>
          </w:tcPr>
          <w:p>
            <w:pPr>
              <w:spacing w:beforeLines="50" w:afterLines="50" w:line="440" w:lineRule="exact"/>
              <w:jc w:val="center"/>
              <w:rPr>
                <w:rFonts w:hint="eastAsia" w:ascii="宋体" w:hAnsi="宋体" w:eastAsia="宋体" w:cs="宋体"/>
                <w:b/>
                <w:bCs/>
                <w:sz w:val="24"/>
                <w:lang w:val="en-GB" w:eastAsia="zh-CN"/>
              </w:rPr>
            </w:pPr>
            <w:r>
              <w:rPr>
                <w:rFonts w:hint="eastAsia"/>
                <w:bCs/>
                <w:sz w:val="24"/>
                <w:lang w:eastAsia="zh-CN"/>
              </w:rPr>
              <w:t>音乐舞蹈专业实训设备购置</w:t>
            </w:r>
            <w:r>
              <w:rPr>
                <w:rFonts w:hint="eastAsia"/>
                <w:bCs/>
                <w:kern w:val="0"/>
                <w:sz w:val="24"/>
                <w:lang w:eastAsia="zh-CN"/>
              </w:rPr>
              <w:t>（二次招标）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sz w:val="24"/>
                <w:lang w:val="en-GB"/>
              </w:rPr>
            </w:pPr>
            <w:r>
              <w:rPr>
                <w:rFonts w:hint="eastAsia" w:ascii="宋体" w:hAnsi="宋体" w:cs="宋体"/>
                <w:b/>
                <w:bCs/>
                <w:sz w:val="24"/>
                <w:lang w:val="en-GB"/>
              </w:rPr>
              <w:t>投标报价总计</w:t>
            </w:r>
          </w:p>
        </w:tc>
        <w:tc>
          <w:tcPr>
            <w:tcW w:w="7036" w:type="dxa"/>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交付时间</w:t>
            </w:r>
          </w:p>
        </w:tc>
        <w:tc>
          <w:tcPr>
            <w:tcW w:w="7036" w:type="dxa"/>
          </w:tcPr>
          <w:p>
            <w:pPr>
              <w:spacing w:beforeLines="50" w:afterLines="50" w:line="440" w:lineRule="exact"/>
              <w:rPr>
                <w:rFonts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tcPr>
          <w:p>
            <w:pPr>
              <w:spacing w:beforeLines="50" w:afterLines="50" w:line="440" w:lineRule="exact"/>
              <w:rPr>
                <w:rFonts w:ascii="宋体" w:hAnsi="宋体" w:cs="宋体"/>
                <w:sz w:val="24"/>
                <w:lang w:val="en-GB"/>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firstLineChars="200"/>
        <w:rPr>
          <w:rFonts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jc w:val="center"/>
        <w:rPr>
          <w:rFonts w:ascii="宋体" w:hAnsi="宋体" w:cs="宋体"/>
          <w:b/>
          <w:bCs/>
          <w:sz w:val="24"/>
        </w:rPr>
      </w:pPr>
    </w:p>
    <w:p>
      <w:pPr>
        <w:spacing w:line="440" w:lineRule="exact"/>
        <w:jc w:val="center"/>
        <w:rPr>
          <w:rFonts w:eastAsia="黑体"/>
          <w:b/>
          <w:bCs/>
          <w:sz w:val="32"/>
          <w:szCs w:val="28"/>
        </w:rPr>
      </w:pPr>
      <w:r>
        <w:rPr>
          <w:rFonts w:eastAsia="黑体"/>
          <w:b/>
          <w:bCs/>
          <w:sz w:val="32"/>
          <w:szCs w:val="28"/>
        </w:rPr>
        <w:t>表</w:t>
      </w:r>
      <w:r>
        <w:rPr>
          <w:rFonts w:hint="eastAsia" w:eastAsia="黑体"/>
          <w:b/>
          <w:bCs/>
          <w:sz w:val="32"/>
          <w:szCs w:val="28"/>
        </w:rPr>
        <w:t>3、投标报价明细表</w:t>
      </w:r>
    </w:p>
    <w:tbl>
      <w:tblPr>
        <w:tblStyle w:val="31"/>
        <w:tblpPr w:leftFromText="180" w:rightFromText="180" w:vertAnchor="text" w:horzAnchor="page" w:tblpX="1181" w:tblpY="632"/>
        <w:tblOverlap w:val="never"/>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193"/>
        <w:gridCol w:w="2194"/>
        <w:gridCol w:w="931"/>
        <w:gridCol w:w="932"/>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shd w:val="clear" w:color="auto" w:fill="D9D9D9"/>
            <w:vAlign w:val="center"/>
          </w:tcPr>
          <w:p>
            <w:pPr>
              <w:pStyle w:val="60"/>
              <w:spacing w:beforeLines="30" w:afterLines="30" w:line="440" w:lineRule="exact"/>
              <w:jc w:val="center"/>
              <w:rPr>
                <w:rFonts w:ascii="宋体" w:hAnsi="宋体" w:cs="宋体"/>
                <w:b/>
                <w:bCs w:val="0"/>
                <w:spacing w:val="0"/>
                <w:szCs w:val="24"/>
                <w:lang w:val="en-GB"/>
              </w:rPr>
            </w:pPr>
            <w:r>
              <w:rPr>
                <w:rFonts w:hint="eastAsia" w:ascii="宋体" w:hAnsi="宋体" w:cs="宋体"/>
                <w:b/>
                <w:bCs w:val="0"/>
                <w:spacing w:val="0"/>
                <w:szCs w:val="24"/>
                <w:lang w:val="en-GB"/>
              </w:rPr>
              <w:t>序号</w:t>
            </w:r>
          </w:p>
        </w:tc>
        <w:tc>
          <w:tcPr>
            <w:tcW w:w="2193"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名称</w:t>
            </w:r>
          </w:p>
        </w:tc>
        <w:tc>
          <w:tcPr>
            <w:tcW w:w="2194"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规格型号</w:t>
            </w:r>
          </w:p>
        </w:tc>
        <w:tc>
          <w:tcPr>
            <w:tcW w:w="931"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数量</w:t>
            </w:r>
          </w:p>
        </w:tc>
        <w:tc>
          <w:tcPr>
            <w:tcW w:w="932"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单位</w:t>
            </w:r>
          </w:p>
        </w:tc>
        <w:tc>
          <w:tcPr>
            <w:tcW w:w="1346"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单价（元）</w:t>
            </w:r>
          </w:p>
        </w:tc>
        <w:tc>
          <w:tcPr>
            <w:tcW w:w="1346" w:type="dxa"/>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1</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2</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3</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4</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5</w:t>
            </w:r>
          </w:p>
        </w:tc>
        <w:tc>
          <w:tcPr>
            <w:tcW w:w="2193" w:type="dxa"/>
            <w:vAlign w:val="center"/>
          </w:tcPr>
          <w:p>
            <w:pPr>
              <w:spacing w:beforeLines="30" w:afterLines="30" w:line="440" w:lineRule="exact"/>
              <w:jc w:val="center"/>
              <w:rPr>
                <w:rFonts w:ascii="宋体" w:hAnsi="宋体" w:cs="宋体"/>
                <w:bCs/>
                <w:sz w:val="24"/>
                <w:lang w:val="en-GB"/>
              </w:rPr>
            </w:pP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6</w:t>
            </w:r>
          </w:p>
        </w:tc>
        <w:tc>
          <w:tcPr>
            <w:tcW w:w="2193" w:type="dxa"/>
            <w:vAlign w:val="center"/>
          </w:tcPr>
          <w:p>
            <w:pPr>
              <w:spacing w:beforeLines="30" w:afterLines="30" w:line="440" w:lineRule="exact"/>
              <w:jc w:val="center"/>
              <w:rPr>
                <w:rFonts w:ascii="宋体" w:hAnsi="宋体" w:cs="宋体"/>
                <w:bCs/>
                <w:sz w:val="24"/>
                <w:lang w:val="en-GB"/>
              </w:rPr>
            </w:pPr>
            <w:r>
              <w:rPr>
                <w:rFonts w:hint="eastAsia" w:ascii="宋体" w:hAnsi="宋体" w:cs="宋体"/>
                <w:bCs/>
                <w:sz w:val="24"/>
                <w:lang w:val="en-GB"/>
              </w:rPr>
              <w:t>…</w:t>
            </w:r>
          </w:p>
        </w:tc>
        <w:tc>
          <w:tcPr>
            <w:tcW w:w="2194" w:type="dxa"/>
            <w:vAlign w:val="center"/>
          </w:tcPr>
          <w:p>
            <w:pPr>
              <w:spacing w:beforeLines="30" w:afterLines="30" w:line="440" w:lineRule="exact"/>
              <w:jc w:val="center"/>
              <w:rPr>
                <w:rFonts w:ascii="宋体" w:hAnsi="宋体" w:cs="宋体"/>
                <w:bCs/>
                <w:sz w:val="24"/>
                <w:lang w:val="en-GB"/>
              </w:rPr>
            </w:pPr>
          </w:p>
        </w:tc>
        <w:tc>
          <w:tcPr>
            <w:tcW w:w="931" w:type="dxa"/>
            <w:vAlign w:val="center"/>
          </w:tcPr>
          <w:p>
            <w:pPr>
              <w:spacing w:beforeLines="30" w:afterLines="30" w:line="440" w:lineRule="exact"/>
              <w:jc w:val="center"/>
              <w:rPr>
                <w:rFonts w:ascii="宋体" w:hAnsi="宋体" w:cs="宋体"/>
                <w:bCs/>
                <w:sz w:val="24"/>
                <w:lang w:val="en-GB"/>
              </w:rPr>
            </w:pPr>
          </w:p>
        </w:tc>
        <w:tc>
          <w:tcPr>
            <w:tcW w:w="932"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c>
          <w:tcPr>
            <w:tcW w:w="1346" w:type="dxa"/>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013" w:type="dxa"/>
            <w:gridSpan w:val="2"/>
            <w:vAlign w:val="center"/>
          </w:tcPr>
          <w:p>
            <w:pPr>
              <w:spacing w:beforeLines="50" w:afterLines="50" w:line="440" w:lineRule="exact"/>
              <w:jc w:val="center"/>
              <w:rPr>
                <w:rFonts w:ascii="宋体" w:hAnsi="宋体" w:cs="宋体"/>
                <w:sz w:val="24"/>
                <w:lang w:val="en-GB"/>
              </w:rPr>
            </w:pPr>
            <w:r>
              <w:rPr>
                <w:rFonts w:hint="eastAsia" w:ascii="宋体" w:hAnsi="宋体" w:cs="宋体"/>
                <w:b/>
                <w:bCs/>
                <w:sz w:val="24"/>
                <w:lang w:val="en-GB"/>
              </w:rPr>
              <w:t>投标报价总计</w:t>
            </w:r>
          </w:p>
        </w:tc>
        <w:tc>
          <w:tcPr>
            <w:tcW w:w="6749" w:type="dxa"/>
            <w:gridSpan w:val="5"/>
            <w:vAlign w:val="center"/>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相关安装调试费用、质保及人员培训、后续服务及其他所有费用由投标人自行计算填列；</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总价=单价×数量，数量由投标人自行计算并填表；</w:t>
      </w:r>
    </w:p>
    <w:p>
      <w:pPr>
        <w:spacing w:line="440" w:lineRule="exact"/>
        <w:ind w:firstLine="480" w:firstLineChars="200"/>
        <w:rPr>
          <w:rFonts w:ascii="宋体" w:hAnsi="宋体" w:cs="宋体"/>
          <w:sz w:val="24"/>
          <w:lang w:val="en-GB"/>
        </w:rPr>
      </w:pPr>
      <w:r>
        <w:rPr>
          <w:rFonts w:hint="eastAsia" w:ascii="宋体" w:hAnsi="宋体" w:cs="宋体"/>
          <w:sz w:val="24"/>
        </w:rPr>
        <w:t>4、</w:t>
      </w:r>
      <w:r>
        <w:rPr>
          <w:rFonts w:hint="eastAsia" w:ascii="宋体" w:hAnsi="宋体" w:cs="宋体"/>
          <w:sz w:val="24"/>
          <w:lang w:val="en-GB"/>
        </w:rPr>
        <w:t>“投标报价明细表”中“投标报价总计”数应当等于“投标一览表”中“投标报价总计”数。</w:t>
      </w: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beforeLines="50" w:afterLines="50" w:line="440" w:lineRule="exact"/>
        <w:jc w:val="both"/>
        <w:rPr>
          <w:rFonts w:ascii="宋体" w:hAnsi="宋体" w:cs="宋体"/>
          <w:b/>
          <w:bCs/>
          <w:sz w:val="24"/>
        </w:rPr>
      </w:pPr>
    </w:p>
    <w:p>
      <w:pPr>
        <w:spacing w:beforeLines="50" w:afterLines="50" w:line="440" w:lineRule="exact"/>
        <w:jc w:val="center"/>
        <w:rPr>
          <w:rFonts w:ascii="宋体" w:hAnsi="宋体" w:cs="宋体"/>
          <w:b/>
          <w:sz w:val="24"/>
        </w:rPr>
      </w:pPr>
      <w:r>
        <w:rPr>
          <w:rFonts w:eastAsia="黑体"/>
          <w:b/>
          <w:sz w:val="32"/>
          <w:szCs w:val="28"/>
        </w:rPr>
        <w:t>表</w:t>
      </w:r>
      <w:r>
        <w:rPr>
          <w:rFonts w:hint="eastAsia" w:eastAsia="黑体"/>
          <w:b/>
          <w:sz w:val="32"/>
          <w:szCs w:val="28"/>
        </w:rPr>
        <w:t>4、</w:t>
      </w:r>
      <w:r>
        <w:rPr>
          <w:rFonts w:hint="eastAsia" w:ascii="宋体" w:hAnsi="宋体" w:cs="宋体"/>
          <w:b/>
          <w:sz w:val="30"/>
          <w:szCs w:val="30"/>
        </w:rPr>
        <w:t>技术响应情况表</w:t>
      </w:r>
    </w:p>
    <w:p>
      <w:pPr>
        <w:adjustRightInd w:val="0"/>
        <w:snapToGrid w:val="0"/>
        <w:spacing w:afterLines="50" w:line="440" w:lineRule="exact"/>
        <w:ind w:firstLine="482" w:firstLineChars="200"/>
        <w:rPr>
          <w:rFonts w:ascii="宋体" w:hAnsi="宋体" w:cs="宋体"/>
          <w:b/>
          <w:bCs/>
          <w:sz w:val="24"/>
        </w:rPr>
      </w:pPr>
      <w:r>
        <w:rPr>
          <w:rFonts w:hint="eastAsia" w:ascii="宋体" w:hAnsi="宋体" w:cs="宋体"/>
          <w:b/>
          <w:bCs/>
          <w:sz w:val="24"/>
        </w:rPr>
        <w:t>说明：</w:t>
      </w:r>
      <w:r>
        <w:rPr>
          <w:rFonts w:hint="eastAsia" w:ascii="宋体" w:hAnsi="宋体" w:cs="宋体"/>
          <w:sz w:val="24"/>
        </w:rPr>
        <w:t>投标人必须仔细阅读招标文件中所有技术规范条款和相关功能要求，并对所有技术规范和功能条目列入下表，未列入下表的视作报价人不响应。带</w:t>
      </w:r>
      <w:r>
        <w:rPr>
          <w:rFonts w:hint="eastAsia" w:ascii="宋体" w:hAnsi="宋体" w:cs="宋体"/>
          <w:szCs w:val="21"/>
        </w:rPr>
        <w:t>★</w:t>
      </w:r>
      <w:r>
        <w:rPr>
          <w:rFonts w:hint="eastAsia" w:ascii="宋体" w:hAnsi="宋体" w:cs="宋体"/>
          <w:sz w:val="24"/>
        </w:rPr>
        <w:t>的指标列入下表时，必须在指标前面保留</w:t>
      </w:r>
      <w:r>
        <w:rPr>
          <w:rFonts w:hint="eastAsia" w:ascii="宋体" w:hAnsi="宋体" w:cs="宋体"/>
          <w:szCs w:val="21"/>
        </w:rPr>
        <w:t>★</w:t>
      </w:r>
      <w:r>
        <w:rPr>
          <w:rFonts w:hint="eastAsia" w:ascii="宋体" w:hAnsi="宋体" w:cs="宋体"/>
          <w:sz w:val="24"/>
        </w:rPr>
        <w:t>，否则视为不响应。</w:t>
      </w:r>
      <w:r>
        <w:rPr>
          <w:rFonts w:hint="eastAsia" w:ascii="宋体" w:hAnsi="宋体" w:cs="宋体"/>
          <w:b/>
          <w:bCs/>
          <w:sz w:val="24"/>
          <w:u w:val="single"/>
        </w:rPr>
        <w:t>投标人必须根据所投货物的实际情况如实填写，如发现有虚假描述的，该投标文件无效，并报政府采购主管部门严肃处理，并没收其投标保证金。</w:t>
      </w:r>
    </w:p>
    <w:tbl>
      <w:tblPr>
        <w:tblStyle w:val="31"/>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rPr>
              <w:t>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偏离情况说明</w:t>
            </w:r>
          </w:p>
          <w:p>
            <w:pPr>
              <w:adjustRightInd w:val="0"/>
              <w:snapToGrid w:val="0"/>
              <w:spacing w:line="440" w:lineRule="exact"/>
              <w:jc w:val="center"/>
              <w:rPr>
                <w:rFonts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4</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5</w:t>
            </w:r>
          </w:p>
        </w:tc>
        <w:tc>
          <w:tcPr>
            <w:tcW w:w="1519" w:type="dxa"/>
            <w:vAlign w:val="center"/>
          </w:tcPr>
          <w:p>
            <w:pPr>
              <w:snapToGrid w:val="0"/>
              <w:spacing w:beforeLines="30" w:afterLines="30" w:line="440" w:lineRule="exact"/>
              <w:jc w:val="center"/>
              <w:rPr>
                <w:rFonts w:ascii="宋体" w:hAnsi="宋体" w:cs="宋体"/>
                <w:sz w:val="24"/>
              </w:rPr>
            </w:pPr>
            <w:r>
              <w:rPr>
                <w:rFonts w:hint="eastAsia" w:ascii="宋体" w:hAnsi="宋体" w:cs="宋体"/>
                <w:sz w:val="24"/>
              </w:rPr>
              <w:t>…</w:t>
            </w: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jc w:val="left"/>
        <w:rPr>
          <w:rFonts w:ascii="宋体" w:hAnsi="宋体" w:cs="宋体"/>
          <w:b/>
          <w:bCs/>
          <w:sz w:val="24"/>
        </w:rPr>
      </w:pPr>
      <w:r>
        <w:rPr>
          <w:rFonts w:hint="eastAsia" w:ascii="宋体" w:hAnsi="宋体" w:cs="宋体"/>
          <w:b/>
          <w:bCs/>
          <w:sz w:val="24"/>
        </w:rPr>
        <w:t>注：</w:t>
      </w:r>
    </w:p>
    <w:p>
      <w:pPr>
        <w:spacing w:line="440" w:lineRule="exact"/>
        <w:ind w:firstLine="482" w:firstLineChars="200"/>
        <w:jc w:val="left"/>
        <w:rPr>
          <w:rFonts w:ascii="宋体" w:hAnsi="宋体" w:cs="宋体"/>
          <w:b/>
          <w:bCs/>
          <w:sz w:val="24"/>
        </w:rPr>
      </w:pPr>
      <w:r>
        <w:rPr>
          <w:rFonts w:hint="eastAsia" w:ascii="宋体" w:hAnsi="宋体" w:cs="宋体"/>
          <w:b/>
          <w:bCs/>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sz w:val="24"/>
        </w:rPr>
      </w:pPr>
      <w:r>
        <w:rPr>
          <w:rFonts w:hint="eastAsia" w:ascii="宋体" w:hAnsi="宋体" w:cs="宋体"/>
          <w:sz w:val="24"/>
        </w:rPr>
        <w:t>2、按照招标项目技术参数要求的顺序对应填写“技术响应情况表”；</w:t>
      </w:r>
      <w:r>
        <w:rPr>
          <w:rFonts w:hint="eastAsia" w:ascii="宋体" w:hAnsi="宋体" w:cs="宋体"/>
          <w:sz w:val="24"/>
        </w:rPr>
        <w:tab/>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3、</w:t>
      </w:r>
      <w:r>
        <w:rPr>
          <w:rFonts w:hint="eastAsia" w:ascii="宋体" w:hAnsi="宋体" w:cs="宋体"/>
          <w:bCs/>
          <w:color w:val="000000"/>
          <w:sz w:val="24"/>
        </w:rPr>
        <w:t>是否偏离用符号“</w:t>
      </w:r>
      <w:r>
        <w:rPr>
          <w:rFonts w:hint="eastAsia" w:ascii="宋体" w:hAnsi="宋体" w:cs="宋体"/>
          <w:bCs/>
          <w:color w:val="000000"/>
          <w:sz w:val="28"/>
          <w:szCs w:val="28"/>
        </w:rPr>
        <w:t>+、=、-</w:t>
      </w:r>
      <w:r>
        <w:rPr>
          <w:rFonts w:hint="eastAsia" w:ascii="宋体" w:hAnsi="宋体" w:cs="宋体"/>
          <w:bCs/>
          <w:color w:val="000000"/>
          <w:sz w:val="24"/>
        </w:rPr>
        <w:t>”分别表示正偏离、完全响应、负偏离，必须逐次对应响应。</w:t>
      </w:r>
      <w:r>
        <w:rPr>
          <w:rFonts w:hint="eastAsia" w:ascii="宋体" w:hAnsi="宋体" w:cs="宋体"/>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4、投标人必须据实填写，不得虚假填写，否则将取消其投标或中标资格。</w:t>
      </w:r>
    </w:p>
    <w:p>
      <w:pPr>
        <w:adjustRightInd w:val="0"/>
        <w:snapToGrid w:val="0"/>
        <w:spacing w:line="440" w:lineRule="exact"/>
        <w:jc w:val="left"/>
        <w:rPr>
          <w:rFonts w:ascii="宋体" w:hAnsi="宋体" w:cs="宋体"/>
          <w:b/>
          <w:bCs/>
          <w:sz w:val="24"/>
        </w:rPr>
      </w:pPr>
    </w:p>
    <w:p>
      <w:pPr>
        <w:spacing w:line="360" w:lineRule="auto"/>
        <w:rPr>
          <w:sz w:val="24"/>
        </w:rPr>
      </w:pPr>
    </w:p>
    <w:p>
      <w:pPr>
        <w:spacing w:line="360" w:lineRule="auto"/>
        <w:rPr>
          <w:sz w:val="24"/>
        </w:rPr>
      </w:pPr>
    </w:p>
    <w:p>
      <w:pPr>
        <w:spacing w:line="360" w:lineRule="auto"/>
        <w:jc w:val="center"/>
        <w:rPr>
          <w:rFonts w:eastAsia="黑体"/>
          <w:b/>
          <w:sz w:val="32"/>
          <w:szCs w:val="28"/>
        </w:rPr>
      </w:pPr>
      <w:bookmarkStart w:id="63" w:name="_Toc457307501"/>
      <w:r>
        <w:rPr>
          <w:rFonts w:eastAsia="黑体"/>
          <w:b/>
          <w:sz w:val="32"/>
          <w:szCs w:val="28"/>
        </w:rPr>
        <w:t>表</w:t>
      </w:r>
      <w:r>
        <w:rPr>
          <w:rFonts w:hint="eastAsia" w:eastAsia="黑体"/>
          <w:b/>
          <w:sz w:val="32"/>
          <w:szCs w:val="28"/>
        </w:rPr>
        <w:t>5、</w:t>
      </w:r>
      <w:r>
        <w:rPr>
          <w:rFonts w:eastAsia="黑体"/>
          <w:b/>
          <w:sz w:val="32"/>
          <w:szCs w:val="28"/>
        </w:rPr>
        <w:t>法定代表人授权书</w:t>
      </w:r>
      <w:bookmarkEnd w:id="63"/>
    </w:p>
    <w:p>
      <w:pPr>
        <w:spacing w:line="360" w:lineRule="auto"/>
        <w:jc w:val="center"/>
        <w:rPr>
          <w:b/>
          <w:sz w:val="44"/>
        </w:rPr>
      </w:pPr>
    </w:p>
    <w:p>
      <w:pPr>
        <w:spacing w:line="360" w:lineRule="auto"/>
        <w:rPr>
          <w:sz w:val="24"/>
        </w:rPr>
      </w:pPr>
      <w:r>
        <w:rPr>
          <w:kern w:val="0"/>
          <w:sz w:val="24"/>
          <w:u w:val="single"/>
        </w:rPr>
        <w:t>海南泰尚项目投资管理有限公司</w:t>
      </w:r>
      <w:r>
        <w:rPr>
          <w:sz w:val="24"/>
        </w:rPr>
        <w:t>：</w:t>
      </w:r>
    </w:p>
    <w:p>
      <w:pPr>
        <w:spacing w:line="360" w:lineRule="auto"/>
        <w:ind w:firstLine="480" w:firstLineChars="200"/>
        <w:rPr>
          <w:sz w:val="24"/>
        </w:rPr>
      </w:pPr>
      <w:r>
        <w:rPr>
          <w:sz w:val="24"/>
        </w:rPr>
        <w:t>本授权声明：（投标人名称）（法定代表人姓名、职务）授权（被授权人姓名、职务）为我方 “</w:t>
      </w:r>
      <w:r>
        <w:rPr>
          <w:rFonts w:hint="eastAsia"/>
          <w:sz w:val="24"/>
          <w:lang w:eastAsia="zh-CN"/>
        </w:rPr>
        <w:t>音乐舞蹈专业实训设备购置</w:t>
      </w:r>
      <w:r>
        <w:rPr>
          <w:rFonts w:hint="eastAsia"/>
          <w:bCs/>
          <w:kern w:val="0"/>
          <w:sz w:val="24"/>
          <w:lang w:eastAsia="zh-CN"/>
        </w:rPr>
        <w:t>（二次招标）</w:t>
      </w:r>
      <w:r>
        <w:rPr>
          <w:sz w:val="24"/>
        </w:rPr>
        <w:t>” 项目（招标编号：</w:t>
      </w:r>
      <w:r>
        <w:rPr>
          <w:rFonts w:hint="eastAsia"/>
          <w:b/>
          <w:sz w:val="24"/>
          <w:lang w:eastAsia="zh-CN"/>
        </w:rPr>
        <w:t>TSC2018-93</w:t>
      </w:r>
      <w:r>
        <w:rPr>
          <w:sz w:val="24"/>
        </w:rPr>
        <w:t>）投标活动的合法代表，以我方名义全权处理该项目有关投标、签订合同以及执行合同等一切事宜。</w:t>
      </w:r>
    </w:p>
    <w:p>
      <w:pPr>
        <w:spacing w:line="360" w:lineRule="auto"/>
        <w:ind w:firstLine="480" w:firstLineChars="200"/>
        <w:rPr>
          <w:sz w:val="24"/>
        </w:rPr>
      </w:pPr>
      <w:r>
        <w:rPr>
          <w:sz w:val="24"/>
        </w:rPr>
        <w:t>特此声明。</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法定代表人签字：</w:t>
      </w:r>
    </w:p>
    <w:p>
      <w:pPr>
        <w:spacing w:line="360" w:lineRule="auto"/>
        <w:ind w:firstLine="480" w:firstLineChars="200"/>
        <w:rPr>
          <w:sz w:val="24"/>
        </w:rPr>
      </w:pPr>
      <w:r>
        <w:rPr>
          <w:sz w:val="24"/>
        </w:rPr>
        <w:t>授权代表签字：</w:t>
      </w:r>
    </w:p>
    <w:p>
      <w:pPr>
        <w:spacing w:line="360" w:lineRule="auto"/>
        <w:ind w:firstLine="480" w:firstLineChars="200"/>
        <w:rPr>
          <w:sz w:val="24"/>
        </w:rPr>
      </w:pPr>
      <w:r>
        <w:rPr>
          <w:sz w:val="24"/>
        </w:rPr>
        <w:t>投标人名称：         （盖章）</w:t>
      </w:r>
    </w:p>
    <w:p>
      <w:pPr>
        <w:spacing w:line="360" w:lineRule="auto"/>
        <w:ind w:firstLine="480" w:firstLineChars="200"/>
        <w:rPr>
          <w:sz w:val="24"/>
        </w:rPr>
      </w:pPr>
      <w:r>
        <w:rPr>
          <w:sz w:val="24"/>
        </w:rPr>
        <w:t>日    期：</w:t>
      </w:r>
    </w:p>
    <w:p>
      <w:pPr>
        <w:spacing w:line="360" w:lineRule="auto"/>
        <w:rPr>
          <w:sz w:val="32"/>
        </w:rPr>
      </w:pPr>
    </w:p>
    <w:p>
      <w:pPr>
        <w:spacing w:line="360" w:lineRule="auto"/>
        <w:rPr>
          <w:b/>
          <w:sz w:val="28"/>
          <w:szCs w:val="28"/>
        </w:rPr>
      </w:pPr>
    </w:p>
    <w:p>
      <w:pPr>
        <w:spacing w:line="360" w:lineRule="auto"/>
        <w:rPr>
          <w:b/>
          <w:sz w:val="28"/>
          <w:szCs w:val="28"/>
        </w:rPr>
      </w:pPr>
      <w:r>
        <w:rPr>
          <w:sz w:val="32"/>
        </w:rPr>
        <w:pict>
          <v:rect id="Rectangle 3" o:spid="_x0000_s1026" o:spt="1" style="position:absolute;left:0pt;margin-left:238.8pt;margin-top:9.85pt;height:150.4pt;width:225pt;z-index:251660288;mso-width-relative:page;mso-height-relative:page;" coordsize="21600,21600" o:gfxdata="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gYRY92AAAAAoBAAAP&#10;AAAAAAAAAAEAIAAAACIAAABkcnMvZG93bnJldi54bWxQSwECFAAUAAAACACHTuJAXaz/khgCAAA+&#10;BAAADgAAAAAAAAABACAAAAAnAQAAZHJzL2Uyb0RvYy54bWxQSwUGAAAAAAYABgBZAQAAsQUAAAAA&#10;">
            <v:path/>
            <v:fill focussize="0,0"/>
            <v:stroke/>
            <v:imagedata o:title=""/>
            <o:lock v:ext="edit"/>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sz w:val="28"/>
                    </w:rPr>
                  </w:pPr>
                  <w:r>
                    <w:rPr>
                      <w:rFonts w:hint="eastAsia" w:eastAsia="华文中宋"/>
                      <w:b/>
                      <w:sz w:val="28"/>
                    </w:rPr>
                    <w:t>居民身份证复印件粘贴处</w:t>
                  </w:r>
                </w:p>
              </w:txbxContent>
            </v:textbox>
          </v:rect>
        </w:pict>
      </w:r>
      <w:r>
        <w:rPr>
          <w:sz w:val="32"/>
        </w:rPr>
        <w:pict>
          <v:rect id="Rectangle 2" o:spid="_x0000_s2050" o:spt="1" style="position:absolute;left:0pt;margin-left:-5.7pt;margin-top:9.85pt;height:150.4pt;width:234pt;z-index:251659264;mso-width-relative:page;mso-height-relative:page;" coordsize="21600,21600" o:gfxdata="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NlOSTZAAAACgEA&#10;AA8AAAAAAAAAAQAgAAAAIgAAAGRycy9kb3ducmV2LnhtbFBLAQIUABQAAAAIAIdO4kAswdGEGQIA&#10;AD4EAAAOAAAAAAAAAAEAIAAAACgBAABkcnMvZTJvRG9jLnhtbFBLBQYAAAAABgAGAFkBAACzBQAA&#10;AAA=&#10;">
            <v:path/>
            <v:fill focussize="0,0"/>
            <v:stroke/>
            <v:imagedata o:title=""/>
            <o:lock v:ext="edit"/>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法定代表人</w:t>
                  </w:r>
                </w:p>
                <w:p>
                  <w:pPr>
                    <w:ind w:left="-1079" w:leftChars="-514"/>
                    <w:jc w:val="center"/>
                    <w:rPr>
                      <w:rFonts w:eastAsia="华文中宋"/>
                      <w:sz w:val="28"/>
                    </w:rPr>
                  </w:pPr>
                  <w:r>
                    <w:rPr>
                      <w:rFonts w:hint="eastAsia" w:eastAsia="华文中宋"/>
                      <w:b/>
                      <w:sz w:val="28"/>
                    </w:rPr>
                    <w:t>居民身份证复印件粘贴处</w:t>
                  </w:r>
                </w:p>
              </w:txbxContent>
            </v:textbox>
          </v:rect>
        </w:pict>
      </w: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jc w:val="center"/>
        <w:rPr>
          <w:b/>
          <w:bCs/>
          <w:color w:val="000000"/>
          <w:sz w:val="32"/>
          <w:szCs w:val="32"/>
        </w:rPr>
      </w:pPr>
      <w:bookmarkStart w:id="64" w:name="_Toc457307502"/>
      <w:r>
        <w:rPr>
          <w:b/>
          <w:color w:val="000000"/>
          <w:sz w:val="32"/>
          <w:szCs w:val="32"/>
        </w:rPr>
        <w:t>表</w:t>
      </w:r>
      <w:r>
        <w:rPr>
          <w:rFonts w:hint="eastAsia"/>
          <w:b/>
          <w:color w:val="000000"/>
          <w:sz w:val="32"/>
          <w:szCs w:val="32"/>
        </w:rPr>
        <w:t>6、</w:t>
      </w:r>
      <w:r>
        <w:rPr>
          <w:b/>
          <w:bCs/>
          <w:color w:val="000000"/>
          <w:sz w:val="32"/>
          <w:szCs w:val="32"/>
        </w:rPr>
        <w:t>投标人基本情况表</w:t>
      </w:r>
    </w:p>
    <w:p>
      <w:pPr>
        <w:autoSpaceDE w:val="0"/>
        <w:autoSpaceDN w:val="0"/>
        <w:adjustRightInd w:val="0"/>
        <w:spacing w:beforeLines="50" w:afterLines="50" w:line="400" w:lineRule="exact"/>
        <w:jc w:val="center"/>
        <w:rPr>
          <w:color w:val="000000"/>
          <w:sz w:val="20"/>
        </w:rPr>
      </w:pPr>
    </w:p>
    <w:tbl>
      <w:tblPr>
        <w:tblStyle w:val="31"/>
        <w:tblW w:w="8758"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03"/>
        <w:gridCol w:w="972"/>
        <w:gridCol w:w="1206"/>
        <w:gridCol w:w="1255"/>
        <w:gridCol w:w="1332"/>
        <w:gridCol w:w="397"/>
        <w:gridCol w:w="1017"/>
        <w:gridCol w:w="107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57" w:hRule="atLeast"/>
          <w:jc w:val="center"/>
        </w:trPr>
        <w:tc>
          <w:tcPr>
            <w:tcW w:w="1503" w:type="dxa"/>
            <w:vAlign w:val="center"/>
          </w:tcPr>
          <w:p>
            <w:pPr>
              <w:autoSpaceDE w:val="0"/>
              <w:autoSpaceDN w:val="0"/>
              <w:adjustRightInd w:val="0"/>
              <w:spacing w:line="400" w:lineRule="exact"/>
              <w:jc w:val="center"/>
              <w:rPr>
                <w:color w:val="000000"/>
                <w:sz w:val="24"/>
              </w:rPr>
            </w:pPr>
            <w:r>
              <w:rPr>
                <w:color w:val="000000"/>
                <w:sz w:val="24"/>
              </w:rPr>
              <w:t>投标人名称</w:t>
            </w:r>
          </w:p>
        </w:tc>
        <w:tc>
          <w:tcPr>
            <w:tcW w:w="7255" w:type="dxa"/>
            <w:gridSpan w:val="7"/>
            <w:vAlign w:val="center"/>
          </w:tcPr>
          <w:p>
            <w:pPr>
              <w:autoSpaceDE w:val="0"/>
              <w:autoSpaceDN w:val="0"/>
              <w:adjustRightInd w:val="0"/>
              <w:spacing w:line="400" w:lineRule="exact"/>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9" w:hRule="atLeast"/>
          <w:jc w:val="center"/>
        </w:trPr>
        <w:tc>
          <w:tcPr>
            <w:tcW w:w="1503" w:type="dxa"/>
            <w:vAlign w:val="center"/>
          </w:tcPr>
          <w:p>
            <w:pPr>
              <w:autoSpaceDE w:val="0"/>
              <w:autoSpaceDN w:val="0"/>
              <w:adjustRightInd w:val="0"/>
              <w:spacing w:line="400" w:lineRule="exact"/>
              <w:jc w:val="center"/>
              <w:rPr>
                <w:color w:val="000000"/>
                <w:sz w:val="24"/>
              </w:rPr>
            </w:pPr>
            <w:r>
              <w:rPr>
                <w:color w:val="000000"/>
                <w:sz w:val="24"/>
              </w:rPr>
              <w:t>联系方式</w:t>
            </w:r>
          </w:p>
        </w:tc>
        <w:tc>
          <w:tcPr>
            <w:tcW w:w="972" w:type="dxa"/>
            <w:vAlign w:val="center"/>
          </w:tcPr>
          <w:p>
            <w:pPr>
              <w:autoSpaceDE w:val="0"/>
              <w:autoSpaceDN w:val="0"/>
              <w:adjustRightInd w:val="0"/>
              <w:spacing w:line="400" w:lineRule="exact"/>
              <w:jc w:val="center"/>
              <w:rPr>
                <w:color w:val="000000"/>
                <w:sz w:val="24"/>
              </w:rPr>
            </w:pPr>
            <w:r>
              <w:rPr>
                <w:color w:val="000000"/>
                <w:sz w:val="24"/>
              </w:rPr>
              <w:t>联系人</w:t>
            </w:r>
          </w:p>
        </w:tc>
        <w:tc>
          <w:tcPr>
            <w:tcW w:w="2461" w:type="dxa"/>
            <w:gridSpan w:val="2"/>
            <w:vAlign w:val="center"/>
          </w:tcPr>
          <w:p>
            <w:pPr>
              <w:autoSpaceDE w:val="0"/>
              <w:autoSpaceDN w:val="0"/>
              <w:adjustRightInd w:val="0"/>
              <w:spacing w:line="400" w:lineRule="exact"/>
              <w:jc w:val="center"/>
              <w:rPr>
                <w:color w:val="000000"/>
                <w:sz w:val="24"/>
              </w:rPr>
            </w:pPr>
          </w:p>
        </w:tc>
        <w:tc>
          <w:tcPr>
            <w:tcW w:w="1332" w:type="dxa"/>
            <w:vAlign w:val="center"/>
          </w:tcPr>
          <w:p>
            <w:pPr>
              <w:autoSpaceDE w:val="0"/>
              <w:autoSpaceDN w:val="0"/>
              <w:adjustRightInd w:val="0"/>
              <w:spacing w:line="400" w:lineRule="exact"/>
              <w:jc w:val="center"/>
              <w:rPr>
                <w:color w:val="000000"/>
                <w:sz w:val="24"/>
              </w:rPr>
            </w:pPr>
            <w:r>
              <w:rPr>
                <w:color w:val="000000"/>
                <w:sz w:val="24"/>
              </w:rPr>
              <w:t>电话</w:t>
            </w:r>
          </w:p>
        </w:tc>
        <w:tc>
          <w:tcPr>
            <w:tcW w:w="2490" w:type="dxa"/>
            <w:gridSpan w:val="3"/>
            <w:vAlign w:val="center"/>
          </w:tcPr>
          <w:p>
            <w:pPr>
              <w:autoSpaceDE w:val="0"/>
              <w:autoSpaceDN w:val="0"/>
              <w:adjustRightInd w:val="0"/>
              <w:spacing w:line="400" w:lineRule="exact"/>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jc w:val="center"/>
        </w:trPr>
        <w:tc>
          <w:tcPr>
            <w:tcW w:w="1503" w:type="dxa"/>
            <w:vAlign w:val="center"/>
          </w:tcPr>
          <w:p>
            <w:pPr>
              <w:autoSpaceDE w:val="0"/>
              <w:autoSpaceDN w:val="0"/>
              <w:adjustRightInd w:val="0"/>
              <w:spacing w:line="400" w:lineRule="exact"/>
              <w:jc w:val="center"/>
              <w:rPr>
                <w:color w:val="000000"/>
                <w:sz w:val="24"/>
              </w:rPr>
            </w:pPr>
            <w:r>
              <w:rPr>
                <w:color w:val="000000"/>
                <w:sz w:val="24"/>
              </w:rPr>
              <w:t>法定代表人</w:t>
            </w:r>
          </w:p>
        </w:tc>
        <w:tc>
          <w:tcPr>
            <w:tcW w:w="972" w:type="dxa"/>
            <w:vAlign w:val="center"/>
          </w:tcPr>
          <w:p>
            <w:pPr>
              <w:autoSpaceDE w:val="0"/>
              <w:autoSpaceDN w:val="0"/>
              <w:adjustRightInd w:val="0"/>
              <w:spacing w:line="400" w:lineRule="exact"/>
              <w:jc w:val="center"/>
              <w:rPr>
                <w:color w:val="000000"/>
                <w:sz w:val="24"/>
              </w:rPr>
            </w:pPr>
            <w:r>
              <w:rPr>
                <w:color w:val="000000"/>
                <w:sz w:val="24"/>
              </w:rPr>
              <w:t>姓名</w:t>
            </w:r>
          </w:p>
        </w:tc>
        <w:tc>
          <w:tcPr>
            <w:tcW w:w="1206" w:type="dxa"/>
            <w:vAlign w:val="center"/>
          </w:tcPr>
          <w:p>
            <w:pPr>
              <w:autoSpaceDE w:val="0"/>
              <w:autoSpaceDN w:val="0"/>
              <w:adjustRightInd w:val="0"/>
              <w:spacing w:line="400" w:lineRule="exact"/>
              <w:jc w:val="center"/>
              <w:rPr>
                <w:color w:val="000000"/>
                <w:sz w:val="24"/>
              </w:rPr>
            </w:pPr>
          </w:p>
        </w:tc>
        <w:tc>
          <w:tcPr>
            <w:tcW w:w="1255" w:type="dxa"/>
            <w:vAlign w:val="center"/>
          </w:tcPr>
          <w:p>
            <w:pPr>
              <w:autoSpaceDE w:val="0"/>
              <w:autoSpaceDN w:val="0"/>
              <w:adjustRightInd w:val="0"/>
              <w:spacing w:line="400" w:lineRule="exact"/>
              <w:jc w:val="center"/>
              <w:rPr>
                <w:color w:val="000000"/>
                <w:sz w:val="24"/>
              </w:rPr>
            </w:pPr>
            <w:r>
              <w:rPr>
                <w:color w:val="000000"/>
                <w:sz w:val="24"/>
              </w:rPr>
              <w:t>技术职称</w:t>
            </w:r>
          </w:p>
        </w:tc>
        <w:tc>
          <w:tcPr>
            <w:tcW w:w="1332" w:type="dxa"/>
            <w:vAlign w:val="center"/>
          </w:tcPr>
          <w:p>
            <w:pPr>
              <w:autoSpaceDE w:val="0"/>
              <w:autoSpaceDN w:val="0"/>
              <w:adjustRightInd w:val="0"/>
              <w:spacing w:line="400" w:lineRule="exact"/>
              <w:jc w:val="center"/>
              <w:rPr>
                <w:color w:val="000000"/>
                <w:sz w:val="24"/>
              </w:rPr>
            </w:pPr>
          </w:p>
        </w:tc>
        <w:tc>
          <w:tcPr>
            <w:tcW w:w="1414" w:type="dxa"/>
            <w:gridSpan w:val="2"/>
            <w:vAlign w:val="center"/>
          </w:tcPr>
          <w:p>
            <w:pPr>
              <w:autoSpaceDE w:val="0"/>
              <w:autoSpaceDN w:val="0"/>
              <w:adjustRightInd w:val="0"/>
              <w:spacing w:line="400" w:lineRule="exact"/>
              <w:jc w:val="center"/>
              <w:rPr>
                <w:color w:val="000000"/>
                <w:sz w:val="24"/>
              </w:rPr>
            </w:pPr>
            <w:r>
              <w:rPr>
                <w:color w:val="000000"/>
                <w:sz w:val="24"/>
              </w:rPr>
              <w:t>电话</w:t>
            </w:r>
          </w:p>
        </w:tc>
        <w:tc>
          <w:tcPr>
            <w:tcW w:w="1076" w:type="dxa"/>
            <w:vAlign w:val="center"/>
          </w:tcPr>
          <w:p>
            <w:pPr>
              <w:autoSpaceDE w:val="0"/>
              <w:autoSpaceDN w:val="0"/>
              <w:adjustRightInd w:val="0"/>
              <w:spacing w:line="400" w:lineRule="exact"/>
              <w:jc w:val="center"/>
              <w:rPr>
                <w:b/>
                <w:bCs/>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1" w:hRule="atLeast"/>
          <w:jc w:val="center"/>
        </w:trPr>
        <w:tc>
          <w:tcPr>
            <w:tcW w:w="1503" w:type="dxa"/>
            <w:vAlign w:val="center"/>
          </w:tcPr>
          <w:p>
            <w:pPr>
              <w:autoSpaceDE w:val="0"/>
              <w:autoSpaceDN w:val="0"/>
              <w:adjustRightInd w:val="0"/>
              <w:spacing w:line="400" w:lineRule="exact"/>
              <w:jc w:val="center"/>
              <w:rPr>
                <w:color w:val="000000"/>
                <w:sz w:val="24"/>
              </w:rPr>
            </w:pPr>
            <w:r>
              <w:rPr>
                <w:color w:val="000000"/>
                <w:sz w:val="24"/>
              </w:rPr>
              <w:t>成立时间</w:t>
            </w:r>
          </w:p>
        </w:tc>
        <w:tc>
          <w:tcPr>
            <w:tcW w:w="2178" w:type="dxa"/>
            <w:gridSpan w:val="2"/>
            <w:vAlign w:val="center"/>
          </w:tcPr>
          <w:p>
            <w:pPr>
              <w:autoSpaceDE w:val="0"/>
              <w:autoSpaceDN w:val="0"/>
              <w:adjustRightInd w:val="0"/>
              <w:spacing w:line="400" w:lineRule="exact"/>
              <w:jc w:val="center"/>
              <w:rPr>
                <w:color w:val="000000"/>
                <w:sz w:val="24"/>
              </w:rPr>
            </w:pPr>
          </w:p>
        </w:tc>
        <w:tc>
          <w:tcPr>
            <w:tcW w:w="5077" w:type="dxa"/>
            <w:gridSpan w:val="5"/>
            <w:vAlign w:val="center"/>
          </w:tcPr>
          <w:p>
            <w:pPr>
              <w:autoSpaceDE w:val="0"/>
              <w:autoSpaceDN w:val="0"/>
              <w:adjustRightInd w:val="0"/>
              <w:spacing w:line="400" w:lineRule="exact"/>
              <w:ind w:firstLine="1680" w:firstLineChars="700"/>
              <w:rPr>
                <w:color w:val="000000"/>
                <w:sz w:val="24"/>
              </w:rPr>
            </w:pPr>
            <w:r>
              <w:rPr>
                <w:color w:val="000000"/>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01" w:hRule="atLeast"/>
          <w:jc w:val="center"/>
        </w:trPr>
        <w:tc>
          <w:tcPr>
            <w:tcW w:w="1503" w:type="dxa"/>
            <w:vAlign w:val="center"/>
          </w:tcPr>
          <w:p>
            <w:pPr>
              <w:autoSpaceDE w:val="0"/>
              <w:autoSpaceDN w:val="0"/>
              <w:adjustRightInd w:val="0"/>
              <w:spacing w:line="400" w:lineRule="exact"/>
              <w:jc w:val="center"/>
              <w:rPr>
                <w:color w:val="000000"/>
                <w:sz w:val="24"/>
              </w:rPr>
            </w:pPr>
            <w:r>
              <w:rPr>
                <w:color w:val="000000"/>
                <w:sz w:val="24"/>
              </w:rPr>
              <w:t>营业执照号</w:t>
            </w:r>
          </w:p>
        </w:tc>
        <w:tc>
          <w:tcPr>
            <w:tcW w:w="2178" w:type="dxa"/>
            <w:gridSpan w:val="2"/>
            <w:vAlign w:val="center"/>
          </w:tcPr>
          <w:p>
            <w:pPr>
              <w:autoSpaceDE w:val="0"/>
              <w:autoSpaceDN w:val="0"/>
              <w:adjustRightInd w:val="0"/>
              <w:spacing w:line="400" w:lineRule="exact"/>
              <w:jc w:val="center"/>
              <w:rPr>
                <w:color w:val="000000"/>
                <w:sz w:val="24"/>
              </w:rPr>
            </w:pPr>
          </w:p>
        </w:tc>
        <w:tc>
          <w:tcPr>
            <w:tcW w:w="1255" w:type="dxa"/>
            <w:vMerge w:val="restart"/>
            <w:vAlign w:val="center"/>
          </w:tcPr>
          <w:p>
            <w:pPr>
              <w:autoSpaceDE w:val="0"/>
              <w:autoSpaceDN w:val="0"/>
              <w:adjustRightInd w:val="0"/>
              <w:spacing w:line="400" w:lineRule="exact"/>
              <w:jc w:val="center"/>
              <w:rPr>
                <w:color w:val="000000"/>
                <w:sz w:val="24"/>
              </w:rPr>
            </w:pPr>
          </w:p>
        </w:tc>
        <w:tc>
          <w:tcPr>
            <w:tcW w:w="1729" w:type="dxa"/>
            <w:gridSpan w:val="2"/>
            <w:vAlign w:val="center"/>
          </w:tcPr>
          <w:p>
            <w:pPr>
              <w:autoSpaceDE w:val="0"/>
              <w:autoSpaceDN w:val="0"/>
              <w:adjustRightInd w:val="0"/>
              <w:spacing w:line="400" w:lineRule="exact"/>
              <w:jc w:val="center"/>
              <w:rPr>
                <w:color w:val="000000"/>
                <w:sz w:val="24"/>
              </w:rPr>
            </w:pPr>
            <w:r>
              <w:rPr>
                <w:color w:val="000000"/>
                <w:sz w:val="24"/>
              </w:rPr>
              <w:t>高级职称人员</w:t>
            </w:r>
          </w:p>
        </w:tc>
        <w:tc>
          <w:tcPr>
            <w:tcW w:w="2093" w:type="dxa"/>
            <w:gridSpan w:val="2"/>
            <w:vAlign w:val="center"/>
          </w:tcPr>
          <w:p>
            <w:pPr>
              <w:autoSpaceDE w:val="0"/>
              <w:autoSpaceDN w:val="0"/>
              <w:adjustRightInd w:val="0"/>
              <w:spacing w:line="400" w:lineRule="exact"/>
              <w:jc w:val="center"/>
              <w:rPr>
                <w:b/>
                <w:bCs/>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3" w:hRule="atLeast"/>
          <w:jc w:val="center"/>
        </w:trPr>
        <w:tc>
          <w:tcPr>
            <w:tcW w:w="1503" w:type="dxa"/>
            <w:vAlign w:val="center"/>
          </w:tcPr>
          <w:p>
            <w:pPr>
              <w:autoSpaceDE w:val="0"/>
              <w:autoSpaceDN w:val="0"/>
              <w:adjustRightInd w:val="0"/>
              <w:spacing w:line="400" w:lineRule="exact"/>
              <w:jc w:val="center"/>
              <w:rPr>
                <w:color w:val="000000"/>
                <w:sz w:val="24"/>
              </w:rPr>
            </w:pPr>
            <w:r>
              <w:rPr>
                <w:color w:val="000000"/>
                <w:sz w:val="24"/>
              </w:rPr>
              <w:t>注册资金</w:t>
            </w:r>
          </w:p>
        </w:tc>
        <w:tc>
          <w:tcPr>
            <w:tcW w:w="2178" w:type="dxa"/>
            <w:gridSpan w:val="2"/>
            <w:vAlign w:val="center"/>
          </w:tcPr>
          <w:p>
            <w:pPr>
              <w:autoSpaceDE w:val="0"/>
              <w:autoSpaceDN w:val="0"/>
              <w:adjustRightInd w:val="0"/>
              <w:spacing w:line="400" w:lineRule="exact"/>
              <w:jc w:val="center"/>
              <w:rPr>
                <w:color w:val="000000"/>
                <w:sz w:val="24"/>
              </w:rPr>
            </w:pPr>
          </w:p>
        </w:tc>
        <w:tc>
          <w:tcPr>
            <w:tcW w:w="1255" w:type="dxa"/>
            <w:vMerge w:val="continue"/>
            <w:vAlign w:val="center"/>
          </w:tcPr>
          <w:p>
            <w:pPr>
              <w:autoSpaceDE w:val="0"/>
              <w:autoSpaceDN w:val="0"/>
              <w:adjustRightInd w:val="0"/>
              <w:spacing w:line="400" w:lineRule="exact"/>
              <w:jc w:val="center"/>
              <w:rPr>
                <w:color w:val="000000"/>
                <w:sz w:val="24"/>
              </w:rPr>
            </w:pPr>
          </w:p>
        </w:tc>
        <w:tc>
          <w:tcPr>
            <w:tcW w:w="1729" w:type="dxa"/>
            <w:gridSpan w:val="2"/>
            <w:vAlign w:val="center"/>
          </w:tcPr>
          <w:p>
            <w:pPr>
              <w:autoSpaceDE w:val="0"/>
              <w:autoSpaceDN w:val="0"/>
              <w:adjustRightInd w:val="0"/>
              <w:spacing w:line="400" w:lineRule="exact"/>
              <w:jc w:val="center"/>
              <w:rPr>
                <w:color w:val="000000"/>
                <w:sz w:val="24"/>
              </w:rPr>
            </w:pPr>
            <w:r>
              <w:rPr>
                <w:color w:val="000000"/>
                <w:sz w:val="24"/>
              </w:rPr>
              <w:t>中级职称人员</w:t>
            </w:r>
          </w:p>
        </w:tc>
        <w:tc>
          <w:tcPr>
            <w:tcW w:w="2093" w:type="dxa"/>
            <w:gridSpan w:val="2"/>
            <w:vAlign w:val="center"/>
          </w:tcPr>
          <w:p>
            <w:pPr>
              <w:autoSpaceDE w:val="0"/>
              <w:autoSpaceDN w:val="0"/>
              <w:adjustRightInd w:val="0"/>
              <w:spacing w:line="400" w:lineRule="exact"/>
              <w:jc w:val="center"/>
              <w:rPr>
                <w:b/>
                <w:bCs/>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03" w:type="dxa"/>
          </w:tcPr>
          <w:p>
            <w:pPr>
              <w:autoSpaceDE w:val="0"/>
              <w:autoSpaceDN w:val="0"/>
              <w:adjustRightInd w:val="0"/>
              <w:spacing w:line="400" w:lineRule="exact"/>
              <w:jc w:val="center"/>
              <w:rPr>
                <w:color w:val="000000"/>
                <w:sz w:val="24"/>
              </w:rPr>
            </w:pPr>
            <w:r>
              <w:rPr>
                <w:color w:val="000000"/>
                <w:sz w:val="24"/>
              </w:rPr>
              <w:t>备注</w:t>
            </w:r>
          </w:p>
        </w:tc>
        <w:tc>
          <w:tcPr>
            <w:tcW w:w="7255" w:type="dxa"/>
            <w:gridSpan w:val="7"/>
          </w:tcPr>
          <w:p>
            <w:pPr>
              <w:autoSpaceDE w:val="0"/>
              <w:autoSpaceDN w:val="0"/>
              <w:adjustRightInd w:val="0"/>
              <w:spacing w:line="400" w:lineRule="exact"/>
              <w:rPr>
                <w:color w:val="000000"/>
                <w:sz w:val="24"/>
              </w:rPr>
            </w:pPr>
          </w:p>
        </w:tc>
      </w:tr>
    </w:tbl>
    <w:p>
      <w:pPr>
        <w:rPr>
          <w:color w:val="000000"/>
        </w:rPr>
      </w:pPr>
    </w:p>
    <w:p>
      <w:pPr>
        <w:adjustRightInd w:val="0"/>
        <w:spacing w:line="480" w:lineRule="auto"/>
        <w:ind w:firstLine="420" w:firstLineChars="175"/>
        <w:rPr>
          <w:bCs/>
          <w:color w:val="000000"/>
          <w:sz w:val="24"/>
        </w:rPr>
      </w:pPr>
    </w:p>
    <w:p>
      <w:pPr>
        <w:adjustRightInd w:val="0"/>
        <w:spacing w:line="480" w:lineRule="auto"/>
        <w:ind w:firstLine="420" w:firstLineChars="175"/>
        <w:rPr>
          <w:bCs/>
          <w:color w:val="000000"/>
          <w:sz w:val="24"/>
        </w:rPr>
      </w:pPr>
    </w:p>
    <w:p>
      <w:pPr>
        <w:adjustRightInd w:val="0"/>
        <w:spacing w:line="480" w:lineRule="auto"/>
        <w:ind w:firstLine="420" w:firstLineChars="175"/>
        <w:rPr>
          <w:bCs/>
          <w:color w:val="000000"/>
          <w:sz w:val="24"/>
        </w:rPr>
      </w:pPr>
    </w:p>
    <w:p>
      <w:pPr>
        <w:adjustRightInd w:val="0"/>
        <w:spacing w:line="480" w:lineRule="auto"/>
        <w:ind w:firstLine="420" w:firstLineChars="175"/>
        <w:rPr>
          <w:bCs/>
          <w:color w:val="000000"/>
          <w:sz w:val="24"/>
        </w:rPr>
      </w:pPr>
      <w:r>
        <w:rPr>
          <w:bCs/>
          <w:color w:val="000000"/>
          <w:sz w:val="24"/>
        </w:rPr>
        <w:t>投标人名称：        （盖章）</w:t>
      </w:r>
    </w:p>
    <w:p>
      <w:pPr>
        <w:adjustRightInd w:val="0"/>
        <w:spacing w:line="480" w:lineRule="auto"/>
        <w:ind w:firstLine="420" w:firstLineChars="175"/>
        <w:rPr>
          <w:bCs/>
          <w:color w:val="000000"/>
          <w:sz w:val="24"/>
        </w:rPr>
      </w:pPr>
      <w:r>
        <w:rPr>
          <w:bCs/>
          <w:color w:val="000000"/>
          <w:sz w:val="24"/>
        </w:rPr>
        <w:t>法定代表人或授权代表（签字）：</w:t>
      </w:r>
    </w:p>
    <w:p>
      <w:pPr>
        <w:adjustRightInd w:val="0"/>
        <w:spacing w:line="480" w:lineRule="auto"/>
        <w:ind w:firstLine="420" w:firstLineChars="175"/>
        <w:rPr>
          <w:bCs/>
          <w:color w:val="000000"/>
          <w:sz w:val="24"/>
        </w:rPr>
      </w:pPr>
      <w:r>
        <w:rPr>
          <w:bCs/>
          <w:color w:val="000000"/>
          <w:sz w:val="24"/>
        </w:rPr>
        <w:t>投标日期:</w:t>
      </w:r>
    </w:p>
    <w:p>
      <w:pPr>
        <w:adjustRightInd w:val="0"/>
        <w:spacing w:line="480" w:lineRule="auto"/>
        <w:ind w:firstLine="420" w:firstLineChars="175"/>
        <w:rPr>
          <w:bCs/>
          <w:color w:val="000000"/>
          <w:sz w:val="24"/>
        </w:rPr>
      </w:pPr>
    </w:p>
    <w:p>
      <w:pPr>
        <w:adjustRightInd w:val="0"/>
        <w:spacing w:line="480" w:lineRule="auto"/>
        <w:ind w:firstLine="420" w:firstLineChars="175"/>
        <w:rPr>
          <w:bCs/>
          <w:color w:val="000000"/>
          <w:sz w:val="24"/>
        </w:rPr>
      </w:pPr>
    </w:p>
    <w:p>
      <w:pPr>
        <w:adjustRightInd w:val="0"/>
        <w:spacing w:line="480" w:lineRule="auto"/>
        <w:ind w:firstLine="420" w:firstLineChars="175"/>
        <w:rPr>
          <w:bCs/>
          <w:color w:val="000000"/>
          <w:sz w:val="24"/>
        </w:rPr>
      </w:pPr>
    </w:p>
    <w:p>
      <w:pPr>
        <w:shd w:val="solid" w:color="FFFFFF" w:fill="auto"/>
        <w:autoSpaceDN w:val="0"/>
        <w:spacing w:line="480" w:lineRule="auto"/>
        <w:rPr>
          <w:rFonts w:eastAsia="华文中宋"/>
          <w:sz w:val="24"/>
          <w:shd w:val="clear" w:color="auto" w:fill="FFFFFF"/>
        </w:rPr>
      </w:pPr>
    </w:p>
    <w:p>
      <w:pPr>
        <w:pStyle w:val="2"/>
        <w:rPr>
          <w:rFonts w:eastAsia="华文中宋"/>
          <w:sz w:val="24"/>
          <w:shd w:val="clear" w:color="auto" w:fill="FFFFFF"/>
        </w:rPr>
      </w:pPr>
    </w:p>
    <w:p>
      <w:pPr>
        <w:pStyle w:val="2"/>
        <w:rPr>
          <w:rFonts w:eastAsia="华文中宋"/>
          <w:sz w:val="24"/>
          <w:shd w:val="clear" w:color="auto" w:fill="FFFFFF"/>
        </w:rPr>
      </w:pPr>
    </w:p>
    <w:p>
      <w:pPr>
        <w:spacing w:line="360" w:lineRule="auto"/>
        <w:jc w:val="center"/>
        <w:rPr>
          <w:rFonts w:eastAsia="黑体"/>
          <w:b/>
          <w:sz w:val="32"/>
          <w:szCs w:val="28"/>
        </w:rPr>
      </w:pPr>
      <w:r>
        <w:rPr>
          <w:rFonts w:eastAsia="黑体"/>
          <w:b/>
          <w:sz w:val="32"/>
          <w:szCs w:val="28"/>
        </w:rPr>
        <w:t>表</w:t>
      </w:r>
      <w:r>
        <w:rPr>
          <w:rFonts w:hint="eastAsia" w:eastAsia="黑体"/>
          <w:b/>
          <w:sz w:val="32"/>
          <w:szCs w:val="28"/>
          <w:lang w:val="en-US" w:eastAsia="zh-CN"/>
        </w:rPr>
        <w:t>7</w:t>
      </w:r>
      <w:r>
        <w:rPr>
          <w:rFonts w:hint="eastAsia" w:eastAsia="黑体"/>
          <w:b/>
          <w:sz w:val="32"/>
          <w:szCs w:val="28"/>
        </w:rPr>
        <w:t>、</w:t>
      </w:r>
      <w:r>
        <w:rPr>
          <w:rFonts w:eastAsia="黑体"/>
          <w:b/>
          <w:sz w:val="32"/>
          <w:szCs w:val="28"/>
        </w:rPr>
        <w:t>近三年无重大违法记录声明函</w:t>
      </w:r>
    </w:p>
    <w:bookmarkEnd w:id="64"/>
    <w:p>
      <w:pPr>
        <w:spacing w:line="360" w:lineRule="auto"/>
        <w:ind w:right="480"/>
        <w:jc w:val="center"/>
        <w:rPr>
          <w:b/>
        </w:rPr>
      </w:pPr>
      <w:bookmarkStart w:id="65" w:name="_Toc217446085"/>
    </w:p>
    <w:p>
      <w:pPr>
        <w:spacing w:line="360" w:lineRule="auto"/>
        <w:rPr>
          <w:sz w:val="24"/>
        </w:rPr>
      </w:pPr>
      <w:r>
        <w:rPr>
          <w:sz w:val="24"/>
        </w:rPr>
        <w:t>致</w:t>
      </w:r>
      <w:r>
        <w:rPr>
          <w:kern w:val="0"/>
          <w:sz w:val="24"/>
        </w:rPr>
        <w:t>海南泰尚项目投资管理有限公司</w:t>
      </w:r>
      <w:r>
        <w:rPr>
          <w:sz w:val="24"/>
        </w:rPr>
        <w:t>：</w:t>
      </w:r>
    </w:p>
    <w:p>
      <w:pPr>
        <w:pStyle w:val="72"/>
        <w:spacing w:line="400" w:lineRule="exact"/>
        <w:ind w:left="0" w:leftChars="0" w:firstLine="540" w:firstLineChars="225"/>
        <w:rPr>
          <w:sz w:val="24"/>
          <w:szCs w:val="24"/>
        </w:rPr>
      </w:pPr>
      <w:r>
        <w:rPr>
          <w:sz w:val="24"/>
          <w:szCs w:val="24"/>
        </w:rPr>
        <w:t>本公司</w:t>
      </w:r>
      <w:r>
        <w:rPr>
          <w:sz w:val="24"/>
          <w:szCs w:val="24"/>
          <w:u w:val="single"/>
        </w:rPr>
        <w:t xml:space="preserve">                   （公司名称）参加</w:t>
      </w:r>
      <w:r>
        <w:rPr>
          <w:rFonts w:hint="eastAsia"/>
          <w:sz w:val="24"/>
          <w:szCs w:val="24"/>
          <w:u w:val="single"/>
          <w:lang w:eastAsia="zh-CN"/>
        </w:rPr>
        <w:t>音乐舞蹈专业实训设备购置</w:t>
      </w:r>
      <w:r>
        <w:rPr>
          <w:rFonts w:hint="eastAsia"/>
          <w:bCs/>
          <w:kern w:val="0"/>
          <w:sz w:val="24"/>
          <w:lang w:eastAsia="zh-CN"/>
        </w:rPr>
        <w:t>（二次招标）</w:t>
      </w:r>
      <w:r>
        <w:rPr>
          <w:sz w:val="24"/>
          <w:szCs w:val="24"/>
          <w:u w:val="single"/>
        </w:rPr>
        <w:t>（项目名称）</w:t>
      </w:r>
      <w:r>
        <w:rPr>
          <w:sz w:val="24"/>
          <w:szCs w:val="24"/>
        </w:rPr>
        <w:t>的投标活动，现承诺：</w:t>
      </w:r>
    </w:p>
    <w:p>
      <w:pPr>
        <w:pStyle w:val="72"/>
        <w:spacing w:line="400" w:lineRule="exact"/>
        <w:ind w:left="0" w:leftChars="0" w:firstLine="540" w:firstLineChars="225"/>
        <w:rPr>
          <w:sz w:val="24"/>
          <w:szCs w:val="24"/>
        </w:rPr>
      </w:pPr>
      <w:r>
        <w:rPr>
          <w:sz w:val="24"/>
          <w:szCs w:val="24"/>
        </w:rPr>
        <w:t xml:space="preserve">我公司参加政府采购活动近三年内，在经营活动中没有重大违法记录。 </w:t>
      </w:r>
    </w:p>
    <w:p>
      <w:pPr>
        <w:pStyle w:val="72"/>
        <w:spacing w:line="400" w:lineRule="exact"/>
        <w:ind w:left="0" w:leftChars="0" w:firstLine="540" w:firstLineChars="225"/>
        <w:rPr>
          <w:sz w:val="24"/>
          <w:szCs w:val="24"/>
        </w:rPr>
      </w:pPr>
      <w:r>
        <w:rPr>
          <w:sz w:val="24"/>
          <w:szCs w:val="24"/>
        </w:rPr>
        <w:t>同时也满足本项目法律法规规章规定关于供应商的其他资格性条件，未参与本采购项目前期咨询论证，不属于禁止参加投标的供应商。</w:t>
      </w:r>
    </w:p>
    <w:p>
      <w:pPr>
        <w:pStyle w:val="72"/>
        <w:spacing w:line="400" w:lineRule="exact"/>
        <w:ind w:left="0" w:leftChars="0" w:firstLine="540" w:firstLineChars="225"/>
        <w:rPr>
          <w:sz w:val="24"/>
          <w:szCs w:val="24"/>
        </w:rPr>
      </w:pPr>
      <w:r>
        <w:rPr>
          <w:sz w:val="24"/>
          <w:szCs w:val="24"/>
        </w:rPr>
        <w:t>如违反以上承诺，本公司愿承担一切法律责任。</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rPr>
          <w:sz w:val="24"/>
        </w:rPr>
      </w:pPr>
    </w:p>
    <w:p>
      <w:pPr>
        <w:adjustRightInd w:val="0"/>
        <w:spacing w:line="400" w:lineRule="exact"/>
        <w:jc w:val="left"/>
        <w:rPr>
          <w:sz w:val="24"/>
          <w:u w:val="single"/>
        </w:rPr>
      </w:pPr>
      <w:r>
        <w:rPr>
          <w:sz w:val="24"/>
        </w:rPr>
        <w:t>投标人名称：</w:t>
      </w:r>
      <w:r>
        <w:rPr>
          <w:sz w:val="24"/>
          <w:u w:val="single"/>
        </w:rPr>
        <w:t>（盖公章）</w:t>
      </w:r>
    </w:p>
    <w:p>
      <w:pPr>
        <w:adjustRightInd w:val="0"/>
        <w:spacing w:line="276" w:lineRule="auto"/>
        <w:ind w:firstLine="480" w:firstLineChars="200"/>
        <w:rPr>
          <w:sz w:val="24"/>
          <w:u w:val="single"/>
        </w:rPr>
      </w:pPr>
    </w:p>
    <w:p>
      <w:pPr>
        <w:spacing w:line="276" w:lineRule="auto"/>
        <w:rPr>
          <w:bCs/>
          <w:sz w:val="24"/>
        </w:rPr>
      </w:pPr>
      <w:r>
        <w:rPr>
          <w:sz w:val="24"/>
        </w:rPr>
        <w:t>法定代表人或授权代表（签字）</w:t>
      </w:r>
      <w:r>
        <w:rPr>
          <w:bCs/>
          <w:sz w:val="24"/>
        </w:rPr>
        <w:t>：</w:t>
      </w:r>
    </w:p>
    <w:p>
      <w:pPr>
        <w:spacing w:line="276" w:lineRule="auto"/>
        <w:rPr>
          <w:sz w:val="24"/>
        </w:rPr>
      </w:pPr>
    </w:p>
    <w:p>
      <w:pPr>
        <w:spacing w:line="276" w:lineRule="auto"/>
        <w:rPr>
          <w:sz w:val="24"/>
        </w:rPr>
      </w:pPr>
      <w:r>
        <w:rPr>
          <w:sz w:val="24"/>
        </w:rPr>
        <w:t>日期：年月日</w:t>
      </w:r>
    </w:p>
    <w:p>
      <w:pPr>
        <w:spacing w:line="360" w:lineRule="auto"/>
        <w:ind w:firstLine="440" w:firstLineChars="200"/>
        <w:rPr>
          <w:sz w:val="22"/>
          <w:szCs w:val="22"/>
        </w:rPr>
      </w:pPr>
    </w:p>
    <w:p>
      <w:pPr>
        <w:spacing w:line="360" w:lineRule="auto"/>
        <w:rPr>
          <w:b/>
          <w:sz w:val="32"/>
          <w:szCs w:val="32"/>
        </w:rPr>
      </w:pPr>
    </w:p>
    <w:p>
      <w:pPr>
        <w:spacing w:line="360" w:lineRule="auto"/>
        <w:ind w:firstLine="643" w:firstLineChars="200"/>
        <w:jc w:val="center"/>
        <w:outlineLvl w:val="1"/>
        <w:rPr>
          <w:rFonts w:eastAsia="黑体"/>
          <w:b/>
          <w:kern w:val="0"/>
          <w:sz w:val="32"/>
          <w:szCs w:val="28"/>
        </w:rPr>
      </w:pPr>
    </w:p>
    <w:p>
      <w:pPr>
        <w:spacing w:line="360" w:lineRule="auto"/>
        <w:ind w:firstLine="643" w:firstLineChars="200"/>
        <w:jc w:val="center"/>
        <w:outlineLvl w:val="1"/>
        <w:rPr>
          <w:rFonts w:eastAsia="黑体"/>
          <w:b/>
          <w:kern w:val="0"/>
          <w:sz w:val="32"/>
          <w:szCs w:val="28"/>
        </w:rPr>
      </w:pPr>
    </w:p>
    <w:p>
      <w:pPr>
        <w:spacing w:line="360" w:lineRule="auto"/>
        <w:ind w:firstLine="643" w:firstLineChars="200"/>
        <w:jc w:val="center"/>
        <w:outlineLvl w:val="1"/>
        <w:rPr>
          <w:rFonts w:eastAsia="黑体"/>
          <w:b/>
          <w:kern w:val="0"/>
          <w:sz w:val="32"/>
          <w:szCs w:val="28"/>
        </w:rPr>
      </w:pPr>
    </w:p>
    <w:p>
      <w:pPr>
        <w:spacing w:line="360" w:lineRule="auto"/>
        <w:ind w:firstLine="643" w:firstLineChars="200"/>
        <w:jc w:val="center"/>
        <w:outlineLvl w:val="1"/>
        <w:rPr>
          <w:rFonts w:eastAsia="黑体"/>
          <w:b/>
          <w:kern w:val="0"/>
          <w:sz w:val="32"/>
          <w:szCs w:val="28"/>
        </w:rPr>
      </w:pPr>
    </w:p>
    <w:p>
      <w:pPr>
        <w:spacing w:line="360" w:lineRule="auto"/>
        <w:ind w:firstLine="643" w:firstLineChars="200"/>
        <w:jc w:val="center"/>
        <w:outlineLvl w:val="1"/>
        <w:rPr>
          <w:rFonts w:eastAsia="黑体"/>
          <w:b/>
          <w:kern w:val="0"/>
          <w:sz w:val="32"/>
          <w:szCs w:val="28"/>
        </w:rPr>
      </w:pPr>
    </w:p>
    <w:p>
      <w:pPr>
        <w:jc w:val="center"/>
        <w:rPr>
          <w:rFonts w:eastAsia="黑体"/>
          <w:b/>
          <w:sz w:val="32"/>
          <w:szCs w:val="28"/>
        </w:rPr>
      </w:pPr>
    </w:p>
    <w:bookmarkEnd w:id="65"/>
    <w:p>
      <w:pPr>
        <w:spacing w:beforeLines="50" w:afterLines="50" w:line="360" w:lineRule="auto"/>
        <w:outlineLvl w:val="0"/>
        <w:rPr>
          <w:b/>
          <w:sz w:val="44"/>
          <w:szCs w:val="44"/>
        </w:rPr>
      </w:pPr>
      <w:bookmarkStart w:id="66" w:name="_Toc467942768"/>
    </w:p>
    <w:p>
      <w:pPr>
        <w:spacing w:beforeLines="50" w:afterLines="50" w:line="360" w:lineRule="auto"/>
        <w:jc w:val="center"/>
        <w:outlineLvl w:val="0"/>
        <w:rPr>
          <w:b/>
          <w:sz w:val="44"/>
          <w:szCs w:val="44"/>
        </w:rPr>
      </w:pPr>
      <w:bookmarkStart w:id="67" w:name="_Toc5089"/>
      <w:r>
        <w:rPr>
          <w:b/>
          <w:sz w:val="44"/>
          <w:szCs w:val="44"/>
        </w:rPr>
        <w:t>第六部分评审办法和程序</w:t>
      </w:r>
      <w:bookmarkEnd w:id="66"/>
      <w:bookmarkEnd w:id="67"/>
    </w:p>
    <w:p>
      <w:pPr>
        <w:spacing w:line="400" w:lineRule="exact"/>
        <w:ind w:firstLine="480" w:firstLineChars="200"/>
        <w:rPr>
          <w:rFonts w:ascii="Times New Roman" w:hAnsi="Times New Roman" w:eastAsia="宋体" w:cs="Times New Roman"/>
          <w:kern w:val="2"/>
          <w:sz w:val="24"/>
          <w:szCs w:val="24"/>
          <w:lang w:val="en-US" w:eastAsia="zh-CN" w:bidi="ar-SA"/>
        </w:rPr>
      </w:pPr>
      <w:bookmarkStart w:id="68" w:name="_Toc310958769"/>
      <w:bookmarkStart w:id="69" w:name="_Toc217446103"/>
      <w:bookmarkStart w:id="70" w:name="_Toc217446099"/>
      <w:r>
        <w:rPr>
          <w:rFonts w:hint="eastAsia" w:ascii="Times New Roman" w:hAnsi="Times New Roman" w:eastAsia="宋体" w:cs="Times New Roman"/>
          <w:kern w:val="2"/>
          <w:sz w:val="24"/>
          <w:szCs w:val="24"/>
          <w:lang w:val="en-US" w:eastAsia="zh-CN" w:bidi="ar-SA"/>
        </w:rPr>
        <w:t>一、评标办法</w:t>
      </w:r>
    </w:p>
    <w:p>
      <w:pPr>
        <w:spacing w:line="400" w:lineRule="exact"/>
        <w:ind w:firstLine="480" w:firstLineChars="200"/>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（一）评审规则</w:t>
      </w:r>
    </w:p>
    <w:p>
      <w:pPr>
        <w:spacing w:line="400" w:lineRule="exact"/>
        <w:ind w:firstLine="480" w:firstLineChars="200"/>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1.</w:t>
      </w:r>
      <w:r>
        <w:rPr>
          <w:rFonts w:hint="eastAsia" w:ascii="Times New Roman" w:hAnsi="Times New Roman" w:eastAsia="宋体" w:cs="Times New Roman"/>
          <w:kern w:val="2"/>
          <w:sz w:val="24"/>
          <w:szCs w:val="24"/>
          <w:lang w:val="en-US" w:eastAsia="zh-CN" w:bidi="ar-SA"/>
        </w:rPr>
        <w:t>评标办法采用综合评分法。</w:t>
      </w:r>
    </w:p>
    <w:p>
      <w:pPr>
        <w:spacing w:line="400" w:lineRule="exact"/>
        <w:ind w:firstLine="480" w:firstLineChars="200"/>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2.</w:t>
      </w:r>
      <w:r>
        <w:rPr>
          <w:rFonts w:hint="eastAsia" w:ascii="Times New Roman" w:hAnsi="Times New Roman" w:eastAsia="宋体" w:cs="Times New Roman"/>
          <w:kern w:val="2"/>
          <w:sz w:val="24"/>
          <w:szCs w:val="24"/>
          <w:lang w:val="en-US" w:eastAsia="zh-CN" w:bidi="ar-SA"/>
        </w:rPr>
        <w:t>采用综合评分法的评标步骤：先进行资格性、符合性审查，再进行技术、商务的详细评审。只有通过资格性、符合性评审的投标人才能进入详细的评审。</w:t>
      </w:r>
    </w:p>
    <w:p>
      <w:pPr>
        <w:spacing w:line="400" w:lineRule="exact"/>
        <w:ind w:firstLine="480" w:firstLineChars="200"/>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en-US" w:eastAsia="zh-CN" w:bidi="ar-SA"/>
        </w:rPr>
        <w:t>综合评分及其统计：按照评标程序、评分标准以及分值分配的规定，评标委员会成员分别就各个投标人的技术、商务状况，其对招标文件要求的响应情况进行评议和比较，评出各投标人的技术、商务得分算术平均值即为该投标人的技术、商务评分。然后，由招标文件规定的计算方法评出价格得分。技术、商务得分与价格得分相加即得出综合得分，综合得分按由高到低顺序排列。综合得分相同的，按投标报价由低到高顺序排列。综合得分和投标报价均相同的，按技术指标由优至劣顺序排列。综合得分最高的投标人为第一中标候选供应商，综合得分次高的投标人为第二中标候选供应商，以此类推，评标委员会推荐出一至三名中标候选供应商。</w:t>
      </w:r>
    </w:p>
    <w:p>
      <w:pPr>
        <w:spacing w:line="400" w:lineRule="exact"/>
        <w:ind w:firstLine="480" w:firstLineChars="200"/>
        <w:rPr>
          <w:rFonts w:cs="宋体"/>
          <w:color w:val="000000"/>
          <w:sz w:val="24"/>
          <w:szCs w:val="24"/>
        </w:rPr>
      </w:pPr>
      <w:r>
        <w:rPr>
          <w:rFonts w:hint="eastAsia" w:cs="宋体"/>
          <w:color w:val="000000"/>
          <w:sz w:val="24"/>
          <w:szCs w:val="24"/>
        </w:rPr>
        <w:t>（二）资格性审查</w:t>
      </w:r>
    </w:p>
    <w:p>
      <w:pPr>
        <w:spacing w:line="400" w:lineRule="exact"/>
        <w:ind w:firstLine="480" w:firstLineChars="200"/>
        <w:rPr>
          <w:rFonts w:cs="宋体"/>
          <w:color w:val="000000"/>
          <w:sz w:val="24"/>
          <w:szCs w:val="24"/>
        </w:rPr>
      </w:pPr>
      <w:r>
        <w:rPr>
          <w:rFonts w:cs="宋体"/>
          <w:color w:val="000000"/>
          <w:sz w:val="24"/>
          <w:szCs w:val="24"/>
        </w:rPr>
        <w:t>1</w:t>
      </w:r>
      <w:r>
        <w:rPr>
          <w:rFonts w:hint="eastAsia" w:cs="宋体"/>
          <w:color w:val="000000"/>
          <w:sz w:val="24"/>
          <w:szCs w:val="24"/>
        </w:rPr>
        <w:t>、根据中华人民共和国财政部第</w:t>
      </w:r>
      <w:r>
        <w:rPr>
          <w:rFonts w:cs="宋体"/>
          <w:color w:val="000000"/>
          <w:sz w:val="24"/>
          <w:szCs w:val="24"/>
        </w:rPr>
        <w:t>87</w:t>
      </w:r>
      <w:r>
        <w:rPr>
          <w:rFonts w:hint="eastAsia" w:cs="宋体"/>
          <w:color w:val="000000"/>
          <w:sz w:val="24"/>
          <w:szCs w:val="24"/>
        </w:rPr>
        <w:t>号令第四十四条规定，采购人、采购代理机构对投标人的资格进行审查；</w:t>
      </w:r>
    </w:p>
    <w:p>
      <w:pPr>
        <w:spacing w:line="400" w:lineRule="exact"/>
        <w:ind w:firstLine="480" w:firstLineChars="200"/>
        <w:rPr>
          <w:rFonts w:cs="宋体"/>
          <w:color w:val="000000"/>
          <w:sz w:val="24"/>
          <w:szCs w:val="24"/>
        </w:rPr>
      </w:pPr>
      <w:r>
        <w:rPr>
          <w:rFonts w:cs="宋体"/>
          <w:color w:val="000000"/>
          <w:sz w:val="24"/>
          <w:szCs w:val="24"/>
        </w:rPr>
        <w:t>2</w:t>
      </w:r>
      <w:r>
        <w:rPr>
          <w:rFonts w:hint="eastAsia" w:cs="宋体"/>
          <w:color w:val="000000"/>
          <w:sz w:val="24"/>
          <w:szCs w:val="24"/>
        </w:rPr>
        <w:t>、采购人、采购代理机构根据“资格审查表”对投标文件的资格性审查，只有对“资格审查表”所列各项作出实质性响应的投标文件才能通过资格评审；</w:t>
      </w:r>
    </w:p>
    <w:p>
      <w:pPr>
        <w:spacing w:line="400" w:lineRule="exact"/>
        <w:ind w:firstLine="480" w:firstLineChars="200"/>
        <w:rPr>
          <w:rFonts w:cs="宋体"/>
          <w:color w:val="000000"/>
          <w:sz w:val="24"/>
          <w:szCs w:val="24"/>
        </w:rPr>
      </w:pPr>
      <w:r>
        <w:rPr>
          <w:rFonts w:cs="宋体"/>
          <w:color w:val="000000"/>
          <w:sz w:val="24"/>
          <w:szCs w:val="24"/>
        </w:rPr>
        <w:t>3</w:t>
      </w:r>
      <w:r>
        <w:rPr>
          <w:rFonts w:hint="eastAsia" w:cs="宋体"/>
          <w:color w:val="000000"/>
          <w:sz w:val="24"/>
          <w:szCs w:val="24"/>
        </w:rPr>
        <w:t>、判断投标文件的响应与否只根据投标文件本身，而不寻求外部证据；</w:t>
      </w:r>
    </w:p>
    <w:p>
      <w:pPr>
        <w:spacing w:line="400" w:lineRule="exact"/>
        <w:ind w:firstLine="480" w:firstLineChars="200"/>
        <w:rPr>
          <w:rFonts w:cs="宋体"/>
          <w:color w:val="000000"/>
          <w:sz w:val="24"/>
          <w:szCs w:val="24"/>
        </w:rPr>
      </w:pPr>
      <w:r>
        <w:rPr>
          <w:rFonts w:cs="宋体"/>
          <w:color w:val="000000"/>
          <w:sz w:val="24"/>
          <w:szCs w:val="24"/>
        </w:rPr>
        <w:t>4</w:t>
      </w:r>
      <w:r>
        <w:rPr>
          <w:rFonts w:hint="eastAsia" w:cs="宋体"/>
          <w:color w:val="000000"/>
          <w:sz w:val="24"/>
          <w:szCs w:val="24"/>
        </w:rPr>
        <w:t>、通过资格性审查的投标人不足三家，则本次招标失败。</w:t>
      </w:r>
    </w:p>
    <w:p>
      <w:pPr>
        <w:spacing w:line="400" w:lineRule="exact"/>
        <w:ind w:firstLine="480" w:firstLineChars="200"/>
        <w:rPr>
          <w:rFonts w:cs="宋体"/>
          <w:color w:val="000000"/>
          <w:sz w:val="24"/>
          <w:szCs w:val="24"/>
        </w:rPr>
      </w:pPr>
      <w:r>
        <w:rPr>
          <w:rFonts w:hint="eastAsia" w:cs="宋体"/>
          <w:color w:val="000000"/>
          <w:sz w:val="24"/>
          <w:szCs w:val="24"/>
        </w:rPr>
        <w:t>（三）符合性审查</w:t>
      </w:r>
    </w:p>
    <w:p>
      <w:pPr>
        <w:spacing w:line="360" w:lineRule="auto"/>
        <w:ind w:firstLine="480" w:firstLineChars="200"/>
        <w:outlineLvl w:val="1"/>
        <w:rPr>
          <w:rFonts w:cs="宋体"/>
          <w:color w:val="000000"/>
          <w:sz w:val="24"/>
          <w:szCs w:val="24"/>
        </w:rPr>
      </w:pPr>
      <w:r>
        <w:rPr>
          <w:rFonts w:cs="宋体"/>
          <w:color w:val="000000"/>
          <w:sz w:val="24"/>
          <w:szCs w:val="24"/>
        </w:rPr>
        <w:t>1</w:t>
      </w:r>
      <w:r>
        <w:rPr>
          <w:rFonts w:hint="eastAsia" w:cs="宋体"/>
          <w:color w:val="000000"/>
          <w:sz w:val="24"/>
          <w:szCs w:val="24"/>
        </w:rPr>
        <w:t>、评标委员会根据符合性评审表对通过资格审查的投标文件的符合性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spacing w:line="400" w:lineRule="exact"/>
        <w:ind w:firstLine="480" w:firstLineChars="200"/>
        <w:rPr>
          <w:rFonts w:cs="宋体"/>
          <w:color w:val="000000"/>
          <w:sz w:val="24"/>
          <w:szCs w:val="24"/>
        </w:rPr>
      </w:pPr>
      <w:r>
        <w:rPr>
          <w:rFonts w:cs="宋体"/>
          <w:color w:val="000000"/>
          <w:sz w:val="24"/>
          <w:szCs w:val="24"/>
        </w:rPr>
        <w:t>2</w:t>
      </w:r>
      <w:r>
        <w:rPr>
          <w:rFonts w:hint="eastAsia" w:cs="宋体"/>
          <w:color w:val="000000"/>
          <w:sz w:val="24"/>
          <w:szCs w:val="24"/>
        </w:rPr>
        <w:t>、判断投标文件的响应与否只根据投标文件本身，而不寻求外部证据；</w:t>
      </w:r>
    </w:p>
    <w:p>
      <w:pPr>
        <w:spacing w:line="400" w:lineRule="exact"/>
        <w:ind w:firstLine="480" w:firstLineChars="200"/>
        <w:rPr>
          <w:rFonts w:cs="宋体"/>
          <w:color w:val="000000"/>
          <w:sz w:val="24"/>
          <w:szCs w:val="24"/>
        </w:rPr>
      </w:pPr>
      <w:r>
        <w:rPr>
          <w:rFonts w:cs="宋体"/>
          <w:color w:val="000000"/>
          <w:sz w:val="24"/>
          <w:szCs w:val="24"/>
        </w:rPr>
        <w:t>3</w:t>
      </w:r>
      <w:r>
        <w:rPr>
          <w:rFonts w:hint="eastAsia" w:cs="宋体"/>
          <w:color w:val="000000"/>
          <w:sz w:val="24"/>
          <w:szCs w:val="24"/>
        </w:rPr>
        <w:t>、评标委员会在符合性审查中，对算术错误的修正原则如下：投标文件的大写金额和小写金额不一致的，以大写金额为准；</w:t>
      </w:r>
    </w:p>
    <w:p>
      <w:pPr>
        <w:spacing w:line="400" w:lineRule="exact"/>
        <w:ind w:firstLine="480" w:firstLineChars="200"/>
        <w:rPr>
          <w:rFonts w:cs="宋体"/>
          <w:color w:val="000000"/>
          <w:sz w:val="24"/>
          <w:szCs w:val="24"/>
        </w:rPr>
      </w:pPr>
      <w:r>
        <w:rPr>
          <w:rFonts w:cs="宋体"/>
          <w:color w:val="000000"/>
          <w:sz w:val="24"/>
          <w:szCs w:val="24"/>
        </w:rPr>
        <w:t>3.1</w:t>
      </w:r>
      <w:r>
        <w:rPr>
          <w:rFonts w:hint="eastAsia" w:cs="宋体"/>
          <w:color w:val="000000"/>
          <w:sz w:val="24"/>
          <w:szCs w:val="24"/>
        </w:rPr>
        <w:t>开标一览表内容与投标文件中明细</w:t>
      </w:r>
      <w:r>
        <w:rPr>
          <w:rFonts w:cs="宋体"/>
          <w:color w:val="000000"/>
          <w:sz w:val="24"/>
          <w:szCs w:val="24"/>
        </w:rPr>
        <w:t xml:space="preserve"> </w:t>
      </w:r>
      <w:r>
        <w:rPr>
          <w:rFonts w:hint="eastAsia" w:cs="宋体"/>
          <w:color w:val="000000"/>
          <w:sz w:val="24"/>
          <w:szCs w:val="24"/>
        </w:rPr>
        <w:t>表内容不一致的，以开标一览表为准；</w:t>
      </w:r>
    </w:p>
    <w:p>
      <w:pPr>
        <w:spacing w:line="400" w:lineRule="exact"/>
        <w:ind w:firstLine="480" w:firstLineChars="200"/>
        <w:rPr>
          <w:rFonts w:cs="宋体"/>
          <w:color w:val="000000"/>
          <w:sz w:val="24"/>
          <w:szCs w:val="24"/>
        </w:rPr>
      </w:pPr>
      <w:r>
        <w:rPr>
          <w:rFonts w:cs="宋体"/>
          <w:color w:val="000000"/>
          <w:sz w:val="24"/>
          <w:szCs w:val="24"/>
        </w:rPr>
        <w:t>3.2</w:t>
      </w:r>
      <w:r>
        <w:rPr>
          <w:rFonts w:hint="eastAsia" w:cs="宋体"/>
          <w:color w:val="000000"/>
          <w:sz w:val="24"/>
          <w:szCs w:val="24"/>
        </w:rPr>
        <w:t>投标文件的大写金额和小写金额不一致的，以大写金额为准；</w:t>
      </w:r>
    </w:p>
    <w:p>
      <w:pPr>
        <w:spacing w:line="400" w:lineRule="exact"/>
        <w:ind w:firstLine="480" w:firstLineChars="200"/>
        <w:rPr>
          <w:rFonts w:cs="宋体"/>
          <w:color w:val="000000"/>
          <w:sz w:val="24"/>
          <w:szCs w:val="24"/>
        </w:rPr>
      </w:pPr>
      <w:r>
        <w:rPr>
          <w:rFonts w:cs="宋体"/>
          <w:color w:val="000000"/>
          <w:sz w:val="24"/>
          <w:szCs w:val="24"/>
        </w:rPr>
        <w:t>3.3</w:t>
      </w:r>
      <w:r>
        <w:rPr>
          <w:rFonts w:hint="eastAsia" w:cs="宋体"/>
          <w:color w:val="000000"/>
          <w:sz w:val="24"/>
          <w:szCs w:val="24"/>
        </w:rPr>
        <w:t>总价金额与按单价汇总金额不一致的，以单价金额计算结果为准；</w:t>
      </w:r>
    </w:p>
    <w:p>
      <w:pPr>
        <w:spacing w:line="400" w:lineRule="exact"/>
        <w:ind w:firstLine="480" w:firstLineChars="200"/>
        <w:rPr>
          <w:rFonts w:cs="宋体"/>
          <w:color w:val="000000"/>
          <w:sz w:val="24"/>
          <w:szCs w:val="24"/>
        </w:rPr>
      </w:pPr>
      <w:r>
        <w:rPr>
          <w:rFonts w:cs="宋体"/>
          <w:color w:val="000000"/>
          <w:sz w:val="24"/>
          <w:szCs w:val="24"/>
        </w:rPr>
        <w:t>3.4</w:t>
      </w:r>
      <w:r>
        <w:rPr>
          <w:rFonts w:hint="eastAsia" w:cs="宋体"/>
          <w:color w:val="000000"/>
          <w:sz w:val="24"/>
          <w:szCs w:val="24"/>
        </w:rPr>
        <w:t>单价金额小数点有明显错位的，应以总价为准，并修改单价；</w:t>
      </w:r>
    </w:p>
    <w:p>
      <w:pPr>
        <w:spacing w:line="400" w:lineRule="exact"/>
        <w:ind w:firstLine="480" w:firstLineChars="200"/>
        <w:rPr>
          <w:rFonts w:cs="宋体"/>
          <w:color w:val="000000"/>
          <w:sz w:val="24"/>
          <w:szCs w:val="24"/>
        </w:rPr>
      </w:pPr>
      <w:r>
        <w:rPr>
          <w:rFonts w:cs="宋体"/>
          <w:color w:val="000000"/>
          <w:sz w:val="24"/>
          <w:szCs w:val="24"/>
        </w:rPr>
        <w:t>3.5</w:t>
      </w:r>
      <w:r>
        <w:rPr>
          <w:rFonts w:hint="eastAsia" w:cs="宋体"/>
          <w:color w:val="000000"/>
          <w:sz w:val="24"/>
          <w:szCs w:val="24"/>
        </w:rPr>
        <w:t>若投标人不同意以上修正，投标文件将视为无效；</w:t>
      </w:r>
    </w:p>
    <w:p>
      <w:pPr>
        <w:spacing w:line="400" w:lineRule="exact"/>
        <w:ind w:firstLine="480" w:firstLineChars="200"/>
        <w:rPr>
          <w:rFonts w:cs="宋体"/>
          <w:color w:val="000000"/>
          <w:sz w:val="24"/>
          <w:szCs w:val="24"/>
        </w:rPr>
      </w:pPr>
      <w:r>
        <w:rPr>
          <w:rFonts w:cs="宋体"/>
          <w:color w:val="000000"/>
          <w:sz w:val="24"/>
          <w:szCs w:val="24"/>
        </w:rPr>
        <w:t>3.6</w:t>
      </w:r>
      <w:r>
        <w:rPr>
          <w:rFonts w:hint="eastAsia" w:cs="宋体"/>
          <w:color w:val="000000"/>
          <w:sz w:val="24"/>
          <w:szCs w:val="24"/>
        </w:rPr>
        <w:t>对投标货物的关键、主要设备，投标人报价漏项的，作非响应性投标处理。</w:t>
      </w:r>
    </w:p>
    <w:p>
      <w:pPr>
        <w:spacing w:line="400" w:lineRule="exact"/>
        <w:ind w:firstLine="480" w:firstLineChars="200"/>
        <w:rPr>
          <w:rFonts w:cs="宋体"/>
          <w:color w:val="000000"/>
          <w:sz w:val="24"/>
          <w:szCs w:val="24"/>
        </w:rPr>
      </w:pPr>
      <w:r>
        <w:rPr>
          <w:rFonts w:cs="宋体"/>
          <w:color w:val="000000"/>
          <w:sz w:val="24"/>
          <w:szCs w:val="24"/>
        </w:rPr>
        <w:t>4</w:t>
      </w:r>
      <w:r>
        <w:rPr>
          <w:rFonts w:hint="eastAsia" w:cs="宋体"/>
          <w:color w:val="000000"/>
          <w:sz w:val="24"/>
          <w:szCs w:val="24"/>
        </w:rPr>
        <w:t>、通过符合性审查的投标人不足三家，则本次招标失败。</w:t>
      </w:r>
    </w:p>
    <w:p>
      <w:pPr>
        <w:spacing w:line="400" w:lineRule="exact"/>
        <w:ind w:firstLine="480" w:firstLineChars="200"/>
        <w:rPr>
          <w:rFonts w:cs="宋体"/>
          <w:color w:val="000000"/>
          <w:sz w:val="24"/>
          <w:szCs w:val="24"/>
        </w:rPr>
      </w:pPr>
      <w:r>
        <w:rPr>
          <w:rFonts w:hint="eastAsia" w:cs="宋体"/>
          <w:color w:val="000000"/>
          <w:sz w:val="24"/>
          <w:szCs w:val="24"/>
        </w:rPr>
        <w:t>（四）详细评审</w:t>
      </w:r>
    </w:p>
    <w:p>
      <w:pPr>
        <w:spacing w:line="400" w:lineRule="exact"/>
        <w:ind w:firstLine="480" w:firstLineChars="200"/>
        <w:rPr>
          <w:rFonts w:cs="宋体"/>
          <w:color w:val="000000"/>
          <w:sz w:val="24"/>
          <w:szCs w:val="24"/>
        </w:rPr>
      </w:pPr>
      <w:r>
        <w:rPr>
          <w:rFonts w:cs="宋体"/>
          <w:color w:val="000000"/>
          <w:sz w:val="24"/>
          <w:szCs w:val="24"/>
        </w:rPr>
        <w:t>1</w:t>
      </w:r>
      <w:r>
        <w:rPr>
          <w:rFonts w:hint="eastAsia" w:cs="宋体"/>
          <w:color w:val="000000"/>
          <w:sz w:val="24"/>
          <w:szCs w:val="24"/>
        </w:rPr>
        <w:t>、本次招标评分方法为综合评分法，即在最大限度地满足招标文件实质性要求的前提下，按照招标文件中规定的各项因素进行综合评审后，以评标总得分最高的投标人作为中标候选人或者中标人的评标方法。</w:t>
      </w:r>
    </w:p>
    <w:p>
      <w:pPr>
        <w:spacing w:line="400" w:lineRule="exact"/>
        <w:ind w:firstLine="480" w:firstLineChars="200"/>
        <w:rPr>
          <w:rFonts w:cs="宋体"/>
          <w:color w:val="000000"/>
          <w:sz w:val="24"/>
          <w:szCs w:val="24"/>
        </w:rPr>
      </w:pPr>
      <w:r>
        <w:rPr>
          <w:rFonts w:cs="宋体"/>
          <w:color w:val="000000"/>
          <w:sz w:val="24"/>
          <w:szCs w:val="24"/>
        </w:rPr>
        <w:t>2</w:t>
      </w:r>
      <w:r>
        <w:rPr>
          <w:rFonts w:hint="eastAsia" w:cs="宋体"/>
          <w:color w:val="000000"/>
          <w:sz w:val="24"/>
          <w:szCs w:val="24"/>
        </w:rPr>
        <w:t>、评标时，评标委员会各成员独立对每个有效投标人标书中的商务、技术与服务部分进行打分，汇总后按算术平均法计算出每个投标人的得分；报价得分通过计算直接取得；报价得分加评委算术平均得分，为投标人的总得分。</w:t>
      </w:r>
    </w:p>
    <w:p>
      <w:pPr>
        <w:spacing w:line="400" w:lineRule="exact"/>
        <w:ind w:firstLine="480" w:firstLineChars="200"/>
        <w:rPr>
          <w:rFonts w:cs="宋体"/>
          <w:color w:val="000000"/>
          <w:sz w:val="24"/>
          <w:szCs w:val="24"/>
        </w:rPr>
      </w:pPr>
      <w:r>
        <w:rPr>
          <w:rFonts w:hint="eastAsia" w:cs="宋体"/>
          <w:color w:val="000000"/>
          <w:sz w:val="24"/>
          <w:szCs w:val="24"/>
        </w:rPr>
        <w:t>二</w:t>
      </w:r>
      <w:r>
        <w:rPr>
          <w:rFonts w:cs="宋体"/>
          <w:color w:val="000000"/>
          <w:sz w:val="24"/>
          <w:szCs w:val="24"/>
        </w:rPr>
        <w:t>.</w:t>
      </w:r>
      <w:r>
        <w:rPr>
          <w:rFonts w:hint="eastAsia" w:cs="宋体"/>
          <w:color w:val="000000"/>
          <w:sz w:val="24"/>
          <w:szCs w:val="24"/>
        </w:rPr>
        <w:t>、综合评审</w:t>
      </w:r>
      <w:bookmarkEnd w:id="68"/>
    </w:p>
    <w:p>
      <w:pPr>
        <w:ind w:firstLine="480" w:firstLineChars="200"/>
        <w:rPr>
          <w:color w:val="000000"/>
          <w:sz w:val="24"/>
          <w:szCs w:val="24"/>
        </w:rPr>
      </w:pPr>
      <w:r>
        <w:rPr>
          <w:rFonts w:hint="eastAsia" w:cs="宋体"/>
          <w:sz w:val="24"/>
          <w:szCs w:val="24"/>
        </w:rPr>
        <w:t>本项目采用如下综合打分法，总分为</w:t>
      </w:r>
      <w:r>
        <w:rPr>
          <w:sz w:val="24"/>
          <w:szCs w:val="24"/>
        </w:rPr>
        <w:t>100</w:t>
      </w:r>
      <w:r>
        <w:rPr>
          <w:rFonts w:hint="eastAsia" w:cs="宋体"/>
          <w:sz w:val="24"/>
          <w:szCs w:val="24"/>
        </w:rPr>
        <w:t>分，具体打分方法如下：</w:t>
      </w:r>
      <w:r>
        <w:rPr>
          <w:rFonts w:hint="eastAsia" w:cs="宋体"/>
          <w:color w:val="000000"/>
          <w:sz w:val="24"/>
          <w:szCs w:val="24"/>
        </w:rPr>
        <w:t>（</w:t>
      </w:r>
      <w:r>
        <w:rPr>
          <w:rFonts w:hint="eastAsia" w:cs="宋体"/>
          <w:sz w:val="24"/>
          <w:szCs w:val="24"/>
        </w:rPr>
        <w:t>项目评定标准及评分见</w:t>
      </w:r>
      <w:r>
        <w:rPr>
          <w:rFonts w:hint="eastAsia" w:cs="宋体"/>
          <w:color w:val="000000"/>
          <w:sz w:val="24"/>
          <w:szCs w:val="24"/>
        </w:rPr>
        <w:t>附表</w:t>
      </w:r>
      <w:r>
        <w:rPr>
          <w:color w:val="000000"/>
          <w:sz w:val="24"/>
          <w:szCs w:val="24"/>
        </w:rPr>
        <w:t>3.</w:t>
      </w:r>
      <w:r>
        <w:rPr>
          <w:rFonts w:hint="eastAsia" w:cs="宋体"/>
          <w:color w:val="000000"/>
          <w:sz w:val="24"/>
          <w:szCs w:val="24"/>
        </w:rPr>
        <w:t>综合评分表）</w:t>
      </w:r>
    </w:p>
    <w:tbl>
      <w:tblPr>
        <w:tblStyle w:val="31"/>
        <w:tblW w:w="9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3"/>
        <w:gridCol w:w="2325"/>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2603" w:type="dxa"/>
            <w:vAlign w:val="center"/>
          </w:tcPr>
          <w:p>
            <w:pPr>
              <w:snapToGrid w:val="0"/>
              <w:spacing w:line="360" w:lineRule="auto"/>
              <w:jc w:val="center"/>
              <w:rPr>
                <w:b/>
                <w:bCs/>
                <w:color w:val="000000"/>
                <w:sz w:val="24"/>
                <w:szCs w:val="24"/>
              </w:rPr>
            </w:pPr>
            <w:r>
              <w:rPr>
                <w:rFonts w:hint="eastAsia" w:cs="宋体"/>
                <w:b/>
                <w:bCs/>
                <w:color w:val="000000"/>
                <w:sz w:val="24"/>
                <w:szCs w:val="24"/>
              </w:rPr>
              <w:t>评估因素</w:t>
            </w:r>
          </w:p>
        </w:tc>
        <w:tc>
          <w:tcPr>
            <w:tcW w:w="2325" w:type="dxa"/>
            <w:vAlign w:val="center"/>
          </w:tcPr>
          <w:p>
            <w:pPr>
              <w:snapToGrid w:val="0"/>
              <w:spacing w:line="360" w:lineRule="auto"/>
              <w:jc w:val="center"/>
              <w:rPr>
                <w:b/>
                <w:bCs/>
                <w:color w:val="000000"/>
                <w:sz w:val="24"/>
                <w:szCs w:val="24"/>
              </w:rPr>
            </w:pPr>
            <w:r>
              <w:rPr>
                <w:rFonts w:hint="eastAsia" w:cs="宋体"/>
                <w:b/>
                <w:bCs/>
                <w:color w:val="000000"/>
                <w:sz w:val="24"/>
                <w:szCs w:val="24"/>
              </w:rPr>
              <w:t>商务</w:t>
            </w:r>
          </w:p>
        </w:tc>
        <w:tc>
          <w:tcPr>
            <w:tcW w:w="2129" w:type="dxa"/>
            <w:vAlign w:val="center"/>
          </w:tcPr>
          <w:p>
            <w:pPr>
              <w:snapToGrid w:val="0"/>
              <w:spacing w:line="360" w:lineRule="auto"/>
              <w:jc w:val="center"/>
              <w:rPr>
                <w:b/>
                <w:bCs/>
                <w:color w:val="000000"/>
                <w:sz w:val="24"/>
                <w:szCs w:val="24"/>
              </w:rPr>
            </w:pPr>
            <w:r>
              <w:rPr>
                <w:rFonts w:hint="eastAsia" w:cs="宋体"/>
                <w:b/>
                <w:bCs/>
                <w:color w:val="000000"/>
                <w:sz w:val="24"/>
                <w:szCs w:val="24"/>
              </w:rPr>
              <w:t>技术</w:t>
            </w:r>
          </w:p>
        </w:tc>
        <w:tc>
          <w:tcPr>
            <w:tcW w:w="2129" w:type="dxa"/>
            <w:vAlign w:val="center"/>
          </w:tcPr>
          <w:p>
            <w:pPr>
              <w:snapToGrid w:val="0"/>
              <w:spacing w:line="360" w:lineRule="auto"/>
              <w:jc w:val="center"/>
              <w:rPr>
                <w:b/>
                <w:bCs/>
                <w:color w:val="000000"/>
                <w:sz w:val="24"/>
                <w:szCs w:val="24"/>
              </w:rPr>
            </w:pPr>
            <w:r>
              <w:rPr>
                <w:rFonts w:hint="eastAsia" w:cs="宋体"/>
                <w:b/>
                <w:bCs/>
                <w:color w:val="000000"/>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2603" w:type="dxa"/>
            <w:vAlign w:val="center"/>
          </w:tcPr>
          <w:p>
            <w:pPr>
              <w:snapToGrid w:val="0"/>
              <w:spacing w:line="360" w:lineRule="auto"/>
              <w:jc w:val="center"/>
              <w:rPr>
                <w:color w:val="000000"/>
                <w:sz w:val="24"/>
                <w:szCs w:val="24"/>
              </w:rPr>
            </w:pPr>
            <w:r>
              <w:rPr>
                <w:rFonts w:hint="eastAsia" w:cs="宋体"/>
                <w:color w:val="000000"/>
                <w:sz w:val="24"/>
                <w:szCs w:val="24"/>
              </w:rPr>
              <w:t>权重</w:t>
            </w:r>
          </w:p>
        </w:tc>
        <w:tc>
          <w:tcPr>
            <w:tcW w:w="4454" w:type="dxa"/>
            <w:gridSpan w:val="2"/>
            <w:vAlign w:val="center"/>
          </w:tcPr>
          <w:p>
            <w:pPr>
              <w:snapToGrid w:val="0"/>
              <w:spacing w:line="360" w:lineRule="auto"/>
              <w:jc w:val="center"/>
              <w:rPr>
                <w:color w:val="000000"/>
                <w:sz w:val="24"/>
                <w:szCs w:val="24"/>
              </w:rPr>
            </w:pPr>
            <w:r>
              <w:rPr>
                <w:rFonts w:hint="eastAsia"/>
                <w:color w:val="000000"/>
                <w:sz w:val="24"/>
                <w:szCs w:val="24"/>
                <w:lang w:val="en-US" w:eastAsia="zh-CN"/>
              </w:rPr>
              <w:t>7</w:t>
            </w:r>
            <w:r>
              <w:rPr>
                <w:color w:val="000000"/>
                <w:sz w:val="24"/>
                <w:szCs w:val="24"/>
              </w:rPr>
              <w:t>0%</w:t>
            </w:r>
          </w:p>
        </w:tc>
        <w:tc>
          <w:tcPr>
            <w:tcW w:w="2129" w:type="dxa"/>
            <w:vAlign w:val="center"/>
          </w:tcPr>
          <w:p>
            <w:pPr>
              <w:snapToGrid w:val="0"/>
              <w:spacing w:line="360" w:lineRule="auto"/>
              <w:jc w:val="center"/>
              <w:rPr>
                <w:color w:val="000000"/>
                <w:sz w:val="24"/>
                <w:szCs w:val="24"/>
              </w:rPr>
            </w:pPr>
            <w:r>
              <w:rPr>
                <w:rFonts w:hint="eastAsia"/>
                <w:color w:val="000000"/>
                <w:sz w:val="24"/>
                <w:szCs w:val="24"/>
                <w:lang w:val="en-US" w:eastAsia="zh-CN"/>
              </w:rPr>
              <w:t>3</w:t>
            </w:r>
            <w:r>
              <w:rPr>
                <w:color w:val="000000"/>
                <w:sz w:val="24"/>
                <w:szCs w:val="24"/>
              </w:rPr>
              <w:t>0%</w:t>
            </w:r>
          </w:p>
        </w:tc>
      </w:tr>
    </w:tbl>
    <w:p>
      <w:pPr>
        <w:spacing w:line="360" w:lineRule="auto"/>
        <w:ind w:firstLine="480" w:firstLineChars="200"/>
        <w:rPr>
          <w:color w:val="000000"/>
          <w:sz w:val="24"/>
          <w:szCs w:val="24"/>
        </w:rPr>
      </w:pPr>
    </w:p>
    <w:p>
      <w:pPr>
        <w:spacing w:line="400" w:lineRule="exact"/>
        <w:ind w:firstLine="480" w:firstLineChars="200"/>
        <w:rPr>
          <w:color w:val="000000"/>
          <w:sz w:val="24"/>
          <w:szCs w:val="24"/>
        </w:rPr>
      </w:pPr>
      <w:r>
        <w:rPr>
          <w:color w:val="000000"/>
          <w:sz w:val="24"/>
          <w:szCs w:val="24"/>
        </w:rPr>
        <w:t>2.1</w:t>
      </w:r>
      <w:r>
        <w:rPr>
          <w:rFonts w:hint="eastAsia" w:cs="宋体"/>
          <w:color w:val="000000"/>
          <w:sz w:val="24"/>
          <w:szCs w:val="24"/>
        </w:rPr>
        <w:t>本次综合评分的主要因素是：价格、技术、服务、对招标文件的响应程度以及环保、节能、自主创新产品。</w:t>
      </w:r>
    </w:p>
    <w:p>
      <w:pPr>
        <w:spacing w:line="400" w:lineRule="exact"/>
        <w:ind w:firstLine="480" w:firstLineChars="200"/>
        <w:rPr>
          <w:color w:val="000000"/>
          <w:sz w:val="24"/>
          <w:szCs w:val="24"/>
        </w:rPr>
      </w:pPr>
      <w:r>
        <w:rPr>
          <w:color w:val="000000"/>
          <w:sz w:val="24"/>
          <w:szCs w:val="24"/>
        </w:rPr>
        <w:t>2.2</w:t>
      </w:r>
      <w:r>
        <w:rPr>
          <w:rFonts w:hint="eastAsia" w:cs="宋体"/>
          <w:color w:val="000000"/>
          <w:sz w:val="24"/>
          <w:szCs w:val="24"/>
        </w:rPr>
        <w:t>除价格因素外，评委会成员应依据投标文件规定的评分标准和方法独立对其他因素进行比较打分，全部评委打分的算术平均值即为该投标人的得分。</w:t>
      </w:r>
    </w:p>
    <w:p>
      <w:pPr>
        <w:spacing w:line="400" w:lineRule="exact"/>
        <w:ind w:firstLine="480" w:firstLineChars="200"/>
        <w:rPr>
          <w:color w:val="000000"/>
          <w:sz w:val="24"/>
          <w:szCs w:val="24"/>
        </w:rPr>
      </w:pPr>
      <w:r>
        <w:rPr>
          <w:color w:val="000000"/>
          <w:sz w:val="24"/>
          <w:szCs w:val="24"/>
        </w:rPr>
        <w:t xml:space="preserve">2.3 </w:t>
      </w:r>
      <w:r>
        <w:rPr>
          <w:rFonts w:hint="eastAsia" w:cs="宋体"/>
          <w:color w:val="000000"/>
          <w:sz w:val="24"/>
          <w:szCs w:val="24"/>
        </w:rPr>
        <w:t>在评标过程中，投标文件响应招标文件出现的偏离，分为实质性偏离和非实质性偏离。</w:t>
      </w:r>
    </w:p>
    <w:p>
      <w:pPr>
        <w:spacing w:line="400" w:lineRule="exact"/>
        <w:ind w:firstLine="480" w:firstLineChars="200"/>
        <w:rPr>
          <w:color w:val="000000"/>
          <w:sz w:val="24"/>
          <w:szCs w:val="24"/>
        </w:rPr>
      </w:pPr>
      <w:r>
        <w:rPr>
          <w:color w:val="000000"/>
          <w:sz w:val="24"/>
          <w:szCs w:val="24"/>
        </w:rPr>
        <w:t>2.4</w:t>
      </w:r>
      <w:r>
        <w:rPr>
          <w:rFonts w:hint="eastAsia" w:cs="宋体"/>
          <w:color w:val="000000"/>
          <w:sz w:val="24"/>
          <w:szCs w:val="24"/>
        </w:rPr>
        <w:t>实质性偏离是指投标文件未能响应招标文件的要求。以下情况属于实质性偏离：</w:t>
      </w:r>
    </w:p>
    <w:p>
      <w:pPr>
        <w:spacing w:line="360" w:lineRule="auto"/>
        <w:ind w:firstLine="482" w:firstLineChars="200"/>
        <w:rPr>
          <w:b/>
          <w:bCs/>
          <w:color w:val="000000"/>
          <w:sz w:val="24"/>
          <w:szCs w:val="24"/>
        </w:rPr>
      </w:pPr>
      <w:r>
        <w:rPr>
          <w:rFonts w:hint="eastAsia" w:cs="宋体"/>
          <w:b/>
          <w:bCs/>
          <w:color w:val="000000"/>
          <w:sz w:val="24"/>
          <w:szCs w:val="24"/>
        </w:rPr>
        <w:t>投标文件有上述情形之一的，在评标时视为：对招标文件要求有实质性偏离处理。</w:t>
      </w:r>
    </w:p>
    <w:p>
      <w:pPr>
        <w:spacing w:line="400" w:lineRule="exact"/>
        <w:ind w:firstLine="480" w:firstLineChars="200"/>
        <w:rPr>
          <w:color w:val="000000"/>
          <w:sz w:val="24"/>
          <w:szCs w:val="24"/>
        </w:rPr>
      </w:pPr>
      <w:r>
        <w:rPr>
          <w:color w:val="000000"/>
          <w:sz w:val="24"/>
          <w:szCs w:val="24"/>
        </w:rPr>
        <w:t>2.5</w:t>
      </w:r>
      <w:r>
        <w:rPr>
          <w:rFonts w:hint="eastAsia" w:cs="宋体"/>
          <w:color w:val="000000"/>
          <w:sz w:val="24"/>
          <w:szCs w:val="24"/>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360" w:lineRule="auto"/>
        <w:ind w:left="420" w:leftChars="200" w:firstLine="120" w:firstLineChars="50"/>
        <w:rPr>
          <w:color w:val="000000"/>
          <w:sz w:val="24"/>
          <w:szCs w:val="24"/>
        </w:rPr>
      </w:pPr>
      <w:r>
        <w:rPr>
          <w:rFonts w:hint="eastAsia" w:cs="宋体"/>
          <w:color w:val="000000"/>
          <w:sz w:val="24"/>
          <w:szCs w:val="24"/>
        </w:rPr>
        <w:t>（</w:t>
      </w:r>
      <w:r>
        <w:rPr>
          <w:color w:val="000000"/>
          <w:sz w:val="24"/>
          <w:szCs w:val="24"/>
        </w:rPr>
        <w:t>1</w:t>
      </w:r>
      <w:r>
        <w:rPr>
          <w:rFonts w:hint="eastAsia" w:cs="宋体"/>
          <w:color w:val="000000"/>
          <w:sz w:val="24"/>
          <w:szCs w:val="24"/>
        </w:rPr>
        <w:t>）文字表述的内容含义不明确；</w:t>
      </w:r>
    </w:p>
    <w:p>
      <w:pPr>
        <w:spacing w:line="360" w:lineRule="auto"/>
        <w:ind w:left="420" w:leftChars="200" w:firstLine="120" w:firstLineChars="50"/>
        <w:rPr>
          <w:color w:val="000000"/>
          <w:sz w:val="24"/>
          <w:szCs w:val="24"/>
        </w:rPr>
      </w:pPr>
      <w:r>
        <w:rPr>
          <w:rFonts w:hint="eastAsia" w:cs="宋体"/>
          <w:color w:val="000000"/>
          <w:sz w:val="24"/>
          <w:szCs w:val="24"/>
        </w:rPr>
        <w:t>（</w:t>
      </w:r>
      <w:r>
        <w:rPr>
          <w:color w:val="000000"/>
          <w:sz w:val="24"/>
          <w:szCs w:val="24"/>
        </w:rPr>
        <w:t>2</w:t>
      </w:r>
      <w:r>
        <w:rPr>
          <w:rFonts w:hint="eastAsia" w:cs="宋体"/>
          <w:color w:val="000000"/>
          <w:sz w:val="24"/>
          <w:szCs w:val="24"/>
        </w:rPr>
        <w:t>）同类问题表述不一致；</w:t>
      </w:r>
    </w:p>
    <w:p>
      <w:pPr>
        <w:spacing w:line="360" w:lineRule="auto"/>
        <w:ind w:left="420" w:leftChars="200" w:firstLine="120" w:firstLineChars="50"/>
        <w:rPr>
          <w:color w:val="000000"/>
          <w:sz w:val="24"/>
          <w:szCs w:val="24"/>
        </w:rPr>
      </w:pPr>
      <w:r>
        <w:rPr>
          <w:rFonts w:hint="eastAsia" w:cs="宋体"/>
          <w:color w:val="000000"/>
          <w:sz w:val="24"/>
          <w:szCs w:val="24"/>
        </w:rPr>
        <w:t>（</w:t>
      </w:r>
      <w:r>
        <w:rPr>
          <w:color w:val="000000"/>
          <w:sz w:val="24"/>
          <w:szCs w:val="24"/>
        </w:rPr>
        <w:t>3</w:t>
      </w:r>
      <w:r>
        <w:rPr>
          <w:rFonts w:hint="eastAsia" w:cs="宋体"/>
          <w:color w:val="000000"/>
          <w:sz w:val="24"/>
          <w:szCs w:val="24"/>
        </w:rPr>
        <w:t>）有明显文字和计算错误；</w:t>
      </w:r>
    </w:p>
    <w:p>
      <w:pPr>
        <w:spacing w:line="360" w:lineRule="auto"/>
        <w:ind w:left="420" w:leftChars="200" w:firstLine="120" w:firstLineChars="50"/>
        <w:rPr>
          <w:color w:val="000000"/>
          <w:sz w:val="24"/>
          <w:szCs w:val="24"/>
        </w:rPr>
      </w:pPr>
      <w:r>
        <w:rPr>
          <w:rFonts w:hint="eastAsia" w:cs="宋体"/>
          <w:color w:val="000000"/>
          <w:sz w:val="24"/>
          <w:szCs w:val="24"/>
        </w:rPr>
        <w:t>（</w:t>
      </w:r>
      <w:r>
        <w:rPr>
          <w:color w:val="000000"/>
          <w:sz w:val="24"/>
          <w:szCs w:val="24"/>
        </w:rPr>
        <w:t>4</w:t>
      </w:r>
      <w:r>
        <w:rPr>
          <w:rFonts w:hint="eastAsia" w:cs="宋体"/>
          <w:color w:val="000000"/>
          <w:sz w:val="24"/>
          <w:szCs w:val="24"/>
        </w:rPr>
        <w:t>）提供的技术信息和数据资料不完整；</w:t>
      </w:r>
    </w:p>
    <w:p>
      <w:pPr>
        <w:spacing w:line="360" w:lineRule="auto"/>
        <w:ind w:left="420" w:leftChars="200" w:firstLine="120" w:firstLineChars="50"/>
        <w:rPr>
          <w:color w:val="000000"/>
          <w:sz w:val="24"/>
          <w:szCs w:val="24"/>
        </w:rPr>
      </w:pPr>
      <w:r>
        <w:rPr>
          <w:rFonts w:hint="eastAsia" w:cs="宋体"/>
          <w:color w:val="000000"/>
          <w:sz w:val="24"/>
          <w:szCs w:val="24"/>
        </w:rPr>
        <w:t>（</w:t>
      </w:r>
      <w:r>
        <w:rPr>
          <w:color w:val="000000"/>
          <w:sz w:val="24"/>
          <w:szCs w:val="24"/>
        </w:rPr>
        <w:t>5</w:t>
      </w:r>
      <w:r>
        <w:rPr>
          <w:rFonts w:hint="eastAsia" w:cs="宋体"/>
          <w:color w:val="000000"/>
          <w:sz w:val="24"/>
          <w:szCs w:val="24"/>
        </w:rPr>
        <w:t>）投标文件未按招标文件要求进行装订或未编制目录、页码；</w:t>
      </w:r>
    </w:p>
    <w:p>
      <w:pPr>
        <w:spacing w:line="360" w:lineRule="auto"/>
        <w:ind w:left="420" w:leftChars="200" w:firstLine="120" w:firstLineChars="50"/>
        <w:rPr>
          <w:color w:val="000000"/>
          <w:sz w:val="24"/>
          <w:szCs w:val="24"/>
        </w:rPr>
      </w:pPr>
      <w:r>
        <w:rPr>
          <w:rFonts w:hint="eastAsia" w:cs="宋体"/>
          <w:color w:val="000000"/>
          <w:sz w:val="24"/>
          <w:szCs w:val="24"/>
        </w:rPr>
        <w:t>（</w:t>
      </w:r>
      <w:r>
        <w:rPr>
          <w:color w:val="000000"/>
          <w:sz w:val="24"/>
          <w:szCs w:val="24"/>
        </w:rPr>
        <w:t>6</w:t>
      </w:r>
      <w:r>
        <w:rPr>
          <w:rFonts w:hint="eastAsia" w:cs="宋体"/>
          <w:color w:val="000000"/>
          <w:sz w:val="24"/>
          <w:szCs w:val="24"/>
        </w:rPr>
        <w:t>）评标委员会认定的其他非实质性偏离。</w:t>
      </w:r>
    </w:p>
    <w:p>
      <w:pPr>
        <w:spacing w:line="360" w:lineRule="auto"/>
        <w:ind w:firstLine="480" w:firstLineChars="200"/>
        <w:rPr>
          <w:color w:val="000000"/>
          <w:sz w:val="24"/>
          <w:szCs w:val="24"/>
        </w:rPr>
      </w:pPr>
      <w:r>
        <w:rPr>
          <w:rFonts w:hint="eastAsia" w:cs="宋体"/>
          <w:color w:val="000000"/>
          <w:sz w:val="24"/>
          <w:szCs w:val="24"/>
        </w:rPr>
        <w:t>投标文件有上述</w:t>
      </w:r>
      <w:r>
        <w:rPr>
          <w:color w:val="000000"/>
          <w:sz w:val="24"/>
          <w:szCs w:val="24"/>
        </w:rPr>
        <w:t>1</w:t>
      </w:r>
      <w:r>
        <w:rPr>
          <w:rFonts w:hint="eastAsia" w:cs="宋体"/>
          <w:color w:val="000000"/>
          <w:sz w:val="24"/>
          <w:szCs w:val="24"/>
        </w:rPr>
        <w:t>）</w:t>
      </w:r>
      <w:r>
        <w:rPr>
          <w:color w:val="000000"/>
          <w:sz w:val="24"/>
          <w:szCs w:val="24"/>
        </w:rPr>
        <w:t>~4</w:t>
      </w:r>
      <w:r>
        <w:rPr>
          <w:rFonts w:hint="eastAsia" w:cs="宋体"/>
          <w:color w:val="000000"/>
          <w:sz w:val="24"/>
          <w:szCs w:val="24"/>
        </w:rPr>
        <w:t>）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pPr>
        <w:spacing w:line="360" w:lineRule="auto"/>
        <w:ind w:firstLine="480" w:firstLineChars="200"/>
        <w:rPr>
          <w:color w:val="000000"/>
          <w:sz w:val="24"/>
          <w:szCs w:val="24"/>
        </w:rPr>
      </w:pPr>
      <w:r>
        <w:rPr>
          <w:color w:val="000000"/>
          <w:sz w:val="24"/>
          <w:szCs w:val="24"/>
        </w:rPr>
        <w:t>2.6</w:t>
      </w:r>
      <w:r>
        <w:rPr>
          <w:rFonts w:hint="eastAsia" w:cs="宋体"/>
          <w:color w:val="000000"/>
          <w:sz w:val="24"/>
          <w:szCs w:val="24"/>
        </w:rPr>
        <w:t>在投标文件初审过程中，如果出现评标委员会成员意见不一致的情况，按照少数服从多数的原则确定。</w:t>
      </w:r>
    </w:p>
    <w:p>
      <w:pPr>
        <w:spacing w:line="360" w:lineRule="auto"/>
        <w:ind w:firstLine="482" w:firstLineChars="200"/>
        <w:rPr>
          <w:b/>
          <w:bCs/>
          <w:color w:val="000000"/>
          <w:sz w:val="24"/>
          <w:szCs w:val="24"/>
        </w:rPr>
      </w:pPr>
      <w:bookmarkStart w:id="71" w:name="_Toc310958770"/>
      <w:bookmarkStart w:id="72" w:name="_Toc183582287"/>
      <w:bookmarkStart w:id="73" w:name="_Toc217446104"/>
      <w:bookmarkStart w:id="74" w:name="_Toc183682422"/>
      <w:r>
        <w:rPr>
          <w:b/>
          <w:bCs/>
          <w:color w:val="000000"/>
          <w:sz w:val="24"/>
          <w:szCs w:val="24"/>
        </w:rPr>
        <w:t>3.</w:t>
      </w:r>
      <w:r>
        <w:rPr>
          <w:rFonts w:hint="eastAsia" w:cs="宋体"/>
          <w:b/>
          <w:bCs/>
          <w:color w:val="000000"/>
          <w:sz w:val="24"/>
          <w:szCs w:val="24"/>
        </w:rPr>
        <w:t>计算错误的修改</w:t>
      </w:r>
      <w:bookmarkEnd w:id="71"/>
      <w:bookmarkEnd w:id="72"/>
      <w:bookmarkEnd w:id="73"/>
      <w:bookmarkEnd w:id="74"/>
    </w:p>
    <w:p>
      <w:pPr>
        <w:spacing w:line="360" w:lineRule="auto"/>
        <w:ind w:firstLine="480" w:firstLineChars="200"/>
        <w:rPr>
          <w:color w:val="000000"/>
          <w:sz w:val="24"/>
          <w:szCs w:val="24"/>
        </w:rPr>
      </w:pPr>
      <w:r>
        <w:rPr>
          <w:rFonts w:hint="eastAsia" w:cs="宋体"/>
          <w:color w:val="000000"/>
          <w:sz w:val="24"/>
          <w:szCs w:val="24"/>
        </w:rPr>
        <w:t>投标文件中如果出现计算上或累加上的算术错误，可按以下原则进行修改：</w:t>
      </w:r>
    </w:p>
    <w:p>
      <w:pPr>
        <w:spacing w:line="360" w:lineRule="auto"/>
        <w:ind w:firstLine="480" w:firstLineChars="200"/>
        <w:rPr>
          <w:color w:val="000000"/>
          <w:sz w:val="24"/>
          <w:szCs w:val="24"/>
        </w:rPr>
      </w:pPr>
      <w:r>
        <w:rPr>
          <w:rFonts w:hint="eastAsia" w:cs="宋体"/>
          <w:color w:val="000000"/>
          <w:sz w:val="24"/>
          <w:szCs w:val="24"/>
        </w:rPr>
        <w:t>（</w:t>
      </w:r>
      <w:r>
        <w:rPr>
          <w:color w:val="000000"/>
          <w:sz w:val="24"/>
          <w:szCs w:val="24"/>
        </w:rPr>
        <w:t>1</w:t>
      </w:r>
      <w:r>
        <w:rPr>
          <w:rFonts w:hint="eastAsia" w:cs="宋体"/>
          <w:color w:val="000000"/>
          <w:sz w:val="24"/>
          <w:szCs w:val="24"/>
        </w:rPr>
        <w:t>）用数字表示的金额和用文字表示的金额不一致，应以文字表示的金额为准。</w:t>
      </w:r>
    </w:p>
    <w:p>
      <w:pPr>
        <w:spacing w:line="360" w:lineRule="auto"/>
        <w:ind w:firstLine="480" w:firstLineChars="200"/>
        <w:rPr>
          <w:color w:val="000000"/>
          <w:sz w:val="24"/>
          <w:szCs w:val="24"/>
        </w:rPr>
      </w:pPr>
      <w:r>
        <w:rPr>
          <w:rFonts w:hint="eastAsia" w:cs="宋体"/>
          <w:color w:val="000000"/>
          <w:sz w:val="24"/>
          <w:szCs w:val="24"/>
        </w:rPr>
        <w:t>（</w:t>
      </w:r>
      <w:r>
        <w:rPr>
          <w:color w:val="000000"/>
          <w:sz w:val="24"/>
          <w:szCs w:val="24"/>
        </w:rPr>
        <w:t>2</w:t>
      </w:r>
      <w:r>
        <w:rPr>
          <w:rFonts w:hint="eastAsia" w:cs="宋体"/>
          <w:color w:val="000000"/>
          <w:sz w:val="24"/>
          <w:szCs w:val="24"/>
        </w:rPr>
        <w:t>）单价和数量的乘积与总价不一致时，以单价为准，并修正总价。</w:t>
      </w:r>
    </w:p>
    <w:p>
      <w:pPr>
        <w:spacing w:line="360" w:lineRule="auto"/>
        <w:ind w:firstLine="480" w:firstLineChars="200"/>
        <w:rPr>
          <w:color w:val="000000"/>
          <w:sz w:val="24"/>
          <w:szCs w:val="24"/>
        </w:rPr>
      </w:pPr>
      <w:r>
        <w:rPr>
          <w:rFonts w:hint="eastAsia" w:cs="宋体"/>
          <w:color w:val="000000"/>
          <w:sz w:val="24"/>
          <w:szCs w:val="24"/>
        </w:rPr>
        <w:t>（</w:t>
      </w:r>
      <w:r>
        <w:rPr>
          <w:color w:val="000000"/>
          <w:sz w:val="24"/>
          <w:szCs w:val="24"/>
        </w:rPr>
        <w:t>3</w:t>
      </w:r>
      <w:r>
        <w:rPr>
          <w:rFonts w:hint="eastAsia" w:cs="宋体"/>
          <w:color w:val="000000"/>
          <w:sz w:val="24"/>
          <w:szCs w:val="24"/>
        </w:rPr>
        <w:t>）单价金额小数点有明显错误的，以总价为准，修正单价。</w:t>
      </w:r>
    </w:p>
    <w:p>
      <w:pPr>
        <w:spacing w:line="360" w:lineRule="auto"/>
        <w:ind w:firstLine="480" w:firstLineChars="200"/>
        <w:rPr>
          <w:color w:val="000000"/>
          <w:sz w:val="24"/>
          <w:szCs w:val="24"/>
        </w:rPr>
      </w:pPr>
      <w:r>
        <w:rPr>
          <w:rFonts w:hint="eastAsia" w:cs="宋体"/>
          <w:color w:val="000000"/>
          <w:sz w:val="24"/>
          <w:szCs w:val="24"/>
        </w:rPr>
        <w:t>（</w:t>
      </w:r>
      <w:r>
        <w:rPr>
          <w:color w:val="000000"/>
          <w:sz w:val="24"/>
          <w:szCs w:val="24"/>
        </w:rPr>
        <w:t>4</w:t>
      </w:r>
      <w:r>
        <w:rPr>
          <w:rFonts w:hint="eastAsia" w:cs="宋体"/>
          <w:color w:val="000000"/>
          <w:sz w:val="24"/>
          <w:szCs w:val="24"/>
        </w:rPr>
        <w:t>）按上述修正错误的方法调整的投标报价应对投标人具有约束力。如果投标人不接受修正后的价格，其投标将被拒绝。</w:t>
      </w:r>
    </w:p>
    <w:p>
      <w:pPr>
        <w:pStyle w:val="19"/>
        <w:spacing w:before="0" w:after="0" w:line="360" w:lineRule="auto"/>
        <w:ind w:firstLine="482" w:firstLineChars="20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hint="eastAsia" w:ascii="Times New Roman" w:hAnsi="Times New Roman" w:cs="宋体"/>
          <w:color w:val="000000"/>
          <w:sz w:val="24"/>
          <w:szCs w:val="24"/>
        </w:rPr>
        <w:t>综合评分统计及排名：</w:t>
      </w:r>
    </w:p>
    <w:p>
      <w:pPr>
        <w:pStyle w:val="19"/>
        <w:spacing w:before="0" w:after="0" w:line="360" w:lineRule="auto"/>
        <w:ind w:firstLine="480" w:firstLineChars="200"/>
        <w:rPr>
          <w:rFonts w:ascii="Times New Roman" w:hAnsi="Times New Roman" w:cs="Times New Roman"/>
          <w:b w:val="0"/>
          <w:bCs w:val="0"/>
          <w:color w:val="000000"/>
          <w:sz w:val="24"/>
          <w:szCs w:val="24"/>
        </w:rPr>
      </w:pPr>
      <w:r>
        <w:rPr>
          <w:rFonts w:hint="eastAsia" w:ascii="Times New Roman" w:hAnsi="Times New Roman" w:cs="宋体"/>
          <w:b w:val="0"/>
          <w:bCs w:val="0"/>
          <w:color w:val="000000"/>
          <w:sz w:val="24"/>
          <w:szCs w:val="24"/>
        </w:rPr>
        <w:t>（</w:t>
      </w:r>
      <w:r>
        <w:rPr>
          <w:rFonts w:ascii="Times New Roman" w:hAnsi="Times New Roman" w:cs="Times New Roman"/>
          <w:b w:val="0"/>
          <w:bCs w:val="0"/>
          <w:color w:val="000000"/>
          <w:sz w:val="24"/>
          <w:szCs w:val="24"/>
        </w:rPr>
        <w:t>1</w:t>
      </w:r>
      <w:r>
        <w:rPr>
          <w:rFonts w:hint="eastAsia" w:ascii="Times New Roman" w:hAnsi="Times New Roman" w:cs="宋体"/>
          <w:b w:val="0"/>
          <w:bCs w:val="0"/>
          <w:color w:val="000000"/>
          <w:sz w:val="24"/>
          <w:szCs w:val="24"/>
        </w:rPr>
        <w:t>）技术商务分统计：按照评标程序、评分标准以及分值分配的规定，评标委员会成员分别就各个投标人的技术、商务状况，其对招标文件要求的响应情况进行评议和比较，评出各投标人的技术商务总分，全部评委的评分的算术平均值即为该投标人的技术商务最终得分。</w:t>
      </w:r>
    </w:p>
    <w:p>
      <w:pPr>
        <w:pStyle w:val="19"/>
        <w:spacing w:before="0" w:after="0" w:line="360" w:lineRule="auto"/>
        <w:ind w:firstLine="480" w:firstLineChars="200"/>
        <w:rPr>
          <w:rFonts w:ascii="Times New Roman" w:hAnsi="Times New Roman" w:cs="Times New Roman"/>
          <w:b w:val="0"/>
          <w:bCs w:val="0"/>
          <w:color w:val="000000"/>
          <w:sz w:val="24"/>
          <w:szCs w:val="24"/>
        </w:rPr>
      </w:pPr>
      <w:r>
        <w:rPr>
          <w:rFonts w:hint="eastAsia" w:ascii="Times New Roman" w:hAnsi="Times New Roman" w:cs="宋体"/>
          <w:b w:val="0"/>
          <w:bCs w:val="0"/>
          <w:color w:val="000000"/>
          <w:sz w:val="24"/>
          <w:szCs w:val="24"/>
        </w:rPr>
        <w:t>（</w:t>
      </w:r>
      <w:r>
        <w:rPr>
          <w:rFonts w:ascii="Times New Roman" w:hAnsi="Times New Roman" w:cs="Times New Roman"/>
          <w:b w:val="0"/>
          <w:bCs w:val="0"/>
          <w:color w:val="000000"/>
          <w:sz w:val="24"/>
          <w:szCs w:val="24"/>
        </w:rPr>
        <w:t>2</w:t>
      </w:r>
      <w:r>
        <w:rPr>
          <w:rFonts w:hint="eastAsia" w:ascii="Times New Roman" w:hAnsi="Times New Roman" w:cs="宋体"/>
          <w:b w:val="0"/>
          <w:bCs w:val="0"/>
          <w:color w:val="000000"/>
          <w:sz w:val="24"/>
          <w:szCs w:val="24"/>
        </w:rPr>
        <w:t>）综合得分：技术商务最终得分与投标报价得分相加得出综合得分。</w:t>
      </w:r>
    </w:p>
    <w:bookmarkEnd w:id="69"/>
    <w:p>
      <w:pPr>
        <w:spacing w:line="360" w:lineRule="auto"/>
        <w:rPr>
          <w:rFonts w:eastAsia="黑体"/>
          <w:b/>
          <w:bCs/>
          <w:sz w:val="24"/>
          <w:szCs w:val="24"/>
        </w:rPr>
      </w:pPr>
      <w:bookmarkStart w:id="75" w:name="_Toc217446060"/>
      <w:r>
        <w:rPr>
          <w:rFonts w:eastAsia="黑体"/>
          <w:b/>
          <w:bCs/>
          <w:sz w:val="24"/>
          <w:szCs w:val="24"/>
        </w:rPr>
        <w:t xml:space="preserve">    5.</w:t>
      </w:r>
      <w:r>
        <w:rPr>
          <w:rFonts w:hint="eastAsia" w:eastAsia="黑体" w:cs="黑体"/>
          <w:b/>
          <w:bCs/>
          <w:sz w:val="24"/>
          <w:szCs w:val="24"/>
        </w:rPr>
        <w:t>废标</w:t>
      </w:r>
    </w:p>
    <w:p>
      <w:pPr>
        <w:spacing w:line="360" w:lineRule="auto"/>
        <w:ind w:firstLine="480" w:firstLineChars="200"/>
        <w:rPr>
          <w:sz w:val="24"/>
          <w:szCs w:val="24"/>
        </w:rPr>
      </w:pPr>
      <w:r>
        <w:rPr>
          <w:rFonts w:hint="eastAsia" w:cs="宋体"/>
          <w:sz w:val="24"/>
          <w:szCs w:val="24"/>
        </w:rPr>
        <w:t>本次政府采购活动中，出现下列情形之一的，予以废标：</w:t>
      </w:r>
    </w:p>
    <w:p>
      <w:pPr>
        <w:spacing w:line="360" w:lineRule="auto"/>
        <w:ind w:firstLine="480" w:firstLineChars="200"/>
        <w:rPr>
          <w:sz w:val="24"/>
          <w:szCs w:val="24"/>
        </w:rPr>
      </w:pPr>
      <w:r>
        <w:rPr>
          <w:rFonts w:hint="eastAsia" w:cs="宋体"/>
          <w:sz w:val="24"/>
          <w:szCs w:val="24"/>
        </w:rPr>
        <w:t>（</w:t>
      </w:r>
      <w:r>
        <w:rPr>
          <w:sz w:val="24"/>
          <w:szCs w:val="24"/>
        </w:rPr>
        <w:t>1</w:t>
      </w:r>
      <w:r>
        <w:rPr>
          <w:rFonts w:hint="eastAsia" w:cs="宋体"/>
          <w:sz w:val="24"/>
          <w:szCs w:val="24"/>
        </w:rPr>
        <w:t>）符合专业条件的投标人或者对招标文件作实质响应的投标人不足三家的；</w:t>
      </w:r>
    </w:p>
    <w:p>
      <w:pPr>
        <w:spacing w:line="360" w:lineRule="auto"/>
        <w:ind w:firstLine="480" w:firstLineChars="200"/>
        <w:rPr>
          <w:sz w:val="24"/>
          <w:szCs w:val="24"/>
        </w:rPr>
      </w:pPr>
      <w:r>
        <w:rPr>
          <w:rFonts w:hint="eastAsia" w:cs="宋体"/>
          <w:sz w:val="24"/>
          <w:szCs w:val="24"/>
        </w:rPr>
        <w:t>（</w:t>
      </w:r>
      <w:r>
        <w:rPr>
          <w:sz w:val="24"/>
          <w:szCs w:val="24"/>
        </w:rPr>
        <w:t>2</w:t>
      </w:r>
      <w:r>
        <w:rPr>
          <w:rFonts w:hint="eastAsia" w:cs="宋体"/>
          <w:sz w:val="24"/>
          <w:szCs w:val="24"/>
        </w:rPr>
        <w:t>）出现影响采购公正的违法、违规行为的；</w:t>
      </w:r>
    </w:p>
    <w:p>
      <w:pPr>
        <w:spacing w:line="360" w:lineRule="auto"/>
        <w:ind w:firstLine="480" w:firstLineChars="200"/>
        <w:rPr>
          <w:sz w:val="24"/>
          <w:szCs w:val="24"/>
        </w:rPr>
      </w:pPr>
      <w:r>
        <w:rPr>
          <w:rFonts w:hint="eastAsia" w:cs="宋体"/>
          <w:sz w:val="24"/>
          <w:szCs w:val="24"/>
        </w:rPr>
        <w:t>（</w:t>
      </w:r>
      <w:r>
        <w:rPr>
          <w:sz w:val="24"/>
          <w:szCs w:val="24"/>
        </w:rPr>
        <w:t>3</w:t>
      </w:r>
      <w:r>
        <w:rPr>
          <w:rFonts w:hint="eastAsia" w:cs="宋体"/>
          <w:sz w:val="24"/>
          <w:szCs w:val="24"/>
        </w:rPr>
        <w:t>）因重大变故，采购任务取消的。</w:t>
      </w:r>
    </w:p>
    <w:p>
      <w:pPr>
        <w:spacing w:line="360" w:lineRule="auto"/>
        <w:ind w:firstLine="480" w:firstLineChars="200"/>
        <w:rPr>
          <w:sz w:val="24"/>
          <w:szCs w:val="24"/>
        </w:rPr>
      </w:pPr>
      <w:r>
        <w:rPr>
          <w:rFonts w:hint="eastAsia" w:cs="宋体"/>
          <w:sz w:val="24"/>
          <w:szCs w:val="24"/>
        </w:rPr>
        <w:t>废标后，采购代理机构应在法定指定媒体上公告，并公告废标的详细理由。</w:t>
      </w:r>
    </w:p>
    <w:p>
      <w:pPr>
        <w:spacing w:line="360" w:lineRule="auto"/>
        <w:ind w:firstLine="482" w:firstLineChars="200"/>
        <w:rPr>
          <w:rFonts w:eastAsia="黑体"/>
          <w:b/>
          <w:bCs/>
          <w:sz w:val="24"/>
          <w:szCs w:val="24"/>
        </w:rPr>
      </w:pPr>
      <w:r>
        <w:rPr>
          <w:rFonts w:eastAsia="黑体"/>
          <w:b/>
          <w:bCs/>
          <w:sz w:val="24"/>
          <w:szCs w:val="24"/>
        </w:rPr>
        <w:t>6.</w:t>
      </w:r>
      <w:r>
        <w:rPr>
          <w:rFonts w:hint="eastAsia" w:eastAsia="黑体" w:cs="黑体"/>
          <w:b/>
          <w:bCs/>
          <w:sz w:val="24"/>
          <w:szCs w:val="24"/>
        </w:rPr>
        <w:t>定标</w:t>
      </w:r>
      <w:bookmarkEnd w:id="75"/>
      <w:bookmarkStart w:id="76" w:name="_Toc217446061"/>
    </w:p>
    <w:p>
      <w:pPr>
        <w:spacing w:line="360" w:lineRule="auto"/>
        <w:ind w:firstLine="480" w:firstLineChars="200"/>
        <w:rPr>
          <w:sz w:val="24"/>
          <w:szCs w:val="24"/>
        </w:rPr>
      </w:pPr>
      <w:r>
        <w:rPr>
          <w:sz w:val="24"/>
          <w:szCs w:val="24"/>
        </w:rPr>
        <w:t xml:space="preserve">6.1. </w:t>
      </w:r>
      <w:r>
        <w:rPr>
          <w:rFonts w:hint="eastAsia" w:cs="宋体"/>
          <w:sz w:val="24"/>
          <w:szCs w:val="24"/>
        </w:rPr>
        <w:t>定标原则</w:t>
      </w:r>
      <w:bookmarkEnd w:id="76"/>
      <w:r>
        <w:rPr>
          <w:rFonts w:hint="eastAsia" w:cs="宋体"/>
          <w:sz w:val="24"/>
          <w:szCs w:val="24"/>
        </w:rPr>
        <w:t>：本项目根据评委会推荐的中标候选人名单，按顺序确定中标人。</w:t>
      </w:r>
    </w:p>
    <w:p>
      <w:pPr>
        <w:spacing w:line="360" w:lineRule="auto"/>
        <w:ind w:firstLine="480" w:firstLineChars="200"/>
        <w:rPr>
          <w:sz w:val="24"/>
          <w:szCs w:val="24"/>
        </w:rPr>
      </w:pPr>
      <w:bookmarkStart w:id="77" w:name="_Toc217446062"/>
      <w:r>
        <w:rPr>
          <w:sz w:val="24"/>
          <w:szCs w:val="24"/>
        </w:rPr>
        <w:t xml:space="preserve">6.2. </w:t>
      </w:r>
      <w:r>
        <w:rPr>
          <w:rFonts w:hint="eastAsia" w:cs="宋体"/>
          <w:sz w:val="24"/>
          <w:szCs w:val="24"/>
        </w:rPr>
        <w:t>定标程序</w:t>
      </w:r>
      <w:bookmarkEnd w:id="77"/>
    </w:p>
    <w:p>
      <w:pPr>
        <w:spacing w:line="360" w:lineRule="auto"/>
        <w:ind w:firstLine="480" w:firstLineChars="200"/>
        <w:rPr>
          <w:sz w:val="24"/>
          <w:szCs w:val="24"/>
        </w:rPr>
      </w:pPr>
      <w:r>
        <w:rPr>
          <w:sz w:val="24"/>
          <w:szCs w:val="24"/>
        </w:rPr>
        <w:t xml:space="preserve">6.2.1 </w:t>
      </w:r>
      <w:r>
        <w:rPr>
          <w:rFonts w:hint="eastAsia" w:cs="宋体"/>
          <w:sz w:val="24"/>
          <w:szCs w:val="24"/>
        </w:rPr>
        <w:t>评委会将评标情况写出书面报告，推荐中标候选人，并按照综合得分高低标明排列顺序。综合得分相同的，按投标报价由低到高顺序排列。得分且投标报价相同的，按技术指标优劣顺序排列。</w:t>
      </w:r>
    </w:p>
    <w:p>
      <w:pPr>
        <w:spacing w:line="360" w:lineRule="auto"/>
        <w:ind w:firstLine="480" w:firstLineChars="200"/>
        <w:rPr>
          <w:sz w:val="24"/>
          <w:szCs w:val="24"/>
        </w:rPr>
      </w:pPr>
      <w:r>
        <w:rPr>
          <w:sz w:val="24"/>
          <w:szCs w:val="24"/>
        </w:rPr>
        <w:t>6.2.2</w:t>
      </w:r>
      <w:r>
        <w:rPr>
          <w:rFonts w:hint="eastAsia" w:cs="宋体"/>
          <w:sz w:val="24"/>
          <w:szCs w:val="24"/>
        </w:rPr>
        <w:t>招标人在评标结束后</w:t>
      </w:r>
      <w:r>
        <w:rPr>
          <w:sz w:val="24"/>
          <w:szCs w:val="24"/>
        </w:rPr>
        <w:t>2</w:t>
      </w:r>
      <w:r>
        <w:rPr>
          <w:rFonts w:hint="eastAsia" w:cs="宋体"/>
          <w:sz w:val="24"/>
          <w:szCs w:val="24"/>
        </w:rPr>
        <w:t>个工作日内将评标报告送采购人。</w:t>
      </w:r>
    </w:p>
    <w:p>
      <w:pPr>
        <w:spacing w:line="360" w:lineRule="auto"/>
        <w:ind w:firstLine="480" w:firstLineChars="200"/>
        <w:rPr>
          <w:sz w:val="24"/>
          <w:szCs w:val="24"/>
        </w:rPr>
      </w:pPr>
      <w:r>
        <w:rPr>
          <w:sz w:val="24"/>
          <w:szCs w:val="24"/>
        </w:rPr>
        <w:t xml:space="preserve">6.2.3 </w:t>
      </w:r>
      <w:r>
        <w:rPr>
          <w:rFonts w:hint="eastAsia" w:cs="宋体"/>
          <w:sz w:val="24"/>
          <w:szCs w:val="24"/>
        </w:rPr>
        <w:t>采购人在收到评标报告后</w:t>
      </w:r>
      <w:r>
        <w:rPr>
          <w:sz w:val="24"/>
          <w:szCs w:val="24"/>
        </w:rPr>
        <w:t>5</w:t>
      </w:r>
      <w:r>
        <w:rPr>
          <w:rFonts w:hint="eastAsia" w:cs="宋体"/>
          <w:sz w:val="24"/>
          <w:szCs w:val="24"/>
        </w:rPr>
        <w:t>个工作日内，按照评标报告中推荐的中标候选人顺序确定中标人。</w:t>
      </w:r>
    </w:p>
    <w:p>
      <w:pPr>
        <w:spacing w:line="360" w:lineRule="auto"/>
        <w:ind w:firstLine="480" w:firstLineChars="200"/>
        <w:rPr>
          <w:sz w:val="24"/>
          <w:szCs w:val="24"/>
        </w:rPr>
      </w:pPr>
      <w:r>
        <w:rPr>
          <w:rFonts w:hint="eastAsia" w:cs="宋体"/>
          <w:sz w:val="24"/>
          <w:szCs w:val="24"/>
        </w:rPr>
        <w:t>注意，采购人按照推荐的中标候选人顺序确定中标人，不能认为采购人只能确定第一中标候选人为中标人，采购人有正当理由的，可以确定后一顺序中标候选人为中标人，依次类推。</w:t>
      </w:r>
    </w:p>
    <w:p>
      <w:pPr>
        <w:spacing w:line="360" w:lineRule="auto"/>
        <w:ind w:firstLine="480" w:firstLineChars="200"/>
        <w:rPr>
          <w:sz w:val="24"/>
          <w:szCs w:val="24"/>
        </w:rPr>
      </w:pPr>
      <w:r>
        <w:rPr>
          <w:sz w:val="24"/>
          <w:szCs w:val="24"/>
        </w:rPr>
        <w:t>6.2.4</w:t>
      </w:r>
      <w:r>
        <w:rPr>
          <w:rFonts w:hint="eastAsia" w:cs="宋体"/>
          <w:sz w:val="24"/>
          <w:szCs w:val="24"/>
        </w:rPr>
        <w:t>根据采购人确定的中标人，招标人在法定指定媒体上发布中标公告，同时向中标人发出中标通知书。</w:t>
      </w:r>
    </w:p>
    <w:p>
      <w:pPr>
        <w:spacing w:line="360" w:lineRule="auto"/>
        <w:ind w:firstLine="480" w:firstLineChars="200"/>
        <w:rPr>
          <w:color w:val="000000"/>
        </w:rPr>
      </w:pPr>
      <w:r>
        <w:rPr>
          <w:sz w:val="24"/>
          <w:szCs w:val="24"/>
        </w:rPr>
        <w:t xml:space="preserve">6.2.5 </w:t>
      </w:r>
      <w:r>
        <w:rPr>
          <w:rFonts w:hint="eastAsia" w:cs="宋体"/>
          <w:sz w:val="24"/>
          <w:szCs w:val="24"/>
        </w:rPr>
        <w:t>招标采购单位不解释中标或落标原因，不退回投标文件和其他投标资料。</w:t>
      </w:r>
      <w:bookmarkEnd w:id="70"/>
    </w:p>
    <w:p>
      <w:pPr>
        <w:shd w:val="clear" w:color="auto" w:fill="FFFFFF"/>
        <w:tabs>
          <w:tab w:val="left" w:pos="720"/>
        </w:tabs>
        <w:snapToGrid w:val="0"/>
        <w:spacing w:line="360" w:lineRule="auto"/>
        <w:ind w:firstLine="723" w:firstLineChars="200"/>
        <w:rPr>
          <w:rFonts w:ascii="宋体"/>
          <w:b/>
          <w:sz w:val="36"/>
          <w:szCs w:val="36"/>
        </w:rPr>
      </w:pPr>
      <w:r>
        <w:rPr>
          <w:rFonts w:hint="eastAsia" w:ascii="宋体" w:hAnsi="宋体"/>
          <w:b/>
          <w:sz w:val="36"/>
          <w:szCs w:val="36"/>
        </w:rPr>
        <w:t>附表</w:t>
      </w:r>
      <w:r>
        <w:rPr>
          <w:rFonts w:ascii="宋体" w:hAnsi="宋体"/>
          <w:b/>
          <w:sz w:val="36"/>
          <w:szCs w:val="36"/>
        </w:rPr>
        <w:t>1</w:t>
      </w:r>
    </w:p>
    <w:p>
      <w:pPr>
        <w:pStyle w:val="77"/>
        <w:ind w:firstLine="0" w:firstLineChars="0"/>
        <w:jc w:val="center"/>
        <w:rPr>
          <w:b/>
          <w:sz w:val="32"/>
          <w:szCs w:val="32"/>
        </w:rPr>
      </w:pPr>
      <w:bookmarkStart w:id="78" w:name="_Toc491437841"/>
      <w:r>
        <w:rPr>
          <w:rFonts w:hint="eastAsia"/>
          <w:b/>
          <w:sz w:val="32"/>
          <w:szCs w:val="32"/>
        </w:rPr>
        <w:t>资格审查表</w:t>
      </w:r>
      <w:bookmarkEnd w:id="78"/>
    </w:p>
    <w:p>
      <w:pPr>
        <w:shd w:val="clear" w:color="auto" w:fill="FFFFFF"/>
        <w:spacing w:line="360" w:lineRule="auto"/>
        <w:rPr>
          <w:rFonts w:ascii="宋体"/>
          <w:sz w:val="24"/>
          <w:lang w:val="en-US"/>
        </w:rPr>
      </w:pPr>
      <w:r>
        <w:rPr>
          <w:rFonts w:hint="eastAsia" w:ascii="宋体" w:hAnsi="宋体"/>
          <w:sz w:val="24"/>
        </w:rPr>
        <w:t>项目名称：</w:t>
      </w:r>
      <w:r>
        <w:rPr>
          <w:rFonts w:hint="eastAsia"/>
          <w:sz w:val="24"/>
          <w:lang w:eastAsia="zh-CN"/>
        </w:rPr>
        <w:t>音乐舞蹈专业实训设备购置（二次招标）</w:t>
      </w:r>
      <w:r>
        <w:rPr>
          <w:rFonts w:hint="eastAsia" w:ascii="宋体" w:hAnsi="宋体"/>
          <w:sz w:val="24"/>
        </w:rPr>
        <w:t>项目编号：</w:t>
      </w:r>
      <w:r>
        <w:rPr>
          <w:rFonts w:ascii="宋体" w:hAnsi="宋体"/>
          <w:sz w:val="24"/>
        </w:rPr>
        <w:t xml:space="preserve"> </w:t>
      </w:r>
      <w:r>
        <w:rPr>
          <w:rFonts w:hint="eastAsia" w:ascii="宋体" w:hAnsi="宋体"/>
          <w:sz w:val="24"/>
          <w:lang w:eastAsia="zh-CN"/>
        </w:rPr>
        <w:t>TSC2018-</w:t>
      </w:r>
      <w:r>
        <w:rPr>
          <w:rFonts w:hint="eastAsia" w:ascii="宋体" w:hAnsi="宋体"/>
          <w:sz w:val="24"/>
          <w:lang w:val="en-US" w:eastAsia="zh-CN"/>
        </w:rPr>
        <w:t>93</w:t>
      </w:r>
    </w:p>
    <w:tbl>
      <w:tblPr>
        <w:tblStyle w:val="31"/>
        <w:tblW w:w="91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42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b/>
                <w:sz w:val="24"/>
                <w:szCs w:val="24"/>
              </w:rPr>
            </w:pPr>
            <w:r>
              <w:rPr>
                <w:rFonts w:hint="eastAsia" w:ascii="宋体" w:hAnsi="宋体"/>
                <w:b/>
                <w:sz w:val="24"/>
                <w:szCs w:val="24"/>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b/>
                <w:sz w:val="24"/>
                <w:szCs w:val="24"/>
              </w:rPr>
            </w:pPr>
            <w:r>
              <w:rPr>
                <w:rFonts w:hint="eastAsia" w:ascii="宋体" w:hAnsi="宋体"/>
                <w:b/>
                <w:sz w:val="24"/>
                <w:szCs w:val="24"/>
              </w:rPr>
              <w:t>审查项目</w:t>
            </w:r>
          </w:p>
        </w:tc>
        <w:tc>
          <w:tcPr>
            <w:tcW w:w="34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b/>
                <w:sz w:val="24"/>
                <w:szCs w:val="24"/>
              </w:rPr>
            </w:pPr>
            <w:r>
              <w:rPr>
                <w:rFonts w:hint="eastAsia" w:ascii="宋体" w:hAnsi="宋体"/>
                <w:b/>
                <w:sz w:val="24"/>
                <w:szCs w:val="24"/>
              </w:rPr>
              <w:t>评议内容</w:t>
            </w:r>
            <w:r>
              <w:rPr>
                <w:rFonts w:hint="eastAsia" w:ascii="宋体" w:hAnsi="宋体"/>
                <w:sz w:val="24"/>
                <w:szCs w:val="24"/>
              </w:rPr>
              <w:t>（无效投标认定条件）</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b/>
                <w:sz w:val="24"/>
                <w:szCs w:val="24"/>
              </w:rPr>
            </w:pPr>
            <w:r>
              <w:rPr>
                <w:rFonts w:hint="eastAsia" w:ascii="宋体" w:hAnsi="宋体"/>
                <w:b/>
                <w:sz w:val="24"/>
                <w:szCs w:val="24"/>
              </w:rPr>
              <w:t>投标人</w:t>
            </w:r>
            <w:r>
              <w:rPr>
                <w:rFonts w:ascii="宋体" w:hAnsi="宋体"/>
                <w:b/>
                <w:sz w:val="24"/>
                <w:szCs w:val="24"/>
              </w:rPr>
              <w:t>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sz w:val="24"/>
                <w:szCs w:val="24"/>
              </w:rPr>
            </w:pPr>
            <w:r>
              <w:rPr>
                <w:rFonts w:hint="eastAsia" w:ascii="宋体" w:hAnsi="宋体"/>
                <w:b/>
                <w:sz w:val="24"/>
                <w:szCs w:val="24"/>
              </w:rPr>
              <w:t>投标人</w:t>
            </w:r>
            <w:r>
              <w:rPr>
                <w:rFonts w:ascii="宋体" w:hAnsi="宋体"/>
                <w:b/>
                <w:sz w:val="24"/>
                <w:szCs w:val="24"/>
              </w:rPr>
              <w:t>2</w:t>
            </w:r>
          </w:p>
        </w:tc>
        <w:tc>
          <w:tcPr>
            <w:tcW w:w="1080"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宋体"/>
                <w:sz w:val="24"/>
                <w:szCs w:val="24"/>
              </w:rPr>
            </w:pPr>
            <w:r>
              <w:rPr>
                <w:rFonts w:hint="eastAsia" w:ascii="宋体" w:hAnsi="宋体"/>
                <w:b/>
                <w:sz w:val="24"/>
                <w:szCs w:val="24"/>
              </w:rPr>
              <w:t>投标人</w:t>
            </w:r>
            <w:r>
              <w:rPr>
                <w:rFonts w:ascii="宋体" w:hAnsi="宋体"/>
                <w:b/>
                <w:sz w:val="24"/>
                <w:szCs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vAlign w:val="top"/>
          </w:tcPr>
          <w:p>
            <w:pPr>
              <w:shd w:val="clear" w:color="auto" w:fill="FFFFFF"/>
              <w:snapToGrid w:val="0"/>
              <w:spacing w:line="480" w:lineRule="exact"/>
              <w:jc w:val="center"/>
              <w:rPr>
                <w:rFonts w:ascii="宋体"/>
                <w:sz w:val="24"/>
                <w:szCs w:val="24"/>
              </w:rPr>
            </w:pPr>
            <w:r>
              <w:rPr>
                <w:rFonts w:ascii="宋体" w:hAnsi="宋体"/>
                <w:sz w:val="24"/>
                <w:szCs w:val="24"/>
              </w:rPr>
              <w:t>1</w:t>
            </w:r>
          </w:p>
        </w:tc>
        <w:tc>
          <w:tcPr>
            <w:tcW w:w="180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rPr>
                <w:rFonts w:ascii="宋体"/>
                <w:sz w:val="24"/>
                <w:szCs w:val="24"/>
              </w:rPr>
            </w:pPr>
            <w:r>
              <w:rPr>
                <w:rFonts w:hint="eastAsia" w:ascii="宋体" w:hAnsi="宋体"/>
                <w:sz w:val="24"/>
                <w:szCs w:val="24"/>
              </w:rPr>
              <w:t>投标人的资格</w:t>
            </w:r>
          </w:p>
        </w:tc>
        <w:tc>
          <w:tcPr>
            <w:tcW w:w="342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rPr>
                <w:rFonts w:ascii="宋体"/>
                <w:sz w:val="24"/>
                <w:szCs w:val="24"/>
              </w:rPr>
            </w:pPr>
            <w:r>
              <w:rPr>
                <w:rFonts w:hint="eastAsia" w:ascii="宋体" w:hAnsi="宋体"/>
                <w:sz w:val="24"/>
                <w:szCs w:val="24"/>
              </w:rPr>
              <w:t>是否符合投标人资格要求</w:t>
            </w:r>
          </w:p>
        </w:tc>
        <w:tc>
          <w:tcPr>
            <w:tcW w:w="108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c>
          <w:tcPr>
            <w:tcW w:w="108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c>
          <w:tcPr>
            <w:tcW w:w="1080" w:type="dxa"/>
            <w:tcBorders>
              <w:top w:val="single" w:color="auto" w:sz="4" w:space="0"/>
              <w:left w:val="single" w:color="auto" w:sz="4" w:space="0"/>
              <w:bottom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vAlign w:val="top"/>
          </w:tcPr>
          <w:p>
            <w:pPr>
              <w:shd w:val="clear" w:color="auto" w:fill="FFFFFF"/>
              <w:snapToGrid w:val="0"/>
              <w:spacing w:line="480" w:lineRule="exact"/>
              <w:jc w:val="center"/>
              <w:rPr>
                <w:rFonts w:ascii="宋体"/>
                <w:sz w:val="24"/>
                <w:szCs w:val="24"/>
              </w:rPr>
            </w:pPr>
            <w:r>
              <w:rPr>
                <w:rFonts w:ascii="宋体" w:hAnsi="宋体"/>
                <w:sz w:val="24"/>
                <w:szCs w:val="24"/>
              </w:rPr>
              <w:t>2</w:t>
            </w:r>
          </w:p>
        </w:tc>
        <w:tc>
          <w:tcPr>
            <w:tcW w:w="180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rPr>
                <w:rFonts w:ascii="宋体"/>
                <w:sz w:val="24"/>
                <w:szCs w:val="24"/>
              </w:rPr>
            </w:pPr>
            <w:r>
              <w:rPr>
                <w:rFonts w:hint="eastAsia" w:ascii="宋体" w:hAnsi="宋体"/>
                <w:sz w:val="24"/>
                <w:szCs w:val="24"/>
              </w:rPr>
              <w:t>保证金</w:t>
            </w:r>
          </w:p>
        </w:tc>
        <w:tc>
          <w:tcPr>
            <w:tcW w:w="342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rPr>
                <w:rFonts w:ascii="宋体"/>
                <w:sz w:val="24"/>
                <w:szCs w:val="24"/>
              </w:rPr>
            </w:pPr>
            <w:r>
              <w:rPr>
                <w:rFonts w:hint="eastAsia" w:ascii="宋体" w:hAnsi="宋体"/>
                <w:sz w:val="24"/>
                <w:szCs w:val="24"/>
              </w:rPr>
              <w:t>是否提交保证金的</w:t>
            </w:r>
          </w:p>
        </w:tc>
        <w:tc>
          <w:tcPr>
            <w:tcW w:w="108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c>
          <w:tcPr>
            <w:tcW w:w="108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c>
          <w:tcPr>
            <w:tcW w:w="1080" w:type="dxa"/>
            <w:tcBorders>
              <w:top w:val="single" w:color="auto" w:sz="4" w:space="0"/>
              <w:left w:val="single" w:color="auto" w:sz="4" w:space="0"/>
              <w:bottom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vAlign w:val="top"/>
          </w:tcPr>
          <w:p>
            <w:pPr>
              <w:shd w:val="clear" w:color="auto" w:fill="FFFFFF"/>
              <w:snapToGrid w:val="0"/>
              <w:spacing w:line="480" w:lineRule="exact"/>
              <w:jc w:val="center"/>
              <w:rPr>
                <w:rFonts w:ascii="宋体"/>
                <w:sz w:val="24"/>
                <w:szCs w:val="24"/>
              </w:rPr>
            </w:pPr>
            <w:r>
              <w:rPr>
                <w:rFonts w:ascii="宋体" w:hAnsi="宋体"/>
                <w:sz w:val="24"/>
                <w:szCs w:val="24"/>
              </w:rPr>
              <w:t>3</w:t>
            </w:r>
          </w:p>
        </w:tc>
        <w:tc>
          <w:tcPr>
            <w:tcW w:w="180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rPr>
                <w:rFonts w:ascii="宋体"/>
                <w:sz w:val="24"/>
                <w:szCs w:val="24"/>
              </w:rPr>
            </w:pPr>
            <w:r>
              <w:rPr>
                <w:rFonts w:hint="eastAsia" w:ascii="宋体" w:hAnsi="宋体"/>
                <w:sz w:val="24"/>
                <w:szCs w:val="24"/>
              </w:rPr>
              <w:t>投标有效期</w:t>
            </w:r>
          </w:p>
        </w:tc>
        <w:tc>
          <w:tcPr>
            <w:tcW w:w="342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rPr>
                <w:rFonts w:ascii="宋体"/>
                <w:sz w:val="24"/>
                <w:szCs w:val="24"/>
              </w:rPr>
            </w:pPr>
            <w:r>
              <w:rPr>
                <w:rFonts w:hint="eastAsia" w:ascii="宋体" w:hAnsi="宋体"/>
                <w:sz w:val="24"/>
                <w:szCs w:val="24"/>
              </w:rPr>
              <w:t>是否满足招标文件要求</w:t>
            </w:r>
          </w:p>
        </w:tc>
        <w:tc>
          <w:tcPr>
            <w:tcW w:w="108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c>
          <w:tcPr>
            <w:tcW w:w="108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c>
          <w:tcPr>
            <w:tcW w:w="1080" w:type="dxa"/>
            <w:tcBorders>
              <w:top w:val="single" w:color="auto" w:sz="4" w:space="0"/>
              <w:left w:val="single" w:color="auto" w:sz="4" w:space="0"/>
              <w:bottom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48" w:type="dxa"/>
            <w:tcBorders>
              <w:top w:val="single" w:color="auto" w:sz="4" w:space="0"/>
              <w:bottom w:val="single" w:color="auto" w:sz="4" w:space="0"/>
              <w:right w:val="single" w:color="auto" w:sz="4" w:space="0"/>
            </w:tcBorders>
            <w:vAlign w:val="top"/>
          </w:tcPr>
          <w:p>
            <w:pPr>
              <w:shd w:val="clear" w:color="auto" w:fill="FFFFFF"/>
              <w:snapToGrid w:val="0"/>
              <w:spacing w:line="480" w:lineRule="exact"/>
              <w:jc w:val="center"/>
              <w:rPr>
                <w:rFonts w:ascii="宋体"/>
                <w:sz w:val="24"/>
                <w:szCs w:val="24"/>
              </w:rPr>
            </w:pPr>
            <w:r>
              <w:rPr>
                <w:rFonts w:ascii="宋体" w:hAnsi="宋体"/>
                <w:sz w:val="24"/>
                <w:szCs w:val="24"/>
              </w:rPr>
              <w:t>4</w:t>
            </w:r>
          </w:p>
        </w:tc>
        <w:tc>
          <w:tcPr>
            <w:tcW w:w="180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rPr>
                <w:rFonts w:ascii="宋体"/>
                <w:sz w:val="24"/>
                <w:szCs w:val="24"/>
              </w:rPr>
            </w:pPr>
            <w:r>
              <w:rPr>
                <w:rFonts w:hint="eastAsia" w:ascii="宋体" w:hAnsi="宋体"/>
                <w:sz w:val="24"/>
                <w:szCs w:val="24"/>
              </w:rPr>
              <w:t>其它</w:t>
            </w:r>
          </w:p>
        </w:tc>
        <w:tc>
          <w:tcPr>
            <w:tcW w:w="342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rPr>
                <w:rFonts w:ascii="宋体"/>
                <w:sz w:val="24"/>
                <w:szCs w:val="24"/>
              </w:rPr>
            </w:pPr>
            <w:r>
              <w:rPr>
                <w:rFonts w:hint="eastAsia" w:ascii="宋体" w:hAnsi="宋体"/>
                <w:sz w:val="24"/>
                <w:szCs w:val="24"/>
              </w:rPr>
              <w:t>无其它无效投标认定条件</w:t>
            </w:r>
          </w:p>
        </w:tc>
        <w:tc>
          <w:tcPr>
            <w:tcW w:w="108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c>
          <w:tcPr>
            <w:tcW w:w="108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c>
          <w:tcPr>
            <w:tcW w:w="1080" w:type="dxa"/>
            <w:tcBorders>
              <w:top w:val="single" w:color="auto" w:sz="4" w:space="0"/>
              <w:left w:val="single" w:color="auto" w:sz="4" w:space="0"/>
              <w:bottom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868" w:type="dxa"/>
            <w:gridSpan w:val="3"/>
            <w:tcBorders>
              <w:top w:val="single" w:color="auto" w:sz="4" w:space="0"/>
              <w:bottom w:val="single" w:color="auto" w:sz="4" w:space="0"/>
              <w:right w:val="single" w:color="auto" w:sz="4" w:space="0"/>
            </w:tcBorders>
            <w:vAlign w:val="top"/>
          </w:tcPr>
          <w:p>
            <w:pPr>
              <w:shd w:val="clear" w:color="auto" w:fill="FFFFFF"/>
              <w:spacing w:line="480" w:lineRule="exact"/>
              <w:rPr>
                <w:rFonts w:ascii="宋体"/>
                <w:sz w:val="24"/>
                <w:szCs w:val="24"/>
              </w:rPr>
            </w:pPr>
            <w:r>
              <w:rPr>
                <w:rFonts w:hint="eastAsia" w:ascii="宋体" w:hAnsi="宋体"/>
                <w:b/>
                <w:sz w:val="24"/>
                <w:szCs w:val="24"/>
              </w:rPr>
              <w:t>结</w:t>
            </w:r>
            <w:r>
              <w:rPr>
                <w:rFonts w:ascii="宋体" w:hAnsi="宋体"/>
                <w:b/>
                <w:sz w:val="24"/>
                <w:szCs w:val="24"/>
              </w:rPr>
              <w:t xml:space="preserve">         </w:t>
            </w:r>
            <w:r>
              <w:rPr>
                <w:rFonts w:hint="eastAsia" w:ascii="宋体" w:hAnsi="宋体"/>
                <w:b/>
                <w:sz w:val="24"/>
                <w:szCs w:val="24"/>
              </w:rPr>
              <w:t>论</w:t>
            </w:r>
          </w:p>
        </w:tc>
        <w:tc>
          <w:tcPr>
            <w:tcW w:w="108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c>
          <w:tcPr>
            <w:tcW w:w="1080" w:type="dxa"/>
            <w:tcBorders>
              <w:top w:val="single" w:color="auto" w:sz="4" w:space="0"/>
              <w:left w:val="single" w:color="auto" w:sz="4" w:space="0"/>
              <w:bottom w:val="single" w:color="auto" w:sz="4" w:space="0"/>
              <w:right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c>
          <w:tcPr>
            <w:tcW w:w="1080" w:type="dxa"/>
            <w:tcBorders>
              <w:top w:val="single" w:color="auto" w:sz="4" w:space="0"/>
              <w:left w:val="single" w:color="auto" w:sz="4" w:space="0"/>
              <w:bottom w:val="single" w:color="auto" w:sz="4" w:space="0"/>
            </w:tcBorders>
            <w:vAlign w:val="top"/>
          </w:tcPr>
          <w:p>
            <w:pPr>
              <w:shd w:val="clear" w:color="auto" w:fill="FFFFFF"/>
              <w:spacing w:line="480" w:lineRule="exact"/>
              <w:jc w:val="center"/>
              <w:rPr>
                <w:rFonts w:ascii="宋体"/>
                <w:b/>
                <w:sz w:val="24"/>
                <w:szCs w:val="24"/>
              </w:rPr>
            </w:pPr>
            <w:r>
              <w:rPr>
                <w:rFonts w:ascii="宋体"/>
                <w:b/>
                <w:sz w:val="24"/>
                <w:szCs w:val="24"/>
              </w:rPr>
              <w:t> </w:t>
            </w:r>
          </w:p>
        </w:tc>
      </w:tr>
    </w:tbl>
    <w:p>
      <w:pPr>
        <w:shd w:val="clear" w:color="auto" w:fill="FFFFFF"/>
        <w:rPr>
          <w:rFonts w:ascii="宋体"/>
          <w:sz w:val="24"/>
        </w:rPr>
      </w:pPr>
    </w:p>
    <w:p>
      <w:pPr>
        <w:shd w:val="clear" w:color="auto" w:fill="FFFFFF"/>
        <w:spacing w:line="480" w:lineRule="exact"/>
        <w:rPr>
          <w:rFonts w:ascii="宋体"/>
        </w:rPr>
      </w:pPr>
      <w:r>
        <w:rPr>
          <w:rFonts w:ascii="宋体" w:hAnsi="宋体"/>
        </w:rPr>
        <w:t>1</w:t>
      </w:r>
      <w:r>
        <w:rPr>
          <w:rFonts w:hint="eastAsia" w:ascii="宋体" w:hAnsi="宋体"/>
        </w:rPr>
        <w:t>、表中只需填写“√</w:t>
      </w:r>
      <w:r>
        <w:rPr>
          <w:rFonts w:ascii="宋体" w:hAnsi="宋体"/>
        </w:rPr>
        <w:t>/</w:t>
      </w:r>
      <w:r>
        <w:rPr>
          <w:rFonts w:hint="eastAsia" w:ascii="宋体" w:hAnsi="宋体"/>
        </w:rPr>
        <w:t>通过”或“×</w:t>
      </w:r>
      <w:r>
        <w:rPr>
          <w:rFonts w:ascii="宋体" w:hAnsi="宋体"/>
        </w:rPr>
        <w:t>/</w:t>
      </w:r>
      <w:r>
        <w:rPr>
          <w:rFonts w:hint="eastAsia" w:ascii="宋体" w:hAnsi="宋体"/>
        </w:rPr>
        <w:t>不通过”。</w:t>
      </w:r>
    </w:p>
    <w:p>
      <w:pPr>
        <w:shd w:val="clear" w:color="auto" w:fill="FFFFFF"/>
        <w:spacing w:line="480" w:lineRule="exact"/>
        <w:rPr>
          <w:rFonts w:ascii="宋体"/>
        </w:rPr>
      </w:pPr>
      <w:r>
        <w:rPr>
          <w:rFonts w:ascii="宋体" w:hAnsi="宋体"/>
        </w:rPr>
        <w:t>2</w:t>
      </w:r>
      <w:r>
        <w:rPr>
          <w:rFonts w:hint="eastAsia" w:ascii="宋体" w:hAnsi="宋体"/>
        </w:rPr>
        <w:t>、在结论中按“一项否决”的原则，只有全部是√</w:t>
      </w:r>
      <w:r>
        <w:rPr>
          <w:rFonts w:ascii="宋体" w:hAnsi="宋体"/>
        </w:rPr>
        <w:t>/</w:t>
      </w:r>
      <w:r>
        <w:rPr>
          <w:rFonts w:hint="eastAsia" w:ascii="宋体" w:hAnsi="宋体"/>
        </w:rPr>
        <w:t>通过的，填写“合格”；只要其中有一项是×</w:t>
      </w:r>
      <w:r>
        <w:rPr>
          <w:rFonts w:ascii="宋体" w:hAnsi="宋体"/>
        </w:rPr>
        <w:t>/</w:t>
      </w:r>
      <w:r>
        <w:rPr>
          <w:rFonts w:hint="eastAsia" w:ascii="宋体" w:hAnsi="宋体"/>
        </w:rPr>
        <w:t>不通过的，填写“不合格”。</w:t>
      </w:r>
    </w:p>
    <w:p>
      <w:pPr>
        <w:shd w:val="clear" w:color="auto" w:fill="FFFFFF"/>
        <w:spacing w:line="480" w:lineRule="exact"/>
        <w:rPr>
          <w:rFonts w:ascii="宋体"/>
          <w:sz w:val="24"/>
        </w:rPr>
      </w:pPr>
      <w:r>
        <w:rPr>
          <w:rFonts w:ascii="宋体" w:hAnsi="宋体"/>
        </w:rPr>
        <w:t>3</w:t>
      </w:r>
      <w:r>
        <w:rPr>
          <w:rFonts w:hint="eastAsia" w:ascii="宋体" w:hAnsi="宋体"/>
        </w:rPr>
        <w:t>、结论是合格的，才能进入下一轮；不合格的被淘汰。</w:t>
      </w:r>
    </w:p>
    <w:p>
      <w:pPr>
        <w:shd w:val="clear" w:color="auto" w:fill="FFFFFF"/>
        <w:spacing w:line="480" w:lineRule="exact"/>
        <w:rPr>
          <w:rFonts w:hint="eastAsia" w:ascii="宋体" w:hAnsi="宋体"/>
        </w:rPr>
      </w:pPr>
      <w:r>
        <w:rPr>
          <w:rFonts w:hint="eastAsia" w:ascii="宋体" w:hAnsi="宋体"/>
        </w:rPr>
        <w:t xml:space="preserve">采购人代表：                        </w:t>
      </w:r>
    </w:p>
    <w:p>
      <w:pPr>
        <w:shd w:val="clear" w:color="auto" w:fill="FFFFFF"/>
        <w:spacing w:line="480" w:lineRule="exact"/>
        <w:rPr>
          <w:rFonts w:ascii="宋体"/>
          <w:sz w:val="24"/>
        </w:rPr>
      </w:pPr>
      <w:r>
        <w:rPr>
          <w:rFonts w:hint="eastAsia" w:ascii="宋体" w:hAnsi="宋体"/>
        </w:rPr>
        <w:t>海南泰尚项目投资管理有限公司代表：</w:t>
      </w:r>
    </w:p>
    <w:p>
      <w:pPr>
        <w:shd w:val="clear" w:color="auto" w:fill="FFFFFF"/>
        <w:spacing w:line="480" w:lineRule="exact"/>
        <w:rPr>
          <w:rFonts w:hint="eastAsia" w:ascii="宋体" w:hAnsi="宋体"/>
        </w:rPr>
      </w:pPr>
      <w:r>
        <w:rPr>
          <w:rFonts w:hint="eastAsia" w:ascii="宋体" w:hAnsi="宋体"/>
        </w:rPr>
        <w:t>年   月   日</w:t>
      </w:r>
    </w:p>
    <w:p>
      <w:pPr>
        <w:spacing w:line="360" w:lineRule="auto"/>
        <w:outlineLvl w:val="1"/>
        <w:rPr>
          <w:rFonts w:ascii="宋体"/>
          <w:b/>
          <w:sz w:val="36"/>
          <w:szCs w:val="36"/>
        </w:rPr>
      </w:pPr>
      <w:r>
        <w:rPr>
          <w:color w:val="000000"/>
          <w:sz w:val="24"/>
          <w:szCs w:val="24"/>
        </w:rPr>
        <w:br w:type="page"/>
      </w:r>
      <w:bookmarkStart w:id="79" w:name="_Toc467942771"/>
      <w:bookmarkStart w:id="80" w:name="_Toc2965"/>
      <w:bookmarkStart w:id="81" w:name="_Toc387851122"/>
      <w:r>
        <w:rPr>
          <w:rFonts w:hint="eastAsia" w:ascii="宋体" w:hAnsi="宋体"/>
          <w:b/>
          <w:sz w:val="36"/>
          <w:szCs w:val="36"/>
        </w:rPr>
        <w:t>附表</w:t>
      </w:r>
      <w:r>
        <w:rPr>
          <w:rFonts w:ascii="宋体" w:hAnsi="宋体"/>
          <w:b/>
          <w:sz w:val="36"/>
          <w:szCs w:val="36"/>
        </w:rPr>
        <w:t>2</w:t>
      </w:r>
      <w:r>
        <w:rPr>
          <w:rFonts w:hint="eastAsia" w:ascii="宋体" w:hAnsi="宋体"/>
          <w:b/>
          <w:sz w:val="36"/>
          <w:szCs w:val="36"/>
        </w:rPr>
        <w:t>：</w:t>
      </w:r>
    </w:p>
    <w:p>
      <w:pPr>
        <w:spacing w:line="360" w:lineRule="auto"/>
        <w:ind w:firstLine="3373" w:firstLineChars="1200"/>
        <w:outlineLvl w:val="1"/>
        <w:rPr>
          <w:b/>
          <w:bCs/>
          <w:color w:val="000000"/>
          <w:sz w:val="30"/>
          <w:szCs w:val="30"/>
        </w:rPr>
      </w:pPr>
      <w:r>
        <w:rPr>
          <w:rFonts w:hint="eastAsia" w:cs="宋体"/>
          <w:b/>
          <w:bCs/>
          <w:color w:val="000000"/>
          <w:sz w:val="28"/>
          <w:szCs w:val="28"/>
        </w:rPr>
        <w:t>符合性评审</w:t>
      </w:r>
      <w:r>
        <w:rPr>
          <w:rFonts w:hint="eastAsia" w:cs="宋体"/>
          <w:b/>
          <w:bCs/>
          <w:color w:val="000000"/>
          <w:sz w:val="30"/>
          <w:szCs w:val="30"/>
        </w:rPr>
        <w:t>表</w:t>
      </w:r>
      <w:bookmarkEnd w:id="79"/>
      <w:bookmarkEnd w:id="80"/>
      <w:bookmarkEnd w:id="81"/>
    </w:p>
    <w:tbl>
      <w:tblPr>
        <w:tblStyle w:val="31"/>
        <w:tblW w:w="8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2268"/>
        <w:gridCol w:w="4207"/>
        <w:gridCol w:w="709"/>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91" w:type="dxa"/>
            <w:vMerge w:val="restart"/>
            <w:vAlign w:val="center"/>
          </w:tcPr>
          <w:p>
            <w:pPr>
              <w:spacing w:line="360" w:lineRule="auto"/>
              <w:jc w:val="center"/>
              <w:rPr>
                <w:b/>
                <w:bCs/>
                <w:color w:val="000000"/>
                <w:sz w:val="24"/>
                <w:szCs w:val="24"/>
              </w:rPr>
            </w:pPr>
            <w:r>
              <w:rPr>
                <w:rFonts w:hint="eastAsia" w:cs="宋体"/>
                <w:b/>
                <w:bCs/>
                <w:color w:val="000000"/>
                <w:sz w:val="24"/>
                <w:szCs w:val="24"/>
              </w:rPr>
              <w:t>序号</w:t>
            </w:r>
          </w:p>
        </w:tc>
        <w:tc>
          <w:tcPr>
            <w:tcW w:w="2268" w:type="dxa"/>
            <w:vMerge w:val="restart"/>
            <w:vAlign w:val="center"/>
          </w:tcPr>
          <w:p>
            <w:pPr>
              <w:spacing w:line="360" w:lineRule="auto"/>
              <w:jc w:val="center"/>
              <w:rPr>
                <w:b/>
                <w:bCs/>
                <w:color w:val="000000"/>
                <w:sz w:val="24"/>
                <w:szCs w:val="24"/>
              </w:rPr>
            </w:pPr>
            <w:r>
              <w:rPr>
                <w:rFonts w:hint="eastAsia" w:cs="宋体"/>
                <w:b/>
                <w:bCs/>
                <w:color w:val="000000"/>
                <w:sz w:val="24"/>
                <w:szCs w:val="24"/>
              </w:rPr>
              <w:t>审查项目</w:t>
            </w:r>
          </w:p>
        </w:tc>
        <w:tc>
          <w:tcPr>
            <w:tcW w:w="4207" w:type="dxa"/>
            <w:vMerge w:val="restart"/>
            <w:vAlign w:val="center"/>
          </w:tcPr>
          <w:p>
            <w:pPr>
              <w:spacing w:line="360" w:lineRule="auto"/>
              <w:jc w:val="center"/>
              <w:rPr>
                <w:b/>
                <w:bCs/>
                <w:color w:val="000000"/>
                <w:sz w:val="24"/>
                <w:szCs w:val="24"/>
              </w:rPr>
            </w:pPr>
            <w:r>
              <w:rPr>
                <w:rFonts w:hint="eastAsia" w:cs="宋体"/>
                <w:b/>
                <w:bCs/>
                <w:color w:val="000000"/>
                <w:sz w:val="24"/>
                <w:szCs w:val="24"/>
              </w:rPr>
              <w:t>评议内容（无效投标认定条件）</w:t>
            </w:r>
          </w:p>
        </w:tc>
        <w:tc>
          <w:tcPr>
            <w:tcW w:w="1985" w:type="dxa"/>
            <w:gridSpan w:val="3"/>
            <w:vAlign w:val="center"/>
          </w:tcPr>
          <w:p>
            <w:pPr>
              <w:spacing w:line="360" w:lineRule="auto"/>
              <w:jc w:val="center"/>
              <w:rPr>
                <w:b/>
                <w:bCs/>
                <w:color w:val="000000"/>
                <w:sz w:val="24"/>
                <w:szCs w:val="24"/>
              </w:rPr>
            </w:pPr>
            <w:r>
              <w:rPr>
                <w:rFonts w:hint="eastAsia" w:cs="宋体"/>
                <w:b/>
                <w:bCs/>
                <w:color w:val="000000"/>
                <w:sz w:val="24"/>
                <w:szCs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91" w:type="dxa"/>
            <w:vMerge w:val="continue"/>
            <w:vAlign w:val="center"/>
          </w:tcPr>
          <w:p>
            <w:pPr>
              <w:spacing w:line="360" w:lineRule="auto"/>
              <w:jc w:val="center"/>
              <w:rPr>
                <w:b/>
                <w:bCs/>
                <w:color w:val="000000"/>
                <w:sz w:val="24"/>
                <w:szCs w:val="24"/>
              </w:rPr>
            </w:pPr>
          </w:p>
        </w:tc>
        <w:tc>
          <w:tcPr>
            <w:tcW w:w="2268" w:type="dxa"/>
            <w:vMerge w:val="continue"/>
            <w:vAlign w:val="center"/>
          </w:tcPr>
          <w:p>
            <w:pPr>
              <w:spacing w:line="360" w:lineRule="auto"/>
              <w:jc w:val="center"/>
              <w:rPr>
                <w:b/>
                <w:bCs/>
                <w:color w:val="000000"/>
                <w:sz w:val="24"/>
                <w:szCs w:val="24"/>
              </w:rPr>
            </w:pPr>
          </w:p>
        </w:tc>
        <w:tc>
          <w:tcPr>
            <w:tcW w:w="4207" w:type="dxa"/>
            <w:vMerge w:val="continue"/>
            <w:vAlign w:val="center"/>
          </w:tcPr>
          <w:p>
            <w:pPr>
              <w:spacing w:line="360" w:lineRule="auto"/>
              <w:jc w:val="center"/>
              <w:rPr>
                <w:b/>
                <w:bCs/>
                <w:color w:val="000000"/>
                <w:sz w:val="24"/>
                <w:szCs w:val="24"/>
              </w:rPr>
            </w:pPr>
          </w:p>
        </w:tc>
        <w:tc>
          <w:tcPr>
            <w:tcW w:w="709" w:type="dxa"/>
            <w:vAlign w:val="center"/>
          </w:tcPr>
          <w:p>
            <w:pPr>
              <w:spacing w:line="360" w:lineRule="auto"/>
              <w:jc w:val="center"/>
              <w:rPr>
                <w:b/>
                <w:bCs/>
                <w:color w:val="000000"/>
                <w:sz w:val="24"/>
                <w:szCs w:val="24"/>
              </w:rPr>
            </w:pPr>
            <w:r>
              <w:rPr>
                <w:b/>
                <w:bCs/>
                <w:color w:val="000000"/>
                <w:sz w:val="24"/>
                <w:szCs w:val="24"/>
              </w:rPr>
              <w:t>1#</w:t>
            </w:r>
          </w:p>
        </w:tc>
        <w:tc>
          <w:tcPr>
            <w:tcW w:w="567" w:type="dxa"/>
            <w:vAlign w:val="center"/>
          </w:tcPr>
          <w:p>
            <w:pPr>
              <w:spacing w:line="360" w:lineRule="auto"/>
              <w:jc w:val="center"/>
              <w:rPr>
                <w:b/>
                <w:bCs/>
                <w:color w:val="000000"/>
                <w:sz w:val="24"/>
                <w:szCs w:val="24"/>
              </w:rPr>
            </w:pPr>
            <w:r>
              <w:rPr>
                <w:b/>
                <w:bCs/>
                <w:color w:val="000000"/>
                <w:sz w:val="24"/>
                <w:szCs w:val="24"/>
              </w:rPr>
              <w:t>2#</w:t>
            </w:r>
          </w:p>
        </w:tc>
        <w:tc>
          <w:tcPr>
            <w:tcW w:w="709" w:type="dxa"/>
            <w:vAlign w:val="center"/>
          </w:tcPr>
          <w:p>
            <w:pPr>
              <w:spacing w:line="360" w:lineRule="auto"/>
              <w:jc w:val="center"/>
              <w:rPr>
                <w:b/>
                <w:bCs/>
                <w:color w:val="000000"/>
                <w:sz w:val="24"/>
                <w:szCs w:val="24"/>
              </w:rPr>
            </w:pPr>
            <w:r>
              <w:rPr>
                <w:b/>
                <w:bCs/>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491" w:type="dxa"/>
            <w:vAlign w:val="center"/>
          </w:tcPr>
          <w:p>
            <w:pPr>
              <w:spacing w:line="360" w:lineRule="auto"/>
              <w:jc w:val="center"/>
              <w:rPr>
                <w:color w:val="000000"/>
                <w:sz w:val="24"/>
                <w:szCs w:val="24"/>
              </w:rPr>
            </w:pPr>
            <w:r>
              <w:rPr>
                <w:color w:val="000000"/>
                <w:sz w:val="24"/>
                <w:szCs w:val="24"/>
              </w:rPr>
              <w:t>1</w:t>
            </w:r>
          </w:p>
        </w:tc>
        <w:tc>
          <w:tcPr>
            <w:tcW w:w="2268" w:type="dxa"/>
            <w:vAlign w:val="center"/>
          </w:tcPr>
          <w:p>
            <w:pPr>
              <w:spacing w:line="360" w:lineRule="auto"/>
              <w:jc w:val="center"/>
              <w:rPr>
                <w:color w:val="000000"/>
                <w:sz w:val="24"/>
                <w:szCs w:val="24"/>
              </w:rPr>
            </w:pPr>
            <w:r>
              <w:rPr>
                <w:rFonts w:hint="eastAsia" w:cs="宋体"/>
                <w:color w:val="000000"/>
                <w:sz w:val="24"/>
                <w:szCs w:val="24"/>
              </w:rPr>
              <w:t>投标人的资格</w:t>
            </w:r>
          </w:p>
        </w:tc>
        <w:tc>
          <w:tcPr>
            <w:tcW w:w="4207" w:type="dxa"/>
            <w:vAlign w:val="center"/>
          </w:tcPr>
          <w:p>
            <w:pPr>
              <w:spacing w:line="360" w:lineRule="auto"/>
              <w:jc w:val="center"/>
              <w:rPr>
                <w:color w:val="000000"/>
                <w:sz w:val="24"/>
                <w:szCs w:val="24"/>
              </w:rPr>
            </w:pPr>
            <w:r>
              <w:rPr>
                <w:rFonts w:hint="eastAsia" w:cs="宋体"/>
                <w:color w:val="000000"/>
                <w:sz w:val="24"/>
                <w:szCs w:val="24"/>
              </w:rPr>
              <w:t>是否符合招标文件第一章投标人资格要求</w:t>
            </w:r>
          </w:p>
        </w:tc>
        <w:tc>
          <w:tcPr>
            <w:tcW w:w="709" w:type="dxa"/>
            <w:vAlign w:val="center"/>
          </w:tcPr>
          <w:p>
            <w:pPr>
              <w:spacing w:line="360" w:lineRule="auto"/>
              <w:jc w:val="center"/>
              <w:rPr>
                <w:color w:val="000000"/>
                <w:sz w:val="24"/>
                <w:szCs w:val="24"/>
              </w:rPr>
            </w:pPr>
          </w:p>
        </w:tc>
        <w:tc>
          <w:tcPr>
            <w:tcW w:w="567" w:type="dxa"/>
            <w:vAlign w:val="center"/>
          </w:tcPr>
          <w:p>
            <w:pPr>
              <w:spacing w:line="360" w:lineRule="auto"/>
              <w:jc w:val="center"/>
              <w:rPr>
                <w:color w:val="000000"/>
                <w:sz w:val="24"/>
                <w:szCs w:val="24"/>
              </w:rPr>
            </w:pPr>
          </w:p>
        </w:tc>
        <w:tc>
          <w:tcPr>
            <w:tcW w:w="709" w:type="dxa"/>
            <w:vAlign w:val="center"/>
          </w:tcPr>
          <w:p>
            <w:pPr>
              <w:spacing w:line="360" w:lineRule="auto"/>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491" w:type="dxa"/>
            <w:vAlign w:val="center"/>
          </w:tcPr>
          <w:p>
            <w:pPr>
              <w:spacing w:line="360" w:lineRule="auto"/>
              <w:jc w:val="center"/>
              <w:rPr>
                <w:color w:val="000000"/>
                <w:sz w:val="24"/>
                <w:szCs w:val="24"/>
              </w:rPr>
            </w:pPr>
            <w:r>
              <w:rPr>
                <w:color w:val="000000"/>
                <w:sz w:val="24"/>
                <w:szCs w:val="24"/>
              </w:rPr>
              <w:t>2</w:t>
            </w:r>
          </w:p>
        </w:tc>
        <w:tc>
          <w:tcPr>
            <w:tcW w:w="2268" w:type="dxa"/>
            <w:vAlign w:val="center"/>
          </w:tcPr>
          <w:p>
            <w:pPr>
              <w:spacing w:line="360" w:lineRule="auto"/>
              <w:jc w:val="center"/>
              <w:rPr>
                <w:color w:val="000000"/>
                <w:sz w:val="24"/>
                <w:szCs w:val="24"/>
              </w:rPr>
            </w:pPr>
            <w:r>
              <w:rPr>
                <w:rFonts w:hint="eastAsia" w:cs="宋体"/>
                <w:color w:val="000000"/>
                <w:sz w:val="24"/>
                <w:szCs w:val="24"/>
              </w:rPr>
              <w:t>投标文件的有效性</w:t>
            </w:r>
          </w:p>
        </w:tc>
        <w:tc>
          <w:tcPr>
            <w:tcW w:w="4207" w:type="dxa"/>
            <w:vAlign w:val="center"/>
          </w:tcPr>
          <w:p>
            <w:pPr>
              <w:spacing w:line="360" w:lineRule="auto"/>
              <w:jc w:val="center"/>
              <w:rPr>
                <w:color w:val="000000"/>
                <w:sz w:val="24"/>
                <w:szCs w:val="24"/>
              </w:rPr>
            </w:pPr>
            <w:r>
              <w:rPr>
                <w:rFonts w:hint="eastAsia" w:cs="宋体"/>
                <w:color w:val="000000"/>
                <w:sz w:val="24"/>
                <w:szCs w:val="24"/>
              </w:rPr>
              <w:t>是否符合招标文件的式样和签署要求且内容完整无缺漏</w:t>
            </w:r>
          </w:p>
        </w:tc>
        <w:tc>
          <w:tcPr>
            <w:tcW w:w="709" w:type="dxa"/>
            <w:vAlign w:val="center"/>
          </w:tcPr>
          <w:p>
            <w:pPr>
              <w:spacing w:line="360" w:lineRule="auto"/>
              <w:jc w:val="center"/>
              <w:rPr>
                <w:color w:val="000000"/>
                <w:sz w:val="24"/>
                <w:szCs w:val="24"/>
              </w:rPr>
            </w:pPr>
          </w:p>
        </w:tc>
        <w:tc>
          <w:tcPr>
            <w:tcW w:w="567" w:type="dxa"/>
            <w:vAlign w:val="center"/>
          </w:tcPr>
          <w:p>
            <w:pPr>
              <w:spacing w:line="360" w:lineRule="auto"/>
              <w:jc w:val="center"/>
              <w:rPr>
                <w:color w:val="000000"/>
                <w:sz w:val="24"/>
                <w:szCs w:val="24"/>
              </w:rPr>
            </w:pPr>
          </w:p>
        </w:tc>
        <w:tc>
          <w:tcPr>
            <w:tcW w:w="709" w:type="dxa"/>
            <w:vAlign w:val="center"/>
          </w:tcPr>
          <w:p>
            <w:pPr>
              <w:spacing w:line="360" w:lineRule="auto"/>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1" w:type="dxa"/>
            <w:vAlign w:val="center"/>
          </w:tcPr>
          <w:p>
            <w:pPr>
              <w:spacing w:line="360" w:lineRule="auto"/>
              <w:jc w:val="center"/>
              <w:rPr>
                <w:rFonts w:hint="eastAsia" w:eastAsia="宋体"/>
                <w:color w:val="000000"/>
                <w:sz w:val="24"/>
                <w:szCs w:val="24"/>
                <w:lang w:eastAsia="zh-CN"/>
              </w:rPr>
            </w:pPr>
            <w:r>
              <w:rPr>
                <w:rFonts w:hint="eastAsia"/>
                <w:color w:val="000000"/>
                <w:sz w:val="24"/>
                <w:szCs w:val="24"/>
                <w:lang w:val="en-US" w:eastAsia="zh-CN"/>
              </w:rPr>
              <w:t>3</w:t>
            </w:r>
          </w:p>
        </w:tc>
        <w:tc>
          <w:tcPr>
            <w:tcW w:w="2268" w:type="dxa"/>
            <w:vAlign w:val="center"/>
          </w:tcPr>
          <w:p>
            <w:pPr>
              <w:spacing w:line="360" w:lineRule="auto"/>
              <w:jc w:val="center"/>
              <w:rPr>
                <w:color w:val="000000"/>
                <w:sz w:val="24"/>
                <w:szCs w:val="24"/>
              </w:rPr>
            </w:pPr>
            <w:r>
              <w:rPr>
                <w:rFonts w:hint="eastAsia" w:cs="宋体"/>
                <w:color w:val="000000"/>
                <w:sz w:val="24"/>
                <w:szCs w:val="24"/>
              </w:rPr>
              <w:t>投标报价</w:t>
            </w:r>
          </w:p>
        </w:tc>
        <w:tc>
          <w:tcPr>
            <w:tcW w:w="4207" w:type="dxa"/>
            <w:vAlign w:val="center"/>
          </w:tcPr>
          <w:p>
            <w:pPr>
              <w:spacing w:line="360" w:lineRule="auto"/>
              <w:jc w:val="center"/>
              <w:rPr>
                <w:color w:val="000000"/>
                <w:sz w:val="24"/>
                <w:szCs w:val="24"/>
              </w:rPr>
            </w:pPr>
            <w:r>
              <w:rPr>
                <w:rFonts w:hint="eastAsia" w:cs="宋体"/>
                <w:color w:val="000000"/>
                <w:sz w:val="24"/>
                <w:szCs w:val="24"/>
              </w:rPr>
              <w:t>投标报价是否满足招标文件要求</w:t>
            </w:r>
          </w:p>
          <w:p>
            <w:pPr>
              <w:spacing w:line="360" w:lineRule="auto"/>
              <w:jc w:val="center"/>
              <w:rPr>
                <w:color w:val="000000"/>
                <w:sz w:val="24"/>
                <w:szCs w:val="24"/>
              </w:rPr>
            </w:pPr>
            <w:r>
              <w:rPr>
                <w:rFonts w:hint="eastAsia" w:cs="宋体"/>
                <w:color w:val="000000"/>
                <w:sz w:val="24"/>
                <w:szCs w:val="24"/>
              </w:rPr>
              <w:t>（报价有效、不漏项、不超出采购预算）</w:t>
            </w:r>
          </w:p>
        </w:tc>
        <w:tc>
          <w:tcPr>
            <w:tcW w:w="709" w:type="dxa"/>
            <w:vAlign w:val="center"/>
          </w:tcPr>
          <w:p>
            <w:pPr>
              <w:spacing w:line="360" w:lineRule="auto"/>
              <w:jc w:val="center"/>
              <w:rPr>
                <w:color w:val="000000"/>
                <w:sz w:val="24"/>
                <w:szCs w:val="24"/>
              </w:rPr>
            </w:pPr>
          </w:p>
        </w:tc>
        <w:tc>
          <w:tcPr>
            <w:tcW w:w="567" w:type="dxa"/>
            <w:vAlign w:val="center"/>
          </w:tcPr>
          <w:p>
            <w:pPr>
              <w:spacing w:line="360" w:lineRule="auto"/>
              <w:jc w:val="center"/>
              <w:rPr>
                <w:color w:val="000000"/>
                <w:sz w:val="24"/>
                <w:szCs w:val="24"/>
              </w:rPr>
            </w:pPr>
          </w:p>
        </w:tc>
        <w:tc>
          <w:tcPr>
            <w:tcW w:w="709" w:type="dxa"/>
            <w:vAlign w:val="center"/>
          </w:tcPr>
          <w:p>
            <w:pPr>
              <w:spacing w:line="360" w:lineRule="auto"/>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491" w:type="dxa"/>
            <w:vAlign w:val="center"/>
          </w:tcPr>
          <w:p>
            <w:pPr>
              <w:spacing w:line="360" w:lineRule="auto"/>
              <w:jc w:val="center"/>
              <w:rPr>
                <w:rFonts w:hint="eastAsia" w:eastAsia="宋体"/>
                <w:color w:val="000000"/>
                <w:sz w:val="24"/>
                <w:szCs w:val="24"/>
                <w:lang w:eastAsia="zh-CN"/>
              </w:rPr>
            </w:pPr>
            <w:r>
              <w:rPr>
                <w:rFonts w:hint="eastAsia"/>
                <w:color w:val="000000"/>
                <w:sz w:val="24"/>
                <w:szCs w:val="24"/>
                <w:lang w:val="en-US" w:eastAsia="zh-CN"/>
              </w:rPr>
              <w:t>4</w:t>
            </w:r>
          </w:p>
        </w:tc>
        <w:tc>
          <w:tcPr>
            <w:tcW w:w="2268" w:type="dxa"/>
            <w:vAlign w:val="center"/>
          </w:tcPr>
          <w:p>
            <w:pPr>
              <w:spacing w:line="360" w:lineRule="auto"/>
              <w:jc w:val="center"/>
              <w:rPr>
                <w:color w:val="000000"/>
                <w:sz w:val="24"/>
                <w:szCs w:val="24"/>
              </w:rPr>
            </w:pPr>
            <w:r>
              <w:rPr>
                <w:rFonts w:hint="eastAsia" w:cs="宋体"/>
                <w:color w:val="000000"/>
                <w:sz w:val="24"/>
                <w:szCs w:val="24"/>
              </w:rPr>
              <w:t>工期</w:t>
            </w:r>
          </w:p>
        </w:tc>
        <w:tc>
          <w:tcPr>
            <w:tcW w:w="4207" w:type="dxa"/>
            <w:vAlign w:val="center"/>
          </w:tcPr>
          <w:p>
            <w:pPr>
              <w:ind w:left="31680" w:hanging="480" w:hangingChars="200"/>
              <w:jc w:val="center"/>
              <w:rPr>
                <w:color w:val="000000"/>
                <w:sz w:val="24"/>
                <w:szCs w:val="24"/>
              </w:rPr>
            </w:pPr>
            <w:r>
              <w:rPr>
                <w:rFonts w:hint="eastAsia" w:cs="宋体"/>
                <w:color w:val="000000"/>
                <w:sz w:val="24"/>
                <w:szCs w:val="24"/>
              </w:rPr>
              <w:t>是否符合招标文件要求</w:t>
            </w:r>
          </w:p>
        </w:tc>
        <w:tc>
          <w:tcPr>
            <w:tcW w:w="709" w:type="dxa"/>
            <w:vAlign w:val="center"/>
          </w:tcPr>
          <w:p>
            <w:pPr>
              <w:spacing w:line="360" w:lineRule="auto"/>
              <w:jc w:val="center"/>
              <w:rPr>
                <w:color w:val="000000"/>
                <w:sz w:val="24"/>
                <w:szCs w:val="24"/>
              </w:rPr>
            </w:pPr>
          </w:p>
        </w:tc>
        <w:tc>
          <w:tcPr>
            <w:tcW w:w="567" w:type="dxa"/>
            <w:vAlign w:val="center"/>
          </w:tcPr>
          <w:p>
            <w:pPr>
              <w:spacing w:line="360" w:lineRule="auto"/>
              <w:jc w:val="center"/>
              <w:rPr>
                <w:color w:val="000000"/>
                <w:sz w:val="24"/>
                <w:szCs w:val="24"/>
              </w:rPr>
            </w:pPr>
          </w:p>
        </w:tc>
        <w:tc>
          <w:tcPr>
            <w:tcW w:w="709" w:type="dxa"/>
            <w:vAlign w:val="center"/>
          </w:tcPr>
          <w:p>
            <w:pPr>
              <w:spacing w:line="360" w:lineRule="auto"/>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491" w:type="dxa"/>
            <w:vAlign w:val="center"/>
          </w:tcPr>
          <w:p>
            <w:pPr>
              <w:spacing w:line="360" w:lineRule="auto"/>
              <w:jc w:val="center"/>
              <w:rPr>
                <w:rFonts w:hint="eastAsia" w:eastAsia="宋体"/>
                <w:color w:val="000000"/>
                <w:sz w:val="24"/>
                <w:szCs w:val="24"/>
                <w:lang w:eastAsia="zh-CN"/>
              </w:rPr>
            </w:pPr>
            <w:r>
              <w:rPr>
                <w:rFonts w:hint="eastAsia"/>
                <w:color w:val="000000"/>
                <w:sz w:val="24"/>
                <w:szCs w:val="24"/>
                <w:lang w:val="en-US" w:eastAsia="zh-CN"/>
              </w:rPr>
              <w:t>5</w:t>
            </w:r>
          </w:p>
        </w:tc>
        <w:tc>
          <w:tcPr>
            <w:tcW w:w="2268" w:type="dxa"/>
            <w:vAlign w:val="center"/>
          </w:tcPr>
          <w:p>
            <w:pPr>
              <w:spacing w:line="360" w:lineRule="auto"/>
              <w:jc w:val="center"/>
              <w:rPr>
                <w:color w:val="000000"/>
                <w:sz w:val="24"/>
                <w:szCs w:val="24"/>
              </w:rPr>
            </w:pPr>
            <w:r>
              <w:rPr>
                <w:rFonts w:hint="eastAsia" w:cs="宋体"/>
                <w:color w:val="000000"/>
                <w:sz w:val="24"/>
                <w:szCs w:val="24"/>
              </w:rPr>
              <w:t>其它</w:t>
            </w:r>
          </w:p>
        </w:tc>
        <w:tc>
          <w:tcPr>
            <w:tcW w:w="4207" w:type="dxa"/>
            <w:vAlign w:val="center"/>
          </w:tcPr>
          <w:p>
            <w:pPr>
              <w:spacing w:line="360" w:lineRule="auto"/>
              <w:jc w:val="center"/>
              <w:rPr>
                <w:color w:val="000000"/>
                <w:sz w:val="24"/>
                <w:szCs w:val="24"/>
              </w:rPr>
            </w:pPr>
            <w:r>
              <w:rPr>
                <w:rFonts w:hint="eastAsia" w:cs="宋体"/>
                <w:color w:val="000000"/>
                <w:sz w:val="24"/>
                <w:szCs w:val="24"/>
              </w:rPr>
              <w:t>无其他无效投标认定条件</w:t>
            </w:r>
          </w:p>
        </w:tc>
        <w:tc>
          <w:tcPr>
            <w:tcW w:w="709" w:type="dxa"/>
            <w:vAlign w:val="center"/>
          </w:tcPr>
          <w:p>
            <w:pPr>
              <w:spacing w:line="360" w:lineRule="auto"/>
              <w:jc w:val="center"/>
              <w:rPr>
                <w:color w:val="000000"/>
                <w:sz w:val="24"/>
                <w:szCs w:val="24"/>
              </w:rPr>
            </w:pPr>
          </w:p>
        </w:tc>
        <w:tc>
          <w:tcPr>
            <w:tcW w:w="567" w:type="dxa"/>
            <w:vAlign w:val="center"/>
          </w:tcPr>
          <w:p>
            <w:pPr>
              <w:spacing w:line="360" w:lineRule="auto"/>
              <w:jc w:val="center"/>
              <w:rPr>
                <w:color w:val="000000"/>
                <w:sz w:val="24"/>
                <w:szCs w:val="24"/>
              </w:rPr>
            </w:pPr>
          </w:p>
        </w:tc>
        <w:tc>
          <w:tcPr>
            <w:tcW w:w="709" w:type="dxa"/>
            <w:vAlign w:val="center"/>
          </w:tcPr>
          <w:p>
            <w:pPr>
              <w:spacing w:line="360" w:lineRule="auto"/>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6966" w:type="dxa"/>
            <w:gridSpan w:val="3"/>
            <w:vAlign w:val="center"/>
          </w:tcPr>
          <w:p>
            <w:pPr>
              <w:spacing w:line="360" w:lineRule="auto"/>
              <w:jc w:val="center"/>
              <w:rPr>
                <w:color w:val="000000"/>
                <w:sz w:val="24"/>
                <w:szCs w:val="24"/>
              </w:rPr>
            </w:pPr>
            <w:r>
              <w:rPr>
                <w:rFonts w:hint="eastAsia" w:cs="宋体"/>
                <w:color w:val="000000"/>
                <w:sz w:val="24"/>
                <w:szCs w:val="24"/>
              </w:rPr>
              <w:t>结论</w:t>
            </w:r>
          </w:p>
        </w:tc>
        <w:tc>
          <w:tcPr>
            <w:tcW w:w="709" w:type="dxa"/>
            <w:vAlign w:val="center"/>
          </w:tcPr>
          <w:p>
            <w:pPr>
              <w:spacing w:line="360" w:lineRule="auto"/>
              <w:jc w:val="center"/>
              <w:rPr>
                <w:color w:val="000000"/>
                <w:sz w:val="24"/>
                <w:szCs w:val="24"/>
              </w:rPr>
            </w:pPr>
          </w:p>
        </w:tc>
        <w:tc>
          <w:tcPr>
            <w:tcW w:w="567" w:type="dxa"/>
            <w:vAlign w:val="center"/>
          </w:tcPr>
          <w:p>
            <w:pPr>
              <w:spacing w:line="360" w:lineRule="auto"/>
              <w:jc w:val="center"/>
              <w:rPr>
                <w:color w:val="000000"/>
                <w:sz w:val="24"/>
                <w:szCs w:val="24"/>
              </w:rPr>
            </w:pPr>
          </w:p>
        </w:tc>
        <w:tc>
          <w:tcPr>
            <w:tcW w:w="709" w:type="dxa"/>
            <w:vAlign w:val="center"/>
          </w:tcPr>
          <w:p>
            <w:pPr>
              <w:spacing w:line="360" w:lineRule="auto"/>
              <w:jc w:val="center"/>
              <w:rPr>
                <w:color w:val="000000"/>
                <w:sz w:val="24"/>
                <w:szCs w:val="24"/>
              </w:rPr>
            </w:pPr>
          </w:p>
        </w:tc>
      </w:tr>
    </w:tbl>
    <w:p>
      <w:pPr>
        <w:spacing w:line="360" w:lineRule="auto"/>
        <w:rPr>
          <w:color w:val="000000"/>
        </w:rPr>
      </w:pPr>
      <w:r>
        <w:rPr>
          <w:color w:val="000000"/>
        </w:rPr>
        <w:t>1</w:t>
      </w:r>
      <w:r>
        <w:rPr>
          <w:rFonts w:hint="eastAsia" w:cs="宋体"/>
          <w:color w:val="000000"/>
        </w:rPr>
        <w:t>、在表中的各项只需填写</w:t>
      </w:r>
      <w:r>
        <w:rPr>
          <w:color w:val="000000"/>
        </w:rPr>
        <w:t>“√/</w:t>
      </w:r>
      <w:r>
        <w:rPr>
          <w:rFonts w:hint="eastAsia" w:cs="宋体"/>
          <w:color w:val="000000"/>
        </w:rPr>
        <w:t>通过</w:t>
      </w:r>
      <w:r>
        <w:rPr>
          <w:color w:val="000000"/>
        </w:rPr>
        <w:t>”</w:t>
      </w:r>
      <w:r>
        <w:rPr>
          <w:rFonts w:hint="eastAsia" w:cs="宋体"/>
          <w:color w:val="000000"/>
        </w:rPr>
        <w:t>或</w:t>
      </w:r>
      <w:r>
        <w:rPr>
          <w:color w:val="000000"/>
        </w:rPr>
        <w:t>“×/</w:t>
      </w:r>
      <w:r>
        <w:rPr>
          <w:rFonts w:hint="eastAsia" w:cs="宋体"/>
          <w:color w:val="000000"/>
        </w:rPr>
        <w:t>不通过</w:t>
      </w:r>
      <w:r>
        <w:rPr>
          <w:color w:val="000000"/>
        </w:rPr>
        <w:t>”</w:t>
      </w:r>
      <w:r>
        <w:rPr>
          <w:rFonts w:hint="eastAsia" w:cs="宋体"/>
          <w:color w:val="000000"/>
        </w:rPr>
        <w:t>。</w:t>
      </w:r>
    </w:p>
    <w:p>
      <w:pPr>
        <w:spacing w:line="360" w:lineRule="auto"/>
        <w:rPr>
          <w:color w:val="000000"/>
        </w:rPr>
      </w:pPr>
      <w:r>
        <w:rPr>
          <w:color w:val="000000"/>
        </w:rPr>
        <w:t>2</w:t>
      </w:r>
      <w:r>
        <w:rPr>
          <w:rFonts w:hint="eastAsia" w:cs="宋体"/>
          <w:color w:val="000000"/>
        </w:rPr>
        <w:t>、在结论中按</w:t>
      </w:r>
      <w:r>
        <w:rPr>
          <w:color w:val="000000"/>
        </w:rPr>
        <w:t>“</w:t>
      </w:r>
      <w:r>
        <w:rPr>
          <w:rFonts w:hint="eastAsia" w:cs="宋体"/>
          <w:color w:val="000000"/>
        </w:rPr>
        <w:t>一项否决</w:t>
      </w:r>
      <w:r>
        <w:rPr>
          <w:color w:val="000000"/>
        </w:rPr>
        <w:t>”</w:t>
      </w:r>
      <w:r>
        <w:rPr>
          <w:rFonts w:hint="eastAsia" w:cs="宋体"/>
          <w:color w:val="000000"/>
        </w:rPr>
        <w:t>的原则，只有全部是</w:t>
      </w:r>
      <w:r>
        <w:rPr>
          <w:color w:val="000000"/>
        </w:rPr>
        <w:t>√/</w:t>
      </w:r>
      <w:r>
        <w:rPr>
          <w:rFonts w:hint="eastAsia" w:cs="宋体"/>
          <w:color w:val="000000"/>
        </w:rPr>
        <w:t>通过的，填写：</w:t>
      </w:r>
      <w:r>
        <w:rPr>
          <w:color w:val="000000"/>
        </w:rPr>
        <w:t>“</w:t>
      </w:r>
      <w:r>
        <w:rPr>
          <w:rFonts w:hint="eastAsia" w:cs="宋体"/>
          <w:color w:val="000000"/>
        </w:rPr>
        <w:t>合格</w:t>
      </w:r>
      <w:r>
        <w:rPr>
          <w:color w:val="000000"/>
        </w:rPr>
        <w:t>”</w:t>
      </w:r>
      <w:r>
        <w:rPr>
          <w:rFonts w:hint="eastAsia" w:cs="宋体"/>
          <w:color w:val="000000"/>
        </w:rPr>
        <w:t>；只要其中有一项</w:t>
      </w:r>
      <w:r>
        <w:rPr>
          <w:color w:val="000000"/>
        </w:rPr>
        <w:t>×/</w:t>
      </w:r>
      <w:r>
        <w:rPr>
          <w:rFonts w:hint="eastAsia" w:cs="宋体"/>
          <w:color w:val="000000"/>
        </w:rPr>
        <w:t>不通过的，填写</w:t>
      </w:r>
      <w:r>
        <w:rPr>
          <w:color w:val="000000"/>
        </w:rPr>
        <w:t>“</w:t>
      </w:r>
      <w:r>
        <w:rPr>
          <w:rFonts w:hint="eastAsia" w:cs="宋体"/>
          <w:color w:val="000000"/>
        </w:rPr>
        <w:t>不合格</w:t>
      </w:r>
      <w:r>
        <w:rPr>
          <w:color w:val="000000"/>
        </w:rPr>
        <w:t>”</w:t>
      </w:r>
      <w:r>
        <w:rPr>
          <w:rFonts w:hint="eastAsia" w:cs="宋体"/>
          <w:color w:val="000000"/>
        </w:rPr>
        <w:t>。</w:t>
      </w:r>
    </w:p>
    <w:p>
      <w:pPr>
        <w:spacing w:line="360" w:lineRule="auto"/>
        <w:rPr>
          <w:color w:val="000000"/>
        </w:rPr>
      </w:pPr>
      <w:r>
        <w:rPr>
          <w:color w:val="000000"/>
        </w:rPr>
        <w:t>3</w:t>
      </w:r>
      <w:r>
        <w:rPr>
          <w:rFonts w:hint="eastAsia" w:cs="宋体"/>
          <w:color w:val="000000"/>
        </w:rPr>
        <w:t>、结论是合格的，才能进入下一轮；不合格的被淘汰。</w:t>
      </w:r>
    </w:p>
    <w:p>
      <w:pPr>
        <w:spacing w:line="360" w:lineRule="auto"/>
        <w:rPr>
          <w:color w:val="000000"/>
        </w:rPr>
      </w:pPr>
      <w:r>
        <w:rPr>
          <w:color w:val="000000"/>
        </w:rPr>
        <w:t>4</w:t>
      </w:r>
      <w:r>
        <w:rPr>
          <w:rFonts w:hint="eastAsia" w:cs="宋体"/>
          <w:color w:val="000000"/>
        </w:rPr>
        <w:t>、符合资格要求的投标人至少达到三家或以上，才能进入公开招标程序。</w:t>
      </w:r>
    </w:p>
    <w:p>
      <w:pPr>
        <w:tabs>
          <w:tab w:val="left" w:pos="4500"/>
        </w:tabs>
        <w:spacing w:line="360" w:lineRule="auto"/>
        <w:ind w:firstLine="117" w:firstLineChars="49"/>
        <w:jc w:val="center"/>
        <w:outlineLvl w:val="1"/>
        <w:rPr>
          <w:rFonts w:ascii="宋体"/>
          <w:sz w:val="24"/>
        </w:rPr>
      </w:pPr>
    </w:p>
    <w:p>
      <w:pPr>
        <w:tabs>
          <w:tab w:val="left" w:pos="4500"/>
        </w:tabs>
        <w:spacing w:line="360" w:lineRule="auto"/>
        <w:ind w:right="480" w:firstLine="117" w:firstLineChars="49"/>
        <w:outlineLvl w:val="1"/>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tabs>
          <w:tab w:val="left" w:pos="4500"/>
        </w:tabs>
        <w:spacing w:line="360" w:lineRule="auto"/>
        <w:ind w:firstLine="137" w:firstLineChars="49"/>
        <w:jc w:val="center"/>
        <w:outlineLvl w:val="1"/>
        <w:rPr>
          <w:b/>
          <w:color w:val="000000"/>
          <w:sz w:val="32"/>
          <w:szCs w:val="32"/>
        </w:rPr>
      </w:pPr>
      <w:r>
        <w:rPr>
          <w:color w:val="000000"/>
          <w:sz w:val="28"/>
          <w:szCs w:val="28"/>
        </w:rPr>
        <w:br w:type="page"/>
      </w:r>
      <w:bookmarkStart w:id="82" w:name="_Toc467942772"/>
      <w:bookmarkStart w:id="83" w:name="_Toc21657"/>
      <w:r>
        <w:rPr>
          <w:b/>
          <w:bCs/>
          <w:color w:val="000000"/>
          <w:spacing w:val="-20"/>
          <w:sz w:val="30"/>
          <w:szCs w:val="30"/>
        </w:rPr>
        <w:t>附表</w:t>
      </w:r>
      <w:r>
        <w:rPr>
          <w:rFonts w:hint="eastAsia"/>
          <w:b/>
          <w:bCs/>
          <w:color w:val="000000"/>
          <w:spacing w:val="-20"/>
          <w:sz w:val="30"/>
          <w:szCs w:val="30"/>
          <w:lang w:val="en-US" w:eastAsia="zh-CN"/>
        </w:rPr>
        <w:t>3</w:t>
      </w:r>
      <w:r>
        <w:rPr>
          <w:b/>
          <w:bCs/>
          <w:color w:val="000000"/>
          <w:spacing w:val="-20"/>
          <w:sz w:val="30"/>
          <w:szCs w:val="30"/>
        </w:rPr>
        <w:t>：</w:t>
      </w:r>
      <w:r>
        <w:rPr>
          <w:b/>
          <w:color w:val="000000"/>
          <w:sz w:val="32"/>
          <w:szCs w:val="32"/>
        </w:rPr>
        <w:t>综合评分表</w:t>
      </w:r>
      <w:bookmarkEnd w:id="82"/>
      <w:bookmarkEnd w:id="83"/>
    </w:p>
    <w:tbl>
      <w:tblPr>
        <w:tblStyle w:val="32"/>
        <w:tblW w:w="10133" w:type="dxa"/>
        <w:jc w:val="center"/>
        <w:tblInd w:w="-1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438"/>
        <w:gridCol w:w="6930"/>
        <w:gridCol w:w="510"/>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napToGrid w:val="0"/>
              <w:spacing w:line="300" w:lineRule="auto"/>
              <w:jc w:val="center"/>
              <w:rPr>
                <w:rFonts w:cs="Arial" w:asciiTheme="minorEastAsia" w:hAnsiTheme="minorEastAsia" w:eastAsiaTheme="minorEastAsia"/>
                <w:b/>
                <w:sz w:val="21"/>
                <w:szCs w:val="21"/>
              </w:rPr>
            </w:pPr>
            <w:r>
              <w:rPr>
                <w:rFonts w:hint="eastAsia" w:cs="Arial" w:asciiTheme="minorEastAsia" w:hAnsiTheme="minorEastAsia" w:eastAsiaTheme="minorEastAsia"/>
                <w:b/>
                <w:sz w:val="21"/>
                <w:szCs w:val="21"/>
              </w:rPr>
              <w:t>序号</w:t>
            </w:r>
          </w:p>
        </w:tc>
        <w:tc>
          <w:tcPr>
            <w:tcW w:w="1438" w:type="dxa"/>
            <w:vAlign w:val="center"/>
          </w:tcPr>
          <w:p>
            <w:pPr>
              <w:snapToGrid w:val="0"/>
              <w:spacing w:line="300" w:lineRule="auto"/>
              <w:jc w:val="center"/>
              <w:rPr>
                <w:rFonts w:cs="Arial" w:asciiTheme="minorEastAsia" w:hAnsiTheme="minorEastAsia" w:eastAsiaTheme="minorEastAsia"/>
                <w:b/>
                <w:sz w:val="21"/>
                <w:szCs w:val="21"/>
              </w:rPr>
            </w:pPr>
            <w:r>
              <w:rPr>
                <w:rFonts w:hint="eastAsia" w:cs="Arial" w:asciiTheme="minorEastAsia" w:hAnsiTheme="minorEastAsia" w:eastAsiaTheme="minorEastAsia"/>
                <w:b/>
                <w:sz w:val="21"/>
                <w:szCs w:val="21"/>
              </w:rPr>
              <w:t>评审内容</w:t>
            </w:r>
          </w:p>
        </w:tc>
        <w:tc>
          <w:tcPr>
            <w:tcW w:w="6930" w:type="dxa"/>
            <w:vAlign w:val="center"/>
          </w:tcPr>
          <w:p>
            <w:pPr>
              <w:snapToGrid w:val="0"/>
              <w:spacing w:line="300" w:lineRule="auto"/>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评分</w:t>
            </w:r>
            <w:r>
              <w:rPr>
                <w:rFonts w:hint="eastAsia" w:cs="Arial" w:asciiTheme="minorEastAsia" w:hAnsiTheme="minorEastAsia" w:eastAsiaTheme="minorEastAsia"/>
                <w:b/>
                <w:sz w:val="21"/>
                <w:szCs w:val="21"/>
              </w:rPr>
              <w:t>标准及分值</w:t>
            </w:r>
          </w:p>
        </w:tc>
        <w:tc>
          <w:tcPr>
            <w:tcW w:w="510" w:type="dxa"/>
            <w:vAlign w:val="center"/>
          </w:tcPr>
          <w:p>
            <w:pPr>
              <w:snapToGrid w:val="0"/>
              <w:spacing w:line="300" w:lineRule="auto"/>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满分</w:t>
            </w:r>
          </w:p>
        </w:tc>
        <w:tc>
          <w:tcPr>
            <w:tcW w:w="608" w:type="dxa"/>
            <w:vAlign w:val="center"/>
          </w:tcPr>
          <w:p>
            <w:pPr>
              <w:snapToGrid w:val="0"/>
              <w:spacing w:line="300" w:lineRule="auto"/>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restart"/>
            <w:vAlign w:val="center"/>
          </w:tcPr>
          <w:p>
            <w:pPr>
              <w:snapToGrid w:val="0"/>
              <w:spacing w:line="30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w:t>
            </w:r>
          </w:p>
        </w:tc>
        <w:tc>
          <w:tcPr>
            <w:tcW w:w="1438" w:type="dxa"/>
            <w:vMerge w:val="restart"/>
            <w:vAlign w:val="center"/>
          </w:tcPr>
          <w:p>
            <w:pPr>
              <w:snapToGrid w:val="0"/>
              <w:spacing w:line="300" w:lineRule="auto"/>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设备技术参数及其他要求</w:t>
            </w:r>
          </w:p>
        </w:tc>
        <w:tc>
          <w:tcPr>
            <w:tcW w:w="6930" w:type="dxa"/>
            <w:vAlign w:val="center"/>
          </w:tcPr>
          <w:p>
            <w:pPr>
              <w:snapToGrid w:val="0"/>
              <w:spacing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设备技术参数和资质要求完全满足招标要求得满分。</w:t>
            </w:r>
          </w:p>
          <w:p>
            <w:pPr>
              <w:snapToGrid w:val="0"/>
              <w:spacing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（1）带</w:t>
            </w:r>
            <w:r>
              <w:rPr>
                <w:rFonts w:hint="eastAsia" w:cs="仿宋_GB2312" w:asciiTheme="minorEastAsia" w:hAnsiTheme="minorEastAsia" w:eastAsiaTheme="minorEastAsia"/>
                <w:sz w:val="21"/>
                <w:szCs w:val="21"/>
              </w:rPr>
              <w:t>★</w:t>
            </w:r>
            <w:r>
              <w:rPr>
                <w:rFonts w:hint="eastAsia" w:asciiTheme="minorEastAsia" w:hAnsiTheme="minorEastAsia" w:eastAsiaTheme="minorEastAsia"/>
                <w:sz w:val="21"/>
                <w:szCs w:val="21"/>
              </w:rPr>
              <w:t>的指标不满足每个扣</w:t>
            </w:r>
            <w:r>
              <w:rPr>
                <w:rFonts w:hint="eastAsia" w:asciiTheme="minorEastAsia" w:hAnsiTheme="minorEastAsia" w:eastAsiaTheme="minorEastAsia"/>
                <w:sz w:val="21"/>
                <w:szCs w:val="21"/>
                <w:lang w:val="en-US" w:eastAsia="zh-CN"/>
              </w:rPr>
              <w:t>4</w:t>
            </w:r>
            <w:r>
              <w:rPr>
                <w:rFonts w:hint="eastAsia" w:asciiTheme="minorEastAsia" w:hAnsiTheme="minorEastAsia" w:eastAsiaTheme="minorEastAsia"/>
                <w:sz w:val="21"/>
                <w:szCs w:val="21"/>
              </w:rPr>
              <w:t>分，其它指标不满足每个扣</w:t>
            </w:r>
            <w:r>
              <w:rPr>
                <w:rFonts w:hint="eastAsia" w:asciiTheme="minorEastAsia" w:hAnsiTheme="minorEastAsia" w:eastAsiaTheme="minorEastAsia"/>
                <w:sz w:val="21"/>
                <w:szCs w:val="21"/>
                <w:lang w:val="en-US" w:eastAsia="zh-CN"/>
              </w:rPr>
              <w:t>2</w:t>
            </w:r>
            <w:r>
              <w:rPr>
                <w:rFonts w:hint="eastAsia" w:asciiTheme="minorEastAsia" w:hAnsiTheme="minorEastAsia" w:eastAsiaTheme="minorEastAsia"/>
                <w:sz w:val="21"/>
                <w:szCs w:val="21"/>
              </w:rPr>
              <w:t>分，扣完为止。</w:t>
            </w:r>
          </w:p>
        </w:tc>
        <w:tc>
          <w:tcPr>
            <w:tcW w:w="510" w:type="dxa"/>
            <w:vAlign w:val="center"/>
          </w:tcPr>
          <w:p>
            <w:pPr>
              <w:jc w:val="center"/>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20</w:t>
            </w:r>
          </w:p>
        </w:tc>
        <w:tc>
          <w:tcPr>
            <w:tcW w:w="608" w:type="dxa"/>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vAlign w:val="center"/>
          </w:tcPr>
          <w:p>
            <w:pPr>
              <w:jc w:val="center"/>
              <w:rPr>
                <w:rFonts w:asciiTheme="minorEastAsia" w:hAnsiTheme="minorEastAsia" w:eastAsiaTheme="minorEastAsia"/>
                <w:sz w:val="21"/>
                <w:szCs w:val="21"/>
              </w:rPr>
            </w:pPr>
          </w:p>
        </w:tc>
        <w:tc>
          <w:tcPr>
            <w:tcW w:w="1438" w:type="dxa"/>
            <w:vMerge w:val="continue"/>
            <w:vAlign w:val="center"/>
          </w:tcPr>
          <w:p>
            <w:pPr>
              <w:jc w:val="center"/>
              <w:rPr>
                <w:rFonts w:asciiTheme="minorEastAsia" w:hAnsiTheme="minorEastAsia" w:eastAsiaTheme="minorEastAsia"/>
                <w:sz w:val="21"/>
                <w:szCs w:val="21"/>
              </w:rPr>
            </w:pPr>
          </w:p>
        </w:tc>
        <w:tc>
          <w:tcPr>
            <w:tcW w:w="6930" w:type="dxa"/>
            <w:vAlign w:val="center"/>
          </w:tcPr>
          <w:p>
            <w:pPr>
              <w:snapToGrid w:val="0"/>
              <w:spacing w:line="300" w:lineRule="auto"/>
              <w:rPr>
                <w:rFonts w:asciiTheme="minorEastAsia" w:hAnsiTheme="minorEastAsia" w:eastAsiaTheme="minorEastAsia"/>
                <w:sz w:val="21"/>
                <w:szCs w:val="21"/>
              </w:rPr>
            </w:pPr>
            <w:r>
              <w:rPr>
                <w:rFonts w:hint="eastAsia" w:ascii="宋体" w:hAnsi="宋体" w:cs="宋体"/>
                <w:kern w:val="0"/>
                <w:sz w:val="21"/>
                <w:szCs w:val="21"/>
              </w:rPr>
              <w:t>触摸一体机</w:t>
            </w:r>
            <w:r>
              <w:rPr>
                <w:rFonts w:hint="eastAsia" w:asciiTheme="minorEastAsia" w:hAnsiTheme="minorEastAsia" w:eastAsiaTheme="minorEastAsia"/>
                <w:sz w:val="21"/>
                <w:szCs w:val="21"/>
              </w:rPr>
              <w:t>厂</w:t>
            </w:r>
            <w:r>
              <w:rPr>
                <w:rFonts w:asciiTheme="minorEastAsia" w:hAnsiTheme="minorEastAsia" w:eastAsiaTheme="minorEastAsia"/>
                <w:sz w:val="21"/>
                <w:szCs w:val="21"/>
              </w:rPr>
              <w:t>家</w:t>
            </w:r>
            <w:r>
              <w:rPr>
                <w:rFonts w:hint="eastAsia" w:asciiTheme="minorEastAsia" w:hAnsiTheme="minorEastAsia" w:eastAsiaTheme="minorEastAsia"/>
                <w:sz w:val="21"/>
                <w:szCs w:val="21"/>
              </w:rPr>
              <w:t>或供应商</w:t>
            </w:r>
            <w:r>
              <w:rPr>
                <w:rFonts w:asciiTheme="minorEastAsia" w:hAnsiTheme="minorEastAsia" w:eastAsiaTheme="minorEastAsia"/>
                <w:sz w:val="21"/>
                <w:szCs w:val="21"/>
              </w:rPr>
              <w:t>实力证明</w:t>
            </w:r>
            <w:r>
              <w:rPr>
                <w:rFonts w:hint="eastAsia" w:asciiTheme="minorEastAsia" w:hAnsiTheme="minorEastAsia" w:eastAsiaTheme="minorEastAsia"/>
                <w:sz w:val="21"/>
                <w:szCs w:val="21"/>
              </w:rPr>
              <w:t>：</w:t>
            </w:r>
          </w:p>
          <w:p>
            <w:pPr>
              <w:snapToGrid w:val="0"/>
              <w:spacing w:line="300" w:lineRule="auto"/>
              <w:rPr>
                <w:rFonts w:asciiTheme="minorEastAsia" w:hAnsiTheme="minorEastAsia"/>
                <w:sz w:val="21"/>
                <w:szCs w:val="21"/>
              </w:rPr>
            </w:pPr>
            <w:r>
              <w:rPr>
                <w:rFonts w:asciiTheme="minorEastAsia" w:hAnsiTheme="minorEastAsia"/>
                <w:sz w:val="21"/>
                <w:szCs w:val="21"/>
              </w:rPr>
              <w:t>1</w:t>
            </w:r>
            <w:r>
              <w:rPr>
                <w:rFonts w:hint="eastAsia" w:asciiTheme="minorEastAsia" w:hAnsiTheme="minorEastAsia"/>
                <w:sz w:val="21"/>
                <w:szCs w:val="21"/>
              </w:rPr>
              <w:t>、所投产品制造厂商获得由中国发明协会、中国教育装备行业协会颁发的国际发明展览会金奖，</w:t>
            </w:r>
            <w:r>
              <w:rPr>
                <w:rFonts w:asciiTheme="minorEastAsia" w:hAnsiTheme="minorEastAsia"/>
                <w:sz w:val="21"/>
                <w:szCs w:val="21"/>
              </w:rPr>
              <w:t>满足的</w:t>
            </w:r>
            <w:r>
              <w:rPr>
                <w:rFonts w:hint="eastAsia" w:asciiTheme="minorEastAsia" w:hAnsiTheme="minorEastAsia"/>
                <w:sz w:val="21"/>
                <w:szCs w:val="21"/>
              </w:rPr>
              <w:t>得</w:t>
            </w:r>
            <w:r>
              <w:rPr>
                <w:rFonts w:hint="eastAsia" w:asciiTheme="minorEastAsia" w:hAnsiTheme="minorEastAsia"/>
                <w:sz w:val="21"/>
                <w:szCs w:val="21"/>
                <w:lang w:val="en-US" w:eastAsia="zh-CN"/>
              </w:rPr>
              <w:t>5</w:t>
            </w:r>
            <w:r>
              <w:rPr>
                <w:rFonts w:hint="eastAsia" w:asciiTheme="minorEastAsia" w:hAnsiTheme="minorEastAsia"/>
                <w:sz w:val="21"/>
                <w:szCs w:val="21"/>
              </w:rPr>
              <w:t>分</w:t>
            </w:r>
            <w:r>
              <w:rPr>
                <w:rFonts w:asciiTheme="minorEastAsia" w:hAnsiTheme="minorEastAsia"/>
                <w:sz w:val="21"/>
                <w:szCs w:val="21"/>
              </w:rPr>
              <w:t>，</w:t>
            </w:r>
            <w:r>
              <w:rPr>
                <w:rFonts w:hint="eastAsia" w:asciiTheme="minorEastAsia" w:hAnsiTheme="minorEastAsia"/>
                <w:sz w:val="21"/>
                <w:szCs w:val="21"/>
              </w:rPr>
              <w:t>不</w:t>
            </w:r>
            <w:r>
              <w:rPr>
                <w:rFonts w:asciiTheme="minorEastAsia" w:hAnsiTheme="minorEastAsia"/>
                <w:sz w:val="21"/>
                <w:szCs w:val="21"/>
              </w:rPr>
              <w:t>满足不得分。</w:t>
            </w:r>
          </w:p>
          <w:p>
            <w:pPr>
              <w:snapToGrid w:val="0"/>
              <w:spacing w:line="300" w:lineRule="auto"/>
              <w:rPr>
                <w:rFonts w:asciiTheme="minorEastAsia" w:hAnsiTheme="minorEastAsia"/>
                <w:sz w:val="21"/>
                <w:szCs w:val="21"/>
              </w:rPr>
            </w:pPr>
            <w:r>
              <w:rPr>
                <w:rFonts w:asciiTheme="minorEastAsia" w:hAnsiTheme="minorEastAsia"/>
                <w:sz w:val="21"/>
                <w:szCs w:val="21"/>
              </w:rPr>
              <w:t>2</w:t>
            </w:r>
            <w:r>
              <w:rPr>
                <w:rFonts w:hint="eastAsia" w:asciiTheme="minorEastAsia" w:hAnsiTheme="minorEastAsia"/>
                <w:sz w:val="21"/>
                <w:szCs w:val="21"/>
              </w:rPr>
              <w:t>、所投产品制造厂商获得省级制造业100强证书，</w:t>
            </w:r>
            <w:r>
              <w:rPr>
                <w:rFonts w:asciiTheme="minorEastAsia" w:hAnsiTheme="minorEastAsia"/>
                <w:sz w:val="21"/>
                <w:szCs w:val="21"/>
              </w:rPr>
              <w:t>满足的</w:t>
            </w:r>
            <w:r>
              <w:rPr>
                <w:rFonts w:hint="eastAsia" w:asciiTheme="minorEastAsia" w:hAnsiTheme="minorEastAsia"/>
                <w:sz w:val="21"/>
                <w:szCs w:val="21"/>
              </w:rPr>
              <w:t>得</w:t>
            </w:r>
            <w:r>
              <w:rPr>
                <w:rFonts w:hint="eastAsia" w:asciiTheme="minorEastAsia" w:hAnsiTheme="minorEastAsia"/>
                <w:sz w:val="21"/>
                <w:szCs w:val="21"/>
                <w:lang w:val="en-US" w:eastAsia="zh-CN"/>
              </w:rPr>
              <w:t>5</w:t>
            </w:r>
            <w:r>
              <w:rPr>
                <w:rFonts w:hint="eastAsia" w:asciiTheme="minorEastAsia" w:hAnsiTheme="minorEastAsia"/>
                <w:sz w:val="21"/>
                <w:szCs w:val="21"/>
              </w:rPr>
              <w:t>分</w:t>
            </w:r>
            <w:r>
              <w:rPr>
                <w:rFonts w:asciiTheme="minorEastAsia" w:hAnsiTheme="minorEastAsia"/>
                <w:sz w:val="21"/>
                <w:szCs w:val="21"/>
              </w:rPr>
              <w:t>，</w:t>
            </w:r>
            <w:r>
              <w:rPr>
                <w:rFonts w:hint="eastAsia" w:asciiTheme="minorEastAsia" w:hAnsiTheme="minorEastAsia"/>
                <w:sz w:val="21"/>
                <w:szCs w:val="21"/>
              </w:rPr>
              <w:t>不</w:t>
            </w:r>
            <w:r>
              <w:rPr>
                <w:rFonts w:asciiTheme="minorEastAsia" w:hAnsiTheme="minorEastAsia"/>
                <w:sz w:val="21"/>
                <w:szCs w:val="21"/>
              </w:rPr>
              <w:t>满足不得分。</w:t>
            </w:r>
          </w:p>
          <w:p>
            <w:pPr>
              <w:snapToGrid w:val="0"/>
              <w:spacing w:line="300" w:lineRule="auto"/>
              <w:rPr>
                <w:rFonts w:asciiTheme="minorEastAsia" w:hAnsiTheme="minorEastAsia"/>
                <w:sz w:val="21"/>
                <w:szCs w:val="21"/>
              </w:rPr>
            </w:pPr>
            <w:r>
              <w:rPr>
                <w:rFonts w:asciiTheme="minorEastAsia" w:hAnsiTheme="minorEastAsia"/>
                <w:sz w:val="21"/>
                <w:szCs w:val="21"/>
              </w:rPr>
              <w:t>3</w:t>
            </w:r>
            <w:r>
              <w:rPr>
                <w:rFonts w:hint="eastAsia" w:asciiTheme="minorEastAsia" w:hAnsiTheme="minorEastAsia"/>
                <w:sz w:val="21"/>
                <w:szCs w:val="21"/>
              </w:rPr>
              <w:t>、为确</w:t>
            </w:r>
            <w:r>
              <w:rPr>
                <w:rFonts w:asciiTheme="minorEastAsia" w:hAnsiTheme="minorEastAsia"/>
                <w:sz w:val="21"/>
                <w:szCs w:val="21"/>
              </w:rPr>
              <w:t>保产品</w:t>
            </w:r>
            <w:r>
              <w:rPr>
                <w:rFonts w:hint="eastAsia" w:asciiTheme="minorEastAsia" w:hAnsiTheme="minorEastAsia"/>
                <w:sz w:val="21"/>
                <w:szCs w:val="21"/>
              </w:rPr>
              <w:t>的</w:t>
            </w:r>
            <w:r>
              <w:rPr>
                <w:rFonts w:asciiTheme="minorEastAsia" w:hAnsiTheme="minorEastAsia"/>
                <w:sz w:val="21"/>
                <w:szCs w:val="21"/>
              </w:rPr>
              <w:t>使用安全性，</w:t>
            </w:r>
            <w:r>
              <w:rPr>
                <w:rFonts w:hint="eastAsia" w:asciiTheme="minorEastAsia" w:hAnsiTheme="minorEastAsia"/>
                <w:sz w:val="21"/>
                <w:szCs w:val="21"/>
              </w:rPr>
              <w:t>所投产品的内置</w:t>
            </w:r>
            <w:r>
              <w:rPr>
                <w:rFonts w:asciiTheme="minorEastAsia" w:hAnsiTheme="minorEastAsia"/>
                <w:sz w:val="21"/>
                <w:szCs w:val="21"/>
              </w:rPr>
              <w:t>电脑模块</w:t>
            </w:r>
            <w:r>
              <w:rPr>
                <w:rFonts w:hint="eastAsia" w:asciiTheme="minorEastAsia" w:hAnsiTheme="minorEastAsia"/>
                <w:sz w:val="21"/>
                <w:szCs w:val="21"/>
              </w:rPr>
              <w:t>须符合中华人民共和国无线电管理规定和技术标准，可提供无线电发射设备型号核准证，</w:t>
            </w:r>
            <w:r>
              <w:rPr>
                <w:rFonts w:asciiTheme="minorEastAsia" w:hAnsiTheme="minorEastAsia"/>
                <w:sz w:val="21"/>
                <w:szCs w:val="21"/>
              </w:rPr>
              <w:t>满足的</w:t>
            </w:r>
            <w:r>
              <w:rPr>
                <w:rFonts w:hint="eastAsia" w:asciiTheme="minorEastAsia" w:hAnsiTheme="minorEastAsia"/>
                <w:sz w:val="21"/>
                <w:szCs w:val="21"/>
              </w:rPr>
              <w:t>得</w:t>
            </w:r>
            <w:r>
              <w:rPr>
                <w:rFonts w:hint="eastAsia" w:asciiTheme="minorEastAsia" w:hAnsiTheme="minorEastAsia"/>
                <w:sz w:val="21"/>
                <w:szCs w:val="21"/>
                <w:lang w:val="en-US" w:eastAsia="zh-CN"/>
              </w:rPr>
              <w:t>5</w:t>
            </w:r>
            <w:r>
              <w:rPr>
                <w:rFonts w:hint="eastAsia" w:asciiTheme="minorEastAsia" w:hAnsiTheme="minorEastAsia"/>
                <w:sz w:val="21"/>
                <w:szCs w:val="21"/>
              </w:rPr>
              <w:t>分</w:t>
            </w:r>
            <w:r>
              <w:rPr>
                <w:rFonts w:asciiTheme="minorEastAsia" w:hAnsiTheme="minorEastAsia"/>
                <w:sz w:val="21"/>
                <w:szCs w:val="21"/>
              </w:rPr>
              <w:t>，</w:t>
            </w:r>
            <w:r>
              <w:rPr>
                <w:rFonts w:hint="eastAsia" w:asciiTheme="minorEastAsia" w:hAnsiTheme="minorEastAsia"/>
                <w:sz w:val="21"/>
                <w:szCs w:val="21"/>
              </w:rPr>
              <w:t>不</w:t>
            </w:r>
            <w:r>
              <w:rPr>
                <w:rFonts w:asciiTheme="minorEastAsia" w:hAnsiTheme="minorEastAsia"/>
                <w:sz w:val="21"/>
                <w:szCs w:val="21"/>
              </w:rPr>
              <w:t>满足不得分。</w:t>
            </w:r>
          </w:p>
          <w:p>
            <w:pPr>
              <w:snapToGrid w:val="0"/>
              <w:spacing w:line="300" w:lineRule="auto"/>
              <w:rPr>
                <w:rFonts w:asciiTheme="minorEastAsia" w:hAnsiTheme="minorEastAsia"/>
                <w:sz w:val="21"/>
                <w:szCs w:val="21"/>
              </w:rPr>
            </w:pPr>
            <w:r>
              <w:rPr>
                <w:rFonts w:asciiTheme="minorEastAsia" w:hAnsiTheme="minorEastAsia"/>
                <w:sz w:val="21"/>
                <w:szCs w:val="21"/>
              </w:rPr>
              <w:t>4</w:t>
            </w:r>
            <w:r>
              <w:rPr>
                <w:rFonts w:hint="eastAsia" w:asciiTheme="minorEastAsia" w:hAnsiTheme="minorEastAsia"/>
                <w:sz w:val="21"/>
                <w:szCs w:val="21"/>
              </w:rPr>
              <w:t>、为</w:t>
            </w:r>
            <w:r>
              <w:rPr>
                <w:rFonts w:asciiTheme="minorEastAsia" w:hAnsiTheme="minorEastAsia"/>
                <w:sz w:val="21"/>
                <w:szCs w:val="21"/>
              </w:rPr>
              <w:t>确保</w:t>
            </w:r>
            <w:r>
              <w:rPr>
                <w:rFonts w:hint="eastAsia" w:asciiTheme="minorEastAsia" w:hAnsiTheme="minorEastAsia"/>
                <w:sz w:val="21"/>
                <w:szCs w:val="21"/>
              </w:rPr>
              <w:t>采购</w:t>
            </w:r>
            <w:r>
              <w:rPr>
                <w:rFonts w:asciiTheme="minorEastAsia" w:hAnsiTheme="minorEastAsia"/>
                <w:sz w:val="21"/>
                <w:szCs w:val="21"/>
              </w:rPr>
              <w:t>人所采购的</w:t>
            </w:r>
            <w:r>
              <w:rPr>
                <w:rFonts w:hint="eastAsia" w:asciiTheme="minorEastAsia" w:hAnsiTheme="minorEastAsia"/>
                <w:sz w:val="21"/>
                <w:szCs w:val="21"/>
              </w:rPr>
              <w:t>产</w:t>
            </w:r>
            <w:r>
              <w:rPr>
                <w:rFonts w:asciiTheme="minorEastAsia" w:hAnsiTheme="minorEastAsia"/>
                <w:sz w:val="21"/>
                <w:szCs w:val="21"/>
              </w:rPr>
              <w:t>品符合当地的教育信息化发展，</w:t>
            </w:r>
            <w:r>
              <w:rPr>
                <w:rFonts w:hint="eastAsia" w:asciiTheme="minorEastAsia" w:hAnsiTheme="minorEastAsia"/>
                <w:sz w:val="21"/>
                <w:szCs w:val="21"/>
              </w:rPr>
              <w:t>所投产品制造厂商须通过CMMI3软件能力成熟度模型集成认证，</w:t>
            </w:r>
            <w:r>
              <w:rPr>
                <w:rFonts w:asciiTheme="minorEastAsia" w:hAnsiTheme="minorEastAsia"/>
                <w:sz w:val="21"/>
                <w:szCs w:val="21"/>
              </w:rPr>
              <w:t>满足的</w:t>
            </w:r>
            <w:r>
              <w:rPr>
                <w:rFonts w:hint="eastAsia" w:asciiTheme="minorEastAsia" w:hAnsiTheme="minorEastAsia"/>
                <w:sz w:val="21"/>
                <w:szCs w:val="21"/>
              </w:rPr>
              <w:t>得</w:t>
            </w:r>
            <w:r>
              <w:rPr>
                <w:rFonts w:hint="eastAsia" w:asciiTheme="minorEastAsia" w:hAnsiTheme="minorEastAsia"/>
                <w:sz w:val="21"/>
                <w:szCs w:val="21"/>
                <w:lang w:val="en-US" w:eastAsia="zh-CN"/>
              </w:rPr>
              <w:t>6</w:t>
            </w:r>
            <w:r>
              <w:rPr>
                <w:rFonts w:hint="eastAsia" w:asciiTheme="minorEastAsia" w:hAnsiTheme="minorEastAsia"/>
                <w:sz w:val="21"/>
                <w:szCs w:val="21"/>
              </w:rPr>
              <w:t>分</w:t>
            </w:r>
            <w:r>
              <w:rPr>
                <w:rFonts w:asciiTheme="minorEastAsia" w:hAnsiTheme="minorEastAsia"/>
                <w:sz w:val="21"/>
                <w:szCs w:val="21"/>
              </w:rPr>
              <w:t>，</w:t>
            </w:r>
            <w:r>
              <w:rPr>
                <w:rFonts w:hint="eastAsia" w:asciiTheme="minorEastAsia" w:hAnsiTheme="minorEastAsia"/>
                <w:sz w:val="21"/>
                <w:szCs w:val="21"/>
              </w:rPr>
              <w:t>不</w:t>
            </w:r>
            <w:r>
              <w:rPr>
                <w:rFonts w:asciiTheme="minorEastAsia" w:hAnsiTheme="minorEastAsia"/>
                <w:sz w:val="21"/>
                <w:szCs w:val="21"/>
              </w:rPr>
              <w:t>满足不得分。</w:t>
            </w:r>
          </w:p>
          <w:p>
            <w:pPr>
              <w:snapToGrid w:val="0"/>
              <w:spacing w:line="300" w:lineRule="auto"/>
              <w:rPr>
                <w:rFonts w:asciiTheme="minorEastAsia" w:hAnsiTheme="minorEastAsia"/>
                <w:sz w:val="21"/>
                <w:szCs w:val="21"/>
              </w:rPr>
            </w:pPr>
            <w:r>
              <w:rPr>
                <w:rFonts w:asciiTheme="minorEastAsia" w:hAnsiTheme="minorEastAsia"/>
                <w:sz w:val="21"/>
                <w:szCs w:val="21"/>
              </w:rPr>
              <w:t>5</w:t>
            </w:r>
            <w:r>
              <w:rPr>
                <w:rFonts w:hint="eastAsia" w:asciiTheme="minorEastAsia" w:hAnsiTheme="minorEastAsia"/>
                <w:sz w:val="21"/>
                <w:szCs w:val="21"/>
              </w:rPr>
              <w:t>、所投产品制造厂商通过知识产权管理体系认证，</w:t>
            </w:r>
            <w:r>
              <w:rPr>
                <w:rFonts w:asciiTheme="minorEastAsia" w:hAnsiTheme="minorEastAsia"/>
                <w:sz w:val="21"/>
                <w:szCs w:val="21"/>
              </w:rPr>
              <w:t>满足的</w:t>
            </w:r>
            <w:r>
              <w:rPr>
                <w:rFonts w:hint="eastAsia" w:asciiTheme="minorEastAsia" w:hAnsiTheme="minorEastAsia"/>
                <w:sz w:val="21"/>
                <w:szCs w:val="21"/>
              </w:rPr>
              <w:t>得</w:t>
            </w:r>
            <w:r>
              <w:rPr>
                <w:rFonts w:hint="eastAsia" w:asciiTheme="minorEastAsia" w:hAnsiTheme="minorEastAsia"/>
                <w:sz w:val="21"/>
                <w:szCs w:val="21"/>
                <w:lang w:val="en-US" w:eastAsia="zh-CN"/>
              </w:rPr>
              <w:t>6</w:t>
            </w:r>
            <w:bookmarkStart w:id="84" w:name="_GoBack"/>
            <w:bookmarkEnd w:id="84"/>
            <w:r>
              <w:rPr>
                <w:rFonts w:hint="eastAsia" w:asciiTheme="minorEastAsia" w:hAnsiTheme="minorEastAsia"/>
                <w:sz w:val="21"/>
                <w:szCs w:val="21"/>
              </w:rPr>
              <w:t>分</w:t>
            </w:r>
            <w:r>
              <w:rPr>
                <w:rFonts w:asciiTheme="minorEastAsia" w:hAnsiTheme="minorEastAsia"/>
                <w:sz w:val="21"/>
                <w:szCs w:val="21"/>
              </w:rPr>
              <w:t>，</w:t>
            </w:r>
            <w:r>
              <w:rPr>
                <w:rFonts w:hint="eastAsia" w:asciiTheme="minorEastAsia" w:hAnsiTheme="minorEastAsia"/>
                <w:sz w:val="21"/>
                <w:szCs w:val="21"/>
              </w:rPr>
              <w:t>不</w:t>
            </w:r>
            <w:r>
              <w:rPr>
                <w:rFonts w:asciiTheme="minorEastAsia" w:hAnsiTheme="minorEastAsia"/>
                <w:sz w:val="21"/>
                <w:szCs w:val="21"/>
              </w:rPr>
              <w:t>满足不得分。</w:t>
            </w:r>
          </w:p>
          <w:p>
            <w:pPr>
              <w:rPr>
                <w:rFonts w:asciiTheme="minorEastAsia" w:hAnsiTheme="minorEastAsia" w:eastAsiaTheme="minorEastAsia"/>
                <w:color w:val="000000" w:themeColor="text1"/>
                <w:sz w:val="21"/>
                <w:szCs w:val="21"/>
              </w:rPr>
            </w:pPr>
            <w:r>
              <w:rPr>
                <w:rFonts w:hint="eastAsia" w:asciiTheme="minorEastAsia" w:hAnsiTheme="minorEastAsia"/>
                <w:sz w:val="21"/>
                <w:szCs w:val="21"/>
              </w:rPr>
              <w:t>以上证书投标时需提供加盖厂商公章的资质证书复印件。</w:t>
            </w:r>
          </w:p>
        </w:tc>
        <w:tc>
          <w:tcPr>
            <w:tcW w:w="510" w:type="dxa"/>
            <w:vAlign w:val="center"/>
          </w:tcPr>
          <w:p>
            <w:pPr>
              <w:jc w:val="center"/>
              <w:rPr>
                <w:rFonts w:hint="eastAsia" w:asciiTheme="minorEastAsia" w:hAnsiTheme="minorEastAsia" w:eastAsiaTheme="minorEastAsia"/>
                <w:color w:val="000000" w:themeColor="text1"/>
                <w:sz w:val="21"/>
                <w:szCs w:val="21"/>
                <w:lang w:val="en-US" w:eastAsia="zh-CN"/>
              </w:rPr>
            </w:pPr>
            <w:r>
              <w:rPr>
                <w:rFonts w:hint="eastAsia" w:asciiTheme="minorEastAsia" w:hAnsiTheme="minorEastAsia" w:eastAsiaTheme="minorEastAsia"/>
                <w:color w:val="000000" w:themeColor="text1"/>
                <w:sz w:val="21"/>
                <w:szCs w:val="21"/>
                <w:lang w:val="en-US" w:eastAsia="zh-CN"/>
              </w:rPr>
              <w:t>27</w:t>
            </w:r>
          </w:p>
        </w:tc>
        <w:tc>
          <w:tcPr>
            <w:tcW w:w="608" w:type="dxa"/>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vAlign w:val="center"/>
          </w:tcPr>
          <w:p>
            <w:pPr>
              <w:jc w:val="center"/>
              <w:rPr>
                <w:rFonts w:asciiTheme="minorEastAsia" w:hAnsiTheme="minorEastAsia" w:eastAsiaTheme="minorEastAsia"/>
                <w:sz w:val="21"/>
                <w:szCs w:val="21"/>
              </w:rPr>
            </w:pPr>
          </w:p>
        </w:tc>
        <w:tc>
          <w:tcPr>
            <w:tcW w:w="1438" w:type="dxa"/>
            <w:vMerge w:val="continue"/>
            <w:vAlign w:val="center"/>
          </w:tcPr>
          <w:p>
            <w:pPr>
              <w:jc w:val="center"/>
              <w:rPr>
                <w:rFonts w:asciiTheme="minorEastAsia" w:hAnsiTheme="minorEastAsia" w:eastAsiaTheme="minorEastAsia"/>
                <w:sz w:val="21"/>
                <w:szCs w:val="21"/>
              </w:rPr>
            </w:pPr>
          </w:p>
        </w:tc>
        <w:tc>
          <w:tcPr>
            <w:tcW w:w="6930" w:type="dxa"/>
            <w:vAlign w:val="center"/>
          </w:tcPr>
          <w:p>
            <w:pPr>
              <w:numPr>
                <w:ilvl w:val="0"/>
                <w:numId w:val="0"/>
              </w:numPr>
              <w:rPr>
                <w:rFonts w:hint="eastAsia" w:eastAsiaTheme="minorEastAsia"/>
                <w:sz w:val="21"/>
                <w:szCs w:val="21"/>
                <w:lang w:eastAsia="zh-CN"/>
              </w:rPr>
            </w:pPr>
            <w:r>
              <w:rPr>
                <w:rFonts w:hint="eastAsia" w:cs="宋体" w:asciiTheme="minorEastAsia" w:hAnsiTheme="minorEastAsia" w:eastAsiaTheme="minorEastAsia"/>
                <w:sz w:val="21"/>
                <w:szCs w:val="21"/>
              </w:rPr>
              <w:t>投标人</w:t>
            </w:r>
            <w:r>
              <w:rPr>
                <w:rFonts w:hint="eastAsia" w:cs="宋体" w:asciiTheme="minorEastAsia" w:hAnsiTheme="minorEastAsia" w:eastAsiaTheme="minorEastAsia"/>
                <w:sz w:val="21"/>
                <w:szCs w:val="21"/>
                <w:lang w:eastAsia="zh-CN"/>
              </w:rPr>
              <w:t>或厂家</w:t>
            </w:r>
          </w:p>
          <w:p>
            <w:pPr>
              <w:numPr>
                <w:ilvl w:val="0"/>
                <w:numId w:val="5"/>
              </w:numPr>
              <w:rPr>
                <w:rFonts w:hint="eastAsia"/>
                <w:sz w:val="21"/>
                <w:szCs w:val="21"/>
                <w:lang w:val="en-US" w:eastAsia="zh-CN"/>
              </w:rPr>
            </w:pPr>
            <w:r>
              <w:rPr>
                <w:rFonts w:hint="eastAsia" w:asciiTheme="minorEastAsia" w:hAnsiTheme="minorEastAsia" w:eastAsiaTheme="minorEastAsia"/>
                <w:sz w:val="21"/>
                <w:szCs w:val="21"/>
                <w:lang w:eastAsia="zh-CN"/>
              </w:rPr>
              <w:t>提供企业信用等级证书得</w:t>
            </w:r>
            <w:r>
              <w:rPr>
                <w:rFonts w:hint="eastAsia" w:asciiTheme="minorEastAsia" w:hAnsiTheme="minorEastAsia" w:eastAsiaTheme="minorEastAsia"/>
                <w:sz w:val="21"/>
                <w:szCs w:val="21"/>
                <w:lang w:val="en-US" w:eastAsia="zh-CN"/>
              </w:rPr>
              <w:t>3</w:t>
            </w:r>
            <w:r>
              <w:rPr>
                <w:sz w:val="21"/>
                <w:szCs w:val="21"/>
              </w:rPr>
              <w:t>分，</w:t>
            </w:r>
            <w:r>
              <w:rPr>
                <w:rFonts w:hint="eastAsia"/>
                <w:sz w:val="21"/>
                <w:szCs w:val="21"/>
              </w:rPr>
              <w:t>不</w:t>
            </w:r>
            <w:r>
              <w:rPr>
                <w:sz w:val="21"/>
                <w:szCs w:val="21"/>
              </w:rPr>
              <w:t>满足不得分</w:t>
            </w:r>
          </w:p>
          <w:p>
            <w:pPr>
              <w:numPr>
                <w:ilvl w:val="0"/>
                <w:numId w:val="5"/>
              </w:numPr>
              <w:rPr>
                <w:rFonts w:hint="eastAsia"/>
                <w:sz w:val="21"/>
                <w:szCs w:val="21"/>
                <w:lang w:val="en-US" w:eastAsia="zh-CN"/>
              </w:rPr>
            </w:pPr>
            <w:r>
              <w:rPr>
                <w:rFonts w:hint="eastAsia" w:asciiTheme="minorEastAsia" w:hAnsiTheme="minorEastAsia" w:eastAsiaTheme="minorEastAsia"/>
                <w:sz w:val="21"/>
                <w:szCs w:val="21"/>
                <w:lang w:eastAsia="zh-CN"/>
              </w:rPr>
              <w:t>提供</w:t>
            </w:r>
            <w:r>
              <w:rPr>
                <w:rFonts w:hint="eastAsia"/>
                <w:sz w:val="21"/>
                <w:szCs w:val="21"/>
                <w:lang w:val="en-US" w:eastAsia="zh-CN"/>
              </w:rPr>
              <w:t>中国教育装备行业协会</w:t>
            </w:r>
            <w:r>
              <w:rPr>
                <w:rFonts w:hint="eastAsia" w:asciiTheme="minorEastAsia" w:hAnsiTheme="minorEastAsia" w:eastAsiaTheme="minorEastAsia"/>
                <w:sz w:val="21"/>
                <w:szCs w:val="21"/>
                <w:lang w:eastAsia="zh-CN"/>
              </w:rPr>
              <w:t>得</w:t>
            </w:r>
            <w:r>
              <w:rPr>
                <w:rFonts w:hint="eastAsia" w:asciiTheme="minorEastAsia" w:hAnsiTheme="minorEastAsia" w:eastAsiaTheme="minorEastAsia"/>
                <w:sz w:val="21"/>
                <w:szCs w:val="21"/>
                <w:lang w:val="en-US" w:eastAsia="zh-CN"/>
              </w:rPr>
              <w:t>3</w:t>
            </w:r>
            <w:r>
              <w:rPr>
                <w:sz w:val="21"/>
                <w:szCs w:val="21"/>
              </w:rPr>
              <w:t>分，</w:t>
            </w:r>
            <w:r>
              <w:rPr>
                <w:rFonts w:hint="eastAsia"/>
                <w:sz w:val="21"/>
                <w:szCs w:val="21"/>
              </w:rPr>
              <w:t>不</w:t>
            </w:r>
            <w:r>
              <w:rPr>
                <w:sz w:val="21"/>
                <w:szCs w:val="21"/>
              </w:rPr>
              <w:t>满足不得分</w:t>
            </w:r>
          </w:p>
          <w:p>
            <w:pPr>
              <w:numPr>
                <w:ilvl w:val="0"/>
                <w:numId w:val="5"/>
              </w:numPr>
              <w:spacing w:line="240" w:lineRule="auto"/>
              <w:ind w:left="0" w:leftChars="0" w:firstLine="0" w:firstLineChars="0"/>
              <w:rPr>
                <w:rFonts w:hint="eastAsia"/>
                <w:sz w:val="21"/>
                <w:szCs w:val="21"/>
                <w:lang w:val="en-US" w:eastAsia="zh-CN"/>
              </w:rPr>
            </w:pPr>
            <w:r>
              <w:rPr>
                <w:rFonts w:hint="eastAsia" w:asciiTheme="minorEastAsia" w:hAnsiTheme="minorEastAsia" w:eastAsiaTheme="minorEastAsia"/>
                <w:sz w:val="21"/>
                <w:szCs w:val="21"/>
                <w:lang w:eastAsia="zh-CN"/>
              </w:rPr>
              <w:t>提供</w:t>
            </w:r>
            <w:r>
              <w:rPr>
                <w:rFonts w:hint="eastAsia"/>
                <w:sz w:val="21"/>
                <w:szCs w:val="21"/>
                <w:lang w:val="en-US" w:eastAsia="zh-CN"/>
              </w:rPr>
              <w:t>中国信息协会会员</w:t>
            </w:r>
            <w:r>
              <w:rPr>
                <w:rFonts w:hint="eastAsia" w:asciiTheme="minorEastAsia" w:hAnsiTheme="minorEastAsia" w:eastAsiaTheme="minorEastAsia"/>
                <w:sz w:val="21"/>
                <w:szCs w:val="21"/>
                <w:lang w:eastAsia="zh-CN"/>
              </w:rPr>
              <w:t>得</w:t>
            </w:r>
            <w:r>
              <w:rPr>
                <w:rFonts w:hint="eastAsia" w:asciiTheme="minorEastAsia" w:hAnsiTheme="minorEastAsia" w:eastAsiaTheme="minorEastAsia"/>
                <w:sz w:val="21"/>
                <w:szCs w:val="21"/>
                <w:lang w:val="en-US" w:eastAsia="zh-CN"/>
              </w:rPr>
              <w:t>3</w:t>
            </w:r>
            <w:r>
              <w:rPr>
                <w:sz w:val="21"/>
                <w:szCs w:val="21"/>
              </w:rPr>
              <w:t>分，</w:t>
            </w:r>
            <w:r>
              <w:rPr>
                <w:rFonts w:hint="eastAsia"/>
                <w:sz w:val="21"/>
                <w:szCs w:val="21"/>
              </w:rPr>
              <w:t>不</w:t>
            </w:r>
            <w:r>
              <w:rPr>
                <w:sz w:val="21"/>
                <w:szCs w:val="21"/>
              </w:rPr>
              <w:t>满足不得分</w:t>
            </w:r>
          </w:p>
          <w:p>
            <w:pPr>
              <w:numPr>
                <w:ilvl w:val="0"/>
                <w:numId w:val="5"/>
              </w:numPr>
              <w:spacing w:line="240" w:lineRule="auto"/>
              <w:ind w:left="0" w:leftChars="0" w:firstLine="0" w:firstLineChars="0"/>
              <w:rPr>
                <w:rFonts w:hint="eastAsia"/>
                <w:sz w:val="21"/>
                <w:szCs w:val="21"/>
                <w:lang w:val="en-US" w:eastAsia="zh-CN"/>
              </w:rPr>
            </w:pPr>
            <w:r>
              <w:rPr>
                <w:rFonts w:hint="eastAsia" w:asciiTheme="minorEastAsia" w:hAnsiTheme="minorEastAsia" w:eastAsiaTheme="minorEastAsia"/>
                <w:sz w:val="21"/>
                <w:szCs w:val="21"/>
                <w:lang w:eastAsia="zh-CN"/>
              </w:rPr>
              <w:t>提供</w:t>
            </w:r>
            <w:r>
              <w:rPr>
                <w:rFonts w:hint="eastAsia"/>
                <w:sz w:val="21"/>
                <w:szCs w:val="21"/>
                <w:lang w:val="en-US" w:eastAsia="zh-CN"/>
              </w:rPr>
              <w:t>中国自主创新名优产品</w:t>
            </w:r>
            <w:r>
              <w:rPr>
                <w:rFonts w:hint="eastAsia" w:asciiTheme="minorEastAsia" w:hAnsiTheme="minorEastAsia" w:eastAsiaTheme="minorEastAsia"/>
                <w:sz w:val="21"/>
                <w:szCs w:val="21"/>
                <w:lang w:eastAsia="zh-CN"/>
              </w:rPr>
              <w:t>得</w:t>
            </w:r>
            <w:r>
              <w:rPr>
                <w:rFonts w:hint="eastAsia" w:asciiTheme="minorEastAsia" w:hAnsiTheme="minorEastAsia" w:eastAsiaTheme="minorEastAsia"/>
                <w:sz w:val="21"/>
                <w:szCs w:val="21"/>
                <w:lang w:val="en-US" w:eastAsia="zh-CN"/>
              </w:rPr>
              <w:t>3</w:t>
            </w:r>
            <w:r>
              <w:rPr>
                <w:sz w:val="21"/>
                <w:szCs w:val="21"/>
              </w:rPr>
              <w:t>分，</w:t>
            </w:r>
            <w:r>
              <w:rPr>
                <w:rFonts w:hint="eastAsia"/>
                <w:sz w:val="21"/>
                <w:szCs w:val="21"/>
              </w:rPr>
              <w:t>不</w:t>
            </w:r>
            <w:r>
              <w:rPr>
                <w:sz w:val="21"/>
                <w:szCs w:val="21"/>
              </w:rPr>
              <w:t>满足不得分</w:t>
            </w:r>
          </w:p>
        </w:tc>
        <w:tc>
          <w:tcPr>
            <w:tcW w:w="510" w:type="dxa"/>
            <w:vAlign w:val="center"/>
          </w:tcPr>
          <w:p>
            <w:pPr>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2</w:t>
            </w:r>
          </w:p>
        </w:tc>
        <w:tc>
          <w:tcPr>
            <w:tcW w:w="608" w:type="dxa"/>
            <w:vAlign w:val="center"/>
          </w:tcPr>
          <w:p>
            <w:pPr>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napToGrid w:val="0"/>
              <w:spacing w:line="300" w:lineRule="auto"/>
              <w:jc w:val="center"/>
              <w:rPr>
                <w:rFonts w:hint="eastAsia"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val="en-US" w:eastAsia="zh-CN"/>
              </w:rPr>
              <w:t>2</w:t>
            </w:r>
          </w:p>
        </w:tc>
        <w:tc>
          <w:tcPr>
            <w:tcW w:w="1438" w:type="dxa"/>
            <w:vAlign w:val="center"/>
          </w:tcPr>
          <w:p>
            <w:pPr>
              <w:snapToGrid w:val="0"/>
              <w:spacing w:line="30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投标人本地技术支持</w:t>
            </w:r>
          </w:p>
        </w:tc>
        <w:tc>
          <w:tcPr>
            <w:tcW w:w="6930" w:type="dxa"/>
            <w:vAlign w:val="center"/>
          </w:tcPr>
          <w:p>
            <w:pPr>
              <w:snapToGrid w:val="0"/>
              <w:spacing w:line="300" w:lineRule="auto"/>
              <w:rPr>
                <w:rFonts w:asciiTheme="minorEastAsia" w:hAnsiTheme="minorEastAsia" w:eastAsiaTheme="minorEastAsia"/>
                <w:sz w:val="21"/>
                <w:szCs w:val="21"/>
              </w:rPr>
            </w:pPr>
            <w:r>
              <w:rPr>
                <w:rFonts w:hint="eastAsia" w:cs="宋体" w:asciiTheme="minorEastAsia" w:hAnsiTheme="minorEastAsia" w:eastAsiaTheme="minorEastAsia"/>
                <w:sz w:val="21"/>
                <w:szCs w:val="21"/>
              </w:rPr>
              <w:t>投标人在本地是否有售后服务机构：有得</w:t>
            </w:r>
            <w:r>
              <w:rPr>
                <w:rFonts w:hint="eastAsia" w:cs="宋体" w:asciiTheme="minorEastAsia" w:hAnsiTheme="minorEastAsia" w:eastAsiaTheme="minorEastAsia"/>
                <w:sz w:val="21"/>
                <w:szCs w:val="21"/>
                <w:lang w:val="en-US" w:eastAsia="zh-CN"/>
              </w:rPr>
              <w:t>2</w:t>
            </w:r>
            <w:r>
              <w:rPr>
                <w:rFonts w:hint="eastAsia" w:cs="宋体" w:asciiTheme="minorEastAsia" w:hAnsiTheme="minorEastAsia" w:eastAsiaTheme="minorEastAsia"/>
                <w:sz w:val="21"/>
                <w:szCs w:val="21"/>
              </w:rPr>
              <w:t>分，无不得分。</w:t>
            </w:r>
          </w:p>
        </w:tc>
        <w:tc>
          <w:tcPr>
            <w:tcW w:w="510" w:type="dxa"/>
            <w:vAlign w:val="center"/>
          </w:tcPr>
          <w:p>
            <w:pPr>
              <w:snapToGrid w:val="0"/>
              <w:spacing w:line="300" w:lineRule="auto"/>
              <w:jc w:val="center"/>
              <w:rPr>
                <w:rFonts w:hint="eastAsia"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val="en-US" w:eastAsia="zh-CN"/>
              </w:rPr>
              <w:t>2</w:t>
            </w:r>
          </w:p>
        </w:tc>
        <w:tc>
          <w:tcPr>
            <w:tcW w:w="608" w:type="dxa"/>
            <w:vAlign w:val="center"/>
          </w:tcPr>
          <w:p>
            <w:pPr>
              <w:snapToGrid w:val="0"/>
              <w:spacing w:line="300" w:lineRule="auto"/>
              <w:ind w:left="-40" w:leftChars="-19" w:firstLine="39" w:firstLineChars="19"/>
              <w:jc w:val="center"/>
              <w:rPr>
                <w:rFonts w:cs="Arial"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napToGrid w:val="0"/>
              <w:spacing w:line="300" w:lineRule="auto"/>
              <w:jc w:val="center"/>
              <w:rPr>
                <w:rFonts w:hint="eastAsia"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val="en-US" w:eastAsia="zh-CN"/>
              </w:rPr>
              <w:t>3</w:t>
            </w:r>
          </w:p>
        </w:tc>
        <w:tc>
          <w:tcPr>
            <w:tcW w:w="1438" w:type="dxa"/>
            <w:vAlign w:val="center"/>
          </w:tcPr>
          <w:p>
            <w:pPr>
              <w:snapToGrid w:val="0"/>
              <w:spacing w:line="300" w:lineRule="auto"/>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服务承诺、措施、</w:t>
            </w:r>
            <w:r>
              <w:rPr>
                <w:rFonts w:hint="eastAsia" w:cs="宋体" w:asciiTheme="minorEastAsia" w:hAnsiTheme="minorEastAsia" w:eastAsiaTheme="minorEastAsia"/>
                <w:sz w:val="21"/>
                <w:szCs w:val="21"/>
              </w:rPr>
              <w:t>实施方案</w:t>
            </w:r>
          </w:p>
        </w:tc>
        <w:tc>
          <w:tcPr>
            <w:tcW w:w="6930" w:type="dxa"/>
            <w:vAlign w:val="center"/>
          </w:tcPr>
          <w:p>
            <w:pPr>
              <w:snapToGrid w:val="0"/>
              <w:spacing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服务承诺、措施、实施方案是否详细、完整，进度安排是否科学、合理，培训计划是否具体、措施可行</w:t>
            </w:r>
          </w:p>
          <w:p>
            <w:pPr>
              <w:snapToGrid w:val="0"/>
              <w:spacing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优：</w:t>
            </w:r>
            <w:r>
              <w:rPr>
                <w:rFonts w:hint="eastAsia" w:asciiTheme="minorEastAsia" w:hAnsiTheme="minorEastAsia" w:eastAsiaTheme="minorEastAsia"/>
                <w:sz w:val="21"/>
                <w:szCs w:val="21"/>
                <w:lang w:val="en-US" w:eastAsia="zh-CN"/>
              </w:rPr>
              <w:t>6-8</w:t>
            </w:r>
            <w:r>
              <w:rPr>
                <w:rFonts w:hint="eastAsia" w:asciiTheme="minorEastAsia" w:hAnsiTheme="minorEastAsia" w:eastAsiaTheme="minorEastAsia"/>
                <w:sz w:val="21"/>
                <w:szCs w:val="21"/>
              </w:rPr>
              <w:t>分，良：</w:t>
            </w:r>
            <w:r>
              <w:rPr>
                <w:rFonts w:hint="eastAsia" w:asciiTheme="minorEastAsia" w:hAnsiTheme="minorEastAsia" w:eastAsiaTheme="minorEastAsia"/>
                <w:sz w:val="21"/>
                <w:szCs w:val="21"/>
                <w:lang w:val="en-US" w:eastAsia="zh-CN"/>
              </w:rPr>
              <w:t>4</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lang w:val="en-US" w:eastAsia="zh-CN"/>
              </w:rPr>
              <w:t>5</w:t>
            </w:r>
            <w:r>
              <w:rPr>
                <w:rFonts w:hint="eastAsia" w:asciiTheme="minorEastAsia" w:hAnsiTheme="minorEastAsia" w:eastAsiaTheme="minorEastAsia"/>
                <w:sz w:val="21"/>
                <w:szCs w:val="21"/>
              </w:rPr>
              <w:t>分，一般：1-</w:t>
            </w:r>
            <w:r>
              <w:rPr>
                <w:rFonts w:hint="eastAsia" w:asciiTheme="minorEastAsia" w:hAnsiTheme="minorEastAsia" w:eastAsiaTheme="minorEastAsia"/>
                <w:sz w:val="21"/>
                <w:szCs w:val="21"/>
                <w:lang w:val="en-US" w:eastAsia="zh-CN"/>
              </w:rPr>
              <w:t>3</w:t>
            </w:r>
            <w:r>
              <w:rPr>
                <w:rFonts w:hint="eastAsia" w:asciiTheme="minorEastAsia" w:hAnsiTheme="minorEastAsia" w:eastAsiaTheme="minorEastAsia"/>
                <w:sz w:val="21"/>
                <w:szCs w:val="21"/>
              </w:rPr>
              <w:t>分</w:t>
            </w:r>
          </w:p>
        </w:tc>
        <w:tc>
          <w:tcPr>
            <w:tcW w:w="510" w:type="dxa"/>
            <w:vAlign w:val="center"/>
          </w:tcPr>
          <w:p>
            <w:pPr>
              <w:snapToGrid w:val="0"/>
              <w:spacing w:line="300" w:lineRule="auto"/>
              <w:ind w:left="-40" w:leftChars="-19" w:firstLine="39" w:firstLineChars="19"/>
              <w:jc w:val="center"/>
              <w:rPr>
                <w:rFonts w:hint="eastAsia"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val="en-US" w:eastAsia="zh-CN"/>
              </w:rPr>
              <w:t>8</w:t>
            </w:r>
          </w:p>
        </w:tc>
        <w:tc>
          <w:tcPr>
            <w:tcW w:w="608" w:type="dxa"/>
            <w:vAlign w:val="center"/>
          </w:tcPr>
          <w:p>
            <w:pPr>
              <w:snapToGrid w:val="0"/>
              <w:spacing w:line="300" w:lineRule="auto"/>
              <w:ind w:left="-40" w:leftChars="-19" w:firstLine="39" w:firstLineChars="19"/>
              <w:jc w:val="center"/>
              <w:rPr>
                <w:rFonts w:cs="Arial"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napToGrid w:val="0"/>
              <w:spacing w:line="300" w:lineRule="auto"/>
              <w:jc w:val="center"/>
              <w:rPr>
                <w:rFonts w:hint="eastAsia"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val="en-US" w:eastAsia="zh-CN"/>
              </w:rPr>
              <w:t>4</w:t>
            </w:r>
          </w:p>
        </w:tc>
        <w:tc>
          <w:tcPr>
            <w:tcW w:w="1438" w:type="dxa"/>
            <w:vAlign w:val="center"/>
          </w:tcPr>
          <w:p>
            <w:pPr>
              <w:snapToGrid w:val="0"/>
              <w:spacing w:line="300" w:lineRule="auto"/>
              <w:jc w:val="center"/>
              <w:rPr>
                <w:rFonts w:cs="Arial" w:asciiTheme="minorEastAsia" w:hAnsiTheme="minorEastAsia" w:eastAsiaTheme="minorEastAsia"/>
                <w:sz w:val="21"/>
                <w:szCs w:val="21"/>
              </w:rPr>
            </w:pPr>
            <w:r>
              <w:rPr>
                <w:rFonts w:hint="eastAsia" w:cs="宋体" w:asciiTheme="minorEastAsia" w:hAnsiTheme="minorEastAsia" w:eastAsiaTheme="minorEastAsia"/>
                <w:sz w:val="21"/>
                <w:szCs w:val="21"/>
              </w:rPr>
              <w:t>投标文件质量</w:t>
            </w:r>
          </w:p>
        </w:tc>
        <w:tc>
          <w:tcPr>
            <w:tcW w:w="6930" w:type="dxa"/>
            <w:vAlign w:val="center"/>
          </w:tcPr>
          <w:p>
            <w:pPr>
              <w:snapToGrid w:val="0"/>
              <w:spacing w:line="300" w:lineRule="auto"/>
              <w:rPr>
                <w:rFonts w:cs="宋体" w:asciiTheme="minorEastAsia" w:hAnsiTheme="minorEastAsia" w:eastAsiaTheme="minorEastAsia"/>
                <w:color w:val="FF0000"/>
                <w:sz w:val="21"/>
                <w:szCs w:val="21"/>
              </w:rPr>
            </w:pPr>
            <w:r>
              <w:rPr>
                <w:rFonts w:hint="eastAsia" w:cs="宋体" w:asciiTheme="minorEastAsia" w:hAnsiTheme="minorEastAsia" w:eastAsiaTheme="minorEastAsia"/>
                <w:sz w:val="21"/>
                <w:szCs w:val="21"/>
              </w:rPr>
              <w:t>投标文件是否规范、完整，是否便于检索、查找，优得1分，其他不得分。</w:t>
            </w:r>
          </w:p>
        </w:tc>
        <w:tc>
          <w:tcPr>
            <w:tcW w:w="510" w:type="dxa"/>
            <w:vAlign w:val="center"/>
          </w:tcPr>
          <w:p>
            <w:pPr>
              <w:snapToGrid w:val="0"/>
              <w:spacing w:line="300" w:lineRule="auto"/>
              <w:jc w:val="center"/>
              <w:rPr>
                <w:rFonts w:cs="Arial"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608" w:type="dxa"/>
            <w:vAlign w:val="center"/>
          </w:tcPr>
          <w:p>
            <w:pPr>
              <w:snapToGrid w:val="0"/>
              <w:spacing w:line="300" w:lineRule="auto"/>
              <w:jc w:val="center"/>
              <w:rPr>
                <w:rFonts w:cs="Arial"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napToGrid w:val="0"/>
              <w:spacing w:line="300" w:lineRule="auto"/>
              <w:jc w:val="center"/>
              <w:rPr>
                <w:rFonts w:hint="eastAsia"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val="en-US" w:eastAsia="zh-CN"/>
              </w:rPr>
              <w:t>5</w:t>
            </w:r>
          </w:p>
        </w:tc>
        <w:tc>
          <w:tcPr>
            <w:tcW w:w="1438" w:type="dxa"/>
            <w:vAlign w:val="center"/>
          </w:tcPr>
          <w:p>
            <w:pPr>
              <w:snapToGrid w:val="0"/>
              <w:spacing w:line="30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价格分</w:t>
            </w:r>
          </w:p>
        </w:tc>
        <w:tc>
          <w:tcPr>
            <w:tcW w:w="6930" w:type="dxa"/>
            <w:vAlign w:val="center"/>
          </w:tcPr>
          <w:p>
            <w:pPr>
              <w:snapToGrid w:val="0"/>
              <w:spacing w:line="300" w:lineRule="auto"/>
              <w:rPr>
                <w:rFonts w:cs="Arial" w:asciiTheme="minorEastAsia" w:hAnsiTheme="minorEastAsia" w:eastAsiaTheme="minorEastAsia"/>
                <w:sz w:val="21"/>
                <w:szCs w:val="21"/>
              </w:rPr>
            </w:pPr>
            <w:r>
              <w:rPr>
                <w:rFonts w:hint="eastAsia" w:asciiTheme="minorEastAsia" w:hAnsiTheme="minorEastAsia" w:eastAsiaTheme="minorEastAsia"/>
                <w:sz w:val="21"/>
                <w:szCs w:val="21"/>
              </w:rPr>
              <w:t>满足招标文件要求且价格最低的投标价为基准价，价格分统一按照下列公式计算：价格分=(基准价／投标报价)×价格权值×100</w:t>
            </w:r>
          </w:p>
        </w:tc>
        <w:tc>
          <w:tcPr>
            <w:tcW w:w="510" w:type="dxa"/>
            <w:vAlign w:val="center"/>
          </w:tcPr>
          <w:p>
            <w:pPr>
              <w:snapToGrid w:val="0"/>
              <w:spacing w:line="30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lang w:val="en-US" w:eastAsia="zh-CN"/>
              </w:rPr>
              <w:t>3</w:t>
            </w:r>
            <w:r>
              <w:rPr>
                <w:rFonts w:hint="eastAsia" w:cs="Arial" w:asciiTheme="minorEastAsia" w:hAnsiTheme="minorEastAsia" w:eastAsiaTheme="minorEastAsia"/>
                <w:sz w:val="21"/>
                <w:szCs w:val="21"/>
              </w:rPr>
              <w:t>0</w:t>
            </w:r>
          </w:p>
        </w:tc>
        <w:tc>
          <w:tcPr>
            <w:tcW w:w="608" w:type="dxa"/>
            <w:vAlign w:val="center"/>
          </w:tcPr>
          <w:p>
            <w:pPr>
              <w:snapToGrid w:val="0"/>
              <w:spacing w:line="300" w:lineRule="auto"/>
              <w:jc w:val="center"/>
              <w:rPr>
                <w:rFonts w:cs="Arial"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napToGrid w:val="0"/>
              <w:spacing w:line="300" w:lineRule="auto"/>
              <w:jc w:val="center"/>
              <w:rPr>
                <w:rFonts w:hint="eastAsia" w:cs="Arial" w:asciiTheme="minorEastAsia" w:hAnsiTheme="minorEastAsia" w:eastAsiaTheme="minorEastAsia"/>
                <w:sz w:val="21"/>
                <w:szCs w:val="21"/>
                <w:lang w:eastAsia="zh-CN"/>
              </w:rPr>
            </w:pPr>
            <w:r>
              <w:rPr>
                <w:rFonts w:hint="eastAsia" w:cs="Arial" w:asciiTheme="minorEastAsia" w:hAnsiTheme="minorEastAsia" w:eastAsiaTheme="minorEastAsia"/>
                <w:sz w:val="21"/>
                <w:szCs w:val="21"/>
                <w:lang w:val="en-US" w:eastAsia="zh-CN"/>
              </w:rPr>
              <w:t>6</w:t>
            </w:r>
          </w:p>
        </w:tc>
        <w:tc>
          <w:tcPr>
            <w:tcW w:w="1438" w:type="dxa"/>
            <w:vAlign w:val="center"/>
          </w:tcPr>
          <w:p>
            <w:pPr>
              <w:snapToGrid w:val="0"/>
              <w:spacing w:line="30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合计</w:t>
            </w:r>
          </w:p>
        </w:tc>
        <w:tc>
          <w:tcPr>
            <w:tcW w:w="6930" w:type="dxa"/>
            <w:vAlign w:val="center"/>
          </w:tcPr>
          <w:p>
            <w:pPr>
              <w:snapToGrid w:val="0"/>
              <w:spacing w:line="300" w:lineRule="auto"/>
              <w:jc w:val="center"/>
              <w:rPr>
                <w:rFonts w:cs="Arial" w:asciiTheme="minorEastAsia" w:hAnsiTheme="minorEastAsia" w:eastAsiaTheme="minorEastAsia"/>
                <w:sz w:val="21"/>
                <w:szCs w:val="21"/>
              </w:rPr>
            </w:pPr>
          </w:p>
        </w:tc>
        <w:tc>
          <w:tcPr>
            <w:tcW w:w="510" w:type="dxa"/>
            <w:vAlign w:val="center"/>
          </w:tcPr>
          <w:p>
            <w:pPr>
              <w:snapToGrid w:val="0"/>
              <w:spacing w:line="300"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fldChar w:fldCharType="begin"/>
            </w:r>
            <w:r>
              <w:rPr>
                <w:rFonts w:cs="Arial" w:asciiTheme="minorEastAsia" w:hAnsiTheme="minorEastAsia" w:eastAsiaTheme="minorEastAsia"/>
                <w:sz w:val="21"/>
                <w:szCs w:val="21"/>
              </w:rPr>
              <w:instrText xml:space="preserve"> =SUM(ABOVE) </w:instrText>
            </w:r>
            <w:r>
              <w:rPr>
                <w:rFonts w:cs="Arial" w:asciiTheme="minorEastAsia" w:hAnsiTheme="minorEastAsia" w:eastAsiaTheme="minorEastAsia"/>
                <w:sz w:val="21"/>
                <w:szCs w:val="21"/>
              </w:rPr>
              <w:fldChar w:fldCharType="separate"/>
            </w:r>
            <w:r>
              <w:rPr>
                <w:rFonts w:cs="Arial" w:asciiTheme="minorEastAsia" w:hAnsiTheme="minorEastAsia" w:eastAsiaTheme="minorEastAsia"/>
                <w:sz w:val="21"/>
                <w:szCs w:val="21"/>
              </w:rPr>
              <w:t>100</w:t>
            </w:r>
            <w:r>
              <w:rPr>
                <w:rFonts w:cs="Arial" w:asciiTheme="minorEastAsia" w:hAnsiTheme="minorEastAsia" w:eastAsiaTheme="minorEastAsia"/>
                <w:sz w:val="21"/>
                <w:szCs w:val="21"/>
              </w:rPr>
              <w:fldChar w:fldCharType="end"/>
            </w:r>
          </w:p>
        </w:tc>
        <w:tc>
          <w:tcPr>
            <w:tcW w:w="608" w:type="dxa"/>
            <w:vAlign w:val="center"/>
          </w:tcPr>
          <w:p>
            <w:pPr>
              <w:snapToGrid w:val="0"/>
              <w:spacing w:line="300" w:lineRule="auto"/>
              <w:jc w:val="center"/>
              <w:rPr>
                <w:rFonts w:cs="Arial" w:asciiTheme="minorEastAsia" w:hAnsiTheme="minorEastAsia" w:eastAsiaTheme="minorEastAsia"/>
                <w:sz w:val="21"/>
                <w:szCs w:val="21"/>
              </w:rPr>
            </w:pPr>
          </w:p>
        </w:tc>
      </w:tr>
    </w:tbl>
    <w:p>
      <w:pPr>
        <w:spacing w:line="360" w:lineRule="auto"/>
        <w:ind w:right="960"/>
        <w:rPr>
          <w:color w:val="000000"/>
          <w:sz w:val="24"/>
        </w:rPr>
      </w:pPr>
    </w:p>
    <w:p>
      <w:pPr>
        <w:tabs>
          <w:tab w:val="left" w:pos="360"/>
          <w:tab w:val="left" w:pos="960"/>
        </w:tabs>
        <w:spacing w:line="460" w:lineRule="exact"/>
        <w:rPr>
          <w:rFonts w:eastAsia="华文中宋"/>
          <w:sz w:val="24"/>
        </w:rPr>
      </w:pPr>
      <w:r>
        <w:rPr>
          <w:rFonts w:eastAsia="华文中宋"/>
          <w:b/>
          <w:sz w:val="24"/>
        </w:rPr>
        <w:t>注：</w:t>
      </w:r>
      <w:r>
        <w:rPr>
          <w:rFonts w:eastAsia="华文中宋"/>
          <w:bCs/>
          <w:spacing w:val="10"/>
          <w:kern w:val="0"/>
          <w:sz w:val="24"/>
        </w:rPr>
        <w:t>1</w:t>
      </w:r>
      <w:r>
        <w:rPr>
          <w:rFonts w:eastAsia="华文中宋"/>
          <w:sz w:val="24"/>
        </w:rPr>
        <w:t>、评审小组对投标人的资格证明文件进行资格性及符合性审查，如投标人不具备投标资格，评审小组可根据有关法规直接作无效投标处理。资格审查的资料以招标文件中第一部分的</w:t>
      </w:r>
      <w:r>
        <w:rPr>
          <w:color w:val="000000"/>
          <w:sz w:val="24"/>
        </w:rPr>
        <w:t>“</w:t>
      </w:r>
      <w:r>
        <w:rPr>
          <w:b/>
          <w:bCs/>
          <w:kern w:val="0"/>
          <w:sz w:val="24"/>
        </w:rPr>
        <w:t>投标人准入资格要求</w:t>
      </w:r>
      <w:r>
        <w:rPr>
          <w:color w:val="000000"/>
          <w:sz w:val="24"/>
        </w:rPr>
        <w:t>”</w:t>
      </w:r>
      <w:r>
        <w:rPr>
          <w:rFonts w:eastAsia="华文中宋"/>
          <w:sz w:val="24"/>
        </w:rPr>
        <w:t>为主；</w:t>
      </w:r>
    </w:p>
    <w:p>
      <w:pPr>
        <w:spacing w:line="460" w:lineRule="exact"/>
        <w:rPr>
          <w:rFonts w:eastAsia="华文中宋"/>
          <w:sz w:val="24"/>
        </w:rPr>
      </w:pPr>
      <w:r>
        <w:rPr>
          <w:rFonts w:eastAsia="华文中宋"/>
          <w:sz w:val="24"/>
        </w:rPr>
        <w:t>2、技术项得分=（∑各评委所审技术参数得分）/（评委人数）；商务项得分=（∑各评委所审商务参数得分）/（评委人数）；价格项得分按公式计算得出；</w:t>
      </w:r>
    </w:p>
    <w:p>
      <w:pPr>
        <w:spacing w:line="460" w:lineRule="exact"/>
        <w:rPr>
          <w:rFonts w:eastAsia="华文中宋"/>
          <w:sz w:val="24"/>
        </w:rPr>
      </w:pPr>
      <w:r>
        <w:rPr>
          <w:rFonts w:eastAsia="华文中宋"/>
          <w:sz w:val="24"/>
        </w:rPr>
        <w:t>3、投标人综合得分=技术项得分+商务项得分+价格项得分（保留二位小数）；</w:t>
      </w:r>
    </w:p>
    <w:p>
      <w:pPr>
        <w:spacing w:line="460" w:lineRule="exact"/>
        <w:rPr>
          <w:rFonts w:eastAsia="华文中宋"/>
          <w:sz w:val="24"/>
        </w:rPr>
      </w:pPr>
      <w:r>
        <w:rPr>
          <w:rFonts w:eastAsia="华文中宋"/>
          <w:sz w:val="24"/>
        </w:rPr>
        <w:t>4、评审结果按综合得分高低排序，排名前3名的投标人推荐为中标候选人。综合得分相同，依次序分别以投标报价、技术评价、商务评价的得分高低择优选录；</w:t>
      </w:r>
    </w:p>
    <w:p>
      <w:pPr>
        <w:spacing w:line="460" w:lineRule="exact"/>
        <w:rPr>
          <w:rFonts w:eastAsia="华文中宋"/>
          <w:sz w:val="24"/>
        </w:rPr>
      </w:pPr>
      <w:r>
        <w:rPr>
          <w:rFonts w:eastAsia="华文中宋"/>
          <w:sz w:val="24"/>
        </w:rPr>
        <w:t>5、为了便于评委对投标文件内容的审核，投标人可针对本 “综合评分表”编写响应页码索引表，即该评分项目内容在投标文件中的页码。</w:t>
      </w:r>
    </w:p>
    <w:p>
      <w:pPr>
        <w:tabs>
          <w:tab w:val="left" w:pos="720"/>
        </w:tabs>
        <w:autoSpaceDE w:val="0"/>
        <w:autoSpaceDN w:val="0"/>
        <w:adjustRightInd w:val="0"/>
        <w:spacing w:line="440" w:lineRule="exact"/>
        <w:rPr>
          <w:sz w:val="24"/>
        </w:rPr>
      </w:pPr>
    </w:p>
    <w:p>
      <w:pPr>
        <w:spacing w:line="440" w:lineRule="exact"/>
        <w:rPr>
          <w:b/>
          <w:sz w:val="30"/>
          <w:szCs w:val="30"/>
        </w:rPr>
      </w:pPr>
    </w:p>
    <w:sectPr>
      <w:footerReference r:id="rId11" w:type="default"/>
      <w:pgSz w:w="11906" w:h="16838"/>
      <w:pgMar w:top="851" w:right="1416" w:bottom="851" w:left="1520"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1</w:t>
    </w:r>
    <w:r>
      <w:rPr>
        <w:rStyle w:val="27"/>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2</w:t>
    </w:r>
    <w:r>
      <w:rPr>
        <w:lang w:val="zh-CN"/>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single" w:color="auto" w:sz="4" w:space="0"/>
        <w:right w:val="none" w:color="auto" w:sz="0" w:space="0"/>
      </w:pBdr>
      <w:rPr>
        <w:rFonts w:ascii="宋体" w:cs="宋体"/>
        <w:b/>
        <w:bCs/>
        <w:sz w:val="21"/>
        <w:szCs w:val="21"/>
      </w:rPr>
    </w:pPr>
    <w:r>
      <w:rPr>
        <w:rFonts w:hint="eastAsia" w:ascii="宋体" w:hAnsi="宋体" w:cs="宋体"/>
        <w:b/>
        <w:bCs/>
        <w:sz w:val="21"/>
        <w:szCs w:val="21"/>
      </w:rPr>
      <w:t>海南政源招标代理有限公司</w:t>
    </w:r>
    <w:r>
      <w:rPr>
        <w:rFonts w:ascii="宋体" w:hAnsi="宋体" w:cs="宋体"/>
        <w:b/>
        <w:bCs/>
        <w:sz w:val="21"/>
        <w:szCs w:val="21"/>
      </w:rPr>
      <w:t xml:space="preserve">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single" w:color="auto" w:sz="4" w:space="0"/>
        <w:right w:val="none" w:color="auto" w:sz="0" w:space="0"/>
      </w:pBdr>
      <w:rPr>
        <w:rFonts w:ascii="宋体" w:cs="宋体"/>
        <w:b/>
        <w:bCs/>
        <w:kern w:val="0"/>
        <w:szCs w:val="18"/>
        <w:lang w:val="en-GB"/>
      </w:rPr>
    </w:pPr>
    <w:r>
      <w:rPr>
        <w:rStyle w:val="43"/>
        <w:rFonts w:hint="eastAsia" w:ascii="宋体" w:hAnsi="宋体" w:cs="宋体"/>
        <w:b/>
        <w:bCs/>
        <w:sz w:val="18"/>
        <w:szCs w:val="18"/>
      </w:rPr>
      <w:t>海南泰尚项目投资管理有限公司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13BD6"/>
    <w:multiLevelType w:val="singleLevel"/>
    <w:tmpl w:val="80813BD6"/>
    <w:lvl w:ilvl="0" w:tentative="0">
      <w:start w:val="1"/>
      <w:numFmt w:val="decimal"/>
      <w:suff w:val="nothing"/>
      <w:lvlText w:val="%1、"/>
      <w:lvlJc w:val="left"/>
    </w:lvl>
  </w:abstractNum>
  <w:abstractNum w:abstractNumId="1">
    <w:nsid w:val="A56B73DC"/>
    <w:multiLevelType w:val="singleLevel"/>
    <w:tmpl w:val="A56B73DC"/>
    <w:lvl w:ilvl="0" w:tentative="0">
      <w:start w:val="2"/>
      <w:numFmt w:val="decimal"/>
      <w:suff w:val="nothing"/>
      <w:lvlText w:val="%1、"/>
      <w:lvlJc w:val="left"/>
    </w:lvl>
  </w:abstractNum>
  <w:abstractNum w:abstractNumId="2">
    <w:nsid w:val="590AF209"/>
    <w:multiLevelType w:val="singleLevel"/>
    <w:tmpl w:val="590AF209"/>
    <w:lvl w:ilvl="0" w:tentative="0">
      <w:start w:val="1"/>
      <w:numFmt w:val="decimal"/>
      <w:suff w:val="nothing"/>
      <w:lvlText w:val="（%1）"/>
      <w:lvlJc w:val="left"/>
    </w:lvl>
  </w:abstractNum>
  <w:abstractNum w:abstractNumId="3">
    <w:nsid w:val="590AF32D"/>
    <w:multiLevelType w:val="singleLevel"/>
    <w:tmpl w:val="590AF32D"/>
    <w:lvl w:ilvl="0" w:tentative="0">
      <w:start w:val="4"/>
      <w:numFmt w:val="chineseCounting"/>
      <w:suff w:val="nothing"/>
      <w:lvlText w:val="%1、"/>
      <w:lvlJc w:val="left"/>
    </w:lvl>
  </w:abstractNum>
  <w:abstractNum w:abstractNumId="4">
    <w:nsid w:val="590AF370"/>
    <w:multiLevelType w:val="singleLevel"/>
    <w:tmpl w:val="590AF370"/>
    <w:lvl w:ilvl="0" w:tentative="0">
      <w:start w:val="17"/>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D51"/>
    <w:rsid w:val="000033A0"/>
    <w:rsid w:val="00004A8A"/>
    <w:rsid w:val="000066E4"/>
    <w:rsid w:val="00007304"/>
    <w:rsid w:val="0001098D"/>
    <w:rsid w:val="00011D82"/>
    <w:rsid w:val="00012D05"/>
    <w:rsid w:val="000130D4"/>
    <w:rsid w:val="0001371A"/>
    <w:rsid w:val="0001437B"/>
    <w:rsid w:val="00020ACA"/>
    <w:rsid w:val="0002151E"/>
    <w:rsid w:val="00024DE3"/>
    <w:rsid w:val="00025191"/>
    <w:rsid w:val="000269B8"/>
    <w:rsid w:val="00030C11"/>
    <w:rsid w:val="000337CB"/>
    <w:rsid w:val="00034FB5"/>
    <w:rsid w:val="000356D4"/>
    <w:rsid w:val="000361A9"/>
    <w:rsid w:val="00036596"/>
    <w:rsid w:val="000376DE"/>
    <w:rsid w:val="00042061"/>
    <w:rsid w:val="000457CB"/>
    <w:rsid w:val="000500D3"/>
    <w:rsid w:val="000521DC"/>
    <w:rsid w:val="00056E8A"/>
    <w:rsid w:val="00057DA1"/>
    <w:rsid w:val="00060EAF"/>
    <w:rsid w:val="00061D3C"/>
    <w:rsid w:val="000713EC"/>
    <w:rsid w:val="00072BC5"/>
    <w:rsid w:val="00072F0D"/>
    <w:rsid w:val="00083D06"/>
    <w:rsid w:val="000853FC"/>
    <w:rsid w:val="0009192F"/>
    <w:rsid w:val="0009366B"/>
    <w:rsid w:val="000A13D9"/>
    <w:rsid w:val="000A30EC"/>
    <w:rsid w:val="000A4990"/>
    <w:rsid w:val="000A5C2E"/>
    <w:rsid w:val="000A5F90"/>
    <w:rsid w:val="000A7328"/>
    <w:rsid w:val="000A76D8"/>
    <w:rsid w:val="000B4075"/>
    <w:rsid w:val="000B4D90"/>
    <w:rsid w:val="000B7CE8"/>
    <w:rsid w:val="000C0883"/>
    <w:rsid w:val="000C0ADF"/>
    <w:rsid w:val="000C2CDF"/>
    <w:rsid w:val="000C3181"/>
    <w:rsid w:val="000C3E6B"/>
    <w:rsid w:val="000C4DFC"/>
    <w:rsid w:val="000C527C"/>
    <w:rsid w:val="000D089A"/>
    <w:rsid w:val="000D2C35"/>
    <w:rsid w:val="000D44FD"/>
    <w:rsid w:val="000E0F1A"/>
    <w:rsid w:val="000E1728"/>
    <w:rsid w:val="000E4C5A"/>
    <w:rsid w:val="000E6F01"/>
    <w:rsid w:val="000E7216"/>
    <w:rsid w:val="000F0D79"/>
    <w:rsid w:val="000F2E13"/>
    <w:rsid w:val="000F4812"/>
    <w:rsid w:val="00100453"/>
    <w:rsid w:val="00103056"/>
    <w:rsid w:val="00103643"/>
    <w:rsid w:val="0011020D"/>
    <w:rsid w:val="001106EA"/>
    <w:rsid w:val="00113151"/>
    <w:rsid w:val="00117B8F"/>
    <w:rsid w:val="001209A9"/>
    <w:rsid w:val="00120C1F"/>
    <w:rsid w:val="00122936"/>
    <w:rsid w:val="00122B77"/>
    <w:rsid w:val="00123E1C"/>
    <w:rsid w:val="001241FA"/>
    <w:rsid w:val="00126A01"/>
    <w:rsid w:val="001274BC"/>
    <w:rsid w:val="00127FD9"/>
    <w:rsid w:val="0013002D"/>
    <w:rsid w:val="0013180A"/>
    <w:rsid w:val="0013335B"/>
    <w:rsid w:val="00137096"/>
    <w:rsid w:val="00143F4F"/>
    <w:rsid w:val="00144952"/>
    <w:rsid w:val="0014644F"/>
    <w:rsid w:val="00146AB8"/>
    <w:rsid w:val="00152187"/>
    <w:rsid w:val="001523A3"/>
    <w:rsid w:val="00157173"/>
    <w:rsid w:val="00162FDD"/>
    <w:rsid w:val="00163DF9"/>
    <w:rsid w:val="0016422E"/>
    <w:rsid w:val="00166769"/>
    <w:rsid w:val="001674B0"/>
    <w:rsid w:val="001712B6"/>
    <w:rsid w:val="00172A27"/>
    <w:rsid w:val="00173D75"/>
    <w:rsid w:val="001754C1"/>
    <w:rsid w:val="00175A13"/>
    <w:rsid w:val="00175D1D"/>
    <w:rsid w:val="00184773"/>
    <w:rsid w:val="00191C33"/>
    <w:rsid w:val="00194762"/>
    <w:rsid w:val="0019621E"/>
    <w:rsid w:val="001A1CD1"/>
    <w:rsid w:val="001A56F9"/>
    <w:rsid w:val="001B414D"/>
    <w:rsid w:val="001B506C"/>
    <w:rsid w:val="001B5FD9"/>
    <w:rsid w:val="001C136C"/>
    <w:rsid w:val="001C35A6"/>
    <w:rsid w:val="001C3693"/>
    <w:rsid w:val="001C3CDD"/>
    <w:rsid w:val="001C3F42"/>
    <w:rsid w:val="001D1442"/>
    <w:rsid w:val="001D2D6A"/>
    <w:rsid w:val="001D4EAB"/>
    <w:rsid w:val="001D6BCE"/>
    <w:rsid w:val="001E1DC5"/>
    <w:rsid w:val="001E326A"/>
    <w:rsid w:val="001E7E2D"/>
    <w:rsid w:val="001F44B8"/>
    <w:rsid w:val="00200B8F"/>
    <w:rsid w:val="00200EF3"/>
    <w:rsid w:val="00203DA4"/>
    <w:rsid w:val="0020439A"/>
    <w:rsid w:val="002050A0"/>
    <w:rsid w:val="00206165"/>
    <w:rsid w:val="0021385E"/>
    <w:rsid w:val="00216EC4"/>
    <w:rsid w:val="00221376"/>
    <w:rsid w:val="002236E3"/>
    <w:rsid w:val="00232D00"/>
    <w:rsid w:val="00233CB1"/>
    <w:rsid w:val="0023473D"/>
    <w:rsid w:val="0023596E"/>
    <w:rsid w:val="0023605D"/>
    <w:rsid w:val="002377F5"/>
    <w:rsid w:val="00237BF6"/>
    <w:rsid w:val="00241640"/>
    <w:rsid w:val="00245514"/>
    <w:rsid w:val="0024591D"/>
    <w:rsid w:val="002470D9"/>
    <w:rsid w:val="00251363"/>
    <w:rsid w:val="002517B3"/>
    <w:rsid w:val="00253697"/>
    <w:rsid w:val="00255E7F"/>
    <w:rsid w:val="00256076"/>
    <w:rsid w:val="00257650"/>
    <w:rsid w:val="00261DD3"/>
    <w:rsid w:val="00262ED4"/>
    <w:rsid w:val="0026617A"/>
    <w:rsid w:val="002665D5"/>
    <w:rsid w:val="00271C40"/>
    <w:rsid w:val="00271E50"/>
    <w:rsid w:val="002734FD"/>
    <w:rsid w:val="00273F03"/>
    <w:rsid w:val="0027431D"/>
    <w:rsid w:val="00274865"/>
    <w:rsid w:val="00274B89"/>
    <w:rsid w:val="00280253"/>
    <w:rsid w:val="00282362"/>
    <w:rsid w:val="00282842"/>
    <w:rsid w:val="0028314E"/>
    <w:rsid w:val="0028423E"/>
    <w:rsid w:val="00284D90"/>
    <w:rsid w:val="00286CCC"/>
    <w:rsid w:val="002949F0"/>
    <w:rsid w:val="00296831"/>
    <w:rsid w:val="00296BCF"/>
    <w:rsid w:val="002976D9"/>
    <w:rsid w:val="002A55AA"/>
    <w:rsid w:val="002A5647"/>
    <w:rsid w:val="002A7947"/>
    <w:rsid w:val="002B1E2C"/>
    <w:rsid w:val="002B2FBB"/>
    <w:rsid w:val="002B7726"/>
    <w:rsid w:val="002B7F43"/>
    <w:rsid w:val="002C6858"/>
    <w:rsid w:val="002D609E"/>
    <w:rsid w:val="002E06C4"/>
    <w:rsid w:val="002E0744"/>
    <w:rsid w:val="002E1982"/>
    <w:rsid w:val="002E44B7"/>
    <w:rsid w:val="002E5E53"/>
    <w:rsid w:val="002F2C5B"/>
    <w:rsid w:val="002F2D52"/>
    <w:rsid w:val="002F5458"/>
    <w:rsid w:val="002F5FF2"/>
    <w:rsid w:val="002F66B6"/>
    <w:rsid w:val="002F7A75"/>
    <w:rsid w:val="002F7C03"/>
    <w:rsid w:val="00302A21"/>
    <w:rsid w:val="00302F6C"/>
    <w:rsid w:val="00305AE1"/>
    <w:rsid w:val="003073DB"/>
    <w:rsid w:val="0031053C"/>
    <w:rsid w:val="003108AC"/>
    <w:rsid w:val="003108F0"/>
    <w:rsid w:val="00314537"/>
    <w:rsid w:val="003146FD"/>
    <w:rsid w:val="00322599"/>
    <w:rsid w:val="00322C11"/>
    <w:rsid w:val="00324C4D"/>
    <w:rsid w:val="003251B4"/>
    <w:rsid w:val="003269BB"/>
    <w:rsid w:val="00326B2B"/>
    <w:rsid w:val="00330291"/>
    <w:rsid w:val="003309C7"/>
    <w:rsid w:val="00330FAC"/>
    <w:rsid w:val="003324DD"/>
    <w:rsid w:val="003324F0"/>
    <w:rsid w:val="00332C56"/>
    <w:rsid w:val="00334302"/>
    <w:rsid w:val="00340370"/>
    <w:rsid w:val="00341499"/>
    <w:rsid w:val="00342855"/>
    <w:rsid w:val="00343D40"/>
    <w:rsid w:val="00344B5F"/>
    <w:rsid w:val="00344EFE"/>
    <w:rsid w:val="00351E2A"/>
    <w:rsid w:val="00353585"/>
    <w:rsid w:val="003542F2"/>
    <w:rsid w:val="003601CB"/>
    <w:rsid w:val="00361EE0"/>
    <w:rsid w:val="00361EF5"/>
    <w:rsid w:val="00364A56"/>
    <w:rsid w:val="00367735"/>
    <w:rsid w:val="003709DB"/>
    <w:rsid w:val="00375223"/>
    <w:rsid w:val="00375847"/>
    <w:rsid w:val="00377C6E"/>
    <w:rsid w:val="00381206"/>
    <w:rsid w:val="00381698"/>
    <w:rsid w:val="00381E62"/>
    <w:rsid w:val="00384AA2"/>
    <w:rsid w:val="003879A5"/>
    <w:rsid w:val="003927F5"/>
    <w:rsid w:val="00394E1C"/>
    <w:rsid w:val="00395932"/>
    <w:rsid w:val="003A06B3"/>
    <w:rsid w:val="003A4758"/>
    <w:rsid w:val="003A4D4F"/>
    <w:rsid w:val="003A6758"/>
    <w:rsid w:val="003A7F92"/>
    <w:rsid w:val="003B1D0E"/>
    <w:rsid w:val="003B3629"/>
    <w:rsid w:val="003B4EC8"/>
    <w:rsid w:val="003B6524"/>
    <w:rsid w:val="003B6E1C"/>
    <w:rsid w:val="003C03A4"/>
    <w:rsid w:val="003C23EC"/>
    <w:rsid w:val="003C5877"/>
    <w:rsid w:val="003C612F"/>
    <w:rsid w:val="003C6FDB"/>
    <w:rsid w:val="003C7CE5"/>
    <w:rsid w:val="003C7D85"/>
    <w:rsid w:val="003D0B99"/>
    <w:rsid w:val="003D18B9"/>
    <w:rsid w:val="003D52AE"/>
    <w:rsid w:val="003D58A1"/>
    <w:rsid w:val="003D6003"/>
    <w:rsid w:val="003D7CD0"/>
    <w:rsid w:val="003D7F1B"/>
    <w:rsid w:val="003E2C65"/>
    <w:rsid w:val="003E40C4"/>
    <w:rsid w:val="003F0761"/>
    <w:rsid w:val="003F510F"/>
    <w:rsid w:val="003F74FC"/>
    <w:rsid w:val="004004AC"/>
    <w:rsid w:val="00401E06"/>
    <w:rsid w:val="00404379"/>
    <w:rsid w:val="00410120"/>
    <w:rsid w:val="00410EC1"/>
    <w:rsid w:val="00411EE8"/>
    <w:rsid w:val="0041248E"/>
    <w:rsid w:val="00412AB8"/>
    <w:rsid w:val="0041370D"/>
    <w:rsid w:val="00413FD9"/>
    <w:rsid w:val="004237FA"/>
    <w:rsid w:val="00424D53"/>
    <w:rsid w:val="00425F3E"/>
    <w:rsid w:val="00426DF6"/>
    <w:rsid w:val="00431E1A"/>
    <w:rsid w:val="00432E7E"/>
    <w:rsid w:val="00432EA9"/>
    <w:rsid w:val="00433750"/>
    <w:rsid w:val="004343AF"/>
    <w:rsid w:val="0043443D"/>
    <w:rsid w:val="00436271"/>
    <w:rsid w:val="00443236"/>
    <w:rsid w:val="00445268"/>
    <w:rsid w:val="00454A8F"/>
    <w:rsid w:val="00457CC3"/>
    <w:rsid w:val="00460517"/>
    <w:rsid w:val="0046619D"/>
    <w:rsid w:val="00466D58"/>
    <w:rsid w:val="0047527A"/>
    <w:rsid w:val="0047581D"/>
    <w:rsid w:val="00477F14"/>
    <w:rsid w:val="004833CB"/>
    <w:rsid w:val="0048467B"/>
    <w:rsid w:val="004950F9"/>
    <w:rsid w:val="004A3178"/>
    <w:rsid w:val="004A454C"/>
    <w:rsid w:val="004B1626"/>
    <w:rsid w:val="004B28AC"/>
    <w:rsid w:val="004B6A14"/>
    <w:rsid w:val="004B6C57"/>
    <w:rsid w:val="004B79A8"/>
    <w:rsid w:val="004C5D9F"/>
    <w:rsid w:val="004C5E83"/>
    <w:rsid w:val="004D1A2F"/>
    <w:rsid w:val="004D1EA5"/>
    <w:rsid w:val="004D3D2C"/>
    <w:rsid w:val="004D508B"/>
    <w:rsid w:val="004D52CA"/>
    <w:rsid w:val="004D7246"/>
    <w:rsid w:val="004E1EBB"/>
    <w:rsid w:val="004E272E"/>
    <w:rsid w:val="004E29FF"/>
    <w:rsid w:val="004E3449"/>
    <w:rsid w:val="004E41D0"/>
    <w:rsid w:val="004E7C47"/>
    <w:rsid w:val="004F209A"/>
    <w:rsid w:val="004F4FF0"/>
    <w:rsid w:val="004F57E0"/>
    <w:rsid w:val="004F7349"/>
    <w:rsid w:val="004F73C3"/>
    <w:rsid w:val="00502BD8"/>
    <w:rsid w:val="00503118"/>
    <w:rsid w:val="00506126"/>
    <w:rsid w:val="005063F5"/>
    <w:rsid w:val="005112A7"/>
    <w:rsid w:val="005148CD"/>
    <w:rsid w:val="00514ABE"/>
    <w:rsid w:val="005169BF"/>
    <w:rsid w:val="00517664"/>
    <w:rsid w:val="00522A7B"/>
    <w:rsid w:val="00523A7D"/>
    <w:rsid w:val="005267AC"/>
    <w:rsid w:val="00526A59"/>
    <w:rsid w:val="0053061C"/>
    <w:rsid w:val="00530AEA"/>
    <w:rsid w:val="005326D3"/>
    <w:rsid w:val="00533992"/>
    <w:rsid w:val="00533DDE"/>
    <w:rsid w:val="00535169"/>
    <w:rsid w:val="00535A03"/>
    <w:rsid w:val="0054011D"/>
    <w:rsid w:val="00542E44"/>
    <w:rsid w:val="005446E0"/>
    <w:rsid w:val="00546857"/>
    <w:rsid w:val="00547AA7"/>
    <w:rsid w:val="00547CFC"/>
    <w:rsid w:val="005524C6"/>
    <w:rsid w:val="00554F84"/>
    <w:rsid w:val="005553F3"/>
    <w:rsid w:val="005561DD"/>
    <w:rsid w:val="0055790F"/>
    <w:rsid w:val="00564D0A"/>
    <w:rsid w:val="005650E1"/>
    <w:rsid w:val="005653A1"/>
    <w:rsid w:val="005668E8"/>
    <w:rsid w:val="00567FEA"/>
    <w:rsid w:val="00571ADE"/>
    <w:rsid w:val="00573EDF"/>
    <w:rsid w:val="005767B5"/>
    <w:rsid w:val="00581365"/>
    <w:rsid w:val="00582F0A"/>
    <w:rsid w:val="005858F4"/>
    <w:rsid w:val="00590002"/>
    <w:rsid w:val="0059199F"/>
    <w:rsid w:val="00593965"/>
    <w:rsid w:val="00595F47"/>
    <w:rsid w:val="005A240F"/>
    <w:rsid w:val="005A36A1"/>
    <w:rsid w:val="005A459B"/>
    <w:rsid w:val="005A487D"/>
    <w:rsid w:val="005A5600"/>
    <w:rsid w:val="005B1867"/>
    <w:rsid w:val="005B26BA"/>
    <w:rsid w:val="005B3FA1"/>
    <w:rsid w:val="005B7D8D"/>
    <w:rsid w:val="005C31E1"/>
    <w:rsid w:val="005C3415"/>
    <w:rsid w:val="005C4DB3"/>
    <w:rsid w:val="005C7B8E"/>
    <w:rsid w:val="005D1FD0"/>
    <w:rsid w:val="005D32FC"/>
    <w:rsid w:val="005D35C6"/>
    <w:rsid w:val="005D4511"/>
    <w:rsid w:val="005D6ED4"/>
    <w:rsid w:val="005E41C1"/>
    <w:rsid w:val="005E447E"/>
    <w:rsid w:val="005E4835"/>
    <w:rsid w:val="005E5173"/>
    <w:rsid w:val="005E6A92"/>
    <w:rsid w:val="005E73A7"/>
    <w:rsid w:val="005F1687"/>
    <w:rsid w:val="005F44B0"/>
    <w:rsid w:val="005F55A0"/>
    <w:rsid w:val="005F5AA3"/>
    <w:rsid w:val="005F66B3"/>
    <w:rsid w:val="006002A6"/>
    <w:rsid w:val="00600FDD"/>
    <w:rsid w:val="00601FB2"/>
    <w:rsid w:val="006040BD"/>
    <w:rsid w:val="00607FB3"/>
    <w:rsid w:val="00610CB0"/>
    <w:rsid w:val="006126DB"/>
    <w:rsid w:val="0061298F"/>
    <w:rsid w:val="006137F9"/>
    <w:rsid w:val="00617121"/>
    <w:rsid w:val="00617AB2"/>
    <w:rsid w:val="00624DE2"/>
    <w:rsid w:val="00630546"/>
    <w:rsid w:val="00631BDA"/>
    <w:rsid w:val="00632EC7"/>
    <w:rsid w:val="00635275"/>
    <w:rsid w:val="00635D66"/>
    <w:rsid w:val="00636866"/>
    <w:rsid w:val="00636DC4"/>
    <w:rsid w:val="00636DC8"/>
    <w:rsid w:val="00637895"/>
    <w:rsid w:val="00641688"/>
    <w:rsid w:val="00644694"/>
    <w:rsid w:val="006460CC"/>
    <w:rsid w:val="0065396F"/>
    <w:rsid w:val="00657896"/>
    <w:rsid w:val="00657BAE"/>
    <w:rsid w:val="00660406"/>
    <w:rsid w:val="00661F24"/>
    <w:rsid w:val="00663025"/>
    <w:rsid w:val="00671623"/>
    <w:rsid w:val="006763F0"/>
    <w:rsid w:val="00677AAC"/>
    <w:rsid w:val="0068204B"/>
    <w:rsid w:val="00685796"/>
    <w:rsid w:val="00692754"/>
    <w:rsid w:val="006948F3"/>
    <w:rsid w:val="006953B4"/>
    <w:rsid w:val="00696AEE"/>
    <w:rsid w:val="006A1439"/>
    <w:rsid w:val="006A1980"/>
    <w:rsid w:val="006A620A"/>
    <w:rsid w:val="006A64D3"/>
    <w:rsid w:val="006A77B1"/>
    <w:rsid w:val="006A7F68"/>
    <w:rsid w:val="006B05AA"/>
    <w:rsid w:val="006B2194"/>
    <w:rsid w:val="006B347A"/>
    <w:rsid w:val="006B5BEC"/>
    <w:rsid w:val="006C2128"/>
    <w:rsid w:val="006C3485"/>
    <w:rsid w:val="006C49AF"/>
    <w:rsid w:val="006E309D"/>
    <w:rsid w:val="006E5FC1"/>
    <w:rsid w:val="006F020A"/>
    <w:rsid w:val="006F2CB3"/>
    <w:rsid w:val="006F6041"/>
    <w:rsid w:val="00700617"/>
    <w:rsid w:val="00700688"/>
    <w:rsid w:val="00704956"/>
    <w:rsid w:val="00710A54"/>
    <w:rsid w:val="007124C7"/>
    <w:rsid w:val="007126D4"/>
    <w:rsid w:val="00712F8C"/>
    <w:rsid w:val="00713885"/>
    <w:rsid w:val="007142A5"/>
    <w:rsid w:val="00715885"/>
    <w:rsid w:val="007211EA"/>
    <w:rsid w:val="00721449"/>
    <w:rsid w:val="00722196"/>
    <w:rsid w:val="00722D22"/>
    <w:rsid w:val="0072323F"/>
    <w:rsid w:val="00724A57"/>
    <w:rsid w:val="007262F3"/>
    <w:rsid w:val="00733574"/>
    <w:rsid w:val="00733B57"/>
    <w:rsid w:val="007442C9"/>
    <w:rsid w:val="00750A7D"/>
    <w:rsid w:val="00755464"/>
    <w:rsid w:val="007619F7"/>
    <w:rsid w:val="00761D04"/>
    <w:rsid w:val="0076483D"/>
    <w:rsid w:val="00770786"/>
    <w:rsid w:val="00770E74"/>
    <w:rsid w:val="007711A8"/>
    <w:rsid w:val="00771861"/>
    <w:rsid w:val="0077246E"/>
    <w:rsid w:val="00773FC1"/>
    <w:rsid w:val="0077539B"/>
    <w:rsid w:val="0078002B"/>
    <w:rsid w:val="0078178A"/>
    <w:rsid w:val="007835AC"/>
    <w:rsid w:val="00783AFA"/>
    <w:rsid w:val="0078423C"/>
    <w:rsid w:val="007928B6"/>
    <w:rsid w:val="00795428"/>
    <w:rsid w:val="007A577E"/>
    <w:rsid w:val="007A60C5"/>
    <w:rsid w:val="007A655F"/>
    <w:rsid w:val="007A75BB"/>
    <w:rsid w:val="007B07CD"/>
    <w:rsid w:val="007B1CD6"/>
    <w:rsid w:val="007B1D0F"/>
    <w:rsid w:val="007B3229"/>
    <w:rsid w:val="007B5417"/>
    <w:rsid w:val="007B5BF4"/>
    <w:rsid w:val="007B5F7B"/>
    <w:rsid w:val="007C48B0"/>
    <w:rsid w:val="007C6D22"/>
    <w:rsid w:val="007D050B"/>
    <w:rsid w:val="007D3BE3"/>
    <w:rsid w:val="007D4822"/>
    <w:rsid w:val="007E24DF"/>
    <w:rsid w:val="007F1BE5"/>
    <w:rsid w:val="007F39C1"/>
    <w:rsid w:val="00801193"/>
    <w:rsid w:val="00801A65"/>
    <w:rsid w:val="00801D8A"/>
    <w:rsid w:val="00802A94"/>
    <w:rsid w:val="00803210"/>
    <w:rsid w:val="00806714"/>
    <w:rsid w:val="0080673C"/>
    <w:rsid w:val="008108D4"/>
    <w:rsid w:val="00812102"/>
    <w:rsid w:val="00816AD3"/>
    <w:rsid w:val="008213E0"/>
    <w:rsid w:val="00822346"/>
    <w:rsid w:val="00826A73"/>
    <w:rsid w:val="00827078"/>
    <w:rsid w:val="008271DF"/>
    <w:rsid w:val="008303BF"/>
    <w:rsid w:val="008314FB"/>
    <w:rsid w:val="0083399A"/>
    <w:rsid w:val="0083437C"/>
    <w:rsid w:val="00834BD3"/>
    <w:rsid w:val="00834EAF"/>
    <w:rsid w:val="008353B7"/>
    <w:rsid w:val="00837E7B"/>
    <w:rsid w:val="00837F77"/>
    <w:rsid w:val="0084165F"/>
    <w:rsid w:val="00843DB4"/>
    <w:rsid w:val="00844233"/>
    <w:rsid w:val="008452E2"/>
    <w:rsid w:val="008455B2"/>
    <w:rsid w:val="0085169E"/>
    <w:rsid w:val="00854D72"/>
    <w:rsid w:val="0085642E"/>
    <w:rsid w:val="0085671E"/>
    <w:rsid w:val="00856F25"/>
    <w:rsid w:val="0085793F"/>
    <w:rsid w:val="00860544"/>
    <w:rsid w:val="00861736"/>
    <w:rsid w:val="0086272D"/>
    <w:rsid w:val="00863AE1"/>
    <w:rsid w:val="00864499"/>
    <w:rsid w:val="0086521A"/>
    <w:rsid w:val="00867092"/>
    <w:rsid w:val="0086778A"/>
    <w:rsid w:val="008708CC"/>
    <w:rsid w:val="00872450"/>
    <w:rsid w:val="00873C12"/>
    <w:rsid w:val="008747EB"/>
    <w:rsid w:val="00874F91"/>
    <w:rsid w:val="0087699B"/>
    <w:rsid w:val="00881C99"/>
    <w:rsid w:val="00892600"/>
    <w:rsid w:val="00893715"/>
    <w:rsid w:val="0089590B"/>
    <w:rsid w:val="00895DC4"/>
    <w:rsid w:val="00895DD3"/>
    <w:rsid w:val="00897026"/>
    <w:rsid w:val="00897B49"/>
    <w:rsid w:val="00897FAF"/>
    <w:rsid w:val="008A3F78"/>
    <w:rsid w:val="008A5B8F"/>
    <w:rsid w:val="008B0FCC"/>
    <w:rsid w:val="008B4F52"/>
    <w:rsid w:val="008B5E7E"/>
    <w:rsid w:val="008B6549"/>
    <w:rsid w:val="008B6B69"/>
    <w:rsid w:val="008B7AF5"/>
    <w:rsid w:val="008C0FF0"/>
    <w:rsid w:val="008C1A35"/>
    <w:rsid w:val="008D1F86"/>
    <w:rsid w:val="008D4743"/>
    <w:rsid w:val="008D77E0"/>
    <w:rsid w:val="008E0800"/>
    <w:rsid w:val="008E0B45"/>
    <w:rsid w:val="008E1793"/>
    <w:rsid w:val="008E552B"/>
    <w:rsid w:val="008E6B40"/>
    <w:rsid w:val="008E77A9"/>
    <w:rsid w:val="008F01B8"/>
    <w:rsid w:val="008F04AD"/>
    <w:rsid w:val="008F3CBB"/>
    <w:rsid w:val="008F5CBB"/>
    <w:rsid w:val="008F7B89"/>
    <w:rsid w:val="009009CF"/>
    <w:rsid w:val="009139EE"/>
    <w:rsid w:val="00914669"/>
    <w:rsid w:val="00915239"/>
    <w:rsid w:val="00916DAB"/>
    <w:rsid w:val="00920085"/>
    <w:rsid w:val="00920D60"/>
    <w:rsid w:val="0092498C"/>
    <w:rsid w:val="009266A9"/>
    <w:rsid w:val="00934B67"/>
    <w:rsid w:val="00935305"/>
    <w:rsid w:val="0094243B"/>
    <w:rsid w:val="00943709"/>
    <w:rsid w:val="00943CA6"/>
    <w:rsid w:val="00944ED9"/>
    <w:rsid w:val="00946333"/>
    <w:rsid w:val="009509E5"/>
    <w:rsid w:val="00951861"/>
    <w:rsid w:val="00954EA8"/>
    <w:rsid w:val="00960F47"/>
    <w:rsid w:val="009611AF"/>
    <w:rsid w:val="00963E2F"/>
    <w:rsid w:val="00965574"/>
    <w:rsid w:val="00967DAD"/>
    <w:rsid w:val="00970692"/>
    <w:rsid w:val="009711A5"/>
    <w:rsid w:val="00971EEA"/>
    <w:rsid w:val="0097404D"/>
    <w:rsid w:val="00975E8B"/>
    <w:rsid w:val="009762D8"/>
    <w:rsid w:val="00977F3E"/>
    <w:rsid w:val="0098125E"/>
    <w:rsid w:val="009816D0"/>
    <w:rsid w:val="00981DB3"/>
    <w:rsid w:val="00983618"/>
    <w:rsid w:val="00984A12"/>
    <w:rsid w:val="00984AC4"/>
    <w:rsid w:val="00985D33"/>
    <w:rsid w:val="00990D8F"/>
    <w:rsid w:val="00991D70"/>
    <w:rsid w:val="00994F38"/>
    <w:rsid w:val="009A045D"/>
    <w:rsid w:val="009A04AF"/>
    <w:rsid w:val="009A2AC4"/>
    <w:rsid w:val="009A384D"/>
    <w:rsid w:val="009A3B03"/>
    <w:rsid w:val="009A461D"/>
    <w:rsid w:val="009A5386"/>
    <w:rsid w:val="009B28B8"/>
    <w:rsid w:val="009B3FF9"/>
    <w:rsid w:val="009B56CD"/>
    <w:rsid w:val="009B5C3B"/>
    <w:rsid w:val="009B6F44"/>
    <w:rsid w:val="009B7643"/>
    <w:rsid w:val="009B7832"/>
    <w:rsid w:val="009C3C35"/>
    <w:rsid w:val="009C3D7A"/>
    <w:rsid w:val="009C4925"/>
    <w:rsid w:val="009D177A"/>
    <w:rsid w:val="009E085C"/>
    <w:rsid w:val="009E20A8"/>
    <w:rsid w:val="009E25B6"/>
    <w:rsid w:val="009E5960"/>
    <w:rsid w:val="009F29E2"/>
    <w:rsid w:val="009F3A7B"/>
    <w:rsid w:val="009F736C"/>
    <w:rsid w:val="00A02C50"/>
    <w:rsid w:val="00A02F09"/>
    <w:rsid w:val="00A06DEB"/>
    <w:rsid w:val="00A12F3F"/>
    <w:rsid w:val="00A13044"/>
    <w:rsid w:val="00A13459"/>
    <w:rsid w:val="00A16C31"/>
    <w:rsid w:val="00A1704F"/>
    <w:rsid w:val="00A1789B"/>
    <w:rsid w:val="00A20767"/>
    <w:rsid w:val="00A257BC"/>
    <w:rsid w:val="00A314C1"/>
    <w:rsid w:val="00A340D3"/>
    <w:rsid w:val="00A34843"/>
    <w:rsid w:val="00A367E9"/>
    <w:rsid w:val="00A41D8E"/>
    <w:rsid w:val="00A4489F"/>
    <w:rsid w:val="00A45D40"/>
    <w:rsid w:val="00A64A2A"/>
    <w:rsid w:val="00A65656"/>
    <w:rsid w:val="00A66C66"/>
    <w:rsid w:val="00A7202D"/>
    <w:rsid w:val="00A72B27"/>
    <w:rsid w:val="00A73101"/>
    <w:rsid w:val="00A758B9"/>
    <w:rsid w:val="00A77B0B"/>
    <w:rsid w:val="00A815ED"/>
    <w:rsid w:val="00A8178D"/>
    <w:rsid w:val="00A83929"/>
    <w:rsid w:val="00A8451F"/>
    <w:rsid w:val="00A85E69"/>
    <w:rsid w:val="00A87CF9"/>
    <w:rsid w:val="00A91631"/>
    <w:rsid w:val="00A93291"/>
    <w:rsid w:val="00A947C2"/>
    <w:rsid w:val="00A968E1"/>
    <w:rsid w:val="00AA0C89"/>
    <w:rsid w:val="00AA14A4"/>
    <w:rsid w:val="00AA1600"/>
    <w:rsid w:val="00AA1757"/>
    <w:rsid w:val="00AA4FE2"/>
    <w:rsid w:val="00AA60FE"/>
    <w:rsid w:val="00AA6EF0"/>
    <w:rsid w:val="00AB1BDA"/>
    <w:rsid w:val="00AB1F2E"/>
    <w:rsid w:val="00AB36AB"/>
    <w:rsid w:val="00AB48BB"/>
    <w:rsid w:val="00AB4C11"/>
    <w:rsid w:val="00AB4D6C"/>
    <w:rsid w:val="00AB7BCA"/>
    <w:rsid w:val="00AC1445"/>
    <w:rsid w:val="00AC35E7"/>
    <w:rsid w:val="00AC612B"/>
    <w:rsid w:val="00AD39CD"/>
    <w:rsid w:val="00AD4E51"/>
    <w:rsid w:val="00AD53A6"/>
    <w:rsid w:val="00AD5BE4"/>
    <w:rsid w:val="00AD5C68"/>
    <w:rsid w:val="00AD6638"/>
    <w:rsid w:val="00AE08EB"/>
    <w:rsid w:val="00AE1341"/>
    <w:rsid w:val="00AE3F0A"/>
    <w:rsid w:val="00AF6282"/>
    <w:rsid w:val="00B0256C"/>
    <w:rsid w:val="00B06377"/>
    <w:rsid w:val="00B12302"/>
    <w:rsid w:val="00B13290"/>
    <w:rsid w:val="00B1392A"/>
    <w:rsid w:val="00B13EEF"/>
    <w:rsid w:val="00B14EC9"/>
    <w:rsid w:val="00B154DE"/>
    <w:rsid w:val="00B16655"/>
    <w:rsid w:val="00B20CDD"/>
    <w:rsid w:val="00B21F0A"/>
    <w:rsid w:val="00B23BF4"/>
    <w:rsid w:val="00B260E6"/>
    <w:rsid w:val="00B2763A"/>
    <w:rsid w:val="00B27684"/>
    <w:rsid w:val="00B3452C"/>
    <w:rsid w:val="00B35AA4"/>
    <w:rsid w:val="00B40881"/>
    <w:rsid w:val="00B4339B"/>
    <w:rsid w:val="00B450E6"/>
    <w:rsid w:val="00B46441"/>
    <w:rsid w:val="00B5499F"/>
    <w:rsid w:val="00B54DEE"/>
    <w:rsid w:val="00B57042"/>
    <w:rsid w:val="00B6076A"/>
    <w:rsid w:val="00B61299"/>
    <w:rsid w:val="00B61F5B"/>
    <w:rsid w:val="00B62370"/>
    <w:rsid w:val="00B6408B"/>
    <w:rsid w:val="00B64502"/>
    <w:rsid w:val="00B6701E"/>
    <w:rsid w:val="00B6754E"/>
    <w:rsid w:val="00B712CD"/>
    <w:rsid w:val="00B7233A"/>
    <w:rsid w:val="00B726BD"/>
    <w:rsid w:val="00B75A60"/>
    <w:rsid w:val="00B7608E"/>
    <w:rsid w:val="00B82077"/>
    <w:rsid w:val="00B85D4A"/>
    <w:rsid w:val="00B90146"/>
    <w:rsid w:val="00B914D1"/>
    <w:rsid w:val="00B949AE"/>
    <w:rsid w:val="00B96A59"/>
    <w:rsid w:val="00B97086"/>
    <w:rsid w:val="00B97C08"/>
    <w:rsid w:val="00BA0E7E"/>
    <w:rsid w:val="00BA1E0D"/>
    <w:rsid w:val="00BA2B41"/>
    <w:rsid w:val="00BA6108"/>
    <w:rsid w:val="00BB5FA7"/>
    <w:rsid w:val="00BC0DA0"/>
    <w:rsid w:val="00BC1334"/>
    <w:rsid w:val="00BC1812"/>
    <w:rsid w:val="00BD324F"/>
    <w:rsid w:val="00BD3C68"/>
    <w:rsid w:val="00BD5600"/>
    <w:rsid w:val="00BE037B"/>
    <w:rsid w:val="00BE147D"/>
    <w:rsid w:val="00BE15D4"/>
    <w:rsid w:val="00BE1E53"/>
    <w:rsid w:val="00BE61E6"/>
    <w:rsid w:val="00BE6375"/>
    <w:rsid w:val="00BE67D3"/>
    <w:rsid w:val="00BF0132"/>
    <w:rsid w:val="00BF0EF8"/>
    <w:rsid w:val="00BF3ABE"/>
    <w:rsid w:val="00C0416D"/>
    <w:rsid w:val="00C0694F"/>
    <w:rsid w:val="00C11987"/>
    <w:rsid w:val="00C1429B"/>
    <w:rsid w:val="00C23624"/>
    <w:rsid w:val="00C2449F"/>
    <w:rsid w:val="00C2513E"/>
    <w:rsid w:val="00C26150"/>
    <w:rsid w:val="00C30A04"/>
    <w:rsid w:val="00C35BD9"/>
    <w:rsid w:val="00C37384"/>
    <w:rsid w:val="00C4019D"/>
    <w:rsid w:val="00C41054"/>
    <w:rsid w:val="00C419F1"/>
    <w:rsid w:val="00C45E14"/>
    <w:rsid w:val="00C46A31"/>
    <w:rsid w:val="00C50105"/>
    <w:rsid w:val="00C53302"/>
    <w:rsid w:val="00C55859"/>
    <w:rsid w:val="00C56DFA"/>
    <w:rsid w:val="00C606C1"/>
    <w:rsid w:val="00C6498D"/>
    <w:rsid w:val="00C64AF4"/>
    <w:rsid w:val="00C6578E"/>
    <w:rsid w:val="00C67BB6"/>
    <w:rsid w:val="00C70FFA"/>
    <w:rsid w:val="00C71867"/>
    <w:rsid w:val="00C72BFE"/>
    <w:rsid w:val="00C73AFB"/>
    <w:rsid w:val="00C87C8D"/>
    <w:rsid w:val="00C91D73"/>
    <w:rsid w:val="00C95E82"/>
    <w:rsid w:val="00CA375F"/>
    <w:rsid w:val="00CA5A3C"/>
    <w:rsid w:val="00CA61D4"/>
    <w:rsid w:val="00CA6ECF"/>
    <w:rsid w:val="00CB0500"/>
    <w:rsid w:val="00CB0AF2"/>
    <w:rsid w:val="00CC4823"/>
    <w:rsid w:val="00CC496D"/>
    <w:rsid w:val="00CC4E80"/>
    <w:rsid w:val="00CC786C"/>
    <w:rsid w:val="00CD52F0"/>
    <w:rsid w:val="00CD5B62"/>
    <w:rsid w:val="00CE0EBF"/>
    <w:rsid w:val="00CE1B0C"/>
    <w:rsid w:val="00CE3F88"/>
    <w:rsid w:val="00CE4264"/>
    <w:rsid w:val="00CE6827"/>
    <w:rsid w:val="00CF4D55"/>
    <w:rsid w:val="00CF4D74"/>
    <w:rsid w:val="00CF5345"/>
    <w:rsid w:val="00D05994"/>
    <w:rsid w:val="00D07798"/>
    <w:rsid w:val="00D1230D"/>
    <w:rsid w:val="00D132CD"/>
    <w:rsid w:val="00D1552E"/>
    <w:rsid w:val="00D164C5"/>
    <w:rsid w:val="00D170A2"/>
    <w:rsid w:val="00D1737D"/>
    <w:rsid w:val="00D174DB"/>
    <w:rsid w:val="00D20E73"/>
    <w:rsid w:val="00D24B48"/>
    <w:rsid w:val="00D25E71"/>
    <w:rsid w:val="00D2716D"/>
    <w:rsid w:val="00D34C92"/>
    <w:rsid w:val="00D351DE"/>
    <w:rsid w:val="00D36F50"/>
    <w:rsid w:val="00D40CCF"/>
    <w:rsid w:val="00D420DB"/>
    <w:rsid w:val="00D43B89"/>
    <w:rsid w:val="00D45B00"/>
    <w:rsid w:val="00D466A8"/>
    <w:rsid w:val="00D46DB2"/>
    <w:rsid w:val="00D47490"/>
    <w:rsid w:val="00D47918"/>
    <w:rsid w:val="00D53158"/>
    <w:rsid w:val="00D579B0"/>
    <w:rsid w:val="00D6663B"/>
    <w:rsid w:val="00D6764B"/>
    <w:rsid w:val="00D72DB5"/>
    <w:rsid w:val="00D73CA2"/>
    <w:rsid w:val="00D750F1"/>
    <w:rsid w:val="00D77B38"/>
    <w:rsid w:val="00D77D47"/>
    <w:rsid w:val="00D8092E"/>
    <w:rsid w:val="00D81D5C"/>
    <w:rsid w:val="00D821F4"/>
    <w:rsid w:val="00D855D0"/>
    <w:rsid w:val="00D8592F"/>
    <w:rsid w:val="00D8745B"/>
    <w:rsid w:val="00D87D23"/>
    <w:rsid w:val="00D90344"/>
    <w:rsid w:val="00D93AAE"/>
    <w:rsid w:val="00D9533E"/>
    <w:rsid w:val="00D95C16"/>
    <w:rsid w:val="00D9641E"/>
    <w:rsid w:val="00D970C5"/>
    <w:rsid w:val="00DA154D"/>
    <w:rsid w:val="00DA3E04"/>
    <w:rsid w:val="00DA4097"/>
    <w:rsid w:val="00DA625C"/>
    <w:rsid w:val="00DA7DCB"/>
    <w:rsid w:val="00DB068F"/>
    <w:rsid w:val="00DC213B"/>
    <w:rsid w:val="00DC2A66"/>
    <w:rsid w:val="00DC5248"/>
    <w:rsid w:val="00DC74DC"/>
    <w:rsid w:val="00DC772C"/>
    <w:rsid w:val="00DC77B5"/>
    <w:rsid w:val="00DD0371"/>
    <w:rsid w:val="00DD116E"/>
    <w:rsid w:val="00DD3F5C"/>
    <w:rsid w:val="00DD4B29"/>
    <w:rsid w:val="00DD7E47"/>
    <w:rsid w:val="00DE2AF1"/>
    <w:rsid w:val="00DE3D7E"/>
    <w:rsid w:val="00DE41EF"/>
    <w:rsid w:val="00DF2B5A"/>
    <w:rsid w:val="00DF7C4B"/>
    <w:rsid w:val="00E0075C"/>
    <w:rsid w:val="00E03578"/>
    <w:rsid w:val="00E06064"/>
    <w:rsid w:val="00E07525"/>
    <w:rsid w:val="00E11788"/>
    <w:rsid w:val="00E1655F"/>
    <w:rsid w:val="00E1749D"/>
    <w:rsid w:val="00E25C0D"/>
    <w:rsid w:val="00E25CED"/>
    <w:rsid w:val="00E31967"/>
    <w:rsid w:val="00E33DEC"/>
    <w:rsid w:val="00E37FE9"/>
    <w:rsid w:val="00E55598"/>
    <w:rsid w:val="00E61CCB"/>
    <w:rsid w:val="00E61E1A"/>
    <w:rsid w:val="00E62C0F"/>
    <w:rsid w:val="00E64897"/>
    <w:rsid w:val="00E65274"/>
    <w:rsid w:val="00E7338A"/>
    <w:rsid w:val="00E74D19"/>
    <w:rsid w:val="00E83E02"/>
    <w:rsid w:val="00E86142"/>
    <w:rsid w:val="00E8761A"/>
    <w:rsid w:val="00E87841"/>
    <w:rsid w:val="00E9449F"/>
    <w:rsid w:val="00E95A56"/>
    <w:rsid w:val="00E9605A"/>
    <w:rsid w:val="00E96EA9"/>
    <w:rsid w:val="00EA18F3"/>
    <w:rsid w:val="00EA561F"/>
    <w:rsid w:val="00EB0705"/>
    <w:rsid w:val="00EB17BF"/>
    <w:rsid w:val="00EB1B45"/>
    <w:rsid w:val="00EB367B"/>
    <w:rsid w:val="00EB3930"/>
    <w:rsid w:val="00EB582E"/>
    <w:rsid w:val="00EB6370"/>
    <w:rsid w:val="00EB687E"/>
    <w:rsid w:val="00EC52F9"/>
    <w:rsid w:val="00EC7383"/>
    <w:rsid w:val="00ED30BE"/>
    <w:rsid w:val="00ED39CF"/>
    <w:rsid w:val="00ED3CC4"/>
    <w:rsid w:val="00ED5242"/>
    <w:rsid w:val="00ED7F80"/>
    <w:rsid w:val="00EE20EE"/>
    <w:rsid w:val="00EE40A7"/>
    <w:rsid w:val="00EE5290"/>
    <w:rsid w:val="00EF0591"/>
    <w:rsid w:val="00EF2E89"/>
    <w:rsid w:val="00EF385A"/>
    <w:rsid w:val="00EF3BD8"/>
    <w:rsid w:val="00EF46E5"/>
    <w:rsid w:val="00EF6D84"/>
    <w:rsid w:val="00EF7813"/>
    <w:rsid w:val="00F00045"/>
    <w:rsid w:val="00F01630"/>
    <w:rsid w:val="00F034C1"/>
    <w:rsid w:val="00F03773"/>
    <w:rsid w:val="00F0449A"/>
    <w:rsid w:val="00F05F1C"/>
    <w:rsid w:val="00F063A8"/>
    <w:rsid w:val="00F074F8"/>
    <w:rsid w:val="00F148C0"/>
    <w:rsid w:val="00F2088D"/>
    <w:rsid w:val="00F20E19"/>
    <w:rsid w:val="00F215CE"/>
    <w:rsid w:val="00F21CC8"/>
    <w:rsid w:val="00F2485B"/>
    <w:rsid w:val="00F2519A"/>
    <w:rsid w:val="00F272E6"/>
    <w:rsid w:val="00F274D2"/>
    <w:rsid w:val="00F27F91"/>
    <w:rsid w:val="00F32FE3"/>
    <w:rsid w:val="00F40B05"/>
    <w:rsid w:val="00F42518"/>
    <w:rsid w:val="00F451D2"/>
    <w:rsid w:val="00F47BA4"/>
    <w:rsid w:val="00F5210F"/>
    <w:rsid w:val="00F52850"/>
    <w:rsid w:val="00F539C2"/>
    <w:rsid w:val="00F5473B"/>
    <w:rsid w:val="00F56CD6"/>
    <w:rsid w:val="00F576A8"/>
    <w:rsid w:val="00F61C00"/>
    <w:rsid w:val="00F63A4B"/>
    <w:rsid w:val="00F67721"/>
    <w:rsid w:val="00F70820"/>
    <w:rsid w:val="00F76F83"/>
    <w:rsid w:val="00F808B9"/>
    <w:rsid w:val="00F82855"/>
    <w:rsid w:val="00F84AEE"/>
    <w:rsid w:val="00F909C9"/>
    <w:rsid w:val="00F9180C"/>
    <w:rsid w:val="00F934FF"/>
    <w:rsid w:val="00F974B4"/>
    <w:rsid w:val="00FA2146"/>
    <w:rsid w:val="00FB318D"/>
    <w:rsid w:val="00FB3382"/>
    <w:rsid w:val="00FB389E"/>
    <w:rsid w:val="00FB3C44"/>
    <w:rsid w:val="00FB3E32"/>
    <w:rsid w:val="00FB3F58"/>
    <w:rsid w:val="00FB590B"/>
    <w:rsid w:val="00FB6763"/>
    <w:rsid w:val="00FC1B6D"/>
    <w:rsid w:val="00FC29FA"/>
    <w:rsid w:val="00FC339F"/>
    <w:rsid w:val="00FC5880"/>
    <w:rsid w:val="00FC59E0"/>
    <w:rsid w:val="00FC645A"/>
    <w:rsid w:val="00FD01A0"/>
    <w:rsid w:val="00FD4219"/>
    <w:rsid w:val="00FD51B7"/>
    <w:rsid w:val="00FD5C88"/>
    <w:rsid w:val="00FD649B"/>
    <w:rsid w:val="00FD6884"/>
    <w:rsid w:val="00FE06DA"/>
    <w:rsid w:val="00FE2D87"/>
    <w:rsid w:val="00FE5E5E"/>
    <w:rsid w:val="00FF23C8"/>
    <w:rsid w:val="00FF3385"/>
    <w:rsid w:val="00FF79AD"/>
    <w:rsid w:val="03563524"/>
    <w:rsid w:val="036000A1"/>
    <w:rsid w:val="03637AB0"/>
    <w:rsid w:val="03973D16"/>
    <w:rsid w:val="049F5618"/>
    <w:rsid w:val="06DB32BD"/>
    <w:rsid w:val="06F27BE1"/>
    <w:rsid w:val="08EB4B37"/>
    <w:rsid w:val="0B341C2B"/>
    <w:rsid w:val="0CBF5B57"/>
    <w:rsid w:val="0CD030F6"/>
    <w:rsid w:val="0DF427A3"/>
    <w:rsid w:val="10BD0F13"/>
    <w:rsid w:val="11E12C61"/>
    <w:rsid w:val="13333AE3"/>
    <w:rsid w:val="15A7468E"/>
    <w:rsid w:val="16086923"/>
    <w:rsid w:val="16636FCD"/>
    <w:rsid w:val="198F626F"/>
    <w:rsid w:val="1A162E2E"/>
    <w:rsid w:val="1A7A3DE1"/>
    <w:rsid w:val="1B3471CA"/>
    <w:rsid w:val="1DF274ED"/>
    <w:rsid w:val="23D61FA4"/>
    <w:rsid w:val="2458362B"/>
    <w:rsid w:val="26411276"/>
    <w:rsid w:val="26B930D5"/>
    <w:rsid w:val="27094271"/>
    <w:rsid w:val="27F22745"/>
    <w:rsid w:val="28C15620"/>
    <w:rsid w:val="28D7549C"/>
    <w:rsid w:val="28F37345"/>
    <w:rsid w:val="291341B8"/>
    <w:rsid w:val="293D5CBB"/>
    <w:rsid w:val="294C6B89"/>
    <w:rsid w:val="29E230D1"/>
    <w:rsid w:val="2A572F06"/>
    <w:rsid w:val="2D8243FD"/>
    <w:rsid w:val="2DFA6D45"/>
    <w:rsid w:val="2E066BAE"/>
    <w:rsid w:val="2F8F4B15"/>
    <w:rsid w:val="32B63516"/>
    <w:rsid w:val="33732B98"/>
    <w:rsid w:val="350304BC"/>
    <w:rsid w:val="376F3B94"/>
    <w:rsid w:val="399D18A3"/>
    <w:rsid w:val="39CB521C"/>
    <w:rsid w:val="39F71F23"/>
    <w:rsid w:val="3A222E74"/>
    <w:rsid w:val="3AF834CA"/>
    <w:rsid w:val="3BDD3D60"/>
    <w:rsid w:val="3D98385B"/>
    <w:rsid w:val="3E9F672C"/>
    <w:rsid w:val="3ECB6447"/>
    <w:rsid w:val="3F5D5408"/>
    <w:rsid w:val="3F6A17EC"/>
    <w:rsid w:val="40631D33"/>
    <w:rsid w:val="40F41506"/>
    <w:rsid w:val="429C61C9"/>
    <w:rsid w:val="44C43232"/>
    <w:rsid w:val="46707D5F"/>
    <w:rsid w:val="46770614"/>
    <w:rsid w:val="46E64580"/>
    <w:rsid w:val="48A75035"/>
    <w:rsid w:val="496A0AF0"/>
    <w:rsid w:val="49C402DE"/>
    <w:rsid w:val="49D34005"/>
    <w:rsid w:val="4BD21949"/>
    <w:rsid w:val="4BFB6A39"/>
    <w:rsid w:val="4EAC7422"/>
    <w:rsid w:val="4F5761B4"/>
    <w:rsid w:val="50865C58"/>
    <w:rsid w:val="531F1A1B"/>
    <w:rsid w:val="532C68B1"/>
    <w:rsid w:val="577B4274"/>
    <w:rsid w:val="580C0F5B"/>
    <w:rsid w:val="5B6C1666"/>
    <w:rsid w:val="5E8C49AC"/>
    <w:rsid w:val="60725C69"/>
    <w:rsid w:val="63FA20C0"/>
    <w:rsid w:val="650A5371"/>
    <w:rsid w:val="650F5FFB"/>
    <w:rsid w:val="65563BCB"/>
    <w:rsid w:val="66772F18"/>
    <w:rsid w:val="6A5D1186"/>
    <w:rsid w:val="6A64143E"/>
    <w:rsid w:val="6C5C4853"/>
    <w:rsid w:val="6D2A1043"/>
    <w:rsid w:val="6F3E23BD"/>
    <w:rsid w:val="70F11FAE"/>
    <w:rsid w:val="72C92B6B"/>
    <w:rsid w:val="73741BD6"/>
    <w:rsid w:val="73FB008C"/>
    <w:rsid w:val="75304351"/>
    <w:rsid w:val="75AB3C9B"/>
    <w:rsid w:val="797310C7"/>
    <w:rsid w:val="798124D1"/>
    <w:rsid w:val="7B5553D8"/>
    <w:rsid w:val="7C1021CC"/>
    <w:rsid w:val="7E5811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uiPriority="99" w:name="footnote text" w:locked="1"/>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iPriority="99" w:semiHidden="0"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0"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3"/>
    <w:qFormat/>
    <w:uiPriority w:val="99"/>
    <w:pPr>
      <w:keepNext/>
      <w:keepLines/>
      <w:spacing w:before="340" w:after="330" w:line="576" w:lineRule="auto"/>
      <w:outlineLvl w:val="0"/>
    </w:pPr>
    <w:rPr>
      <w:rFonts w:ascii="Arial" w:hAnsi="Arial" w:cs="Arial"/>
      <w:bCs/>
      <w:kern w:val="32"/>
      <w:sz w:val="32"/>
      <w:szCs w:val="32"/>
    </w:rPr>
  </w:style>
  <w:style w:type="paragraph" w:styleId="5">
    <w:name w:val="heading 2"/>
    <w:basedOn w:val="1"/>
    <w:next w:val="1"/>
    <w:link w:val="34"/>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link w:val="35"/>
    <w:qFormat/>
    <w:uiPriority w:val="0"/>
    <w:pPr>
      <w:keepNext/>
      <w:keepLines/>
      <w:spacing w:before="260" w:after="260" w:line="413" w:lineRule="auto"/>
      <w:outlineLvl w:val="2"/>
    </w:pPr>
    <w:rPr>
      <w:b/>
      <w:sz w:val="32"/>
    </w:rPr>
  </w:style>
  <w:style w:type="character" w:default="1" w:styleId="26">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locked/>
    <w:uiPriority w:val="0"/>
    <w:pPr>
      <w:autoSpaceDE/>
      <w:autoSpaceDN/>
      <w:spacing w:after="120" w:line="240" w:lineRule="auto"/>
      <w:ind w:left="420" w:leftChars="200" w:firstLine="420" w:firstLineChars="200"/>
    </w:pPr>
    <w:rPr>
      <w:sz w:val="21"/>
      <w:szCs w:val="24"/>
    </w:rPr>
  </w:style>
  <w:style w:type="paragraph" w:styleId="3">
    <w:name w:val="Body Text Indent"/>
    <w:basedOn w:val="1"/>
    <w:unhideWhenUsed/>
    <w:qFormat/>
    <w:locked/>
    <w:uiPriority w:val="99"/>
    <w:pPr>
      <w:spacing w:line="360" w:lineRule="auto"/>
      <w:ind w:left="277" w:right="-16"/>
      <w:jc w:val="distribute"/>
    </w:pPr>
    <w:rPr>
      <w:rFonts w:ascii="宋体" w:hAnsi="宋体" w:eastAsia="华文中宋" w:cs="宋体"/>
      <w:b/>
      <w:bCs/>
      <w:sz w:val="28"/>
      <w:szCs w:val="28"/>
    </w:rPr>
  </w:style>
  <w:style w:type="paragraph" w:styleId="7">
    <w:name w:val="toc 7"/>
    <w:basedOn w:val="1"/>
    <w:next w:val="1"/>
    <w:qFormat/>
    <w:uiPriority w:val="99"/>
    <w:pPr>
      <w:ind w:left="1260"/>
      <w:jc w:val="left"/>
    </w:pPr>
    <w:rPr>
      <w:rFonts w:ascii="Calibri" w:hAnsi="Calibri" w:cs="Calibri"/>
      <w:sz w:val="18"/>
      <w:szCs w:val="18"/>
    </w:rPr>
  </w:style>
  <w:style w:type="paragraph" w:styleId="8">
    <w:name w:val="Normal Indent"/>
    <w:basedOn w:val="1"/>
    <w:link w:val="49"/>
    <w:qFormat/>
    <w:uiPriority w:val="0"/>
    <w:pPr>
      <w:spacing w:before="60"/>
      <w:ind w:firstLine="420" w:firstLineChars="200"/>
    </w:pPr>
  </w:style>
  <w:style w:type="paragraph" w:styleId="9">
    <w:name w:val="annotation text"/>
    <w:basedOn w:val="1"/>
    <w:link w:val="36"/>
    <w:qFormat/>
    <w:uiPriority w:val="99"/>
    <w:pPr>
      <w:jc w:val="left"/>
    </w:pPr>
  </w:style>
  <w:style w:type="paragraph" w:styleId="10">
    <w:name w:val="Body Text"/>
    <w:basedOn w:val="1"/>
    <w:link w:val="37"/>
    <w:qFormat/>
    <w:uiPriority w:val="0"/>
    <w:pPr>
      <w:spacing w:after="120"/>
    </w:pPr>
  </w:style>
  <w:style w:type="paragraph" w:styleId="11">
    <w:name w:val="toc 5"/>
    <w:basedOn w:val="1"/>
    <w:next w:val="1"/>
    <w:qFormat/>
    <w:uiPriority w:val="99"/>
    <w:pPr>
      <w:ind w:left="840"/>
      <w:jc w:val="left"/>
    </w:pPr>
    <w:rPr>
      <w:rFonts w:ascii="Calibri" w:hAnsi="Calibri" w:cs="Calibri"/>
      <w:sz w:val="18"/>
      <w:szCs w:val="18"/>
    </w:rPr>
  </w:style>
  <w:style w:type="paragraph" w:styleId="12">
    <w:name w:val="toc 3"/>
    <w:basedOn w:val="1"/>
    <w:next w:val="1"/>
    <w:qFormat/>
    <w:uiPriority w:val="99"/>
    <w:pPr>
      <w:ind w:left="420"/>
      <w:jc w:val="left"/>
    </w:pPr>
    <w:rPr>
      <w:rFonts w:ascii="Calibri" w:hAnsi="Calibri" w:cs="Calibri"/>
      <w:i/>
      <w:iCs/>
      <w:sz w:val="20"/>
      <w:szCs w:val="20"/>
    </w:rPr>
  </w:style>
  <w:style w:type="paragraph" w:styleId="13">
    <w:name w:val="Plain Text"/>
    <w:basedOn w:val="1"/>
    <w:link w:val="38"/>
    <w:qFormat/>
    <w:uiPriority w:val="99"/>
    <w:rPr>
      <w:rFonts w:ascii="宋体" w:hAnsi="Courier New"/>
    </w:rPr>
  </w:style>
  <w:style w:type="paragraph" w:styleId="14">
    <w:name w:val="toc 8"/>
    <w:basedOn w:val="1"/>
    <w:next w:val="1"/>
    <w:qFormat/>
    <w:uiPriority w:val="99"/>
    <w:pPr>
      <w:ind w:left="1470"/>
      <w:jc w:val="left"/>
    </w:pPr>
    <w:rPr>
      <w:rFonts w:ascii="Calibri" w:hAnsi="Calibri" w:cs="Calibri"/>
      <w:sz w:val="18"/>
      <w:szCs w:val="18"/>
    </w:rPr>
  </w:style>
  <w:style w:type="paragraph" w:styleId="15">
    <w:name w:val="Body Text Indent 2"/>
    <w:basedOn w:val="1"/>
    <w:link w:val="39"/>
    <w:qFormat/>
    <w:uiPriority w:val="99"/>
    <w:pPr>
      <w:spacing w:line="500" w:lineRule="exact"/>
      <w:ind w:firstLine="560" w:firstLineChars="200"/>
    </w:pPr>
    <w:rPr>
      <w:color w:val="000000"/>
      <w:sz w:val="28"/>
    </w:rPr>
  </w:style>
  <w:style w:type="paragraph" w:styleId="16">
    <w:name w:val="Balloon Text"/>
    <w:basedOn w:val="1"/>
    <w:link w:val="40"/>
    <w:qFormat/>
    <w:uiPriority w:val="99"/>
    <w:rPr>
      <w:rFonts w:ascii="Calibri" w:hAnsi="Calibri"/>
      <w:sz w:val="18"/>
      <w:szCs w:val="18"/>
    </w:rPr>
  </w:style>
  <w:style w:type="paragraph" w:styleId="17">
    <w:name w:val="footer"/>
    <w:basedOn w:val="1"/>
    <w:link w:val="41"/>
    <w:qFormat/>
    <w:uiPriority w:val="99"/>
    <w:pPr>
      <w:tabs>
        <w:tab w:val="center" w:pos="4153"/>
        <w:tab w:val="right" w:pos="8306"/>
      </w:tabs>
      <w:snapToGrid w:val="0"/>
      <w:jc w:val="left"/>
    </w:pPr>
    <w:rPr>
      <w:sz w:val="18"/>
    </w:rPr>
  </w:style>
  <w:style w:type="paragraph" w:styleId="18">
    <w:name w:val="header"/>
    <w:basedOn w:val="1"/>
    <w:link w:val="4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spacing w:before="120" w:after="120"/>
      <w:jc w:val="left"/>
    </w:pPr>
    <w:rPr>
      <w:rFonts w:ascii="Calibri" w:hAnsi="Calibri" w:cs="Calibri"/>
      <w:b/>
      <w:bCs/>
      <w:caps/>
      <w:sz w:val="20"/>
      <w:szCs w:val="20"/>
    </w:rPr>
  </w:style>
  <w:style w:type="paragraph" w:styleId="20">
    <w:name w:val="toc 4"/>
    <w:basedOn w:val="1"/>
    <w:next w:val="1"/>
    <w:qFormat/>
    <w:uiPriority w:val="99"/>
    <w:pPr>
      <w:ind w:left="630"/>
      <w:jc w:val="left"/>
    </w:pPr>
    <w:rPr>
      <w:rFonts w:ascii="Calibri" w:hAnsi="Calibri" w:cs="Calibri"/>
      <w:sz w:val="18"/>
      <w:szCs w:val="18"/>
    </w:rPr>
  </w:style>
  <w:style w:type="paragraph" w:styleId="21">
    <w:name w:val="toc 6"/>
    <w:basedOn w:val="1"/>
    <w:next w:val="1"/>
    <w:qFormat/>
    <w:uiPriority w:val="99"/>
    <w:pPr>
      <w:ind w:left="1050"/>
      <w:jc w:val="left"/>
    </w:pPr>
    <w:rPr>
      <w:rFonts w:ascii="Calibri" w:hAnsi="Calibri" w:cs="Calibri"/>
      <w:sz w:val="18"/>
      <w:szCs w:val="18"/>
    </w:rPr>
  </w:style>
  <w:style w:type="paragraph" w:styleId="22">
    <w:name w:val="Body Text Indent 3"/>
    <w:basedOn w:val="1"/>
    <w:link w:val="71"/>
    <w:unhideWhenUsed/>
    <w:qFormat/>
    <w:locked/>
    <w:uiPriority w:val="99"/>
    <w:pPr>
      <w:spacing w:after="120"/>
      <w:ind w:left="420" w:leftChars="200"/>
    </w:pPr>
    <w:rPr>
      <w:sz w:val="16"/>
      <w:szCs w:val="16"/>
    </w:rPr>
  </w:style>
  <w:style w:type="paragraph" w:styleId="23">
    <w:name w:val="toc 2"/>
    <w:basedOn w:val="1"/>
    <w:next w:val="1"/>
    <w:qFormat/>
    <w:uiPriority w:val="39"/>
    <w:pPr>
      <w:ind w:left="210"/>
      <w:jc w:val="left"/>
    </w:pPr>
    <w:rPr>
      <w:rFonts w:ascii="Calibri" w:hAnsi="Calibri" w:cs="Calibri"/>
      <w:smallCaps/>
      <w:sz w:val="20"/>
      <w:szCs w:val="20"/>
    </w:rPr>
  </w:style>
  <w:style w:type="paragraph" w:styleId="24">
    <w:name w:val="toc 9"/>
    <w:basedOn w:val="1"/>
    <w:next w:val="1"/>
    <w:qFormat/>
    <w:uiPriority w:val="99"/>
    <w:pPr>
      <w:ind w:left="1680"/>
      <w:jc w:val="left"/>
    </w:pPr>
    <w:rPr>
      <w:rFonts w:ascii="Calibri" w:hAnsi="Calibri" w:cs="Calibri"/>
      <w:sz w:val="18"/>
      <w:szCs w:val="18"/>
    </w:rPr>
  </w:style>
  <w:style w:type="paragraph" w:styleId="25">
    <w:name w:val="Normal (Web)"/>
    <w:basedOn w:val="1"/>
    <w:qFormat/>
    <w:uiPriority w:val="99"/>
    <w:pPr>
      <w:widowControl/>
      <w:spacing w:before="15" w:after="15"/>
      <w:ind w:left="15" w:right="15"/>
      <w:jc w:val="left"/>
    </w:pPr>
    <w:rPr>
      <w:rFonts w:ascii="宋体" w:hAnsi="宋体" w:cs="宋体"/>
      <w:kern w:val="0"/>
      <w:sz w:val="24"/>
    </w:rPr>
  </w:style>
  <w:style w:type="character" w:styleId="27">
    <w:name w:val="page number"/>
    <w:qFormat/>
    <w:uiPriority w:val="0"/>
    <w:rPr>
      <w:rFonts w:ascii="仿宋_GB2312" w:hAnsi="Tahoma" w:eastAsia="仿宋_GB2312" w:cs="Times New Roman"/>
      <w:kern w:val="2"/>
      <w:sz w:val="28"/>
      <w:szCs w:val="28"/>
      <w:lang w:val="en-US" w:eastAsia="zh-CN" w:bidi="ar-SA"/>
    </w:rPr>
  </w:style>
  <w:style w:type="character" w:styleId="28">
    <w:name w:val="FollowedHyperlink"/>
    <w:basedOn w:val="26"/>
    <w:semiHidden/>
    <w:unhideWhenUsed/>
    <w:qFormat/>
    <w:locked/>
    <w:uiPriority w:val="99"/>
    <w:rPr>
      <w:color w:val="333333"/>
      <w:sz w:val="18"/>
      <w:szCs w:val="18"/>
      <w:u w:val="none"/>
    </w:rPr>
  </w:style>
  <w:style w:type="character" w:styleId="29">
    <w:name w:val="Emphasis"/>
    <w:qFormat/>
    <w:uiPriority w:val="99"/>
    <w:rPr>
      <w:rFonts w:cs="Times New Roman"/>
      <w:color w:val="CC0000"/>
    </w:rPr>
  </w:style>
  <w:style w:type="character" w:styleId="30">
    <w:name w:val="Hyperlink"/>
    <w:qFormat/>
    <w:uiPriority w:val="99"/>
    <w:rPr>
      <w:rFonts w:cs="Times New Roman"/>
      <w:color w:val="0000FF"/>
      <w:u w:val="single"/>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标题 1 Char1"/>
    <w:link w:val="4"/>
    <w:qFormat/>
    <w:locked/>
    <w:uiPriority w:val="99"/>
    <w:rPr>
      <w:rFonts w:cs="Times New Roman"/>
      <w:b/>
      <w:bCs/>
      <w:kern w:val="44"/>
      <w:sz w:val="44"/>
      <w:szCs w:val="44"/>
    </w:rPr>
  </w:style>
  <w:style w:type="character" w:customStyle="1" w:styleId="34">
    <w:name w:val="标题 2 Char"/>
    <w:link w:val="5"/>
    <w:qFormat/>
    <w:locked/>
    <w:uiPriority w:val="99"/>
    <w:rPr>
      <w:rFonts w:ascii="Arial" w:hAnsi="Arial" w:eastAsia="黑体" w:cs="Times New Roman"/>
      <w:b/>
      <w:bCs/>
      <w:kern w:val="2"/>
      <w:sz w:val="32"/>
      <w:szCs w:val="32"/>
    </w:rPr>
  </w:style>
  <w:style w:type="character" w:customStyle="1" w:styleId="35">
    <w:name w:val="标题 3 Char"/>
    <w:link w:val="6"/>
    <w:qFormat/>
    <w:locked/>
    <w:uiPriority w:val="0"/>
    <w:rPr>
      <w:rFonts w:cs="Times New Roman"/>
      <w:b/>
      <w:bCs/>
      <w:sz w:val="32"/>
      <w:szCs w:val="32"/>
    </w:rPr>
  </w:style>
  <w:style w:type="character" w:customStyle="1" w:styleId="36">
    <w:name w:val="批注文字 Char"/>
    <w:link w:val="9"/>
    <w:semiHidden/>
    <w:qFormat/>
    <w:locked/>
    <w:uiPriority w:val="99"/>
    <w:rPr>
      <w:rFonts w:cs="Times New Roman"/>
      <w:sz w:val="24"/>
      <w:szCs w:val="24"/>
    </w:rPr>
  </w:style>
  <w:style w:type="character" w:customStyle="1" w:styleId="37">
    <w:name w:val="正文文本 Char"/>
    <w:link w:val="10"/>
    <w:semiHidden/>
    <w:qFormat/>
    <w:locked/>
    <w:uiPriority w:val="99"/>
    <w:rPr>
      <w:rFonts w:cs="Times New Roman"/>
      <w:sz w:val="24"/>
      <w:szCs w:val="24"/>
    </w:rPr>
  </w:style>
  <w:style w:type="character" w:customStyle="1" w:styleId="38">
    <w:name w:val="纯文本 Char"/>
    <w:link w:val="13"/>
    <w:semiHidden/>
    <w:qFormat/>
    <w:locked/>
    <w:uiPriority w:val="99"/>
    <w:rPr>
      <w:rFonts w:ascii="宋体" w:hAnsi="Courier New" w:cs="Courier New"/>
      <w:sz w:val="21"/>
      <w:szCs w:val="21"/>
    </w:rPr>
  </w:style>
  <w:style w:type="character" w:customStyle="1" w:styleId="39">
    <w:name w:val="正文文本缩进 2 Char"/>
    <w:link w:val="15"/>
    <w:semiHidden/>
    <w:qFormat/>
    <w:locked/>
    <w:uiPriority w:val="99"/>
    <w:rPr>
      <w:rFonts w:cs="Times New Roman"/>
      <w:sz w:val="24"/>
      <w:szCs w:val="24"/>
    </w:rPr>
  </w:style>
  <w:style w:type="character" w:customStyle="1" w:styleId="40">
    <w:name w:val="批注框文本 Char1"/>
    <w:link w:val="16"/>
    <w:semiHidden/>
    <w:qFormat/>
    <w:locked/>
    <w:uiPriority w:val="99"/>
    <w:rPr>
      <w:rFonts w:cs="Times New Roman"/>
      <w:sz w:val="2"/>
    </w:rPr>
  </w:style>
  <w:style w:type="character" w:customStyle="1" w:styleId="41">
    <w:name w:val="页脚 Char1"/>
    <w:link w:val="17"/>
    <w:semiHidden/>
    <w:qFormat/>
    <w:locked/>
    <w:uiPriority w:val="99"/>
    <w:rPr>
      <w:rFonts w:cs="Times New Roman"/>
      <w:sz w:val="18"/>
      <w:szCs w:val="18"/>
    </w:rPr>
  </w:style>
  <w:style w:type="character" w:customStyle="1" w:styleId="42">
    <w:name w:val="页眉 Char1"/>
    <w:link w:val="18"/>
    <w:semiHidden/>
    <w:qFormat/>
    <w:locked/>
    <w:uiPriority w:val="99"/>
    <w:rPr>
      <w:rFonts w:cs="Times New Roman"/>
      <w:sz w:val="18"/>
      <w:szCs w:val="18"/>
    </w:rPr>
  </w:style>
  <w:style w:type="character" w:customStyle="1" w:styleId="43">
    <w:name w:val="标题 1 Char"/>
    <w:qFormat/>
    <w:locked/>
    <w:uiPriority w:val="0"/>
    <w:rPr>
      <w:rFonts w:ascii="Arial" w:hAnsi="Arial" w:eastAsia="宋体" w:cs="Times New Roman"/>
      <w:kern w:val="32"/>
      <w:sz w:val="32"/>
      <w:lang w:val="en-US" w:eastAsia="zh-CN"/>
    </w:rPr>
  </w:style>
  <w:style w:type="character" w:customStyle="1" w:styleId="44">
    <w:name w:val="bord3"/>
    <w:qFormat/>
    <w:uiPriority w:val="99"/>
    <w:rPr>
      <w:rFonts w:cs="Times New Roman"/>
    </w:rPr>
  </w:style>
  <w:style w:type="character" w:customStyle="1" w:styleId="45">
    <w:name w:val="批注框文本 Char"/>
    <w:qFormat/>
    <w:locked/>
    <w:uiPriority w:val="99"/>
    <w:rPr>
      <w:rFonts w:ascii="Calibri" w:hAnsi="Calibri" w:cs="Times New Roman"/>
      <w:kern w:val="2"/>
      <w:sz w:val="18"/>
      <w:szCs w:val="18"/>
    </w:rPr>
  </w:style>
  <w:style w:type="character" w:customStyle="1" w:styleId="46">
    <w:name w:val="页眉 Char"/>
    <w:qFormat/>
    <w:locked/>
    <w:uiPriority w:val="99"/>
    <w:rPr>
      <w:rFonts w:cs="Times New Roman"/>
      <w:kern w:val="2"/>
      <w:sz w:val="24"/>
      <w:szCs w:val="24"/>
    </w:rPr>
  </w:style>
  <w:style w:type="character" w:customStyle="1" w:styleId="47">
    <w:name w:val="页码1"/>
    <w:qFormat/>
    <w:uiPriority w:val="99"/>
    <w:rPr>
      <w:rFonts w:cs="Times New Roman"/>
    </w:rPr>
  </w:style>
  <w:style w:type="character" w:customStyle="1" w:styleId="48">
    <w:name w:val="页脚 Char"/>
    <w:qFormat/>
    <w:locked/>
    <w:uiPriority w:val="99"/>
    <w:rPr>
      <w:rFonts w:cs="Times New Roman"/>
      <w:kern w:val="2"/>
      <w:sz w:val="24"/>
      <w:szCs w:val="24"/>
    </w:rPr>
  </w:style>
  <w:style w:type="character" w:customStyle="1" w:styleId="49">
    <w:name w:val="正文缩进 Char"/>
    <w:link w:val="8"/>
    <w:qFormat/>
    <w:locked/>
    <w:uiPriority w:val="0"/>
    <w:rPr>
      <w:rFonts w:cs="Times New Roman"/>
      <w:kern w:val="2"/>
      <w:sz w:val="24"/>
      <w:szCs w:val="24"/>
    </w:rPr>
  </w:style>
  <w:style w:type="paragraph" w:customStyle="1" w:styleId="50">
    <w:name w:val="表格"/>
    <w:basedOn w:val="1"/>
    <w:qFormat/>
    <w:uiPriority w:val="0"/>
    <w:pPr>
      <w:spacing w:line="400" w:lineRule="exact"/>
    </w:pPr>
    <w:rPr>
      <w:sz w:val="24"/>
    </w:rPr>
  </w:style>
  <w:style w:type="paragraph" w:customStyle="1" w:styleId="51">
    <w:name w:val="样式1"/>
    <w:basedOn w:val="1"/>
    <w:qFormat/>
    <w:uiPriority w:val="99"/>
    <w:pPr>
      <w:tabs>
        <w:tab w:val="left" w:pos="709"/>
      </w:tabs>
      <w:adjustRightInd w:val="0"/>
      <w:ind w:left="709" w:hanging="709"/>
      <w:textAlignment w:val="baseline"/>
    </w:pPr>
    <w:rPr>
      <w:rFonts w:ascii="宋体" w:hAnsi="宋体"/>
      <w:kern w:val="0"/>
    </w:rPr>
  </w:style>
  <w:style w:type="paragraph" w:customStyle="1" w:styleId="52">
    <w:name w:val="正文文本 31"/>
    <w:basedOn w:val="1"/>
    <w:qFormat/>
    <w:uiPriority w:val="99"/>
    <w:pPr>
      <w:spacing w:line="440" w:lineRule="exact"/>
    </w:pPr>
    <w:rPr>
      <w:sz w:val="28"/>
      <w:szCs w:val="28"/>
    </w:rPr>
  </w:style>
  <w:style w:type="paragraph" w:customStyle="1" w:styleId="53">
    <w:name w:val="p0"/>
    <w:basedOn w:val="1"/>
    <w:qFormat/>
    <w:uiPriority w:val="99"/>
    <w:pPr>
      <w:widowControl/>
    </w:pPr>
    <w:rPr>
      <w:kern w:val="0"/>
      <w:szCs w:val="21"/>
    </w:rPr>
  </w:style>
  <w:style w:type="paragraph" w:customStyle="1" w:styleId="54">
    <w:name w:val="Char Char Char"/>
    <w:basedOn w:val="1"/>
    <w:qFormat/>
    <w:uiPriority w:val="99"/>
    <w:pPr>
      <w:spacing w:line="400" w:lineRule="exact"/>
      <w:jc w:val="center"/>
    </w:pPr>
  </w:style>
  <w:style w:type="paragraph" w:customStyle="1" w:styleId="55">
    <w:name w:val="样式 首行缩进:  2 字符"/>
    <w:basedOn w:val="1"/>
    <w:qFormat/>
    <w:uiPriority w:val="99"/>
    <w:pPr>
      <w:spacing w:line="400" w:lineRule="exact"/>
      <w:ind w:firstLine="200" w:firstLineChars="200"/>
    </w:pPr>
    <w:rPr>
      <w:rFonts w:cs="宋体"/>
      <w:sz w:val="24"/>
    </w:rPr>
  </w:style>
  <w:style w:type="paragraph" w:customStyle="1" w:styleId="56">
    <w:name w:val="正文缩进1"/>
    <w:basedOn w:val="1"/>
    <w:qFormat/>
    <w:uiPriority w:val="99"/>
    <w:pPr>
      <w:ind w:firstLine="420" w:firstLineChars="200"/>
    </w:pPr>
    <w:rPr>
      <w:szCs w:val="20"/>
    </w:rPr>
  </w:style>
  <w:style w:type="paragraph" w:customStyle="1" w:styleId="57">
    <w:name w:val="Char Char Char1"/>
    <w:basedOn w:val="1"/>
    <w:qFormat/>
    <w:uiPriority w:val="99"/>
    <w:pPr>
      <w:widowControl/>
      <w:spacing w:after="160" w:line="240" w:lineRule="exact"/>
      <w:jc w:val="left"/>
    </w:pPr>
  </w:style>
  <w:style w:type="paragraph" w:customStyle="1" w:styleId="58">
    <w:name w:val="列出段落1"/>
    <w:basedOn w:val="1"/>
    <w:qFormat/>
    <w:uiPriority w:val="99"/>
    <w:pPr>
      <w:ind w:firstLine="420" w:firstLineChars="200"/>
    </w:pPr>
    <w:rPr>
      <w:szCs w:val="20"/>
    </w:rPr>
  </w:style>
  <w:style w:type="paragraph" w:customStyle="1" w:styleId="59">
    <w:name w:val="正文首行缩进两字符"/>
    <w:basedOn w:val="1"/>
    <w:qFormat/>
    <w:uiPriority w:val="99"/>
    <w:pPr>
      <w:spacing w:line="360" w:lineRule="auto"/>
      <w:ind w:firstLine="200" w:firstLineChars="200"/>
    </w:pPr>
  </w:style>
  <w:style w:type="paragraph" w:customStyle="1" w:styleId="60">
    <w:name w:val="表格文字"/>
    <w:basedOn w:val="1"/>
    <w:qFormat/>
    <w:uiPriority w:val="0"/>
    <w:pPr>
      <w:spacing w:before="25" w:after="25"/>
      <w:jc w:val="left"/>
    </w:pPr>
    <w:rPr>
      <w:bCs/>
      <w:spacing w:val="10"/>
      <w:kern w:val="0"/>
      <w:sz w:val="24"/>
      <w:szCs w:val="20"/>
    </w:rPr>
  </w:style>
  <w:style w:type="paragraph" w:customStyle="1" w:styleId="61">
    <w:name w:val="样式2"/>
    <w:basedOn w:val="1"/>
    <w:qFormat/>
    <w:uiPriority w:val="99"/>
    <w:pPr>
      <w:ind w:firstLine="200" w:firstLineChars="200"/>
    </w:pPr>
    <w:rPr>
      <w:rFonts w:eastAsia="仿宋_GB2312"/>
      <w:sz w:val="32"/>
      <w:szCs w:val="20"/>
    </w:rPr>
  </w:style>
  <w:style w:type="paragraph" w:customStyle="1" w:styleId="62">
    <w:name w:val="列出段落2"/>
    <w:basedOn w:val="1"/>
    <w:qFormat/>
    <w:uiPriority w:val="99"/>
    <w:pPr>
      <w:ind w:firstLine="420" w:firstLineChars="200"/>
    </w:pPr>
  </w:style>
  <w:style w:type="paragraph" w:customStyle="1" w:styleId="63">
    <w:name w:val="02"/>
    <w:basedOn w:val="1"/>
    <w:qFormat/>
    <w:uiPriority w:val="99"/>
    <w:pPr>
      <w:spacing w:line="500" w:lineRule="exact"/>
      <w:ind w:firstLine="200" w:firstLineChars="200"/>
      <w:outlineLvl w:val="0"/>
    </w:pPr>
    <w:rPr>
      <w:b/>
      <w:spacing w:val="20"/>
      <w:sz w:val="28"/>
      <w:szCs w:val="20"/>
    </w:rPr>
  </w:style>
  <w:style w:type="paragraph" w:customStyle="1" w:styleId="64">
    <w:name w:val="列出段落3"/>
    <w:basedOn w:val="1"/>
    <w:qFormat/>
    <w:uiPriority w:val="99"/>
    <w:pPr>
      <w:ind w:firstLine="420" w:firstLineChars="200"/>
    </w:pPr>
    <w:rPr>
      <w:rFonts w:ascii="Calibri" w:hAnsi="Calibri"/>
      <w:szCs w:val="22"/>
    </w:rPr>
  </w:style>
  <w:style w:type="character" w:customStyle="1" w:styleId="65">
    <w:name w:val="Char Char2"/>
    <w:qFormat/>
    <w:uiPriority w:val="99"/>
    <w:rPr>
      <w:rFonts w:ascii="Arial" w:hAnsi="Arial" w:cs="Times New Roman"/>
      <w:b/>
      <w:snapToGrid w:val="0"/>
      <w:sz w:val="30"/>
    </w:rPr>
  </w:style>
  <w:style w:type="character" w:customStyle="1" w:styleId="66">
    <w:name w:val="正文111 Char Char"/>
    <w:link w:val="67"/>
    <w:qFormat/>
    <w:uiPriority w:val="0"/>
    <w:rPr>
      <w:rFonts w:ascii="Tahoma" w:hAnsi="Tahoma"/>
      <w:sz w:val="24"/>
    </w:rPr>
  </w:style>
  <w:style w:type="paragraph" w:customStyle="1" w:styleId="67">
    <w:name w:val="正文111"/>
    <w:basedOn w:val="1"/>
    <w:link w:val="66"/>
    <w:qFormat/>
    <w:uiPriority w:val="0"/>
    <w:pPr>
      <w:spacing w:beforeLines="50" w:line="360" w:lineRule="auto"/>
      <w:ind w:firstLine="200" w:firstLineChars="200"/>
    </w:pPr>
    <w:rPr>
      <w:rFonts w:ascii="Tahoma" w:hAnsi="Tahoma"/>
      <w:kern w:val="0"/>
      <w:sz w:val="24"/>
      <w:szCs w:val="20"/>
    </w:rPr>
  </w:style>
  <w:style w:type="character" w:customStyle="1" w:styleId="68">
    <w:name w:val="bord"/>
    <w:qFormat/>
    <w:uiPriority w:val="0"/>
  </w:style>
  <w:style w:type="character" w:customStyle="1" w:styleId="69">
    <w:name w:val="模板正文 Char"/>
    <w:link w:val="70"/>
    <w:qFormat/>
    <w:uiPriority w:val="0"/>
    <w:rPr>
      <w:rFonts w:ascii="Calibri" w:hAnsi="Calibri"/>
      <w:sz w:val="24"/>
      <w:szCs w:val="24"/>
      <w:lang w:bidi="en-US"/>
    </w:rPr>
  </w:style>
  <w:style w:type="paragraph" w:customStyle="1" w:styleId="70">
    <w:name w:val="模板正文"/>
    <w:basedOn w:val="22"/>
    <w:link w:val="69"/>
    <w:qFormat/>
    <w:uiPriority w:val="0"/>
    <w:pPr>
      <w:widowControl/>
      <w:spacing w:before="200" w:after="0" w:line="360" w:lineRule="auto"/>
      <w:ind w:left="0" w:leftChars="0" w:firstLine="480" w:firstLineChars="200"/>
      <w:jc w:val="left"/>
    </w:pPr>
    <w:rPr>
      <w:rFonts w:ascii="Calibri" w:hAnsi="Calibri"/>
      <w:kern w:val="0"/>
      <w:sz w:val="24"/>
      <w:szCs w:val="24"/>
      <w:lang w:bidi="en-US"/>
    </w:rPr>
  </w:style>
  <w:style w:type="character" w:customStyle="1" w:styleId="71">
    <w:name w:val="正文文本缩进 3 Char"/>
    <w:link w:val="22"/>
    <w:semiHidden/>
    <w:qFormat/>
    <w:uiPriority w:val="99"/>
    <w:rPr>
      <w:kern w:val="2"/>
      <w:sz w:val="16"/>
      <w:szCs w:val="16"/>
    </w:rPr>
  </w:style>
  <w:style w:type="paragraph" w:customStyle="1" w:styleId="72">
    <w:name w:val="正文文本缩进1"/>
    <w:basedOn w:val="1"/>
    <w:qFormat/>
    <w:uiPriority w:val="0"/>
    <w:pPr>
      <w:spacing w:after="120"/>
      <w:ind w:left="420" w:leftChars="200"/>
    </w:pPr>
    <w:rPr>
      <w:szCs w:val="20"/>
    </w:rPr>
  </w:style>
  <w:style w:type="character" w:customStyle="1" w:styleId="73">
    <w:name w:val="font41"/>
    <w:basedOn w:val="26"/>
    <w:qFormat/>
    <w:uiPriority w:val="0"/>
    <w:rPr>
      <w:rFonts w:hint="eastAsia" w:ascii="宋体" w:hAnsi="宋体" w:eastAsia="宋体" w:cs="宋体"/>
      <w:color w:val="000000"/>
      <w:sz w:val="20"/>
      <w:szCs w:val="20"/>
      <w:u w:val="none"/>
    </w:rPr>
  </w:style>
  <w:style w:type="character" w:customStyle="1" w:styleId="74">
    <w:name w:val="font21"/>
    <w:basedOn w:val="26"/>
    <w:qFormat/>
    <w:uiPriority w:val="0"/>
    <w:rPr>
      <w:rFonts w:hint="eastAsia" w:ascii="宋体" w:hAnsi="宋体" w:eastAsia="宋体" w:cs="宋体"/>
      <w:color w:val="000000"/>
      <w:sz w:val="20"/>
      <w:szCs w:val="20"/>
      <w:u w:val="none"/>
    </w:rPr>
  </w:style>
  <w:style w:type="character" w:customStyle="1" w:styleId="75">
    <w:name w:val="font01"/>
    <w:basedOn w:val="26"/>
    <w:qFormat/>
    <w:uiPriority w:val="0"/>
    <w:rPr>
      <w:rFonts w:hint="eastAsia" w:ascii="宋体" w:hAnsi="宋体" w:eastAsia="宋体" w:cs="宋体"/>
      <w:color w:val="FF0000"/>
      <w:sz w:val="20"/>
      <w:szCs w:val="20"/>
      <w:u w:val="none"/>
    </w:rPr>
  </w:style>
  <w:style w:type="character" w:customStyle="1" w:styleId="76">
    <w:name w:val="font11"/>
    <w:basedOn w:val="26"/>
    <w:qFormat/>
    <w:uiPriority w:val="0"/>
    <w:rPr>
      <w:rFonts w:hint="eastAsia" w:ascii="宋体" w:hAnsi="宋体" w:eastAsia="宋体" w:cs="宋体"/>
      <w:color w:val="FF0000"/>
      <w:sz w:val="20"/>
      <w:szCs w:val="20"/>
      <w:u w:val="none"/>
    </w:rPr>
  </w:style>
  <w:style w:type="paragraph" w:customStyle="1" w:styleId="77">
    <w:name w:val="*正文"/>
    <w:basedOn w:val="1"/>
    <w:qFormat/>
    <w:uiPriority w:val="0"/>
    <w:pPr>
      <w:spacing w:line="360" w:lineRule="auto"/>
      <w:ind w:firstLine="200" w:firstLineChars="200"/>
    </w:pPr>
    <w:rPr>
      <w:rFonts w:ascii="宋体" w:hAnsi="宋体" w:eastAsia="宋体" w:cs="Times New Roman"/>
      <w:sz w:val="24"/>
      <w:szCs w:val="24"/>
    </w:rPr>
  </w:style>
  <w:style w:type="character" w:customStyle="1" w:styleId="78">
    <w:name w:val="time"/>
    <w:basedOn w:val="26"/>
    <w:qFormat/>
    <w:uiPriority w:val="0"/>
  </w:style>
  <w:style w:type="character" w:customStyle="1" w:styleId="79">
    <w:name w:val="time1"/>
    <w:basedOn w:val="26"/>
    <w:qFormat/>
    <w:uiPriority w:val="0"/>
  </w:style>
  <w:style w:type="character" w:customStyle="1" w:styleId="80">
    <w:name w:val="time2"/>
    <w:basedOn w:val="26"/>
    <w:qFormat/>
    <w:uiPriority w:val="0"/>
  </w:style>
  <w:style w:type="character" w:customStyle="1" w:styleId="81">
    <w:name w:val="english"/>
    <w:basedOn w:val="26"/>
    <w:qFormat/>
    <w:uiPriority w:val="0"/>
    <w:rPr>
      <w:rFonts w:ascii="微软雅黑" w:hAnsi="微软雅黑" w:eastAsia="微软雅黑" w:cs="微软雅黑"/>
      <w:i/>
      <w:caps/>
      <w:color w:val="9E9E9E"/>
      <w:sz w:val="21"/>
      <w:szCs w:val="21"/>
    </w:rPr>
  </w:style>
  <w:style w:type="character" w:customStyle="1" w:styleId="82">
    <w:name w:val="english1"/>
    <w:basedOn w:val="26"/>
    <w:qFormat/>
    <w:uiPriority w:val="0"/>
    <w:rPr>
      <w:rFonts w:hint="eastAsia" w:ascii="微软雅黑" w:hAnsi="微软雅黑" w:eastAsia="微软雅黑" w:cs="微软雅黑"/>
      <w:color w:val="000000"/>
      <w:sz w:val="12"/>
      <w:szCs w:val="12"/>
    </w:rPr>
  </w:style>
  <w:style w:type="character" w:customStyle="1" w:styleId="83">
    <w:name w:val="english2"/>
    <w:basedOn w:val="26"/>
    <w:qFormat/>
    <w:uiPriority w:val="0"/>
    <w:rPr>
      <w:rFonts w:hint="eastAsia" w:ascii="微软雅黑" w:hAnsi="微软雅黑" w:eastAsia="微软雅黑" w:cs="微软雅黑"/>
      <w:i/>
      <w:caps/>
      <w:color w:val="9E9E9E"/>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2750</Words>
  <Characters>15677</Characters>
  <Lines>130</Lines>
  <Paragraphs>36</Paragraphs>
  <TotalTime>28</TotalTime>
  <ScaleCrop>false</ScaleCrop>
  <LinksUpToDate>false</LinksUpToDate>
  <CharactersWithSpaces>18391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2016-12-30T02:06:00Z</dcterms:created>
  <dc:creator>海南泰尚项目投资管理有限公司</dc:creator>
  <cp:lastModifiedBy>Administrator</cp:lastModifiedBy>
  <cp:lastPrinted>2018-10-11T01:06:04Z</cp:lastPrinted>
  <dcterms:modified xsi:type="dcterms:W3CDTF">2018-10-11T01:06:25Z</dcterms:modified>
  <dc:subject>公开招标采购文件</dc:subject>
  <dc:title>公开招标范本</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