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宋体" w:hAnsi="宋体"/>
          <w:sz w:val="36"/>
          <w:szCs w:val="36"/>
        </w:rPr>
      </w:pPr>
      <w:bookmarkStart w:id="0" w:name="_Toc11822"/>
      <w:r>
        <w:rPr>
          <w:rFonts w:hint="eastAsia" w:ascii="宋体" w:hAnsi="宋体"/>
          <w:sz w:val="36"/>
          <w:szCs w:val="36"/>
        </w:rPr>
        <w:t>用户需求书</w:t>
      </w:r>
      <w:bookmarkEnd w:id="0"/>
    </w:p>
    <w:p>
      <w:pPr>
        <w:numPr>
          <w:ilvl w:val="0"/>
          <w:numId w:val="1"/>
        </w:numPr>
        <w:spacing w:line="360" w:lineRule="auto"/>
        <w:rPr>
          <w:rFonts w:ascii="宋体" w:hAnsi="宋体" w:cs="宋体"/>
          <w:b/>
          <w:bCs/>
          <w:sz w:val="24"/>
        </w:rPr>
      </w:pPr>
      <w:r>
        <w:rPr>
          <w:rFonts w:hint="eastAsia" w:ascii="宋体" w:hAnsi="宋体" w:cs="宋体"/>
          <w:b/>
          <w:bCs/>
          <w:sz w:val="24"/>
        </w:rPr>
        <w:t>项目背景</w:t>
      </w:r>
    </w:p>
    <w:p>
      <w:pPr>
        <w:spacing w:line="480" w:lineRule="auto"/>
        <w:ind w:firstLine="480" w:firstLineChars="200"/>
        <w:rPr>
          <w:rFonts w:hint="eastAsia" w:ascii="宋体" w:hAnsi="宋体" w:cs="宋体"/>
          <w:sz w:val="24"/>
          <w:lang w:eastAsia="zh-CN"/>
        </w:rPr>
      </w:pPr>
      <w:r>
        <w:rPr>
          <w:rFonts w:hint="eastAsia" w:ascii="宋体" w:hAnsi="宋体" w:cs="宋体"/>
          <w:sz w:val="24"/>
          <w:lang w:eastAsia="zh-CN"/>
        </w:rPr>
        <w:t>为提升国内旅游市场宣传的档次和规模，重点针对国内中高端客源开展宣传促销，经研究并结合市场分析，以“线下城市路演+线上活动宣传”的形式在目前海南旅游广告未覆盖的国内客源城市的核心商圈开展“城市移动海岛”——海南旅游集装箱巡游活动。</w:t>
      </w:r>
    </w:p>
    <w:p>
      <w:pPr>
        <w:spacing w:line="480" w:lineRule="auto"/>
        <w:rPr>
          <w:rFonts w:ascii="宋体" w:hAnsi="宋体" w:cs="宋体"/>
          <w:sz w:val="24"/>
          <w:lang w:eastAsia="zh-CN"/>
        </w:rPr>
      </w:pPr>
      <w:r>
        <w:rPr>
          <w:rFonts w:hint="eastAsia" w:ascii="宋体" w:hAnsi="宋体" w:cs="宋体"/>
          <w:b/>
          <w:bCs/>
          <w:sz w:val="24"/>
          <w:lang w:eastAsia="zh-CN"/>
        </w:rPr>
        <w:t>二、项目预算</w:t>
      </w:r>
    </w:p>
    <w:p>
      <w:pPr>
        <w:spacing w:line="480" w:lineRule="auto"/>
        <w:ind w:firstLine="480" w:firstLineChars="200"/>
        <w:rPr>
          <w:rFonts w:ascii="宋体" w:hAnsi="宋体" w:cs="宋体"/>
          <w:sz w:val="24"/>
          <w:lang w:eastAsia="zh-CN"/>
        </w:rPr>
      </w:pPr>
      <w:r>
        <w:rPr>
          <w:rFonts w:hint="eastAsia" w:ascii="宋体" w:hAnsi="宋体" w:cs="宋体"/>
          <w:sz w:val="24"/>
          <w:lang w:eastAsia="zh-CN"/>
        </w:rPr>
        <w:t>本次项目预算为￥1</w:t>
      </w:r>
      <w:r>
        <w:rPr>
          <w:rFonts w:hint="eastAsia" w:ascii="宋体" w:hAnsi="宋体" w:cs="宋体"/>
          <w:sz w:val="24"/>
          <w:lang w:val="en-US" w:eastAsia="zh-CN"/>
        </w:rPr>
        <w:t>00</w:t>
      </w:r>
      <w:r>
        <w:rPr>
          <w:rFonts w:hint="eastAsia" w:ascii="宋体" w:hAnsi="宋体" w:cs="宋体"/>
          <w:sz w:val="24"/>
          <w:lang w:eastAsia="zh-CN"/>
        </w:rPr>
        <w:t>万元。</w:t>
      </w:r>
    </w:p>
    <w:p>
      <w:pPr>
        <w:widowControl/>
        <w:numPr>
          <w:ilvl w:val="0"/>
          <w:numId w:val="2"/>
        </w:numPr>
        <w:shd w:val="clear" w:color="auto" w:fill="FFFFFF"/>
        <w:spacing w:line="360" w:lineRule="auto"/>
        <w:rPr>
          <w:rFonts w:hint="eastAsia" w:ascii="宋体" w:hAnsi="宋体" w:cs="宋体"/>
          <w:b/>
          <w:bCs/>
          <w:sz w:val="24"/>
        </w:rPr>
      </w:pPr>
      <w:r>
        <w:rPr>
          <w:rFonts w:hint="eastAsia" w:ascii="宋体" w:hAnsi="宋体" w:cs="宋体"/>
          <w:b/>
          <w:bCs/>
          <w:sz w:val="24"/>
        </w:rPr>
        <w:t>项目内容及要求</w:t>
      </w:r>
    </w:p>
    <w:p>
      <w:pPr>
        <w:spacing w:line="560" w:lineRule="exact"/>
        <w:ind w:firstLine="480" w:firstLineChars="200"/>
        <w:rPr>
          <w:rFonts w:hint="eastAsia" w:ascii="宋体" w:hAnsi="宋体" w:cs="宋体"/>
          <w:b w:val="0"/>
          <w:bCs w:val="0"/>
          <w:sz w:val="24"/>
          <w:lang w:val="en-US" w:eastAsia="zh-CN"/>
        </w:rPr>
      </w:pPr>
      <w:r>
        <w:rPr>
          <w:rFonts w:hint="eastAsia" w:ascii="宋体" w:hAnsi="宋体" w:cs="宋体"/>
          <w:b w:val="0"/>
          <w:bCs w:val="0"/>
          <w:sz w:val="24"/>
          <w:lang w:val="en-US" w:eastAsia="zh-CN"/>
        </w:rPr>
        <w:t>1、投放时间：2018年6月至9月</w:t>
      </w:r>
    </w:p>
    <w:p>
      <w:pPr>
        <w:spacing w:line="560" w:lineRule="exact"/>
        <w:ind w:firstLine="480" w:firstLineChars="200"/>
        <w:rPr>
          <w:rFonts w:hint="eastAsia" w:ascii="宋体" w:hAnsi="宋体" w:cs="宋体"/>
          <w:b w:val="0"/>
          <w:bCs w:val="0"/>
          <w:sz w:val="24"/>
          <w:lang w:val="en-US" w:eastAsia="zh-CN"/>
        </w:rPr>
      </w:pPr>
      <w:r>
        <w:rPr>
          <w:rFonts w:hint="eastAsia" w:ascii="宋体" w:hAnsi="宋体" w:cs="宋体"/>
          <w:b w:val="0"/>
          <w:bCs w:val="0"/>
          <w:sz w:val="24"/>
          <w:lang w:val="en-US" w:eastAsia="zh-CN"/>
        </w:rPr>
        <w:t>2、投放地点：长沙（中部城市）、杭州（长三角城市），每个城市落地40天 ，两城共计80天。</w:t>
      </w:r>
    </w:p>
    <w:tbl>
      <w:tblPr>
        <w:tblStyle w:val="4"/>
        <w:tblpPr w:leftFromText="180" w:rightFromText="180" w:vertAnchor="text" w:horzAnchor="page" w:tblpX="1104" w:tblpY="380"/>
        <w:tblOverlap w:val="never"/>
        <w:tblW w:w="9380" w:type="dxa"/>
        <w:tblInd w:w="0" w:type="dxa"/>
        <w:tblLayout w:type="fixed"/>
        <w:tblCellMar>
          <w:top w:w="0" w:type="dxa"/>
          <w:left w:w="0" w:type="dxa"/>
          <w:bottom w:w="0" w:type="dxa"/>
          <w:right w:w="0" w:type="dxa"/>
        </w:tblCellMar>
      </w:tblPr>
      <w:tblGrid>
        <w:gridCol w:w="2166"/>
        <w:gridCol w:w="2238"/>
        <w:gridCol w:w="4976"/>
      </w:tblGrid>
      <w:tr>
        <w:tblPrEx>
          <w:tblLayout w:type="fixed"/>
        </w:tblPrEx>
        <w:trPr>
          <w:trHeight w:val="641" w:hRule="atLeast"/>
        </w:trPr>
        <w:tc>
          <w:tcPr>
            <w:tcW w:w="2166" w:type="dxa"/>
            <w:tcBorders>
              <w:top w:val="single" w:color="080000" w:sz="6" w:space="0"/>
              <w:left w:val="single" w:color="080000" w:sz="6" w:space="0"/>
              <w:bottom w:val="single" w:color="auto" w:sz="4" w:space="0"/>
              <w:right w:val="single" w:color="080000" w:sz="6" w:space="0"/>
            </w:tcBorders>
            <w:vAlign w:val="bottom"/>
          </w:tcPr>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推荐时间</w:t>
            </w:r>
          </w:p>
        </w:tc>
        <w:tc>
          <w:tcPr>
            <w:tcW w:w="2238" w:type="dxa"/>
            <w:tcBorders>
              <w:top w:val="single" w:color="080000" w:sz="6" w:space="0"/>
              <w:left w:val="single" w:color="080000" w:sz="6" w:space="0"/>
              <w:bottom w:val="single" w:color="080000" w:sz="6" w:space="0"/>
              <w:right w:val="single" w:color="000000" w:sz="6" w:space="0"/>
            </w:tcBorders>
            <w:vAlign w:val="bottom"/>
          </w:tcPr>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城市</w:t>
            </w:r>
          </w:p>
        </w:tc>
        <w:tc>
          <w:tcPr>
            <w:tcW w:w="4976" w:type="dxa"/>
            <w:tcBorders>
              <w:top w:val="single" w:color="080000" w:sz="6" w:space="0"/>
              <w:left w:val="single" w:color="000000" w:sz="6" w:space="0"/>
              <w:bottom w:val="single" w:color="080000" w:sz="6" w:space="0"/>
              <w:right w:val="single" w:color="000000" w:sz="6" w:space="0"/>
            </w:tcBorders>
            <w:vAlign w:val="bottom"/>
          </w:tcPr>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核心商圈</w:t>
            </w:r>
          </w:p>
        </w:tc>
      </w:tr>
      <w:tr>
        <w:tblPrEx>
          <w:tblLayout w:type="fixed"/>
        </w:tblPrEx>
        <w:trPr>
          <w:trHeight w:val="3147" w:hRule="atLeast"/>
        </w:trPr>
        <w:tc>
          <w:tcPr>
            <w:tcW w:w="2166" w:type="dxa"/>
            <w:tcBorders>
              <w:top w:val="single" w:color="auto" w:sz="4" w:space="0"/>
              <w:left w:val="single" w:color="080000" w:sz="6" w:space="0"/>
              <w:bottom w:val="single" w:color="080000" w:sz="6" w:space="0"/>
              <w:right w:val="single" w:color="080000" w:sz="6" w:space="0"/>
            </w:tcBorders>
            <w:vAlign w:val="center"/>
          </w:tcPr>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6-7月</w:t>
            </w:r>
          </w:p>
        </w:tc>
        <w:tc>
          <w:tcPr>
            <w:tcW w:w="2238" w:type="dxa"/>
            <w:tcBorders>
              <w:top w:val="single" w:color="080000" w:sz="6" w:space="0"/>
              <w:left w:val="single" w:color="080000" w:sz="6" w:space="0"/>
              <w:bottom w:val="single" w:color="080000" w:sz="6" w:space="0"/>
              <w:right w:val="single" w:color="000000" w:sz="6" w:space="0"/>
            </w:tcBorders>
            <w:vAlign w:val="center"/>
          </w:tcPr>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长沙</w:t>
            </w:r>
          </w:p>
        </w:tc>
        <w:tc>
          <w:tcPr>
            <w:tcW w:w="4976" w:type="dxa"/>
            <w:tcBorders>
              <w:top w:val="single" w:color="080000" w:sz="6" w:space="0"/>
              <w:left w:val="single" w:color="000000" w:sz="6" w:space="0"/>
              <w:bottom w:val="single" w:color="080000" w:sz="6" w:space="0"/>
              <w:right w:val="single" w:color="000000" w:sz="6" w:space="0"/>
            </w:tcBorders>
            <w:vAlign w:val="center"/>
          </w:tcPr>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富兴时代购物广场（芙蓉路商圈）</w:t>
            </w:r>
          </w:p>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德思勤购物中心（韶山南路商圈）</w:t>
            </w:r>
          </w:p>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梅溪湖步步高商业广场（河西麓谷商圈）</w:t>
            </w:r>
          </w:p>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海信广场（五一路商圈）</w:t>
            </w:r>
          </w:p>
        </w:tc>
      </w:tr>
      <w:tr>
        <w:tblPrEx>
          <w:tblLayout w:type="fixed"/>
          <w:tblCellMar>
            <w:top w:w="0" w:type="dxa"/>
            <w:left w:w="0" w:type="dxa"/>
            <w:bottom w:w="0" w:type="dxa"/>
            <w:right w:w="0" w:type="dxa"/>
          </w:tblCellMar>
        </w:tblPrEx>
        <w:trPr>
          <w:trHeight w:val="3789" w:hRule="atLeast"/>
        </w:trPr>
        <w:tc>
          <w:tcPr>
            <w:tcW w:w="2166" w:type="dxa"/>
            <w:tcBorders>
              <w:top w:val="single" w:color="auto" w:sz="4" w:space="0"/>
              <w:left w:val="single" w:color="080000" w:sz="6" w:space="0"/>
              <w:bottom w:val="single" w:color="080000" w:sz="6" w:space="0"/>
              <w:right w:val="single" w:color="080000" w:sz="6" w:space="0"/>
            </w:tcBorders>
            <w:vAlign w:val="center"/>
          </w:tcPr>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8-9月</w:t>
            </w:r>
          </w:p>
        </w:tc>
        <w:tc>
          <w:tcPr>
            <w:tcW w:w="2238" w:type="dxa"/>
            <w:tcBorders>
              <w:top w:val="single" w:color="080000" w:sz="6" w:space="0"/>
              <w:left w:val="single" w:color="080000" w:sz="6" w:space="0"/>
              <w:bottom w:val="single" w:color="080000" w:sz="6" w:space="0"/>
              <w:right w:val="single" w:color="000000" w:sz="6" w:space="0"/>
            </w:tcBorders>
            <w:vAlign w:val="center"/>
          </w:tcPr>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杭州</w:t>
            </w:r>
          </w:p>
        </w:tc>
        <w:tc>
          <w:tcPr>
            <w:tcW w:w="4976" w:type="dxa"/>
            <w:tcBorders>
              <w:top w:val="single" w:color="080000" w:sz="6" w:space="0"/>
              <w:left w:val="single" w:color="000000" w:sz="6" w:space="0"/>
              <w:bottom w:val="single" w:color="080000" w:sz="6" w:space="0"/>
              <w:right w:val="single" w:color="000000" w:sz="6" w:space="0"/>
            </w:tcBorders>
            <w:vAlign w:val="center"/>
          </w:tcPr>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 国大城市广场</w:t>
            </w:r>
          </w:p>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杭州百货大楼</w:t>
            </w:r>
          </w:p>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杭州大厦购物城</w:t>
            </w:r>
          </w:p>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杭州解百</w:t>
            </w:r>
          </w:p>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利星名品广场</w:t>
            </w:r>
          </w:p>
          <w:p>
            <w:pPr>
              <w:spacing w:line="480" w:lineRule="auto"/>
              <w:jc w:val="center"/>
              <w:rPr>
                <w:rFonts w:hint="eastAsia" w:ascii="宋体" w:hAnsi="宋体" w:cs="宋体"/>
                <w:sz w:val="24"/>
                <w:lang w:val="en-US" w:eastAsia="zh-CN"/>
              </w:rPr>
            </w:pPr>
            <w:r>
              <w:rPr>
                <w:rFonts w:hint="eastAsia" w:ascii="宋体" w:hAnsi="宋体" w:cs="宋体"/>
                <w:sz w:val="24"/>
                <w:lang w:val="en-US" w:eastAsia="zh-CN"/>
              </w:rPr>
              <w:t>杭州银泰百货</w:t>
            </w:r>
          </w:p>
        </w:tc>
      </w:tr>
    </w:tbl>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tabs>
          <w:tab w:val="left" w:pos="525"/>
        </w:tabs>
        <w:spacing w:line="360" w:lineRule="auto"/>
        <w:rPr>
          <w:rFonts w:ascii="宋体" w:hAnsi="宋体" w:cs="宋体"/>
          <w:sz w:val="24"/>
        </w:rPr>
      </w:pPr>
    </w:p>
    <w:p>
      <w:pPr>
        <w:numPr>
          <w:ilvl w:val="0"/>
          <w:numId w:val="3"/>
        </w:numPr>
        <w:tabs>
          <w:tab w:val="left" w:pos="525"/>
        </w:tabs>
        <w:spacing w:line="360" w:lineRule="auto"/>
        <w:rPr>
          <w:rFonts w:hint="eastAsia" w:ascii="宋体" w:hAnsi="宋体" w:cs="宋体"/>
          <w:sz w:val="24"/>
          <w:lang w:val="en-US" w:eastAsia="zh-CN"/>
        </w:rPr>
      </w:pPr>
      <w:r>
        <w:rPr>
          <w:rFonts w:hint="eastAsia" w:ascii="宋体" w:hAnsi="宋体" w:cs="宋体"/>
          <w:sz w:val="24"/>
          <w:lang w:val="en-US" w:eastAsia="zh-CN"/>
        </w:rPr>
        <w:t>项目内容：</w:t>
      </w:r>
    </w:p>
    <w:p>
      <w:pPr>
        <w:numPr>
          <w:ilvl w:val="0"/>
          <w:numId w:val="4"/>
        </w:numPr>
        <w:tabs>
          <w:tab w:val="left" w:pos="525"/>
          <w:tab w:val="clear" w:pos="312"/>
        </w:tabs>
        <w:spacing w:line="360" w:lineRule="auto"/>
        <w:ind w:firstLine="720" w:firstLineChars="300"/>
        <w:rPr>
          <w:rFonts w:hint="eastAsia" w:ascii="宋体" w:hAnsi="宋体" w:cs="宋体"/>
          <w:sz w:val="24"/>
          <w:lang w:val="en-US" w:eastAsia="zh-CN"/>
        </w:rPr>
      </w:pPr>
      <w:r>
        <w:rPr>
          <w:rFonts w:hint="eastAsia" w:ascii="宋体" w:hAnsi="宋体" w:cs="宋体"/>
          <w:sz w:val="24"/>
          <w:lang w:val="en-US" w:eastAsia="zh-CN"/>
        </w:rPr>
        <w:t>在</w:t>
      </w:r>
      <w:bookmarkStart w:id="1" w:name="_GoBack"/>
      <w:bookmarkEnd w:id="1"/>
      <w:r>
        <w:rPr>
          <w:rFonts w:hint="eastAsia" w:ascii="宋体" w:hAnsi="宋体" w:cs="宋体"/>
          <w:sz w:val="24"/>
          <w:lang w:val="en-US" w:eastAsia="zh-CN"/>
        </w:rPr>
        <w:t>长沙、杭州两大城市落地开展路演活动以独具海南特色外部造型和主题活动，将集装箱闪店打造成“城市移动海岛”的宣传载体。每个城市停留40天。</w:t>
      </w:r>
    </w:p>
    <w:p>
      <w:pPr>
        <w:numPr>
          <w:ilvl w:val="0"/>
          <w:numId w:val="4"/>
        </w:numPr>
        <w:tabs>
          <w:tab w:val="left" w:pos="525"/>
          <w:tab w:val="clear" w:pos="312"/>
        </w:tabs>
        <w:spacing w:line="360" w:lineRule="auto"/>
        <w:ind w:firstLine="720" w:firstLineChars="300"/>
        <w:rPr>
          <w:rFonts w:ascii="宋体" w:hAnsi="宋体" w:cs="宋体"/>
          <w:sz w:val="24"/>
        </w:rPr>
      </w:pPr>
      <w:r>
        <w:rPr>
          <w:rFonts w:hint="eastAsia" w:ascii="宋体" w:hAnsi="宋体" w:cs="宋体"/>
          <w:sz w:val="24"/>
          <w:lang w:val="en-US" w:eastAsia="zh-CN"/>
        </w:rPr>
        <w:t>在展期内的周末时间展开8场独具海南特色的美食、美酒、音乐等年轻人喜欢的主题活动。</w:t>
      </w:r>
    </w:p>
    <w:p>
      <w:pPr>
        <w:numPr>
          <w:ilvl w:val="0"/>
          <w:numId w:val="4"/>
        </w:numPr>
        <w:tabs>
          <w:tab w:val="left" w:pos="525"/>
          <w:tab w:val="clear" w:pos="312"/>
        </w:tabs>
        <w:spacing w:line="360" w:lineRule="auto"/>
        <w:ind w:firstLine="720" w:firstLineChars="300"/>
        <w:rPr>
          <w:rFonts w:ascii="宋体" w:hAnsi="宋体" w:cs="宋体"/>
          <w:sz w:val="24"/>
        </w:rPr>
      </w:pPr>
      <w:r>
        <w:rPr>
          <w:rFonts w:hint="eastAsia" w:ascii="宋体" w:hAnsi="宋体" w:cs="宋体"/>
          <w:sz w:val="24"/>
          <w:lang w:val="en-US" w:eastAsia="zh-CN"/>
        </w:rPr>
        <w:t>活动期间，在新浪、腾讯等全国媒体及落地城市的地方媒体开展宣传。</w:t>
      </w:r>
    </w:p>
    <w:p>
      <w:pPr>
        <w:numPr>
          <w:ilvl w:val="0"/>
          <w:numId w:val="4"/>
        </w:numPr>
        <w:tabs>
          <w:tab w:val="left" w:pos="525"/>
          <w:tab w:val="clear" w:pos="312"/>
        </w:tabs>
        <w:spacing w:line="360" w:lineRule="auto"/>
        <w:ind w:firstLine="720" w:firstLineChars="300"/>
        <w:rPr>
          <w:rFonts w:ascii="宋体" w:hAnsi="宋体" w:cs="宋体"/>
          <w:sz w:val="24"/>
        </w:rPr>
      </w:pPr>
      <w:r>
        <w:rPr>
          <w:rFonts w:hint="eastAsia" w:ascii="宋体" w:hAnsi="宋体" w:cs="宋体"/>
          <w:sz w:val="24"/>
          <w:lang w:val="en-US" w:eastAsia="zh-CN"/>
        </w:rPr>
        <w:t>组织有影响力的KOL(网红)到现场参加活动，开展直播，利用粉丝圈提升活动影响力。</w:t>
      </w:r>
    </w:p>
    <w:p>
      <w:pPr>
        <w:snapToGrid w:val="0"/>
        <w:spacing w:line="360" w:lineRule="auto"/>
        <w:rPr>
          <w:rFonts w:ascii="宋体" w:hAnsi="宋体"/>
          <w:b/>
          <w:sz w:val="28"/>
          <w:szCs w:val="28"/>
          <w:lang w:eastAsia="zh-CN"/>
        </w:rPr>
      </w:pPr>
      <w:r>
        <w:rPr>
          <w:rFonts w:hint="eastAsia" w:ascii="宋体" w:hAnsi="宋体"/>
          <w:b/>
          <w:sz w:val="28"/>
          <w:szCs w:val="28"/>
          <w:lang w:eastAsia="zh-CN"/>
        </w:rPr>
        <w:t>四、商务要求</w:t>
      </w:r>
    </w:p>
    <w:p>
      <w:pPr>
        <w:snapToGrid w:val="0"/>
        <w:spacing w:line="360" w:lineRule="auto"/>
        <w:ind w:left="314" w:hanging="314" w:hangingChars="131"/>
        <w:rPr>
          <w:rFonts w:ascii="宋体" w:hAnsi="宋体" w:cs="宋体"/>
          <w:sz w:val="24"/>
          <w:lang w:eastAsia="zh-CN"/>
        </w:rPr>
      </w:pPr>
      <w:r>
        <w:rPr>
          <w:rFonts w:hint="eastAsia" w:ascii="宋体" w:hAnsi="宋体" w:cs="宋体"/>
          <w:sz w:val="24"/>
          <w:lang w:eastAsia="zh-CN"/>
        </w:rPr>
        <w:t>1、</w:t>
      </w:r>
      <w:r>
        <w:rPr>
          <w:rFonts w:hint="eastAsia" w:ascii="宋体" w:hAnsi="宋体" w:cs="宋体"/>
          <w:color w:val="FF0000"/>
          <w:sz w:val="24"/>
          <w:lang w:eastAsia="zh-CN"/>
        </w:rPr>
        <w:t>投放时间：2018年6月至9月</w:t>
      </w:r>
    </w:p>
    <w:p>
      <w:pPr>
        <w:snapToGrid w:val="0"/>
        <w:spacing w:line="360" w:lineRule="auto"/>
        <w:ind w:left="314" w:hanging="314" w:hangingChars="131"/>
        <w:rPr>
          <w:rFonts w:ascii="宋体" w:hAnsi="宋体" w:cs="宋体"/>
          <w:sz w:val="24"/>
          <w:lang w:eastAsia="zh-CN"/>
        </w:rPr>
      </w:pPr>
      <w:r>
        <w:rPr>
          <w:rFonts w:hint="eastAsia" w:ascii="宋体" w:hAnsi="宋体" w:cs="宋体"/>
          <w:sz w:val="24"/>
          <w:lang w:eastAsia="zh-CN"/>
        </w:rPr>
        <w:t>2、成果交付地点：采购人指定的</w:t>
      </w:r>
      <w:r>
        <w:rPr>
          <w:rFonts w:hint="eastAsia" w:ascii="宋体" w:hAnsi="宋体"/>
          <w:sz w:val="24"/>
          <w:lang w:eastAsia="zh-CN"/>
        </w:rPr>
        <w:t>交付</w:t>
      </w:r>
      <w:r>
        <w:rPr>
          <w:rFonts w:hint="eastAsia" w:ascii="宋体" w:hAnsi="宋体" w:cs="宋体"/>
          <w:sz w:val="24"/>
          <w:lang w:eastAsia="zh-CN"/>
        </w:rPr>
        <w:t>地点。</w:t>
      </w:r>
    </w:p>
    <w:p>
      <w:pPr>
        <w:widowControl/>
        <w:spacing w:line="360" w:lineRule="auto"/>
        <w:rPr>
          <w:rFonts w:ascii="宋体" w:hAnsi="宋体" w:cs="宋体"/>
          <w:sz w:val="24"/>
          <w:lang w:eastAsia="zh-CN"/>
        </w:rPr>
      </w:pPr>
      <w:r>
        <w:rPr>
          <w:rFonts w:hint="eastAsia" w:ascii="宋体" w:hAnsi="宋体" w:cs="宋体"/>
          <w:sz w:val="24"/>
          <w:lang w:eastAsia="zh-CN"/>
        </w:rPr>
        <w:t>3、付款方式：由采购人与中标人在合同中约定。</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0C0FD5"/>
    <w:multiLevelType w:val="singleLevel"/>
    <w:tmpl w:val="D50C0FD5"/>
    <w:lvl w:ilvl="0" w:tentative="0">
      <w:start w:val="3"/>
      <w:numFmt w:val="decimal"/>
      <w:suff w:val="nothing"/>
      <w:lvlText w:val="%1、"/>
      <w:lvlJc w:val="left"/>
    </w:lvl>
  </w:abstractNum>
  <w:abstractNum w:abstractNumId="1">
    <w:nsid w:val="18650FB1"/>
    <w:multiLevelType w:val="multilevel"/>
    <w:tmpl w:val="18650FB1"/>
    <w:lvl w:ilvl="0" w:tentative="0">
      <w:start w:val="1"/>
      <w:numFmt w:val="japaneseCounting"/>
      <w:lvlText w:val="%1、"/>
      <w:lvlJc w:val="left"/>
      <w:pPr>
        <w:ind w:left="510" w:hanging="51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1083D19"/>
    <w:multiLevelType w:val="singleLevel"/>
    <w:tmpl w:val="51083D19"/>
    <w:lvl w:ilvl="0" w:tentative="0">
      <w:start w:val="1"/>
      <w:numFmt w:val="decimal"/>
      <w:lvlText w:val="(%1)"/>
      <w:lvlJc w:val="left"/>
      <w:pPr>
        <w:tabs>
          <w:tab w:val="left" w:pos="312"/>
        </w:tabs>
      </w:pPr>
    </w:lvl>
  </w:abstractNum>
  <w:abstractNum w:abstractNumId="3">
    <w:nsid w:val="5AB480D9"/>
    <w:multiLevelType w:val="singleLevel"/>
    <w:tmpl w:val="5AB480D9"/>
    <w:lvl w:ilvl="0" w:tentative="0">
      <w:start w:val="3"/>
      <w:numFmt w:val="chineseCounting"/>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261AA"/>
    <w:rsid w:val="050D38D3"/>
    <w:rsid w:val="05343520"/>
    <w:rsid w:val="283261AA"/>
    <w:rsid w:val="2B2A7653"/>
    <w:rsid w:val="494D1626"/>
    <w:rsid w:val="4A6C64E2"/>
    <w:rsid w:val="5EA44F54"/>
    <w:rsid w:val="6F3A3352"/>
    <w:rsid w:val="7D537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0"/>
    <w:pPr>
      <w:keepNext/>
      <w:keepLines/>
      <w:spacing w:before="340" w:after="330" w:line="576" w:lineRule="auto"/>
      <w:jc w:val="both"/>
      <w:outlineLvl w:val="0"/>
    </w:pPr>
    <w:rPr>
      <w:rFonts w:ascii="Times New Roman" w:hAnsi="Times New Roman" w:eastAsia="宋体" w:cs="Times New Roman"/>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2018-03-23T06:57:00Z</dcterms:created>
  <dc:creator>LX</dc:creator>
  <cp:lastModifiedBy>叮咚</cp:lastModifiedBy>
  <dcterms:modified xsi:type="dcterms:W3CDTF">2018-03-26T03:03:40Z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