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39" w:rsidRDefault="00226C39" w:rsidP="00226C39">
      <w:pPr>
        <w:pStyle w:val="a5"/>
        <w:spacing w:line="360" w:lineRule="auto"/>
        <w:ind w:left="420" w:right="2279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     中标清单</w:t>
      </w:r>
    </w:p>
    <w:p w:rsidR="00226C39" w:rsidRDefault="00226C39" w:rsidP="00226C39">
      <w:pPr>
        <w:tabs>
          <w:tab w:val="left" w:pos="14742"/>
        </w:tabs>
        <w:adjustRightInd w:val="0"/>
        <w:snapToGrid w:val="0"/>
        <w:ind w:right="1077"/>
        <w:outlineLvl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项目名称：</w:t>
      </w:r>
      <w:r w:rsidRPr="00FA05BE">
        <w:rPr>
          <w:rFonts w:ascii="宋体" w:hAnsi="宋体" w:hint="eastAsia"/>
          <w:sz w:val="30"/>
          <w:szCs w:val="30"/>
        </w:rPr>
        <w:t>海南医学院教学仪器设备采购项目</w:t>
      </w:r>
      <w:r w:rsidR="00DC66D6">
        <w:rPr>
          <w:rFonts w:ascii="宋体" w:hAnsi="宋体" w:hint="eastAsia"/>
          <w:sz w:val="30"/>
          <w:szCs w:val="30"/>
        </w:rPr>
        <w:t>B</w:t>
      </w:r>
      <w:r w:rsidRPr="00745C12">
        <w:rPr>
          <w:rFonts w:ascii="宋体" w:hAnsi="宋体" w:hint="eastAsia"/>
          <w:sz w:val="30"/>
          <w:szCs w:val="30"/>
        </w:rPr>
        <w:t>包</w:t>
      </w:r>
    </w:p>
    <w:p w:rsidR="00226C39" w:rsidRDefault="00226C39" w:rsidP="00226C39">
      <w:pPr>
        <w:tabs>
          <w:tab w:val="left" w:pos="14742"/>
        </w:tabs>
        <w:adjustRightInd w:val="0"/>
        <w:snapToGrid w:val="0"/>
        <w:ind w:right="1077"/>
        <w:outlineLvl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招标编号：</w:t>
      </w:r>
      <w:r>
        <w:rPr>
          <w:rFonts w:ascii="宋体" w:hAnsi="宋体"/>
          <w:sz w:val="30"/>
          <w:szCs w:val="30"/>
        </w:rPr>
        <w:t>HNJY201</w:t>
      </w:r>
      <w:r>
        <w:rPr>
          <w:rFonts w:ascii="宋体" w:hAnsi="宋体" w:hint="eastAsia"/>
          <w:sz w:val="30"/>
          <w:szCs w:val="30"/>
        </w:rPr>
        <w:t>8</w:t>
      </w:r>
      <w:r>
        <w:rPr>
          <w:rFonts w:ascii="宋体" w:hAnsi="宋体"/>
          <w:sz w:val="30"/>
          <w:szCs w:val="30"/>
        </w:rPr>
        <w:t>-</w:t>
      </w:r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>-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 xml:space="preserve">   </w:t>
      </w:r>
    </w:p>
    <w:p w:rsidR="00035296" w:rsidRPr="00226C39" w:rsidRDefault="00226C39" w:rsidP="00226C39">
      <w:pPr>
        <w:spacing w:line="360" w:lineRule="exact"/>
        <w:ind w:right="2278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30"/>
          <w:szCs w:val="30"/>
        </w:rPr>
        <w:t>中标单位：</w:t>
      </w:r>
      <w:r w:rsidRPr="00226C39">
        <w:rPr>
          <w:rFonts w:ascii="宋体" w:hAnsi="宋体" w:hint="eastAsia"/>
          <w:sz w:val="30"/>
          <w:szCs w:val="30"/>
        </w:rPr>
        <w:t>海南天磊生物科技有限公司</w:t>
      </w:r>
      <w:r>
        <w:rPr>
          <w:rFonts w:ascii="宋体" w:hAnsi="宋体"/>
          <w:sz w:val="30"/>
          <w:szCs w:val="30"/>
        </w:rPr>
        <w:t xml:space="preserve">    </w:t>
      </w:r>
      <w:r w:rsidRPr="00745C12"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</w:rPr>
        <w:t xml:space="preserve">     </w:t>
      </w:r>
      <w:r>
        <w:rPr>
          <w:rFonts w:hint="eastAsia"/>
        </w:rPr>
        <w:t xml:space="preserve">   </w:t>
      </w:r>
      <w:r>
        <w:rPr>
          <w:rFonts w:ascii="宋体" w:hAnsi="宋体" w:hint="eastAsia"/>
          <w:sz w:val="24"/>
        </w:rPr>
        <w:t xml:space="preserve">        </w:t>
      </w:r>
    </w:p>
    <w:tbl>
      <w:tblPr>
        <w:tblpPr w:leftFromText="180" w:rightFromText="180" w:vertAnchor="text" w:horzAnchor="page" w:tblpXSpec="center" w:tblpY="15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/>
      </w:tblPr>
      <w:tblGrid>
        <w:gridCol w:w="832"/>
        <w:gridCol w:w="1780"/>
        <w:gridCol w:w="6229"/>
        <w:gridCol w:w="1549"/>
        <w:gridCol w:w="613"/>
        <w:gridCol w:w="616"/>
        <w:gridCol w:w="829"/>
        <w:gridCol w:w="1174"/>
        <w:gridCol w:w="1622"/>
      </w:tblGrid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584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货物名称型号</w:t>
            </w:r>
          </w:p>
        </w:tc>
        <w:tc>
          <w:tcPr>
            <w:tcW w:w="2043" w:type="pct"/>
            <w:vAlign w:val="center"/>
          </w:tcPr>
          <w:p w:rsidR="00226C39" w:rsidRPr="00226C39" w:rsidRDefault="00226C39" w:rsidP="00226C39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技术参数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产地及制造厂名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单价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单项总价</w:t>
            </w:r>
          </w:p>
        </w:tc>
        <w:tc>
          <w:tcPr>
            <w:tcW w:w="532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交货期</w:t>
            </w:r>
          </w:p>
        </w:tc>
      </w:tr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84" w:type="pct"/>
            <w:vAlign w:val="center"/>
          </w:tcPr>
          <w:p w:rsidR="00226C39" w:rsidRPr="00226C39" w:rsidRDefault="00226C39">
            <w:pPr>
              <w:tabs>
                <w:tab w:val="center" w:pos="1731"/>
                <w:tab w:val="right" w:pos="3343"/>
              </w:tabs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基因扩增仪(带梯度)</w:t>
            </w:r>
          </w:p>
          <w:p w:rsidR="00226C39" w:rsidRPr="00226C39" w:rsidRDefault="00226C39">
            <w:pPr>
              <w:tabs>
                <w:tab w:val="center" w:pos="1731"/>
                <w:tab w:val="right" w:pos="3343"/>
              </w:tabs>
              <w:autoSpaceDN w:val="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color w:val="000000"/>
                <w:sz w:val="24"/>
              </w:rPr>
              <w:t>Biometra TOne 96G</w:t>
            </w:r>
          </w:p>
        </w:tc>
        <w:tc>
          <w:tcPr>
            <w:tcW w:w="2043" w:type="pct"/>
          </w:tcPr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进口设备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一、仪器配置：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主机一台、说明资料一份、电源线一根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二、技术参数: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1．反应模块：0.2ml×96孔反应模块，适合96孔板、8联管、单管等标准耗材；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2. 仪器冷却/加热技术（温控方式）：Peliter半导体；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3. 标配为快速反应模块，其最大变温速率：≥4℃/S,能提高工作效率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4. 温度控制范围：3-99℃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5. 仪器控温准确性：≤±0.1℃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6. 仪器控温均一性：≤±0.2℃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7.带有温度梯度功能，可同时对12个不同的温度点进行反应条件优化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8.具有两种温度梯度设计模式：线性温度梯度和随机温度梯度模式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9．热盖温度可调，最高不低于110℃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10. 热盖采用非固定的方式，其高度可调，适合各种不同的耗材使用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11. 具有样品防蒸发技术，当热盖温度到达设定温度时才开始PCR反应，使得样品管上方温度始终高于样品温度；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12. ≥7英寸彩色触摸屏，水晶屏幕，无反光;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13. 具有USB接口，可无限扩展程序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14. 用户特异性的程序快速启动功能：每个用户可快速启动自己最近使用过的5个程序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15.程序运行显示方式可在表格式和图形式之间互相自由切换。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16.静音技术：运行时最大声音不超过45分贝,为实验室提供安静舒适的工作环境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17. 具进行Touchdown PCR实验，以提高PCR扩增产物的特异性；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18.有断电自动重启功能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三、售后服务： 仪器原厂整机质保两年。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德国analytikjena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$9600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$9600</w:t>
            </w:r>
          </w:p>
        </w:tc>
        <w:tc>
          <w:tcPr>
            <w:tcW w:w="532" w:type="pct"/>
            <w:vMerge w:val="restar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合同签订后国产设备30日内，进口设备90日内</w:t>
            </w:r>
          </w:p>
        </w:tc>
      </w:tr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lastRenderedPageBreak/>
              <w:t>2</w:t>
            </w:r>
          </w:p>
        </w:tc>
        <w:tc>
          <w:tcPr>
            <w:tcW w:w="584" w:type="pct"/>
            <w:shd w:val="solid" w:color="FFFFFF" w:fill="auto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超声细胞破碎仪</w:t>
            </w:r>
          </w:p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color w:val="000000"/>
                <w:sz w:val="24"/>
              </w:rPr>
              <w:t>Sonic Ruptor 400</w:t>
            </w:r>
          </w:p>
        </w:tc>
        <w:tc>
          <w:tcPr>
            <w:tcW w:w="2043" w:type="pct"/>
          </w:tcPr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进口设备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一、技术参数：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1. 破碎绝大多数细胞、细菌、孢子、组织，可乳化样品至0.01微米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2. 最适用于乳化样品，均质“混溶”液体，加速酶和化学反应，刺激细菌活动，驱散液体中的固体，驱除液体中的气体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3. 功率400瓦，输出频率20kHz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4. 样品处理量：250</w:t>
            </w:r>
            <w:r w:rsidRPr="00226C39">
              <w:rPr>
                <w:rStyle w:val="font21"/>
                <w:rFonts w:ascii="仿宋" w:eastAsia="仿宋" w:hAnsi="仿宋"/>
                <w:lang/>
              </w:rPr>
              <w:t xml:space="preserve">μL </w:t>
            </w:r>
            <w:r w:rsidRPr="00226C39">
              <w:rPr>
                <w:rStyle w:val="font01"/>
                <w:rFonts w:ascii="仿宋" w:eastAsia="仿宋" w:hAnsi="仿宋" w:hint="default"/>
                <w:lang/>
              </w:rPr>
              <w:t>– 1L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5. LED 显示保证准确性和重复性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6. 自动调节振幅，发挥最理想处理效能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7. 脉冲控制可用于处理温度敏感的样品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8. 包含标配的固定支架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9. 具有CE认证（投标时需提供相应证明文件）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10. 探头可选配 3.9mm、9.5mm、12.7mm、19.0mm、25.4mm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（5/32英吋钛探头, 3.9mm x 25.6cm, 极高强度,样品处理量250ul-10ml，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3/8英吋钛探头, 9.5mm x 21.8cm, 高强度,样品处理量10ml-250ml，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1/2英吋钛探头, 12.7mm x 13.7cm, 中高强度,样品处理量10ml-300ml，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3/4英吋钛探头, 19.1mm x 10.5cm, 中强度,样品处理量25ml-500ml，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1英吋钛探头, 25.4mm x 12.3cm, 低强度,样品处理量50ml-1L）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二、配置清单：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超声波细胞破碎仪主机 1台；5/32英吋钛探头1 个。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三、售后服务：整机质保一年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美国OMNI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$8000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$8000</w:t>
            </w:r>
          </w:p>
        </w:tc>
        <w:tc>
          <w:tcPr>
            <w:tcW w:w="532" w:type="pct"/>
            <w:vMerge/>
          </w:tcPr>
          <w:p w:rsidR="00226C39" w:rsidRPr="00226C39" w:rsidRDefault="00226C39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lastRenderedPageBreak/>
              <w:t>3</w:t>
            </w:r>
          </w:p>
        </w:tc>
        <w:tc>
          <w:tcPr>
            <w:tcW w:w="584" w:type="pct"/>
            <w:shd w:val="solid" w:color="FFFFFF" w:fill="auto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快速蛋白凝胶转染系统</w:t>
            </w:r>
          </w:p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color w:val="000000"/>
                <w:sz w:val="24"/>
              </w:rPr>
              <w:t>YC1002</w:t>
            </w:r>
          </w:p>
        </w:tc>
        <w:tc>
          <w:tcPr>
            <w:tcW w:w="2043" w:type="pct"/>
          </w:tcPr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一、技术参数：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1. 尺寸（长*宽*高）：320 *261 *281（mm）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2. 重量（不含抽屉）：裸机4.25Kg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3. 输入功率：90~135,176〜264 V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4. 频率：50~60赫兹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5. 最大功率：350瓦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6. 是否含on / off开关：是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7. 是否含USB接口：是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8. 输出功率：0~36 伏特， 0~10.0 安培（每个反应单元）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9. 工作条件：环境温度 15~40°C，相对湿度 0~95％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10. 反应单元重量：1.23公斤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11. 凝胶兼容性： Mini、Midi PAGE凝胶，厚度0.75~1.5毫米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12. 膜兼容性：NC膜和PVDF膜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13. 配套：镊子、铲、浅盘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14. 功能：蛋白转膜、蛋白染色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15. 反应单元通量：最多4个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16. 凝胶通量：最多8片Mini PAGE凝胶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17. 考染灵敏度：20ng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18. 转膜蛋白截留率：95%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二、系统配置：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主机1台（标配2个反应单元）；电线1根；说明书1份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三、售后服务：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仪器原厂整机质保二年。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海南言成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56,000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56,000</w:t>
            </w:r>
          </w:p>
        </w:tc>
        <w:tc>
          <w:tcPr>
            <w:tcW w:w="532" w:type="pct"/>
            <w:vMerge/>
          </w:tcPr>
          <w:p w:rsidR="00226C39" w:rsidRPr="00226C39" w:rsidRDefault="00226C39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lastRenderedPageBreak/>
              <w:t>4</w:t>
            </w:r>
          </w:p>
        </w:tc>
        <w:tc>
          <w:tcPr>
            <w:tcW w:w="584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实验室冰箱</w:t>
            </w:r>
          </w:p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color w:val="000000"/>
                <w:sz w:val="24"/>
              </w:rPr>
              <w:t>PLF-276</w:t>
            </w:r>
          </w:p>
        </w:tc>
        <w:tc>
          <w:tcPr>
            <w:tcW w:w="2043" w:type="pct"/>
          </w:tcPr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1. 容量：276L；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2. 温度：-12~-40℃，工厂预设-40℃；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3. 电源：220V，50Hz；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4. 外部尺寸：1740×700×700mm，内部尺寸：1200×460×500mm；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 xml:space="preserve">5. </w:t>
            </w:r>
            <w:r w:rsidRPr="00226C39">
              <w:rPr>
                <w:rStyle w:val="font11"/>
                <w:rFonts w:ascii="仿宋" w:eastAsia="仿宋" w:hAnsi="仿宋" w:hint="default"/>
                <w:sz w:val="24"/>
                <w:szCs w:val="24"/>
                <w:lang/>
              </w:rPr>
              <w:t>抽屉数量：6个；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6. 运输重量：123kg；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7. 数字温度控制器，界面直观；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8. 可靠的温度均一性和气流稳定性；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9. 内部风扇用于强制气流循环；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10. 手动除霜；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 xml:space="preserve">11. </w:t>
            </w:r>
            <w:r w:rsidRPr="00226C39">
              <w:rPr>
                <w:rStyle w:val="font11"/>
                <w:rFonts w:ascii="仿宋" w:eastAsia="仿宋" w:hAnsi="仿宋" w:hint="default"/>
                <w:sz w:val="24"/>
                <w:szCs w:val="24"/>
                <w:lang/>
              </w:rPr>
              <w:t>可锁定高质量钢门；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 xml:space="preserve">12. </w:t>
            </w:r>
            <w:r w:rsidRPr="00226C39">
              <w:rPr>
                <w:rStyle w:val="font11"/>
                <w:rFonts w:ascii="仿宋" w:eastAsia="仿宋" w:hAnsi="仿宋" w:hint="default"/>
                <w:sz w:val="24"/>
                <w:szCs w:val="24"/>
                <w:lang/>
              </w:rPr>
              <w:t>钥匙开关；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13. 内部照明；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14. 标配25mm接入/输出端口。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标准配置：主机一台，抽屉6个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美国Thermo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21,240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21,240</w:t>
            </w:r>
          </w:p>
        </w:tc>
        <w:tc>
          <w:tcPr>
            <w:tcW w:w="532" w:type="pct"/>
            <w:vMerge/>
          </w:tcPr>
          <w:p w:rsidR="00226C39" w:rsidRPr="00226C39" w:rsidRDefault="00226C39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84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转移电泳槽</w:t>
            </w:r>
          </w:p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color w:val="000000"/>
                <w:sz w:val="24"/>
              </w:rPr>
              <w:t>VE 186</w:t>
            </w:r>
          </w:p>
        </w:tc>
        <w:tc>
          <w:tcPr>
            <w:tcW w:w="2043" w:type="pct"/>
          </w:tcPr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1.槽体采用高强度高透明度聚碳酸脂材料注塑成型，免除液体渗漏、便于观察电泳进程。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2.多重安全设计，免除了可能产生的操作安全问题。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3.安全按钮式开盖设计，方便电泳槽盖的开启。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4.专用制胶架，操作方便。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5.可同时转印二块8.3*7.3CM胶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6.专用槽内制冰盒，可预制冰块置于槽内。在转移电泳过程电泳过程起降温作用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7.转印时间为30-60min，也可选择低电压过夜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8.可与VE-180垂直电泳槽配套使用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上海天能科技有限公司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2,580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2,580</w:t>
            </w:r>
          </w:p>
        </w:tc>
        <w:tc>
          <w:tcPr>
            <w:tcW w:w="532" w:type="pct"/>
            <w:vMerge/>
          </w:tcPr>
          <w:p w:rsidR="00226C39" w:rsidRPr="00226C39" w:rsidRDefault="00226C39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84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微型垂直电泳</w:t>
            </w:r>
            <w:r w:rsidRPr="00226C39">
              <w:rPr>
                <w:rFonts w:ascii="仿宋" w:eastAsia="仿宋" w:hAnsi="仿宋"/>
                <w:color w:val="000000"/>
                <w:sz w:val="24"/>
              </w:rPr>
              <w:lastRenderedPageBreak/>
              <w:t>槽</w:t>
            </w:r>
          </w:p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color w:val="000000"/>
                <w:sz w:val="24"/>
              </w:rPr>
              <w:t>VE 180</w:t>
            </w:r>
          </w:p>
        </w:tc>
        <w:tc>
          <w:tcPr>
            <w:tcW w:w="2043" w:type="pct"/>
          </w:tcPr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1.槽体采用高强度高透明度聚碳酸脂材料注塑成型，免除液</w:t>
            </w: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体渗漏、便于观察电泳进程。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2.多重安全设计，免除了可能产生的操作安全问题。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3.安全按钮式开盖设计，方便电泳槽盖的开启。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4.玻璃板与垫条的一体化设计确保垫条表面及垫条制胶密封端的平整，彻底防止漏液。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5.备选多种厚度间隔的垫条玻璃板和制胶梳子（0.75mm/1.0mm/1.5mm），满足不同上样量需要。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6.专用制胶架，操作方便。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7.可同时运行二块8.3×7.3cm 胶。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8.配置1.0mm的玻璃板和梳子。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上海天能科技</w:t>
            </w: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有限公司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2,980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2,980</w:t>
            </w:r>
          </w:p>
        </w:tc>
        <w:tc>
          <w:tcPr>
            <w:tcW w:w="532" w:type="pct"/>
            <w:vMerge/>
          </w:tcPr>
          <w:p w:rsidR="00226C39" w:rsidRPr="00226C39" w:rsidRDefault="00226C39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lastRenderedPageBreak/>
              <w:t>7</w:t>
            </w:r>
          </w:p>
        </w:tc>
        <w:tc>
          <w:tcPr>
            <w:tcW w:w="584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小号水平电泳槽</w:t>
            </w:r>
          </w:p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color w:val="000000"/>
                <w:sz w:val="24"/>
              </w:rPr>
              <w:t>HE 90</w:t>
            </w:r>
          </w:p>
        </w:tc>
        <w:tc>
          <w:tcPr>
            <w:tcW w:w="2043" w:type="pct"/>
          </w:tcPr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 xml:space="preserve">电泳槽承载凝胶的最大面积：8*10.5CM                                         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 xml:space="preserve">制胶托盘种类：8*5CM  8*10.5CM                                                     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 xml:space="preserve">最大电压负荷：250V                                                            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 xml:space="preserve">容纳缓冲液量大体积：400ML                                                  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外形尺寸（L*W*H） ：28*12.5*6.5CM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上海天能科技有限公司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1,280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1,280</w:t>
            </w:r>
          </w:p>
        </w:tc>
        <w:tc>
          <w:tcPr>
            <w:tcW w:w="532" w:type="pct"/>
            <w:vMerge/>
          </w:tcPr>
          <w:p w:rsidR="00226C39" w:rsidRPr="00226C39" w:rsidRDefault="00226C39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C39" w:rsidRPr="00226C39" w:rsidTr="00226C39">
        <w:tc>
          <w:tcPr>
            <w:tcW w:w="273" w:type="pct"/>
            <w:vAlign w:val="center"/>
          </w:tcPr>
          <w:p w:rsidR="00226C39" w:rsidRPr="00226C39" w:rsidRDefault="00226C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84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液氮罐</w:t>
            </w:r>
          </w:p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color w:val="000000"/>
                <w:sz w:val="24"/>
              </w:rPr>
              <w:t>Bio-Cane47</w:t>
            </w:r>
          </w:p>
        </w:tc>
        <w:tc>
          <w:tcPr>
            <w:tcW w:w="2043" w:type="pct"/>
          </w:tcPr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  <w:t>进口设备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1. 含盖高度：67.3cm；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2. 直径：50.8cm；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3. 液氮容量：47.4升；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4. 消耗速率：0.4升/天；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5. 冻存管容量：1260个2ml冻存管；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7. 高性价比，可储存细胞，组织和其他生物样品；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8. 4种尺寸可以满足有限空间不同需求的研究或者临床试验室；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9. 无需不常液氮可以安全储存样品7个月；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10. 每个容器包括6个提桶；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11. 极好的真空绝热性，持久耐用的结构可确保多年无故障的使用；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12. 安全的搭扣设计，防止未授权者接触样品；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13. 样品环境温度可以保持极好均一性，每个容器标配6</w:t>
            </w: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个吊桶，方便容纳各种类型的冻存管或小容器；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14. 聚碳酸酯盖子可以经得住多年频繁使用；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15. 彩色编码罐子可以快速容易的进行存货识别；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16. 为了轻松的运输您的Bio-Cane系统，可订购附属的手推车。</w:t>
            </w:r>
          </w:p>
          <w:p w:rsidR="00226C39" w:rsidRPr="00226C39" w:rsidRDefault="00226C39" w:rsidP="00226C3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17. 配置要求：液氮罐主机一台；提桶2个，可与吊桶替换的方形冻存架4个（（每个冻存架含包含5 个25 格纸质冻存盒）</w:t>
            </w:r>
          </w:p>
        </w:tc>
        <w:tc>
          <w:tcPr>
            <w:tcW w:w="508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美国Thermo</w:t>
            </w:r>
          </w:p>
        </w:tc>
        <w:tc>
          <w:tcPr>
            <w:tcW w:w="201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02" w:type="pct"/>
            <w:vAlign w:val="center"/>
          </w:tcPr>
          <w:p w:rsidR="00226C39" w:rsidRPr="00226C39" w:rsidRDefault="00226C3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272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$3720</w:t>
            </w:r>
          </w:p>
        </w:tc>
        <w:tc>
          <w:tcPr>
            <w:tcW w:w="385" w:type="pct"/>
            <w:vAlign w:val="center"/>
          </w:tcPr>
          <w:p w:rsidR="00226C39" w:rsidRPr="00226C39" w:rsidRDefault="00226C3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226C39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$3720</w:t>
            </w:r>
          </w:p>
        </w:tc>
        <w:tc>
          <w:tcPr>
            <w:tcW w:w="532" w:type="pct"/>
            <w:vMerge/>
          </w:tcPr>
          <w:p w:rsidR="00226C39" w:rsidRPr="00226C39" w:rsidRDefault="00226C39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C39" w:rsidRPr="00226C39" w:rsidTr="00226C39">
        <w:trPr>
          <w:trHeight w:val="549"/>
        </w:trPr>
        <w:tc>
          <w:tcPr>
            <w:tcW w:w="2900" w:type="pct"/>
            <w:gridSpan w:val="3"/>
            <w:vAlign w:val="center"/>
          </w:tcPr>
          <w:p w:rsidR="00226C39" w:rsidRPr="00AC2C75" w:rsidRDefault="00226C39" w:rsidP="00AC2C7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/>
              </w:rPr>
            </w:pPr>
            <w:r w:rsidRPr="00AC2C75">
              <w:rPr>
                <w:rFonts w:ascii="仿宋" w:eastAsia="仿宋" w:hAnsi="仿宋" w:hint="eastAsia"/>
                <w:sz w:val="24"/>
              </w:rPr>
              <w:lastRenderedPageBreak/>
              <w:t>大写： 人民币捌万肆仟零捌拾元整+</w:t>
            </w:r>
            <w:r w:rsidR="00DC66D6">
              <w:rPr>
                <w:rFonts w:ascii="仿宋" w:eastAsia="仿宋" w:hAnsi="仿宋" w:hint="eastAsia"/>
                <w:sz w:val="24"/>
              </w:rPr>
              <w:t>美元</w:t>
            </w:r>
            <w:r w:rsidRPr="00AC2C75">
              <w:rPr>
                <w:rFonts w:ascii="仿宋" w:eastAsia="仿宋" w:hAnsi="仿宋" w:hint="eastAsia"/>
                <w:sz w:val="24"/>
              </w:rPr>
              <w:t>贰万壹仟叁佰贰拾元整</w:t>
            </w:r>
          </w:p>
        </w:tc>
        <w:tc>
          <w:tcPr>
            <w:tcW w:w="2100" w:type="pct"/>
            <w:gridSpan w:val="6"/>
            <w:vAlign w:val="center"/>
          </w:tcPr>
          <w:p w:rsidR="00226C39" w:rsidRPr="00AC2C75" w:rsidRDefault="00226C39" w:rsidP="00AC2C7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C2C75">
              <w:rPr>
                <w:rFonts w:ascii="仿宋" w:eastAsia="仿宋" w:hAnsi="仿宋" w:hint="eastAsia"/>
                <w:sz w:val="24"/>
              </w:rPr>
              <w:t>合计：</w:t>
            </w:r>
            <w:r w:rsidRPr="00AC2C75">
              <w:rPr>
                <w:rFonts w:ascii="宋体" w:eastAsia="仿宋" w:hAnsi="宋体" w:hint="eastAsia"/>
                <w:sz w:val="24"/>
              </w:rPr>
              <w:t>¥</w:t>
            </w:r>
            <w:r w:rsidRPr="00AC2C75">
              <w:rPr>
                <w:rFonts w:ascii="仿宋" w:eastAsia="仿宋" w:hAnsi="仿宋" w:hint="eastAsia"/>
                <w:sz w:val="24"/>
              </w:rPr>
              <w:t>84080+$21320</w:t>
            </w:r>
          </w:p>
        </w:tc>
      </w:tr>
      <w:tr w:rsidR="00226C39" w:rsidRPr="00226C39" w:rsidTr="00226C39">
        <w:trPr>
          <w:trHeight w:val="549"/>
        </w:trPr>
        <w:tc>
          <w:tcPr>
            <w:tcW w:w="2900" w:type="pct"/>
            <w:gridSpan w:val="3"/>
            <w:vAlign w:val="center"/>
          </w:tcPr>
          <w:p w:rsidR="00226C39" w:rsidRPr="00AC2C75" w:rsidRDefault="00226C39" w:rsidP="00DC66D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 w:rsidRPr="00AC2C75">
              <w:rPr>
                <w:rFonts w:ascii="仿宋" w:eastAsia="仿宋" w:hAnsi="仿宋" w:hint="eastAsia"/>
                <w:sz w:val="24"/>
              </w:rPr>
              <w:t>兑换人民币大写</w:t>
            </w:r>
            <w:r w:rsidR="00AC2C75" w:rsidRPr="00AC2C75">
              <w:rPr>
                <w:rFonts w:ascii="仿宋" w:eastAsia="仿宋" w:hAnsi="仿宋" w:hint="eastAsia"/>
                <w:sz w:val="24"/>
              </w:rPr>
              <w:t>：</w:t>
            </w:r>
            <w:r w:rsidR="00DC66D6">
              <w:rPr>
                <w:rFonts w:ascii="仿宋" w:eastAsia="仿宋" w:hAnsi="仿宋" w:hint="eastAsia"/>
                <w:sz w:val="24"/>
              </w:rPr>
              <w:t>贰拾贰万壹仟叁佰壹拾捌元玖角柒分</w:t>
            </w:r>
          </w:p>
        </w:tc>
        <w:tc>
          <w:tcPr>
            <w:tcW w:w="2100" w:type="pct"/>
            <w:gridSpan w:val="6"/>
            <w:vAlign w:val="center"/>
          </w:tcPr>
          <w:p w:rsidR="00226C39" w:rsidRPr="00AC2C75" w:rsidRDefault="00226C39" w:rsidP="00AC2C75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C2C75">
              <w:rPr>
                <w:rFonts w:ascii="仿宋" w:eastAsia="仿宋" w:hAnsi="仿宋" w:hint="eastAsia"/>
                <w:sz w:val="24"/>
              </w:rPr>
              <w:t>兑换人民币：</w:t>
            </w:r>
            <w:r w:rsidR="00AC2C75" w:rsidRPr="00AC2C75">
              <w:rPr>
                <w:rFonts w:ascii="仿宋" w:eastAsia="仿宋" w:hAnsi="仿宋"/>
                <w:sz w:val="24"/>
              </w:rPr>
              <w:t xml:space="preserve"> 221</w:t>
            </w:r>
            <w:r w:rsidR="00AC2C75" w:rsidRPr="00AC2C75">
              <w:rPr>
                <w:rFonts w:ascii="仿宋" w:eastAsia="仿宋" w:hAnsi="仿宋" w:hint="eastAsia"/>
                <w:sz w:val="24"/>
              </w:rPr>
              <w:t>,</w:t>
            </w:r>
            <w:r w:rsidR="00AC2C75" w:rsidRPr="00AC2C75">
              <w:rPr>
                <w:rFonts w:ascii="仿宋" w:eastAsia="仿宋" w:hAnsi="仿宋"/>
                <w:sz w:val="24"/>
              </w:rPr>
              <w:t>318.97</w:t>
            </w:r>
            <w:r w:rsidR="00AC2C75" w:rsidRPr="00AC2C75">
              <w:rPr>
                <w:rFonts w:ascii="仿宋" w:eastAsia="仿宋" w:hAnsi="仿宋" w:hint="eastAsia"/>
                <w:sz w:val="24"/>
              </w:rPr>
              <w:t>元整</w:t>
            </w:r>
          </w:p>
        </w:tc>
      </w:tr>
      <w:tr w:rsidR="00AC2C75" w:rsidRPr="00226C39" w:rsidTr="00AC2C75">
        <w:trPr>
          <w:trHeight w:val="549"/>
        </w:trPr>
        <w:tc>
          <w:tcPr>
            <w:tcW w:w="5000" w:type="pct"/>
            <w:gridSpan w:val="9"/>
            <w:vAlign w:val="center"/>
          </w:tcPr>
          <w:p w:rsidR="00AC2C75" w:rsidRPr="00AC2C75" w:rsidRDefault="00AC2C75" w:rsidP="00AC2C75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C2C75">
              <w:rPr>
                <w:rFonts w:ascii="仿宋" w:eastAsia="仿宋" w:hAnsi="仿宋" w:hint="eastAsia"/>
                <w:sz w:val="24"/>
              </w:rPr>
              <w:t>当天1美元折人民币6.4371元。</w:t>
            </w:r>
          </w:p>
        </w:tc>
      </w:tr>
    </w:tbl>
    <w:p w:rsidR="00035296" w:rsidRDefault="00035296">
      <w:pPr>
        <w:spacing w:line="360" w:lineRule="exact"/>
        <w:rPr>
          <w:rFonts w:ascii="宋体" w:hAnsi="宋体"/>
          <w:sz w:val="24"/>
        </w:rPr>
      </w:pPr>
    </w:p>
    <w:p w:rsidR="00226C39" w:rsidRDefault="00226C39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 w:hint="eastAsia"/>
          <w:sz w:val="24"/>
        </w:rPr>
      </w:pPr>
    </w:p>
    <w:p w:rsidR="00035296" w:rsidRDefault="00F315B8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</w:t>
      </w:r>
    </w:p>
    <w:p w:rsidR="00035296" w:rsidRDefault="00F315B8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</w:p>
    <w:sectPr w:rsidR="00035296" w:rsidSect="00226C39">
      <w:footerReference w:type="default" r:id="rId7"/>
      <w:pgSz w:w="16838" w:h="11906" w:orient="landscape"/>
      <w:pgMar w:top="851" w:right="851" w:bottom="851" w:left="85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B8" w:rsidRDefault="00F315B8" w:rsidP="00226C39">
      <w:r>
        <w:separator/>
      </w:r>
    </w:p>
  </w:endnote>
  <w:endnote w:type="continuationSeparator" w:id="1">
    <w:p w:rsidR="00F315B8" w:rsidRDefault="00F315B8" w:rsidP="0022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2120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26C39" w:rsidRDefault="00226C39" w:rsidP="00226C3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DC66D6">
              <w:rPr>
                <w:b/>
                <w:noProof/>
              </w:rPr>
              <w:t>6</w:t>
            </w:r>
            <w:r>
              <w:rPr>
                <w:b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DC66D6">
              <w:rPr>
                <w:b/>
                <w:noProof/>
              </w:rPr>
              <w:t>6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B8" w:rsidRDefault="00F315B8" w:rsidP="00226C39">
      <w:r>
        <w:separator/>
      </w:r>
    </w:p>
  </w:footnote>
  <w:footnote w:type="continuationSeparator" w:id="1">
    <w:p w:rsidR="00F315B8" w:rsidRDefault="00F315B8" w:rsidP="00226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3659CE"/>
    <w:rsid w:val="00035296"/>
    <w:rsid w:val="00226C39"/>
    <w:rsid w:val="00AC2C75"/>
    <w:rsid w:val="00DC66D6"/>
    <w:rsid w:val="00F315B8"/>
    <w:rsid w:val="4B3659CE"/>
    <w:rsid w:val="6F43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2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352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rsid w:val="00035296"/>
    <w:rPr>
      <w:rFonts w:ascii="Arial" w:hAnsi="Arial" w:cs="Arial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03529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035296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header"/>
    <w:basedOn w:val="a"/>
    <w:link w:val="Char0"/>
    <w:rsid w:val="0022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26C3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26C39"/>
    <w:pPr>
      <w:ind w:left="720"/>
    </w:pPr>
    <w:rPr>
      <w:szCs w:val="20"/>
    </w:rPr>
  </w:style>
  <w:style w:type="character" w:customStyle="1" w:styleId="Char">
    <w:name w:val="页脚 Char"/>
    <w:basedOn w:val="a0"/>
    <w:link w:val="a3"/>
    <w:uiPriority w:val="99"/>
    <w:rsid w:val="00226C39"/>
    <w:rPr>
      <w:rFonts w:ascii="Times New Roman" w:eastAsia="宋体" w:hAnsi="Times New Roman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迎客松</dc:creator>
  <cp:lastModifiedBy>lenovo</cp:lastModifiedBy>
  <cp:revision>5</cp:revision>
  <cp:lastPrinted>2018-01-19T07:14:00Z</cp:lastPrinted>
  <dcterms:created xsi:type="dcterms:W3CDTF">2018-01-19T04:33:00Z</dcterms:created>
  <dcterms:modified xsi:type="dcterms:W3CDTF">2018-01-19T07:14:00Z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