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Pr="00E32C1C" w:rsidRDefault="00863820" w:rsidP="00BE144D">
      <w:pPr>
        <w:spacing w:line="579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32C1C">
        <w:rPr>
          <w:rFonts w:ascii="Times New Roman" w:eastAsia="方正小标宋简体" w:hAnsi="Times New Roman" w:hint="eastAsia"/>
          <w:sz w:val="44"/>
          <w:szCs w:val="44"/>
        </w:rPr>
        <w:t>询价邀请书</w:t>
      </w:r>
    </w:p>
    <w:p w:rsidR="00863820" w:rsidRPr="00E32C1C" w:rsidRDefault="00863820" w:rsidP="00BE144D">
      <w:pPr>
        <w:spacing w:line="579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 w:hint="eastAsia"/>
          <w:sz w:val="32"/>
          <w:szCs w:val="32"/>
        </w:rPr>
        <w:t>海南海警第二支队就</w:t>
      </w:r>
      <w:r>
        <w:rPr>
          <w:rFonts w:ascii="Times New Roman" w:eastAsia="仿宋_GB2312" w:hAnsi="Times New Roman" w:hint="eastAsia"/>
          <w:sz w:val="32"/>
          <w:szCs w:val="32"/>
        </w:rPr>
        <w:t>自动智能选层档案柜等物资</w:t>
      </w:r>
      <w:r w:rsidRPr="00E32C1C">
        <w:rPr>
          <w:rFonts w:ascii="Times New Roman" w:eastAsia="仿宋_GB2312" w:hAnsi="Times New Roman" w:hint="eastAsia"/>
          <w:sz w:val="32"/>
          <w:szCs w:val="32"/>
        </w:rPr>
        <w:t>采购项目进行邀请询价采购，兹邀请贵公司</w:t>
      </w:r>
      <w:r>
        <w:rPr>
          <w:rFonts w:ascii="Times New Roman" w:eastAsia="仿宋_GB2312" w:hAnsi="Times New Roman" w:hint="eastAsia"/>
          <w:sz w:val="32"/>
          <w:szCs w:val="32"/>
        </w:rPr>
        <w:t>参与</w:t>
      </w:r>
      <w:r w:rsidRPr="00E32C1C">
        <w:rPr>
          <w:rFonts w:ascii="Times New Roman" w:eastAsia="仿宋_GB2312" w:hAnsi="Times New Roman" w:hint="eastAsia"/>
          <w:sz w:val="32"/>
          <w:szCs w:val="32"/>
        </w:rPr>
        <w:t>应答及报价。现将有关事项说明如下：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一、项目名称：</w:t>
      </w:r>
      <w:r>
        <w:rPr>
          <w:rFonts w:ascii="Times New Roman" w:eastAsia="仿宋_GB2312" w:hAnsi="Times New Roman" w:hint="eastAsia"/>
          <w:sz w:val="32"/>
          <w:szCs w:val="32"/>
        </w:rPr>
        <w:t>自动智能选层档案柜等物资采购项目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二、采购编号：</w:t>
      </w:r>
      <w:r w:rsidRPr="00E32C1C">
        <w:rPr>
          <w:rFonts w:ascii="Times New Roman" w:eastAsia="仿宋_GB2312" w:hAnsi="Times New Roman" w:hint="eastAsia"/>
          <w:sz w:val="32"/>
          <w:szCs w:val="32"/>
        </w:rPr>
        <w:t>琼海二询购</w:t>
      </w:r>
      <w:r w:rsidRPr="00E32C1C">
        <w:rPr>
          <w:rFonts w:ascii="Times New Roman" w:eastAsia="仿宋_GB2312" w:hAnsi="Times New Roman"/>
          <w:sz w:val="32"/>
          <w:szCs w:val="32"/>
        </w:rPr>
        <w:t>[2017]00</w:t>
      </w:r>
      <w:r>
        <w:rPr>
          <w:rFonts w:ascii="Times New Roman" w:eastAsia="仿宋_GB2312" w:hAnsi="Times New Roman"/>
          <w:sz w:val="32"/>
          <w:szCs w:val="32"/>
        </w:rPr>
        <w:t>6</w:t>
      </w:r>
      <w:r w:rsidRPr="00E32C1C"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三、报价接收截止时间及报价文件递交地点：</w:t>
      </w:r>
      <w:r w:rsidRPr="00343A86">
        <w:rPr>
          <w:rFonts w:ascii="Times New Roman" w:eastAsia="仿宋_GB2312" w:hAnsi="Times New Roman"/>
          <w:sz w:val="32"/>
          <w:szCs w:val="32"/>
        </w:rPr>
        <w:t>2017</w:t>
      </w:r>
      <w:r w:rsidRPr="00343A86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 w:rsidRPr="00343A86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27</w:t>
      </w:r>
      <w:r w:rsidRPr="00343A86">
        <w:rPr>
          <w:rFonts w:ascii="Times New Roman" w:eastAsia="仿宋_GB2312" w:hAnsi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</w:rPr>
        <w:t>29</w:t>
      </w:r>
      <w:r w:rsidRPr="00343A86">
        <w:rPr>
          <w:rFonts w:ascii="Times New Roman" w:eastAsia="仿宋_GB2312" w:hAnsi="Times New Roman" w:hint="eastAsia"/>
          <w:sz w:val="32"/>
          <w:szCs w:val="32"/>
        </w:rPr>
        <w:t>日</w:t>
      </w:r>
      <w:r w:rsidRPr="00E32C1C">
        <w:rPr>
          <w:rFonts w:ascii="Times New Roman" w:eastAsia="仿宋_GB2312" w:hAnsi="Times New Roman" w:hint="eastAsia"/>
          <w:sz w:val="32"/>
          <w:szCs w:val="32"/>
        </w:rPr>
        <w:t>，三亚市天涯区南边海路</w:t>
      </w:r>
      <w:r w:rsidRPr="00E32C1C">
        <w:rPr>
          <w:rFonts w:ascii="Times New Roman" w:eastAsia="仿宋_GB2312" w:hAnsi="Times New Roman"/>
          <w:sz w:val="32"/>
          <w:szCs w:val="32"/>
        </w:rPr>
        <w:t>350</w:t>
      </w:r>
      <w:r w:rsidRPr="00E32C1C">
        <w:rPr>
          <w:rFonts w:ascii="Times New Roman" w:eastAsia="仿宋_GB2312" w:hAnsi="Times New Roman" w:hint="eastAsia"/>
          <w:sz w:val="32"/>
          <w:szCs w:val="32"/>
        </w:rPr>
        <w:t>号海南海警二支队采购组（邮编：</w:t>
      </w:r>
      <w:r w:rsidRPr="00E32C1C">
        <w:rPr>
          <w:rFonts w:ascii="Times New Roman" w:eastAsia="仿宋_GB2312" w:hAnsi="Times New Roman"/>
          <w:sz w:val="32"/>
          <w:szCs w:val="32"/>
        </w:rPr>
        <w:t>572000</w:t>
      </w:r>
      <w:r w:rsidRPr="00E32C1C"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四、采购项目内容及要求：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 w:hint="eastAsia"/>
          <w:b/>
          <w:sz w:val="32"/>
          <w:szCs w:val="32"/>
        </w:rPr>
        <w:t>采购项目一览表：</w:t>
      </w:r>
    </w:p>
    <w:tbl>
      <w:tblPr>
        <w:tblW w:w="0" w:type="auto"/>
        <w:tblLayout w:type="fixed"/>
        <w:tblLook w:val="00A0"/>
      </w:tblPr>
      <w:tblGrid>
        <w:gridCol w:w="817"/>
        <w:gridCol w:w="1559"/>
        <w:gridCol w:w="2694"/>
        <w:gridCol w:w="686"/>
        <w:gridCol w:w="1149"/>
        <w:gridCol w:w="82"/>
        <w:gridCol w:w="1067"/>
        <w:gridCol w:w="1006"/>
      </w:tblGrid>
      <w:tr w:rsidR="00863820" w:rsidRPr="005C5CFD" w:rsidTr="00032A70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型号或描述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A341B7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Cs w:val="21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863820" w:rsidRPr="005C5CFD" w:rsidTr="00032A70">
        <w:trPr>
          <w:trHeight w:val="1077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87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自动智能选层档案柜等物资采购项目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5C5CFD" w:rsidRDefault="00863820" w:rsidP="00BE144D">
            <w:pPr>
              <w:spacing w:line="579" w:lineRule="exact"/>
              <w:jc w:val="center"/>
              <w:rPr>
                <w:sz w:val="20"/>
                <w:szCs w:val="20"/>
              </w:rPr>
            </w:pP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品牌</w:t>
            </w: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型号</w:t>
            </w:r>
          </w:p>
          <w:p w:rsidR="00863820" w:rsidRDefault="00863820" w:rsidP="00BE144D">
            <w:pPr>
              <w:spacing w:line="579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5C5CFD">
              <w:rPr>
                <w:rFonts w:hint="eastAsia"/>
                <w:sz w:val="20"/>
                <w:szCs w:val="20"/>
              </w:rPr>
              <w:t>自动智能选层档案柜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</w:tr>
      <w:tr w:rsidR="00863820" w:rsidRPr="005C5CFD" w:rsidTr="003F102C">
        <w:trPr>
          <w:trHeight w:val="328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Default="00863820" w:rsidP="00BE144D">
            <w:pPr>
              <w:spacing w:line="579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品牌</w:t>
            </w: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型号文件柜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877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</w:tr>
      <w:tr w:rsidR="00863820" w:rsidRPr="005C5CFD" w:rsidTr="00032A70">
        <w:trPr>
          <w:cantSplit/>
          <w:trHeight w:val="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Default="00863820" w:rsidP="00BE144D">
            <w:pPr>
              <w:spacing w:line="579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品牌</w:t>
            </w: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型号保险柜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</w:tr>
      <w:tr w:rsidR="00863820" w:rsidRPr="005C5CFD" w:rsidTr="00A341B7">
        <w:trPr>
          <w:trHeight w:val="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Default="00863820" w:rsidP="00BE144D">
            <w:pPr>
              <w:spacing w:line="579" w:lineRule="exact"/>
              <w:jc w:val="center"/>
              <w:rPr>
                <w:rFonts w:ascii="宋体" w:cs="宋体"/>
                <w:sz w:val="20"/>
                <w:szCs w:val="20"/>
              </w:rPr>
            </w:pP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品牌</w:t>
            </w:r>
            <w:r w:rsidRPr="005C5CFD">
              <w:rPr>
                <w:sz w:val="20"/>
                <w:szCs w:val="20"/>
              </w:rPr>
              <w:t>XX</w:t>
            </w:r>
            <w:r w:rsidRPr="005C5CFD">
              <w:rPr>
                <w:rFonts w:hint="eastAsia"/>
                <w:sz w:val="20"/>
                <w:szCs w:val="20"/>
              </w:rPr>
              <w:t>型号电脑座椅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820" w:rsidRPr="004B7877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kern w:val="0"/>
                <w:sz w:val="28"/>
                <w:szCs w:val="28"/>
              </w:rPr>
            </w:pPr>
          </w:p>
        </w:tc>
      </w:tr>
      <w:tr w:rsidR="00863820" w:rsidRPr="005C5CFD" w:rsidTr="00032A70">
        <w:trPr>
          <w:trHeight w:val="410"/>
        </w:trPr>
        <w:tc>
          <w:tcPr>
            <w:tcW w:w="9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63820" w:rsidRPr="003F102C" w:rsidRDefault="00863820" w:rsidP="00BE144D">
            <w:pPr>
              <w:widowControl/>
              <w:spacing w:line="579" w:lineRule="exact"/>
              <w:jc w:val="center"/>
              <w:rPr>
                <w:rFonts w:ascii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3F102C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合计（大写：人民币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壹拾伍万柒仟叁佰玖拾元整</w:t>
            </w:r>
            <w:r w:rsidRPr="003F102C">
              <w:rPr>
                <w:rFonts w:ascii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863820" w:rsidRPr="005C5CFD" w:rsidTr="00816BFF">
        <w:trPr>
          <w:trHeight w:val="420"/>
        </w:trPr>
        <w:tc>
          <w:tcPr>
            <w:tcW w:w="69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820" w:rsidRPr="00BE144D" w:rsidRDefault="00863820" w:rsidP="00BE144D">
            <w:pPr>
              <w:widowControl/>
              <w:spacing w:line="579" w:lineRule="exact"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说明：此报价包含国内运费、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安装费、</w:t>
            </w:r>
            <w:r w:rsidRPr="004B787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增值税发票。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3820" w:rsidRPr="004B7877" w:rsidRDefault="00863820" w:rsidP="00BE144D">
            <w:pPr>
              <w:widowControl/>
              <w:spacing w:line="579" w:lineRule="exac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863820" w:rsidRPr="00E32C1C" w:rsidRDefault="00863820" w:rsidP="00863820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五、报价人资格条件：</w:t>
      </w:r>
      <w:r w:rsidRPr="00E32C1C">
        <w:rPr>
          <w:rFonts w:ascii="Times New Roman" w:eastAsia="仿宋_GB2312" w:hAnsi="Times New Roman" w:hint="eastAsia"/>
          <w:sz w:val="32"/>
          <w:szCs w:val="32"/>
        </w:rPr>
        <w:t>报价人应符合《政府采购法》第二十二条规定。</w:t>
      </w:r>
    </w:p>
    <w:p w:rsidR="00863820" w:rsidRPr="00EC309E" w:rsidRDefault="00863820" w:rsidP="009C11DF">
      <w:pPr>
        <w:spacing w:line="579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EC309E">
        <w:rPr>
          <w:rFonts w:ascii="Times New Roman" w:eastAsia="黑体" w:hAnsi="黑体" w:hint="eastAsia"/>
          <w:sz w:val="32"/>
          <w:szCs w:val="32"/>
        </w:rPr>
        <w:t>六、报价文件要求：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/>
          <w:sz w:val="32"/>
          <w:szCs w:val="32"/>
        </w:rPr>
        <w:t>1.</w:t>
      </w:r>
      <w:r w:rsidRPr="00E32C1C">
        <w:rPr>
          <w:rFonts w:ascii="Times New Roman" w:eastAsia="仿宋_GB2312" w:hAnsi="Times New Roman" w:hint="eastAsia"/>
          <w:sz w:val="32"/>
          <w:szCs w:val="32"/>
        </w:rPr>
        <w:t>正本一份，副本</w:t>
      </w:r>
      <w:r>
        <w:rPr>
          <w:rFonts w:ascii="Times New Roman" w:eastAsia="仿宋_GB2312" w:hAnsi="Times New Roman" w:hint="eastAsia"/>
          <w:sz w:val="32"/>
          <w:szCs w:val="32"/>
        </w:rPr>
        <w:t>两</w:t>
      </w:r>
      <w:r w:rsidRPr="00E32C1C">
        <w:rPr>
          <w:rFonts w:ascii="Times New Roman" w:eastAsia="仿宋_GB2312" w:hAnsi="Times New Roman" w:hint="eastAsia"/>
          <w:sz w:val="32"/>
          <w:szCs w:val="32"/>
        </w:rPr>
        <w:t>份。每页须加盖报价人公章和授权代表签字，装订成册，密封，封面必须注明项目名称和项目号。</w:t>
      </w: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.</w:t>
      </w:r>
      <w:r w:rsidRPr="00E32C1C">
        <w:rPr>
          <w:rFonts w:ascii="Times New Roman" w:eastAsia="仿宋_GB2312" w:hAnsi="Times New Roman" w:hint="eastAsia"/>
          <w:sz w:val="32"/>
          <w:szCs w:val="32"/>
        </w:rPr>
        <w:t>报价表。供应商对每一种货物（服务）只能有一次报价机会，供应商应一次性报出不可更改的报价。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产品介绍及技术偏离表。产品介绍必须盖有产生单位公章，技术偏离表详见附表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，任何参数出现负偏离代表此产品不符合投标要求。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 w:rsidRPr="00E32C1C">
        <w:rPr>
          <w:rFonts w:ascii="Times New Roman" w:eastAsia="仿宋_GB2312" w:hAnsi="Times New Roman" w:hint="eastAsia"/>
          <w:sz w:val="32"/>
          <w:szCs w:val="32"/>
        </w:rPr>
        <w:t>资质材料。经年检的法人营业执照（副本）复印件、税务登记证副本有效复印件、组织机构代码证副本复印件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 w:rsidRPr="00E32C1C">
        <w:rPr>
          <w:rFonts w:ascii="Times New Roman" w:eastAsia="仿宋_GB2312" w:hAnsi="Times New Roman" w:hint="eastAsia"/>
          <w:sz w:val="32"/>
          <w:szCs w:val="32"/>
        </w:rPr>
        <w:t>法定代表人身份证</w:t>
      </w:r>
      <w:r>
        <w:rPr>
          <w:rFonts w:ascii="Times New Roman" w:eastAsia="仿宋_GB2312" w:hAnsi="Times New Roman" w:hint="eastAsia"/>
          <w:sz w:val="32"/>
          <w:szCs w:val="32"/>
        </w:rPr>
        <w:t>明或法人代表授权委托书原件，法定代表人或委托代理人身份证复印件，质量管理体系认证复印件。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黑体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七、报价需知：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/>
          <w:sz w:val="32"/>
          <w:szCs w:val="32"/>
        </w:rPr>
        <w:t xml:space="preserve">1. </w:t>
      </w:r>
      <w:r w:rsidRPr="00E32C1C">
        <w:rPr>
          <w:rFonts w:ascii="Times New Roman" w:eastAsia="仿宋_GB2312" w:hAnsi="Times New Roman" w:hint="eastAsia"/>
          <w:sz w:val="32"/>
          <w:szCs w:val="32"/>
        </w:rPr>
        <w:t>报价为不能更改的闭口价。报价应包含本项目实施过程中所有可能发生的费用。报价书请用蓝黑墨水填写或打印，并须填写售后服务承诺等内容列表。</w:t>
      </w: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/>
          <w:sz w:val="32"/>
          <w:szCs w:val="32"/>
        </w:rPr>
        <w:t xml:space="preserve">2. </w:t>
      </w:r>
      <w:r w:rsidRPr="00E32C1C">
        <w:rPr>
          <w:rFonts w:ascii="Times New Roman" w:eastAsia="仿宋_GB2312" w:hAnsi="Times New Roman" w:hint="eastAsia"/>
          <w:sz w:val="32"/>
          <w:szCs w:val="32"/>
        </w:rPr>
        <w:t>报送资料不全或不符合相关要求的将被拒绝。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 w:rsidRPr="00E32C1C"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报价保证金：人民币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Times New Roman" w:eastAsia="仿宋_GB2312" w:hAnsi="Times New Roman" w:hint="eastAsia"/>
          <w:sz w:val="32"/>
          <w:szCs w:val="32"/>
        </w:rPr>
        <w:t>元。需确保在开标前交纳保证金，并于报价时出示银行回单。未成交者将在成交通知书发出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个工作日内无息退回。成交者保证金在提交履约保证金后，无息退回。</w:t>
      </w:r>
    </w:p>
    <w:p w:rsidR="00863820" w:rsidRPr="00647836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color w:val="FF0000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八、评定标准：</w:t>
      </w:r>
      <w:r w:rsidRPr="00E32C1C">
        <w:rPr>
          <w:rFonts w:ascii="Times New Roman" w:eastAsia="仿宋_GB2312" w:hAnsi="Times New Roman" w:hint="eastAsia"/>
          <w:sz w:val="32"/>
          <w:szCs w:val="32"/>
        </w:rPr>
        <w:t>质量、价格等综合评定，兼顾效率和信誉原则</w:t>
      </w:r>
      <w:r w:rsidRPr="0064783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九</w:t>
      </w:r>
      <w:r w:rsidRPr="00E32C1C">
        <w:rPr>
          <w:rFonts w:ascii="Times New Roman" w:eastAsia="黑体" w:hAnsi="黑体" w:hint="eastAsia"/>
          <w:sz w:val="32"/>
          <w:szCs w:val="32"/>
        </w:rPr>
        <w:t>、交货日期及地点：</w:t>
      </w:r>
      <w:r w:rsidRPr="00EC309E">
        <w:rPr>
          <w:rFonts w:ascii="Times New Roman" w:eastAsia="仿宋_GB2312" w:hAnsi="Times New Roman"/>
          <w:sz w:val="32"/>
          <w:szCs w:val="32"/>
        </w:rPr>
        <w:t>2017</w:t>
      </w:r>
      <w:r w:rsidRPr="00EC309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11</w:t>
      </w:r>
      <w:r w:rsidRPr="00EC309E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19</w:t>
      </w:r>
      <w:r w:rsidRPr="00EC309E"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前</w:t>
      </w:r>
      <w:r w:rsidRPr="00EC309E">
        <w:rPr>
          <w:rFonts w:ascii="Times New Roman" w:eastAsia="仿宋_GB2312" w:hAnsi="Times New Roman" w:hint="eastAsia"/>
          <w:sz w:val="32"/>
          <w:szCs w:val="32"/>
        </w:rPr>
        <w:t>，海</w:t>
      </w:r>
      <w:r>
        <w:rPr>
          <w:rFonts w:ascii="Times New Roman" w:eastAsia="仿宋_GB2312" w:hAnsi="Times New Roman" w:hint="eastAsia"/>
          <w:sz w:val="32"/>
          <w:szCs w:val="32"/>
        </w:rPr>
        <w:t>南省</w:t>
      </w:r>
      <w:r w:rsidRPr="00E32C1C">
        <w:rPr>
          <w:rFonts w:ascii="Times New Roman" w:eastAsia="仿宋_GB2312" w:hAnsi="Times New Roman" w:hint="eastAsia"/>
          <w:sz w:val="32"/>
          <w:szCs w:val="32"/>
        </w:rPr>
        <w:t>三亚市天涯区南边海路</w:t>
      </w:r>
      <w:r w:rsidRPr="00E32C1C">
        <w:rPr>
          <w:rFonts w:ascii="Times New Roman" w:eastAsia="仿宋_GB2312" w:hAnsi="Times New Roman"/>
          <w:sz w:val="32"/>
          <w:szCs w:val="32"/>
        </w:rPr>
        <w:t>350</w:t>
      </w:r>
      <w:r w:rsidRPr="00E32C1C">
        <w:rPr>
          <w:rFonts w:ascii="Times New Roman" w:eastAsia="仿宋_GB2312" w:hAnsi="Times New Roman" w:hint="eastAsia"/>
          <w:sz w:val="32"/>
          <w:szCs w:val="32"/>
        </w:rPr>
        <w:t>号海南海警二支队。</w:t>
      </w: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十、联系方式：</w:t>
      </w:r>
      <w:r>
        <w:rPr>
          <w:rFonts w:ascii="Times New Roman" w:eastAsia="仿宋_GB2312" w:hAnsi="Times New Roman"/>
          <w:sz w:val="32"/>
          <w:szCs w:val="32"/>
        </w:rPr>
        <w:t>13647524585</w:t>
      </w:r>
      <w:r w:rsidRPr="00E32C1C"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熊</w:t>
      </w:r>
      <w:r w:rsidRPr="00E32C1C">
        <w:rPr>
          <w:rFonts w:ascii="Times New Roman" w:eastAsia="仿宋_GB2312" w:hAnsi="Times New Roman" w:hint="eastAsia"/>
          <w:sz w:val="32"/>
          <w:szCs w:val="32"/>
        </w:rPr>
        <w:t>警官）。</w:t>
      </w:r>
    </w:p>
    <w:p w:rsidR="00863820" w:rsidRPr="00F34F24" w:rsidRDefault="00863820" w:rsidP="009C11DF">
      <w:pPr>
        <w:spacing w:line="579" w:lineRule="exact"/>
        <w:ind w:firstLineChars="200" w:firstLine="31680"/>
        <w:rPr>
          <w:rFonts w:ascii="Times New Roman" w:eastAsia="黑体" w:hAnsi="黑体"/>
          <w:sz w:val="32"/>
          <w:szCs w:val="32"/>
        </w:rPr>
      </w:pPr>
      <w:r w:rsidRPr="00E32C1C">
        <w:rPr>
          <w:rFonts w:ascii="Times New Roman" w:eastAsia="黑体" w:hAnsi="黑体" w:hint="eastAsia"/>
          <w:sz w:val="32"/>
          <w:szCs w:val="32"/>
        </w:rPr>
        <w:t>十</w:t>
      </w:r>
      <w:r>
        <w:rPr>
          <w:rFonts w:ascii="Times New Roman" w:eastAsia="黑体" w:hAnsi="黑体" w:hint="eastAsia"/>
          <w:sz w:val="32"/>
          <w:szCs w:val="32"/>
        </w:rPr>
        <w:t>一</w:t>
      </w:r>
      <w:r w:rsidRPr="00F34F24">
        <w:rPr>
          <w:rFonts w:ascii="Times New Roman" w:eastAsia="黑体" w:hAnsi="黑体" w:hint="eastAsia"/>
          <w:sz w:val="32"/>
          <w:szCs w:val="32"/>
        </w:rPr>
        <w:t>、</w:t>
      </w:r>
      <w:r>
        <w:rPr>
          <w:rFonts w:ascii="Times New Roman" w:eastAsia="黑体" w:hAnsi="黑体" w:hint="eastAsia"/>
          <w:sz w:val="32"/>
          <w:szCs w:val="32"/>
        </w:rPr>
        <w:t>保证金交纳</w:t>
      </w:r>
      <w:r w:rsidRPr="00F34F24">
        <w:rPr>
          <w:rFonts w:ascii="Times New Roman" w:eastAsia="黑体" w:hAnsi="黑体" w:hint="eastAsia"/>
          <w:sz w:val="32"/>
          <w:szCs w:val="32"/>
        </w:rPr>
        <w:t>账户信息</w:t>
      </w:r>
      <w:r>
        <w:rPr>
          <w:rFonts w:ascii="Times New Roman" w:eastAsia="黑体" w:hAnsi="黑体" w:hint="eastAsia"/>
          <w:sz w:val="32"/>
          <w:szCs w:val="32"/>
        </w:rPr>
        <w:t>：</w:t>
      </w:r>
    </w:p>
    <w:p w:rsidR="00863820" w:rsidRPr="00F34F24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F34F24">
        <w:rPr>
          <w:rFonts w:ascii="Times New Roman" w:eastAsia="仿宋_GB2312" w:hAnsi="Times New Roman" w:hint="eastAsia"/>
          <w:sz w:val="32"/>
          <w:szCs w:val="32"/>
        </w:rPr>
        <w:t>单位名称：</w:t>
      </w:r>
      <w:r>
        <w:rPr>
          <w:rFonts w:ascii="Times New Roman" w:eastAsia="仿宋_GB2312" w:hAnsi="Times New Roman" w:hint="eastAsia"/>
          <w:sz w:val="32"/>
          <w:szCs w:val="32"/>
        </w:rPr>
        <w:t>中国人民武装警察部队海南省边防总队海警第二支队。</w:t>
      </w:r>
    </w:p>
    <w:p w:rsidR="00863820" w:rsidRPr="00F34F24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F34F24">
        <w:rPr>
          <w:rFonts w:ascii="Times New Roman" w:eastAsia="仿宋_GB2312" w:hAnsi="Times New Roman" w:hint="eastAsia"/>
          <w:sz w:val="32"/>
          <w:szCs w:val="32"/>
        </w:rPr>
        <w:t>开户银行：工行</w:t>
      </w:r>
      <w:r>
        <w:rPr>
          <w:rFonts w:ascii="Times New Roman" w:eastAsia="仿宋_GB2312" w:hAnsi="Times New Roman" w:hint="eastAsia"/>
          <w:sz w:val="32"/>
          <w:szCs w:val="32"/>
        </w:rPr>
        <w:t>三亚解放</w:t>
      </w:r>
      <w:r w:rsidRPr="00F34F24">
        <w:rPr>
          <w:rFonts w:ascii="Times New Roman" w:eastAsia="仿宋_GB2312" w:hAnsi="Times New Roman" w:hint="eastAsia"/>
          <w:sz w:val="32"/>
          <w:szCs w:val="32"/>
        </w:rPr>
        <w:t>支行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F34F24">
        <w:rPr>
          <w:rFonts w:ascii="Times New Roman" w:eastAsia="仿宋_GB2312" w:hAnsi="Times New Roman" w:hint="eastAsia"/>
          <w:sz w:val="32"/>
          <w:szCs w:val="32"/>
        </w:rPr>
        <w:t>银行帐号：</w:t>
      </w:r>
      <w:r w:rsidRPr="00F34F24">
        <w:rPr>
          <w:rFonts w:ascii="Times New Roman" w:eastAsia="仿宋_GB2312" w:hAnsi="Times New Roman"/>
          <w:sz w:val="32"/>
          <w:szCs w:val="32"/>
        </w:rPr>
        <w:t>2201 0</w:t>
      </w:r>
      <w:r>
        <w:rPr>
          <w:rFonts w:ascii="Times New Roman" w:eastAsia="仿宋_GB2312" w:hAnsi="Times New Roman"/>
          <w:sz w:val="32"/>
          <w:szCs w:val="32"/>
        </w:rPr>
        <w:t>3</w:t>
      </w:r>
      <w:r w:rsidRPr="00F34F24"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F34F24"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0</w:t>
      </w:r>
      <w:r w:rsidRPr="00F34F24">
        <w:rPr>
          <w:rFonts w:ascii="Times New Roman" w:eastAsia="仿宋_GB2312" w:hAnsi="Times New Roman"/>
          <w:sz w:val="32"/>
          <w:szCs w:val="32"/>
        </w:rPr>
        <w:t>920 0</w:t>
      </w:r>
      <w:r>
        <w:rPr>
          <w:rFonts w:ascii="Times New Roman" w:eastAsia="仿宋_GB2312" w:hAnsi="Times New Roman"/>
          <w:sz w:val="32"/>
          <w:szCs w:val="32"/>
        </w:rPr>
        <w:t>013 390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63820" w:rsidRPr="00F34F24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63820" w:rsidRPr="00E32C1C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/>
          <w:b/>
          <w:sz w:val="32"/>
          <w:szCs w:val="32"/>
        </w:rPr>
        <w:t xml:space="preserve">                               </w:t>
      </w:r>
      <w:r w:rsidRPr="00E32C1C">
        <w:rPr>
          <w:rFonts w:ascii="Times New Roman" w:eastAsia="仿宋_GB2312" w:hAnsi="Times New Roman" w:hint="eastAsia"/>
          <w:sz w:val="32"/>
          <w:szCs w:val="32"/>
        </w:rPr>
        <w:t>海南海警第二支队</w:t>
      </w:r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E32C1C">
        <w:rPr>
          <w:rFonts w:ascii="Times New Roman" w:eastAsia="仿宋_GB2312" w:hAnsi="Times New Roman"/>
          <w:sz w:val="32"/>
          <w:szCs w:val="32"/>
        </w:rPr>
        <w:t xml:space="preserve">                              </w:t>
      </w:r>
      <w:r w:rsidRPr="004B7877">
        <w:rPr>
          <w:rFonts w:ascii="Times New Roman" w:eastAsia="仿宋_GB2312" w:hAnsi="Times New Roman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0"/>
          <w:attr w:name="Year" w:val="2017"/>
        </w:smartTagPr>
        <w:r w:rsidRPr="004B7877">
          <w:rPr>
            <w:rFonts w:ascii="Times New Roman" w:eastAsia="仿宋_GB2312" w:hAnsi="Times New Roman"/>
            <w:sz w:val="32"/>
            <w:szCs w:val="32"/>
          </w:rPr>
          <w:t>2017</w:t>
        </w:r>
        <w:r w:rsidRPr="004B7877"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10</w:t>
        </w:r>
        <w:r w:rsidRPr="004B7877"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27</w:t>
        </w:r>
        <w:r w:rsidRPr="004B7877"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</w:p>
    <w:p w:rsidR="00863820" w:rsidRDefault="00863820" w:rsidP="009C11DF">
      <w:pPr>
        <w:spacing w:line="579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</w:p>
    <w:p w:rsidR="00863820" w:rsidRDefault="00863820" w:rsidP="00B17914">
      <w:pPr>
        <w:spacing w:line="579" w:lineRule="exact"/>
        <w:rPr>
          <w:rFonts w:ascii="Times New Roman" w:eastAsia="仿宋_GB2312" w:hAnsi="Times New Roman"/>
          <w:sz w:val="32"/>
          <w:szCs w:val="32"/>
        </w:rPr>
      </w:pPr>
    </w:p>
    <w:sectPr w:rsidR="00863820" w:rsidSect="00032A70">
      <w:pgSz w:w="11906" w:h="16838" w:code="9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20" w:rsidRDefault="00863820" w:rsidP="004922B6">
      <w:r>
        <w:separator/>
      </w:r>
    </w:p>
  </w:endnote>
  <w:endnote w:type="continuationSeparator" w:id="0">
    <w:p w:rsidR="00863820" w:rsidRDefault="00863820" w:rsidP="00492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20" w:rsidRDefault="00863820" w:rsidP="004922B6">
      <w:r>
        <w:separator/>
      </w:r>
    </w:p>
  </w:footnote>
  <w:footnote w:type="continuationSeparator" w:id="0">
    <w:p w:rsidR="00863820" w:rsidRDefault="00863820" w:rsidP="00492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795"/>
    <w:rsid w:val="00004B4A"/>
    <w:rsid w:val="00022440"/>
    <w:rsid w:val="00024D17"/>
    <w:rsid w:val="00032A70"/>
    <w:rsid w:val="000B43B1"/>
    <w:rsid w:val="000E5398"/>
    <w:rsid w:val="00103B4B"/>
    <w:rsid w:val="0011006B"/>
    <w:rsid w:val="00117841"/>
    <w:rsid w:val="001413A0"/>
    <w:rsid w:val="00156DB8"/>
    <w:rsid w:val="00176C62"/>
    <w:rsid w:val="001833D3"/>
    <w:rsid w:val="001A3A81"/>
    <w:rsid w:val="001A77AF"/>
    <w:rsid w:val="001C5A2F"/>
    <w:rsid w:val="00211D82"/>
    <w:rsid w:val="002137DC"/>
    <w:rsid w:val="00217C39"/>
    <w:rsid w:val="002237AB"/>
    <w:rsid w:val="00292AC7"/>
    <w:rsid w:val="002C6CDF"/>
    <w:rsid w:val="002E15B2"/>
    <w:rsid w:val="00300D65"/>
    <w:rsid w:val="00343A86"/>
    <w:rsid w:val="0035074F"/>
    <w:rsid w:val="00353B94"/>
    <w:rsid w:val="00355251"/>
    <w:rsid w:val="00397963"/>
    <w:rsid w:val="003B1DCE"/>
    <w:rsid w:val="003B6FDF"/>
    <w:rsid w:val="003F102C"/>
    <w:rsid w:val="003F53F4"/>
    <w:rsid w:val="003F7720"/>
    <w:rsid w:val="004136F7"/>
    <w:rsid w:val="00445CEA"/>
    <w:rsid w:val="00461631"/>
    <w:rsid w:val="0047002B"/>
    <w:rsid w:val="004806B4"/>
    <w:rsid w:val="00480FA6"/>
    <w:rsid w:val="004922B6"/>
    <w:rsid w:val="004A12BD"/>
    <w:rsid w:val="004A43BB"/>
    <w:rsid w:val="004A47C8"/>
    <w:rsid w:val="004B5588"/>
    <w:rsid w:val="004B7877"/>
    <w:rsid w:val="004C34AF"/>
    <w:rsid w:val="004E2939"/>
    <w:rsid w:val="004F4EC8"/>
    <w:rsid w:val="0052116A"/>
    <w:rsid w:val="00563F75"/>
    <w:rsid w:val="00565E8B"/>
    <w:rsid w:val="005C5CA0"/>
    <w:rsid w:val="005C5CFD"/>
    <w:rsid w:val="005F154E"/>
    <w:rsid w:val="00604DAF"/>
    <w:rsid w:val="006263C3"/>
    <w:rsid w:val="00647836"/>
    <w:rsid w:val="00671FB1"/>
    <w:rsid w:val="006A26F4"/>
    <w:rsid w:val="006C6D99"/>
    <w:rsid w:val="006D489B"/>
    <w:rsid w:val="006E2484"/>
    <w:rsid w:val="00734810"/>
    <w:rsid w:val="00737724"/>
    <w:rsid w:val="00755888"/>
    <w:rsid w:val="00760181"/>
    <w:rsid w:val="00780DAE"/>
    <w:rsid w:val="00792FAC"/>
    <w:rsid w:val="00794307"/>
    <w:rsid w:val="007A1873"/>
    <w:rsid w:val="007C2FD0"/>
    <w:rsid w:val="007E1D53"/>
    <w:rsid w:val="007F614C"/>
    <w:rsid w:val="00807731"/>
    <w:rsid w:val="00807F1E"/>
    <w:rsid w:val="00814DEA"/>
    <w:rsid w:val="00816BFF"/>
    <w:rsid w:val="00817734"/>
    <w:rsid w:val="008202B5"/>
    <w:rsid w:val="008430B5"/>
    <w:rsid w:val="00854EA6"/>
    <w:rsid w:val="00863820"/>
    <w:rsid w:val="008A0FFC"/>
    <w:rsid w:val="008C7797"/>
    <w:rsid w:val="00915EEB"/>
    <w:rsid w:val="00941BCF"/>
    <w:rsid w:val="00974EC1"/>
    <w:rsid w:val="009A7E68"/>
    <w:rsid w:val="009C11DF"/>
    <w:rsid w:val="009F0449"/>
    <w:rsid w:val="00A14A5D"/>
    <w:rsid w:val="00A24EBB"/>
    <w:rsid w:val="00A341B7"/>
    <w:rsid w:val="00A92B94"/>
    <w:rsid w:val="00A965A0"/>
    <w:rsid w:val="00AC1052"/>
    <w:rsid w:val="00B12C45"/>
    <w:rsid w:val="00B17914"/>
    <w:rsid w:val="00B23EDA"/>
    <w:rsid w:val="00B304E2"/>
    <w:rsid w:val="00B34C5B"/>
    <w:rsid w:val="00B42BA2"/>
    <w:rsid w:val="00B528B7"/>
    <w:rsid w:val="00BB1BDC"/>
    <w:rsid w:val="00BC156D"/>
    <w:rsid w:val="00BC470B"/>
    <w:rsid w:val="00BE144D"/>
    <w:rsid w:val="00BF4AE1"/>
    <w:rsid w:val="00C449E5"/>
    <w:rsid w:val="00C67298"/>
    <w:rsid w:val="00C71F3C"/>
    <w:rsid w:val="00C80222"/>
    <w:rsid w:val="00CA223F"/>
    <w:rsid w:val="00CC08BB"/>
    <w:rsid w:val="00CF0FC8"/>
    <w:rsid w:val="00D301A0"/>
    <w:rsid w:val="00D354E9"/>
    <w:rsid w:val="00D52435"/>
    <w:rsid w:val="00D830F2"/>
    <w:rsid w:val="00D96187"/>
    <w:rsid w:val="00DD5D46"/>
    <w:rsid w:val="00E10334"/>
    <w:rsid w:val="00E22847"/>
    <w:rsid w:val="00E30476"/>
    <w:rsid w:val="00E32C1C"/>
    <w:rsid w:val="00E57A25"/>
    <w:rsid w:val="00E73E03"/>
    <w:rsid w:val="00EB3AD8"/>
    <w:rsid w:val="00EC309E"/>
    <w:rsid w:val="00EC6E7C"/>
    <w:rsid w:val="00EC7196"/>
    <w:rsid w:val="00EF5795"/>
    <w:rsid w:val="00EF606E"/>
    <w:rsid w:val="00F16918"/>
    <w:rsid w:val="00F2105A"/>
    <w:rsid w:val="00F3144E"/>
    <w:rsid w:val="00F32945"/>
    <w:rsid w:val="00F34F24"/>
    <w:rsid w:val="00F63FC0"/>
    <w:rsid w:val="00FA1AF6"/>
    <w:rsid w:val="00FA51E3"/>
    <w:rsid w:val="00FB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D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22B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92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22B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04DA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04D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03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33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520</TotalTime>
  <Pages>3</Pages>
  <Words>174</Words>
  <Characters>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2017-10-26T08:39:00Z</cp:lastPrinted>
  <dcterms:created xsi:type="dcterms:W3CDTF">2017-03-03T06:48:00Z</dcterms:created>
  <dcterms:modified xsi:type="dcterms:W3CDTF">2017-10-27T09:21:00Z</dcterms:modified>
</cp:coreProperties>
</file>