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  <w:t>洋浦经济开发区技工学校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-洋浦经济开发区技工学校化工专业实训设备-中标公告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洋浦经济开发区技工学校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洋浦经济开发区技工学校化工专业实训设备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179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洋浦经济开发区技工学校化工专业实训设备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179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A包：化工实训室化工工艺设备、工具及化工检验仪器；</w:t>
      </w:r>
    </w:p>
    <w:p>
      <w:pPr>
        <w:widowControl/>
        <w:spacing w:line="400" w:lineRule="exact"/>
        <w:ind w:firstLine="630" w:firstLineChars="300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B包：化工机械实训设备、工具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合同履约日期：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3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A包：合同签订后 90 天发货到采购人指定地点;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B包：合同签订后 40 天内交货及安装调试完成并交付采购人使用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化工实训室化工工艺设备、工具及化工检验仪器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企业：北京东方仿真软件技术有限公司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金额：1586055.00元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（壹佰伍拾捌万陆仟零伍拾伍元整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北京市朝阳区安翔北里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11号C座339室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流体输送综合拆装装置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定制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750000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高效液相色谱仪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岛津 LC-16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360000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化工机械实训设备、工具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企业：海南紫洋科技有限公司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金额：947700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.00元（玖拾肆万柒仟柒佰元整）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海南省海口市龙昆南路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89号汇隆广场二单元1706室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化工设备拆装综合实训装置（双塔）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杭州言实 HGZH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218379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郑冠雄、何雪莲、梁振江、陈荣兴、王传文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采购人：洋浦经济开发区技工学校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话：0898-28817918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海南和正招标有限公司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                            二〇一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十四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77541D8"/>
    <w:rsid w:val="0B583181"/>
    <w:rsid w:val="0BA6466B"/>
    <w:rsid w:val="10735D2E"/>
    <w:rsid w:val="12631565"/>
    <w:rsid w:val="17773F11"/>
    <w:rsid w:val="181E2527"/>
    <w:rsid w:val="257D0025"/>
    <w:rsid w:val="27794FF4"/>
    <w:rsid w:val="29594197"/>
    <w:rsid w:val="2A7741B8"/>
    <w:rsid w:val="311F548A"/>
    <w:rsid w:val="36CE6FE9"/>
    <w:rsid w:val="390E5F9F"/>
    <w:rsid w:val="39784886"/>
    <w:rsid w:val="44B935D9"/>
    <w:rsid w:val="471707DD"/>
    <w:rsid w:val="4E896D5F"/>
    <w:rsid w:val="4EF170B6"/>
    <w:rsid w:val="4FD23AF5"/>
    <w:rsid w:val="53522CC6"/>
    <w:rsid w:val="55F15812"/>
    <w:rsid w:val="56432FF9"/>
    <w:rsid w:val="56896B4B"/>
    <w:rsid w:val="595A0896"/>
    <w:rsid w:val="5D7A0ECB"/>
    <w:rsid w:val="5E945D26"/>
    <w:rsid w:val="600A3B2D"/>
    <w:rsid w:val="64431B85"/>
    <w:rsid w:val="6B146AB4"/>
    <w:rsid w:val="712B1E65"/>
    <w:rsid w:val="740D5C96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2017-09-14T09:13:34Z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